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4C9" w:rsidRDefault="001C14C9" w:rsidP="001C14C9">
      <w:pPr>
        <w:spacing w:after="0" w:line="262" w:lineRule="auto"/>
        <w:jc w:val="center"/>
        <w:rPr>
          <w:rFonts w:ascii="Arial Narrow" w:hAnsi="Arial Narrow"/>
          <w:b/>
          <w:bCs/>
          <w:sz w:val="28"/>
          <w:szCs w:val="28"/>
        </w:rPr>
      </w:pPr>
      <w:r>
        <w:rPr>
          <w:rFonts w:ascii="Arial Narrow" w:hAnsi="Arial Narrow"/>
          <w:b/>
          <w:bCs/>
          <w:sz w:val="28"/>
          <w:szCs w:val="28"/>
        </w:rPr>
        <w:t>ABSTRACT</w:t>
      </w:r>
    </w:p>
    <w:p w:rsidR="001C14C9" w:rsidRDefault="001C14C9" w:rsidP="001C14C9">
      <w:pPr>
        <w:spacing w:after="0" w:line="262" w:lineRule="auto"/>
        <w:rPr>
          <w:rFonts w:ascii="Arial Narrow" w:hAnsi="Arial Narrow"/>
          <w:b/>
          <w:bCs/>
          <w:sz w:val="28"/>
          <w:szCs w:val="28"/>
        </w:rPr>
      </w:pPr>
    </w:p>
    <w:p w:rsidR="001C14C9" w:rsidRPr="003907DC" w:rsidRDefault="001C14C9" w:rsidP="001C14C9">
      <w:pPr>
        <w:spacing w:after="0" w:line="262" w:lineRule="auto"/>
        <w:jc w:val="both"/>
        <w:rPr>
          <w:rFonts w:ascii="Arial Narrow" w:hAnsi="Arial Narrow"/>
          <w:sz w:val="23"/>
          <w:szCs w:val="23"/>
        </w:rPr>
      </w:pPr>
      <w:r w:rsidRPr="00BA2BC0">
        <w:rPr>
          <w:rFonts w:ascii="Garamond" w:hAnsi="Garamond"/>
          <w:noProof/>
          <w:sz w:val="24"/>
          <w:szCs w:val="18"/>
          <w:lang w:eastAsia="en-ZA" w:bidi="he-IL"/>
        </w:rPr>
        <mc:AlternateContent>
          <mc:Choice Requires="wps">
            <w:drawing>
              <wp:anchor distT="0" distB="0" distL="114300" distR="114300" simplePos="0" relativeHeight="251660288" behindDoc="0" locked="0" layoutInCell="1" allowOverlap="1" wp14:anchorId="08367816" wp14:editId="2CA9A8ED">
                <wp:simplePos x="0" y="0"/>
                <wp:positionH relativeFrom="column">
                  <wp:posOffset>1905</wp:posOffset>
                </wp:positionH>
                <wp:positionV relativeFrom="paragraph">
                  <wp:posOffset>1270</wp:posOffset>
                </wp:positionV>
                <wp:extent cx="6170295" cy="0"/>
                <wp:effectExtent l="0" t="0" r="20955" b="19050"/>
                <wp:wrapNone/>
                <wp:docPr id="66" name="Straight Connector 66"/>
                <wp:cNvGraphicFramePr/>
                <a:graphic xmlns:a="http://schemas.openxmlformats.org/drawingml/2006/main">
                  <a:graphicData uri="http://schemas.microsoft.com/office/word/2010/wordprocessingShape">
                    <wps:wsp>
                      <wps:cNvCnPr/>
                      <wps:spPr>
                        <a:xfrm flipV="1">
                          <a:off x="0" y="0"/>
                          <a:ext cx="617029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B8D51C" id="Straight Connector 66"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pt" to="48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" strokecolor="black [3213]" strokeweight="1pt">
                <v:stroke joinstyle="miter"/>
              </v:line>
            </w:pict>
          </mc:Fallback>
        </mc:AlternateContent>
      </w:r>
      <w:r>
        <w:rPr>
          <w:rFonts w:ascii="Arial Narrow" w:hAnsi="Arial Narrow" w:cs="Times New Roman"/>
          <w:sz w:val="23"/>
          <w:szCs w:val="23"/>
        </w:rPr>
        <w:t>T</w:t>
      </w:r>
      <w:r w:rsidRPr="00CC376A">
        <w:rPr>
          <w:rFonts w:ascii="Arial Narrow" w:hAnsi="Arial Narrow" w:cs="Times New Roman"/>
          <w:sz w:val="23"/>
          <w:szCs w:val="23"/>
        </w:rPr>
        <w:t xml:space="preserve">his </w:t>
      </w:r>
      <w:r>
        <w:rPr>
          <w:rFonts w:ascii="Arial Narrow" w:hAnsi="Arial Narrow" w:cs="Times New Roman"/>
          <w:sz w:val="23"/>
          <w:szCs w:val="23"/>
        </w:rPr>
        <w:t>paper</w:t>
      </w:r>
      <w:r w:rsidRPr="00CC376A">
        <w:rPr>
          <w:rFonts w:ascii="Arial Narrow" w:hAnsi="Arial Narrow" w:cs="Times New Roman"/>
          <w:sz w:val="23"/>
          <w:szCs w:val="23"/>
        </w:rPr>
        <w:t xml:space="preserve"> presents </w:t>
      </w:r>
      <w:r>
        <w:rPr>
          <w:rFonts w:ascii="Arial Narrow" w:hAnsi="Arial Narrow" w:cs="Times New Roman"/>
          <w:sz w:val="23"/>
          <w:szCs w:val="23"/>
        </w:rPr>
        <w:t>a first time application of a variant of the concepts underpinning the Fed M</w:t>
      </w:r>
      <w:r w:rsidRPr="00CC376A">
        <w:rPr>
          <w:rFonts w:ascii="Arial Narrow" w:hAnsi="Arial Narrow" w:cs="Times New Roman"/>
          <w:sz w:val="23"/>
          <w:szCs w:val="23"/>
        </w:rPr>
        <w:t>odel</w:t>
      </w:r>
      <w:r>
        <w:rPr>
          <w:rFonts w:ascii="Arial Narrow" w:hAnsi="Arial Narrow" w:cs="Times New Roman"/>
          <w:sz w:val="23"/>
          <w:szCs w:val="23"/>
        </w:rPr>
        <w:t>, amalgamated with the Bond-Stock Earnings Yield Differential,</w:t>
      </w:r>
      <w:r w:rsidRPr="00CC376A">
        <w:rPr>
          <w:rFonts w:ascii="Arial Narrow" w:hAnsi="Arial Narrow" w:cs="Times New Roman"/>
          <w:sz w:val="23"/>
          <w:szCs w:val="23"/>
        </w:rPr>
        <w:t xml:space="preserve"> by applying it to the dividend </w:t>
      </w:r>
      <w:r>
        <w:rPr>
          <w:rFonts w:ascii="Arial Narrow" w:hAnsi="Arial Narrow" w:cs="Times New Roman"/>
          <w:sz w:val="23"/>
          <w:szCs w:val="23"/>
        </w:rPr>
        <w:t>yields</w:t>
      </w:r>
      <w:r w:rsidRPr="00CC376A">
        <w:rPr>
          <w:rFonts w:ascii="Arial Narrow" w:hAnsi="Arial Narrow" w:cs="Times New Roman"/>
          <w:sz w:val="23"/>
          <w:szCs w:val="23"/>
        </w:rPr>
        <w:t xml:space="preserve"> of </w:t>
      </w:r>
      <w:r>
        <w:rPr>
          <w:rFonts w:ascii="Arial Narrow" w:hAnsi="Arial Narrow" w:cs="Times New Roman"/>
          <w:sz w:val="23"/>
          <w:szCs w:val="23"/>
        </w:rPr>
        <w:t>REIT indices</w:t>
      </w:r>
      <w:r>
        <w:rPr>
          <w:rFonts w:ascii="Arial Narrow" w:hAnsi="Arial Narrow"/>
          <w:sz w:val="23"/>
          <w:szCs w:val="23"/>
        </w:rPr>
        <w:t xml:space="preserve">. This modification is termed the yield gap, quantitatively constructed and adapted in this paper as the Reverse REIT-Bond Yield Gap. This metric is then used as the variable of interest in a multivariate Markov regime switching model framework, along with a set of three </w:t>
      </w:r>
      <w:proofErr w:type="spellStart"/>
      <w:r>
        <w:rPr>
          <w:rFonts w:ascii="Arial Narrow" w:hAnsi="Arial Narrow"/>
          <w:sz w:val="23"/>
          <w:szCs w:val="23"/>
        </w:rPr>
        <w:t>regressors</w:t>
      </w:r>
      <w:proofErr w:type="spellEnd"/>
      <w:r>
        <w:rPr>
          <w:rFonts w:ascii="Arial Narrow" w:hAnsi="Arial Narrow"/>
          <w:sz w:val="23"/>
          <w:szCs w:val="23"/>
        </w:rPr>
        <w:t xml:space="preserve">. </w:t>
      </w:r>
      <w:r w:rsidRPr="00483016">
        <w:rPr>
          <w:rFonts w:ascii="Arial Narrow" w:hAnsi="Arial Narrow"/>
          <w:sz w:val="23"/>
          <w:szCs w:val="23"/>
        </w:rPr>
        <w:t xml:space="preserve">The REIT indices trailing dividend yield and associated metrics are the </w:t>
      </w:r>
      <w:r>
        <w:rPr>
          <w:rFonts w:ascii="Arial Narrow" w:hAnsi="Arial Narrow"/>
          <w:sz w:val="23"/>
          <w:szCs w:val="23"/>
        </w:rPr>
        <w:t>FTSE/EPRA NAREIT series.</w:t>
      </w:r>
      <w:r w:rsidRPr="00483016">
        <w:rPr>
          <w:rFonts w:ascii="Arial Narrow" w:hAnsi="Arial Narrow"/>
          <w:sz w:val="23"/>
          <w:szCs w:val="23"/>
        </w:rPr>
        <w:t xml:space="preserve"> All data are from Bloomberg T</w:t>
      </w:r>
      <w:r>
        <w:rPr>
          <w:rFonts w:ascii="Arial Narrow" w:hAnsi="Arial Narrow"/>
          <w:sz w:val="23"/>
          <w:szCs w:val="23"/>
        </w:rPr>
        <w:t xml:space="preserve">erminals. </w:t>
      </w:r>
      <w:r w:rsidRPr="00483016">
        <w:rPr>
          <w:rFonts w:ascii="Arial Narrow" w:hAnsi="Arial Narrow"/>
          <w:sz w:val="23"/>
          <w:szCs w:val="23"/>
        </w:rPr>
        <w:t xml:space="preserve">This paper examines 11 markets, of </w:t>
      </w:r>
      <w:r>
        <w:rPr>
          <w:rFonts w:ascii="Arial Narrow" w:hAnsi="Arial Narrow"/>
          <w:sz w:val="23"/>
          <w:szCs w:val="23"/>
        </w:rPr>
        <w:t xml:space="preserve">which the EMEs are </w:t>
      </w:r>
      <w:r w:rsidRPr="00483016">
        <w:rPr>
          <w:rFonts w:ascii="Arial Narrow" w:hAnsi="Arial Narrow"/>
          <w:sz w:val="23"/>
          <w:szCs w:val="23"/>
        </w:rPr>
        <w:t xml:space="preserve">classified </w:t>
      </w:r>
      <w:r>
        <w:rPr>
          <w:rFonts w:ascii="Arial Narrow" w:hAnsi="Arial Narrow"/>
          <w:sz w:val="23"/>
          <w:szCs w:val="23"/>
        </w:rPr>
        <w:t xml:space="preserve">as Brazil, Mexico, Turkey and South </w:t>
      </w:r>
      <w:r w:rsidRPr="00483016">
        <w:rPr>
          <w:rFonts w:ascii="Arial Narrow" w:hAnsi="Arial Narrow"/>
          <w:sz w:val="23"/>
          <w:szCs w:val="23"/>
        </w:rPr>
        <w:t>A</w:t>
      </w:r>
      <w:r>
        <w:rPr>
          <w:rFonts w:ascii="Arial Narrow" w:hAnsi="Arial Narrow"/>
          <w:sz w:val="23"/>
          <w:szCs w:val="23"/>
        </w:rPr>
        <w:t>frica</w:t>
      </w:r>
      <w:r w:rsidRPr="00483016">
        <w:rPr>
          <w:rFonts w:ascii="Arial Narrow" w:hAnsi="Arial Narrow"/>
          <w:sz w:val="23"/>
          <w:szCs w:val="23"/>
        </w:rPr>
        <w:t xml:space="preserve">, whereas the advanced market counterparts </w:t>
      </w:r>
      <w:r>
        <w:rPr>
          <w:rFonts w:ascii="Arial Narrow" w:hAnsi="Arial Narrow"/>
          <w:sz w:val="23"/>
          <w:szCs w:val="23"/>
        </w:rPr>
        <w:t>are</w:t>
      </w:r>
      <w:r w:rsidRPr="00483016">
        <w:rPr>
          <w:rFonts w:ascii="Arial Narrow" w:hAnsi="Arial Narrow"/>
          <w:sz w:val="23"/>
          <w:szCs w:val="23"/>
        </w:rPr>
        <w:t xml:space="preserve"> Australia, France, Japan, the </w:t>
      </w:r>
      <w:r>
        <w:rPr>
          <w:rFonts w:ascii="Arial Narrow" w:hAnsi="Arial Narrow"/>
          <w:sz w:val="23"/>
          <w:szCs w:val="23"/>
        </w:rPr>
        <w:t xml:space="preserve">Netherlands, Singapore, the United Kingdom, and the United </w:t>
      </w:r>
      <w:r w:rsidRPr="00483016">
        <w:rPr>
          <w:rFonts w:ascii="Arial Narrow" w:hAnsi="Arial Narrow"/>
          <w:sz w:val="23"/>
          <w:szCs w:val="23"/>
        </w:rPr>
        <w:t>S</w:t>
      </w:r>
      <w:r>
        <w:rPr>
          <w:rFonts w:ascii="Arial Narrow" w:hAnsi="Arial Narrow"/>
          <w:sz w:val="23"/>
          <w:szCs w:val="23"/>
        </w:rPr>
        <w:t>tates</w:t>
      </w:r>
      <w:r w:rsidRPr="00483016">
        <w:rPr>
          <w:rFonts w:ascii="Arial Narrow" w:hAnsi="Arial Narrow"/>
          <w:sz w:val="23"/>
          <w:szCs w:val="23"/>
        </w:rPr>
        <w:t>. The time-frame spans the period June 2013 until November 2015 for the EMEs, whilst their advanced market counterparts time-span covers the period November 2009 until November 2015.</w:t>
      </w:r>
      <w:r>
        <w:rPr>
          <w:rFonts w:ascii="Arial Narrow" w:hAnsi="Arial Narrow"/>
          <w:sz w:val="23"/>
          <w:szCs w:val="23"/>
        </w:rPr>
        <w:t xml:space="preserve"> </w:t>
      </w:r>
      <w:r w:rsidRPr="00F02E7B">
        <w:rPr>
          <w:rFonts w:ascii="Arial Narrow" w:hAnsi="Arial Narrow" w:cs="Times New Roman"/>
          <w:sz w:val="23"/>
          <w:szCs w:val="23"/>
        </w:rPr>
        <w:t xml:space="preserve">This paper encompasses a </w:t>
      </w:r>
      <w:r w:rsidRPr="00F02E7B">
        <w:rPr>
          <w:rFonts w:ascii="Arial Narrow" w:eastAsia="Calibri" w:hAnsi="Arial Narrow" w:cs="Arial"/>
          <w:sz w:val="23"/>
          <w:szCs w:val="23"/>
        </w:rPr>
        <w:t>tri-fold research objective,</w:t>
      </w:r>
      <w:r w:rsidRPr="00F02E7B">
        <w:rPr>
          <w:rFonts w:ascii="Arial Narrow" w:hAnsi="Arial Narrow" w:cs="Times New Roman"/>
          <w:sz w:val="23"/>
          <w:szCs w:val="23"/>
        </w:rPr>
        <w:t xml:space="preserve"> and aims to accomplish them in a scientifically-based, objective and coherent fashion. </w:t>
      </w:r>
      <w:r w:rsidRPr="00F02E7B">
        <w:rPr>
          <w:rFonts w:ascii="Arial Narrow" w:eastAsia="Calibri" w:hAnsi="Arial Narrow" w:cs="Arial"/>
          <w:sz w:val="23"/>
          <w:szCs w:val="23"/>
        </w:rPr>
        <w:t xml:space="preserve">Specifically, </w:t>
      </w:r>
      <w:r w:rsidRPr="00F02E7B">
        <w:rPr>
          <w:rFonts w:ascii="Arial Narrow" w:hAnsi="Arial Narrow"/>
          <w:sz w:val="23"/>
          <w:szCs w:val="23"/>
        </w:rPr>
        <w:t>the purpose is in an attempt to gauge the reasons underlying EMEs observed an</w:t>
      </w:r>
      <w:r>
        <w:rPr>
          <w:rFonts w:ascii="Arial Narrow" w:hAnsi="Arial Narrow"/>
          <w:sz w:val="23"/>
          <w:szCs w:val="23"/>
        </w:rPr>
        <w:t>omalies entailing reverse REIT-B</w:t>
      </w:r>
      <w:r w:rsidRPr="00F02E7B">
        <w:rPr>
          <w:rFonts w:ascii="Arial Narrow" w:hAnsi="Arial Narrow"/>
          <w:sz w:val="23"/>
          <w:szCs w:val="23"/>
        </w:rPr>
        <w:t>ond yield gaps, whereby their ten-year nominal government bonds out-yield their trailing dividend yields on their associated REIT indices</w:t>
      </w:r>
      <w:r>
        <w:rPr>
          <w:rFonts w:ascii="Arial Narrow" w:hAnsi="Arial Narrow"/>
          <w:sz w:val="23"/>
          <w:szCs w:val="23"/>
        </w:rPr>
        <w:t>;</w:t>
      </w:r>
      <w:r w:rsidRPr="00F02E7B">
        <w:rPr>
          <w:rFonts w:ascii="Arial Narrow" w:hAnsi="Arial Narrow"/>
          <w:sz w:val="23"/>
          <w:szCs w:val="23"/>
        </w:rPr>
        <w:t xml:space="preserve"> </w:t>
      </w:r>
      <w:r w:rsidRPr="00F02E7B">
        <w:rPr>
          <w:rFonts w:ascii="Arial Narrow" w:hAnsi="Arial Narrow" w:cs="Times New Roman"/>
          <w:sz w:val="23"/>
          <w:szCs w:val="23"/>
        </w:rPr>
        <w:t>what dri</w:t>
      </w:r>
      <w:r>
        <w:rPr>
          <w:rFonts w:ascii="Arial Narrow" w:hAnsi="Arial Narrow" w:cs="Times New Roman"/>
          <w:sz w:val="23"/>
          <w:szCs w:val="23"/>
        </w:rPr>
        <w:t>ves fluctuations in this metric;</w:t>
      </w:r>
      <w:r w:rsidRPr="00F02E7B">
        <w:rPr>
          <w:rFonts w:ascii="Arial Narrow" w:hAnsi="Arial Narrow" w:cs="Times New Roman"/>
          <w:sz w:val="23"/>
          <w:szCs w:val="23"/>
        </w:rPr>
        <w:t xml:space="preserve"> and whether or not profitable tactical asset allocation strategies can be formulated</w:t>
      </w:r>
      <w:r>
        <w:rPr>
          <w:rFonts w:ascii="Arial Narrow" w:hAnsi="Arial Narrow" w:cs="Times New Roman"/>
          <w:sz w:val="23"/>
          <w:szCs w:val="23"/>
        </w:rPr>
        <w:t xml:space="preserve"> to exploit any arbitrage mispricing opportunities. </w:t>
      </w:r>
      <w:r>
        <w:rPr>
          <w:rFonts w:ascii="Arial Narrow" w:hAnsi="Arial Narrow"/>
          <w:sz w:val="23"/>
          <w:szCs w:val="23"/>
        </w:rPr>
        <w:t xml:space="preserve">The Markov models were unable to generate clear-cut, definitive reasons regarding why EMEs experience this anomaly. Objectives two and three were achieved, except for France and Mexico. The third objective was also met. The REIT-Bond Yield Gaps static conditions have high probabilities of continuing in the same direction and magnitude into the future. </w:t>
      </w:r>
      <w:r w:rsidRPr="008828B5">
        <w:rPr>
          <w:rFonts w:ascii="Arial Narrow" w:hAnsi="Arial Narrow"/>
          <w:sz w:val="23"/>
          <w:szCs w:val="23"/>
          <w:lang w:val="en-US"/>
        </w:rPr>
        <w:t>In retrospection, the results suggest that by pos</w:t>
      </w:r>
      <w:r>
        <w:rPr>
          <w:rFonts w:ascii="Arial Narrow" w:hAnsi="Arial Narrow"/>
          <w:sz w:val="23"/>
          <w:szCs w:val="23"/>
          <w:lang w:val="en-US"/>
        </w:rPr>
        <w:t xml:space="preserve">itioning an investment strategy, taking </w:t>
      </w:r>
      <w:proofErr w:type="spellStart"/>
      <w:r>
        <w:rPr>
          <w:rFonts w:ascii="Arial Narrow" w:hAnsi="Arial Narrow"/>
          <w:sz w:val="23"/>
          <w:szCs w:val="23"/>
          <w:lang w:val="en-US"/>
        </w:rPr>
        <w:t>cognisance</w:t>
      </w:r>
      <w:proofErr w:type="spellEnd"/>
      <w:r w:rsidRPr="008828B5">
        <w:rPr>
          <w:rFonts w:ascii="Arial Narrow" w:hAnsi="Arial Narrow"/>
          <w:sz w:val="23"/>
          <w:szCs w:val="23"/>
          <w:lang w:val="en-US"/>
        </w:rPr>
        <w:t xml:space="preserve"> of the chain of economic </w:t>
      </w:r>
      <w:r>
        <w:rPr>
          <w:rFonts w:ascii="Arial Narrow" w:hAnsi="Arial Narrow"/>
          <w:sz w:val="23"/>
          <w:szCs w:val="23"/>
          <w:lang w:val="en-US"/>
        </w:rPr>
        <w:t>events that are likely to occur</w:t>
      </w:r>
      <w:r w:rsidRPr="008828B5">
        <w:rPr>
          <w:rFonts w:ascii="Arial Narrow" w:hAnsi="Arial Narrow"/>
          <w:sz w:val="23"/>
          <w:szCs w:val="23"/>
          <w:lang w:val="en-US"/>
        </w:rPr>
        <w:t xml:space="preserve"> following </w:t>
      </w:r>
      <w:r>
        <w:rPr>
          <w:rFonts w:ascii="Arial Narrow" w:hAnsi="Arial Narrow"/>
          <w:sz w:val="23"/>
          <w:szCs w:val="23"/>
          <w:lang w:val="en-US"/>
        </w:rPr>
        <w:t>static</w:t>
      </w:r>
      <w:r w:rsidRPr="008828B5">
        <w:rPr>
          <w:rFonts w:ascii="Arial Narrow" w:hAnsi="Arial Narrow"/>
          <w:sz w:val="23"/>
          <w:szCs w:val="23"/>
          <w:lang w:val="en-US"/>
        </w:rPr>
        <w:t xml:space="preserve"> </w:t>
      </w:r>
      <w:r>
        <w:rPr>
          <w:rFonts w:ascii="Arial Narrow" w:hAnsi="Arial Narrow"/>
          <w:sz w:val="23"/>
          <w:szCs w:val="23"/>
          <w:lang w:val="en-US"/>
        </w:rPr>
        <w:t xml:space="preserve">REIT-Bond </w:t>
      </w:r>
      <w:r w:rsidRPr="003466FE">
        <w:rPr>
          <w:rFonts w:ascii="Arial Narrow" w:hAnsi="Arial Narrow"/>
          <w:sz w:val="23"/>
          <w:szCs w:val="23"/>
          <w:lang w:val="en-US"/>
        </w:rPr>
        <w:t xml:space="preserve">Yield Gaps, then investors, portfolio rebalancing and risk management techniques, hedging, targeted, tactical and strategic asset allocation strategies could be formulated to exploit any potential arbitrage profits. </w:t>
      </w:r>
      <w:r w:rsidRPr="003466FE">
        <w:rPr>
          <w:rFonts w:ascii="Arial Narrow" w:eastAsia="Calibri" w:hAnsi="Arial Narrow" w:cs="Arial"/>
          <w:sz w:val="23"/>
          <w:szCs w:val="23"/>
        </w:rPr>
        <w:t>The REIT-Bond Yield Gaps are considered highly contentious</w:t>
      </w:r>
      <w:r w:rsidRPr="008828B5">
        <w:rPr>
          <w:rFonts w:ascii="Arial Narrow" w:eastAsia="Calibri" w:hAnsi="Arial Narrow" w:cs="Arial"/>
          <w:sz w:val="23"/>
          <w:szCs w:val="23"/>
        </w:rPr>
        <w:t xml:space="preserve">, yet </w:t>
      </w:r>
      <w:r>
        <w:rPr>
          <w:rFonts w:ascii="Arial Narrow" w:eastAsia="Calibri" w:hAnsi="Arial Narrow" w:cs="Arial"/>
          <w:sz w:val="23"/>
          <w:szCs w:val="23"/>
        </w:rPr>
        <w:t>encompasses</w:t>
      </w:r>
      <w:r w:rsidRPr="008828B5">
        <w:rPr>
          <w:rFonts w:ascii="Arial Narrow" w:eastAsia="Calibri" w:hAnsi="Arial Narrow" w:cs="Arial"/>
          <w:sz w:val="23"/>
          <w:szCs w:val="23"/>
        </w:rPr>
        <w:t xml:space="preserve"> the po</w:t>
      </w:r>
      <w:r>
        <w:rPr>
          <w:rFonts w:ascii="Arial Narrow" w:eastAsia="Calibri" w:hAnsi="Arial Narrow" w:cs="Arial"/>
          <w:sz w:val="23"/>
          <w:szCs w:val="23"/>
        </w:rPr>
        <w:t xml:space="preserve">tential for significant reward. </w:t>
      </w:r>
      <w:r w:rsidRPr="003466FE">
        <w:rPr>
          <w:rFonts w:ascii="Arial Narrow" w:eastAsia="Calibri" w:hAnsi="Arial Narrow" w:cs="Arial"/>
          <w:sz w:val="23"/>
          <w:szCs w:val="23"/>
        </w:rPr>
        <w:t>The Fed Model insinuates that EME REIT markets are overvalued relative to their respective government bonds, whereas their advanced market counterparts exhibit the opposite phenomenon.</w:t>
      </w:r>
      <w:r w:rsidRPr="001242B6">
        <w:rPr>
          <w:rFonts w:ascii="Arial Narrow" w:eastAsia="Calibri" w:hAnsi="Arial Narrow" w:cs="Arial"/>
          <w:sz w:val="23"/>
          <w:szCs w:val="23"/>
        </w:rPr>
        <w:t xml:space="preserve"> </w:t>
      </w:r>
    </w:p>
    <w:p w:rsidR="001C14C9" w:rsidRDefault="001C14C9" w:rsidP="001C14C9">
      <w:pPr>
        <w:spacing w:after="0" w:line="262" w:lineRule="auto"/>
        <w:jc w:val="both"/>
        <w:rPr>
          <w:rFonts w:ascii="Arial Narrow" w:hAnsi="Arial Narrow"/>
          <w:i/>
          <w:iCs/>
          <w:sz w:val="18"/>
          <w:szCs w:val="18"/>
        </w:rPr>
      </w:pPr>
      <w:r w:rsidRPr="00BA2BC0">
        <w:rPr>
          <w:rFonts w:ascii="Garamond" w:hAnsi="Garamond"/>
          <w:noProof/>
          <w:sz w:val="24"/>
          <w:szCs w:val="18"/>
          <w:lang w:eastAsia="en-ZA" w:bidi="he-IL"/>
        </w:rPr>
        <mc:AlternateContent>
          <mc:Choice Requires="wps">
            <w:drawing>
              <wp:anchor distT="0" distB="0" distL="114300" distR="114300" simplePos="0" relativeHeight="251659264" behindDoc="0" locked="0" layoutInCell="1" allowOverlap="1" wp14:anchorId="03C26A23" wp14:editId="546E729E">
                <wp:simplePos x="0" y="0"/>
                <wp:positionH relativeFrom="column">
                  <wp:posOffset>1905</wp:posOffset>
                </wp:positionH>
                <wp:positionV relativeFrom="paragraph">
                  <wp:posOffset>-1361</wp:posOffset>
                </wp:positionV>
                <wp:extent cx="6170295" cy="0"/>
                <wp:effectExtent l="0" t="0" r="20955" b="19050"/>
                <wp:wrapNone/>
                <wp:docPr id="65" name="Straight Connector 65"/>
                <wp:cNvGraphicFramePr/>
                <a:graphic xmlns:a="http://schemas.openxmlformats.org/drawingml/2006/main">
                  <a:graphicData uri="http://schemas.microsoft.com/office/word/2010/wordprocessingShape">
                    <wps:wsp>
                      <wps:cNvCnPr/>
                      <wps:spPr>
                        <a:xfrm flipV="1">
                          <a:off x="0" y="0"/>
                          <a:ext cx="617029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028BAF" id="Straight Connector 65"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pt" to="48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" strokecolor="black [3213]" strokeweight="1pt">
                <v:stroke joinstyle="miter"/>
              </v:line>
            </w:pict>
          </mc:Fallback>
        </mc:AlternateContent>
      </w:r>
    </w:p>
    <w:p w:rsidR="001C14C9" w:rsidRPr="009D23BC" w:rsidRDefault="001C14C9" w:rsidP="001C14C9">
      <w:pPr>
        <w:spacing w:after="0" w:line="262" w:lineRule="auto"/>
        <w:jc w:val="both"/>
        <w:rPr>
          <w:rFonts w:ascii="Arial Narrow" w:eastAsia="Times New Roman" w:hAnsi="Arial Narrow" w:cs="Times New Roman"/>
          <w:b/>
          <w:sz w:val="28"/>
          <w:szCs w:val="28"/>
          <w:lang w:val="en-US"/>
        </w:rPr>
      </w:pPr>
      <w:r w:rsidRPr="00773031">
        <w:rPr>
          <w:rFonts w:ascii="Arial Narrow" w:hAnsi="Arial Narrow"/>
          <w:i/>
          <w:iCs/>
          <w:sz w:val="18"/>
          <w:szCs w:val="18"/>
        </w:rPr>
        <w:t>Keywords:</w:t>
      </w:r>
      <w:r>
        <w:rPr>
          <w:rFonts w:ascii="Arial Narrow" w:hAnsi="Arial Narrow"/>
          <w:i/>
          <w:iCs/>
          <w:sz w:val="18"/>
          <w:szCs w:val="18"/>
        </w:rPr>
        <w:t xml:space="preserve"> </w:t>
      </w:r>
      <w:r>
        <w:rPr>
          <w:rFonts w:ascii="Arial Narrow" w:hAnsi="Arial Narrow"/>
          <w:sz w:val="18"/>
          <w:szCs w:val="18"/>
        </w:rPr>
        <w:t>Anomaly, Emerging Market Economies (EMEs), advanced economies, Real Estate Investment Trusts (REITs), REIT indices, trailing dividend yields, equity indices, government bonds, nominal government bond yields, Australia, Brazil, France, Japan, Mexico, Singapore, South Africa, the Netherlands, the United Kingdom, the United States, Turkey, quantitative Markov regime switching econometric regression models, tactical asset allocation, reverse yield gap, REIT-Bond Yield Gap, Fed Model, Bond-Stock Earnings Yield Differential (BSEYD), under/over valuation, portfolio management, arbitrage profits, place and evolution of government bonds and REITs, portfolio and asset allocation theories, Modern Portfolio Theory, Post-Modern Portfolio Theory.</w:t>
      </w:r>
    </w:p>
    <w:p w:rsidR="001C14C9" w:rsidRPr="002519FE" w:rsidRDefault="001C14C9" w:rsidP="001C14C9">
      <w:pPr>
        <w:spacing w:line="262" w:lineRule="auto"/>
        <w:jc w:val="both"/>
        <w:rPr>
          <w:rFonts w:ascii="Arial Narrow" w:hAnsi="Arial Narrow"/>
          <w:b/>
          <w:bCs/>
          <w:sz w:val="28"/>
          <w:szCs w:val="28"/>
          <w:lang w:val="en-US"/>
        </w:rPr>
      </w:pPr>
    </w:p>
    <w:p w:rsidR="001C14C9" w:rsidRDefault="001C14C9" w:rsidP="001C14C9">
      <w:pPr>
        <w:spacing w:line="262" w:lineRule="auto"/>
        <w:jc w:val="both"/>
        <w:rPr>
          <w:rFonts w:ascii="Arial Narrow" w:hAnsi="Arial Narrow"/>
          <w:b/>
          <w:bCs/>
          <w:sz w:val="28"/>
          <w:szCs w:val="28"/>
        </w:rPr>
      </w:pPr>
    </w:p>
    <w:p w:rsidR="001C14C9" w:rsidRDefault="001C14C9" w:rsidP="001C14C9">
      <w:pPr>
        <w:spacing w:line="262" w:lineRule="auto"/>
        <w:jc w:val="both"/>
        <w:rPr>
          <w:rFonts w:ascii="Arial Narrow" w:hAnsi="Arial Narrow"/>
          <w:b/>
          <w:bCs/>
          <w:sz w:val="28"/>
          <w:szCs w:val="28"/>
        </w:rPr>
      </w:pPr>
    </w:p>
    <w:p w:rsidR="001C14C9" w:rsidRDefault="001C14C9" w:rsidP="001C14C9">
      <w:pPr>
        <w:spacing w:line="262" w:lineRule="auto"/>
        <w:jc w:val="both"/>
        <w:rPr>
          <w:rFonts w:ascii="Arial Narrow" w:hAnsi="Arial Narrow"/>
          <w:b/>
          <w:bCs/>
          <w:sz w:val="28"/>
          <w:szCs w:val="28"/>
        </w:rPr>
      </w:pPr>
    </w:p>
    <w:p w:rsidR="001C14C9" w:rsidRDefault="001C14C9" w:rsidP="001C14C9">
      <w:pPr>
        <w:spacing w:line="262" w:lineRule="auto"/>
        <w:jc w:val="both"/>
        <w:rPr>
          <w:rFonts w:ascii="Arial Narrow" w:hAnsi="Arial Narrow"/>
          <w:b/>
          <w:bCs/>
          <w:sz w:val="28"/>
          <w:szCs w:val="28"/>
        </w:rPr>
      </w:pPr>
    </w:p>
    <w:p w:rsidR="001C14C9" w:rsidRDefault="001C14C9" w:rsidP="001C14C9">
      <w:pPr>
        <w:spacing w:line="262" w:lineRule="auto"/>
        <w:jc w:val="both"/>
        <w:rPr>
          <w:rFonts w:ascii="Arial Narrow" w:hAnsi="Arial Narrow"/>
          <w:b/>
          <w:bCs/>
          <w:sz w:val="28"/>
          <w:szCs w:val="28"/>
        </w:rPr>
      </w:pPr>
    </w:p>
    <w:p w:rsidR="001C14C9" w:rsidRDefault="001C14C9" w:rsidP="001C14C9">
      <w:pPr>
        <w:spacing w:line="262" w:lineRule="auto"/>
        <w:jc w:val="both"/>
        <w:rPr>
          <w:rFonts w:ascii="Arial Narrow" w:hAnsi="Arial Narrow"/>
          <w:b/>
          <w:bCs/>
          <w:sz w:val="28"/>
          <w:szCs w:val="28"/>
        </w:rPr>
      </w:pPr>
    </w:p>
    <w:p w:rsidR="001C14C9" w:rsidRDefault="001C14C9" w:rsidP="001C14C9">
      <w:pPr>
        <w:spacing w:line="262" w:lineRule="auto"/>
        <w:jc w:val="both"/>
        <w:rPr>
          <w:rFonts w:ascii="Arial Narrow" w:hAnsi="Arial Narrow"/>
          <w:b/>
          <w:bCs/>
          <w:sz w:val="28"/>
          <w:szCs w:val="28"/>
        </w:rPr>
      </w:pPr>
    </w:p>
    <w:p w:rsidR="001C14C9" w:rsidRDefault="001C14C9" w:rsidP="001C14C9">
      <w:pPr>
        <w:spacing w:line="262" w:lineRule="auto"/>
        <w:jc w:val="both"/>
        <w:rPr>
          <w:rFonts w:ascii="Arial Narrow" w:hAnsi="Arial Narrow"/>
          <w:b/>
          <w:bCs/>
          <w:sz w:val="28"/>
          <w:szCs w:val="28"/>
        </w:rPr>
      </w:pPr>
    </w:p>
    <w:p w:rsidR="000A10C2" w:rsidRDefault="000A10C2">
      <w:bookmarkStart w:id="0" w:name="_GoBack"/>
      <w:bookmarkEnd w:id="0"/>
    </w:p>
    <w:sectPr w:rsidR="000A10C2" w:rsidSect="001C14C9">
      <w:pgSz w:w="12240" w:h="15840"/>
      <w:pgMar w:top="1021" w:right="1077" w:bottom="1094" w:left="107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4C9"/>
    <w:rsid w:val="000A10C2"/>
    <w:rsid w:val="001C14C9"/>
  </w:rsids>
  <m:mathPr>
    <m:mathFont m:val="Cambria Math"/>
    <m:brkBin m:val="before"/>
    <m:brkBinSub m:val="--"/>
    <m:smallFrac m:val="0"/>
    <m:dispDef/>
    <m:lMargin m:val="0"/>
    <m:rMargin m:val="0"/>
    <m:defJc m:val="centerGroup"/>
    <m:wrapIndent m:val="1440"/>
    <m:intLim m:val="subSup"/>
    <m:naryLim m:val="undOvr"/>
  </m:mathPr>
  <w:themeFontLang w:val="en-ZA"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FF031"/>
  <w15:chartTrackingRefBased/>
  <w15:docId w15:val="{E504F292-A69A-473B-AE34-297F6DDF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he-IL"/>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14C9"/>
    <w:rPr>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519</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Daryn Videlefsky</dc:creator>
  <cp:keywords/>
  <dc:description/>
  <cp:lastModifiedBy>Daryn Videlefsky</cp:lastModifiedBy>
  <cp:revision>1</cp:revision>
  <dcterms:created xsi:type="dcterms:W3CDTF">2016-07-25T09:22:00Z</dcterms:created>
  <dcterms:modified xsi:type="dcterms:W3CDTF">2016-07-25T09:23:00Z</dcterms:modified>
</cp:coreProperties>
</file>