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4B8" w:rsidRPr="00E60903" w:rsidRDefault="001474B8" w:rsidP="001474B8">
      <w:pPr>
        <w:spacing w:line="360" w:lineRule="auto"/>
        <w:rPr>
          <w:rFonts w:ascii="Arial" w:hAnsi="Arial" w:cs="Arial"/>
          <w:caps/>
          <w:color w:val="000000" w:themeColor="text1"/>
        </w:rPr>
      </w:pPr>
      <w:r w:rsidRPr="00E60903">
        <w:rPr>
          <w:rFonts w:ascii="Arial" w:hAnsi="Arial" w:cs="Arial"/>
          <w:caps/>
          <w:color w:val="000000" w:themeColor="text1"/>
        </w:rPr>
        <w:t>Abstract</w:t>
      </w:r>
    </w:p>
    <w:p w:rsidR="001474B8" w:rsidRDefault="001474B8" w:rsidP="001474B8">
      <w:pPr>
        <w:spacing w:line="360" w:lineRule="auto"/>
        <w:jc w:val="both"/>
        <w:rPr>
          <w:rFonts w:ascii="Arial" w:hAnsi="Arial" w:cs="Arial"/>
          <w:sz w:val="24"/>
          <w:szCs w:val="40"/>
        </w:rPr>
      </w:pPr>
    </w:p>
    <w:p w:rsidR="001474B8" w:rsidRDefault="001474B8" w:rsidP="001474B8">
      <w:pPr>
        <w:spacing w:line="360" w:lineRule="auto"/>
        <w:jc w:val="both"/>
        <w:rPr>
          <w:rFonts w:ascii="Arial" w:hAnsi="Arial" w:cs="Arial"/>
          <w:sz w:val="24"/>
          <w:szCs w:val="40"/>
        </w:rPr>
      </w:pPr>
      <w:r w:rsidRPr="00076CB0">
        <w:rPr>
          <w:rFonts w:ascii="Arial" w:hAnsi="Arial" w:cs="Arial"/>
          <w:sz w:val="24"/>
          <w:szCs w:val="40"/>
        </w:rPr>
        <w:t xml:space="preserve">The </w:t>
      </w:r>
      <w:r>
        <w:rPr>
          <w:rFonts w:ascii="Arial" w:hAnsi="Arial" w:cs="Arial"/>
          <w:sz w:val="24"/>
          <w:szCs w:val="40"/>
        </w:rPr>
        <w:t xml:space="preserve">propagation of failure </w:t>
      </w:r>
      <w:r w:rsidRPr="00076CB0">
        <w:rPr>
          <w:rFonts w:ascii="Arial" w:hAnsi="Arial" w:cs="Arial"/>
          <w:sz w:val="24"/>
          <w:szCs w:val="40"/>
        </w:rPr>
        <w:t>of a pillar system has often resulted in catastrophic consequences</w:t>
      </w:r>
      <w:r>
        <w:rPr>
          <w:rFonts w:ascii="Arial" w:hAnsi="Arial" w:cs="Arial"/>
          <w:sz w:val="24"/>
          <w:szCs w:val="40"/>
        </w:rPr>
        <w:t>, this research establishes key variables that govern failure propagation</w:t>
      </w:r>
      <w:r w:rsidRPr="00076CB0">
        <w:rPr>
          <w:rFonts w:ascii="Arial" w:hAnsi="Arial" w:cs="Arial"/>
          <w:sz w:val="24"/>
          <w:szCs w:val="40"/>
        </w:rPr>
        <w:t xml:space="preserve"> </w:t>
      </w:r>
      <w:r>
        <w:rPr>
          <w:rFonts w:ascii="Arial" w:hAnsi="Arial" w:cs="Arial"/>
          <w:sz w:val="24"/>
          <w:szCs w:val="40"/>
        </w:rPr>
        <w:t>in hard rock platinum mines</w:t>
      </w:r>
      <w:r w:rsidRPr="00076CB0">
        <w:rPr>
          <w:rFonts w:ascii="Arial" w:hAnsi="Arial" w:cs="Arial"/>
          <w:sz w:val="24"/>
          <w:szCs w:val="40"/>
        </w:rPr>
        <w:t xml:space="preserve">. </w:t>
      </w:r>
      <w:r>
        <w:rPr>
          <w:rFonts w:ascii="Arial" w:hAnsi="Arial" w:cs="Arial"/>
          <w:sz w:val="24"/>
          <w:szCs w:val="40"/>
        </w:rPr>
        <w:t>In order to critically analyse failure propagation, the available literature was reviewed to guide the research on key focus areas that may govern propagation. A review of the global and local geotechnical environment was done leading into detailed analysis of the data and rock mass behaviour from a case study mine to establish key variables and behaviour correlations. Available</w:t>
      </w:r>
      <w:r w:rsidRPr="00076CB0">
        <w:rPr>
          <w:rFonts w:ascii="Arial" w:hAnsi="Arial" w:cs="Arial"/>
          <w:sz w:val="24"/>
          <w:szCs w:val="40"/>
        </w:rPr>
        <w:t xml:space="preserve"> literature point towards failure largely due to mining pr</w:t>
      </w:r>
      <w:r>
        <w:rPr>
          <w:rFonts w:ascii="Arial" w:hAnsi="Arial" w:cs="Arial"/>
          <w:sz w:val="24"/>
          <w:szCs w:val="40"/>
        </w:rPr>
        <w:t>actice issues and to some extent ground conditions. Joint</w:t>
      </w:r>
      <w:r w:rsidRPr="00076CB0">
        <w:rPr>
          <w:rFonts w:ascii="Arial" w:hAnsi="Arial" w:cs="Arial"/>
          <w:sz w:val="24"/>
          <w:szCs w:val="40"/>
        </w:rPr>
        <w:t xml:space="preserve"> </w:t>
      </w:r>
      <w:r>
        <w:rPr>
          <w:rFonts w:ascii="Arial" w:hAnsi="Arial" w:cs="Arial"/>
          <w:sz w:val="24"/>
          <w:szCs w:val="40"/>
        </w:rPr>
        <w:t xml:space="preserve">orientation </w:t>
      </w:r>
      <w:r w:rsidRPr="00076CB0">
        <w:rPr>
          <w:rFonts w:ascii="Arial" w:hAnsi="Arial" w:cs="Arial"/>
          <w:sz w:val="24"/>
          <w:szCs w:val="40"/>
        </w:rPr>
        <w:t>has been proven</w:t>
      </w:r>
      <w:r>
        <w:rPr>
          <w:rFonts w:ascii="Arial" w:hAnsi="Arial" w:cs="Arial"/>
          <w:sz w:val="24"/>
          <w:szCs w:val="40"/>
        </w:rPr>
        <w:t>, in literature, to have an influence o</w:t>
      </w:r>
      <w:r w:rsidRPr="00076CB0">
        <w:rPr>
          <w:rFonts w:ascii="Arial" w:hAnsi="Arial" w:cs="Arial"/>
          <w:sz w:val="24"/>
          <w:szCs w:val="40"/>
        </w:rPr>
        <w:t>n the strength of pillar system</w:t>
      </w:r>
      <w:r>
        <w:rPr>
          <w:rFonts w:ascii="Arial" w:hAnsi="Arial" w:cs="Arial"/>
          <w:sz w:val="24"/>
          <w:szCs w:val="40"/>
        </w:rPr>
        <w:t>s</w:t>
      </w:r>
      <w:r w:rsidRPr="00076CB0">
        <w:rPr>
          <w:rFonts w:ascii="Arial" w:hAnsi="Arial" w:cs="Arial"/>
          <w:sz w:val="24"/>
          <w:szCs w:val="40"/>
        </w:rPr>
        <w:t xml:space="preserve"> in</w:t>
      </w:r>
      <w:r>
        <w:rPr>
          <w:rFonts w:ascii="Arial" w:hAnsi="Arial" w:cs="Arial"/>
          <w:sz w:val="24"/>
          <w:szCs w:val="40"/>
        </w:rPr>
        <w:t xml:space="preserve"> particular when the joints</w:t>
      </w:r>
      <w:r w:rsidRPr="00076CB0">
        <w:rPr>
          <w:rFonts w:ascii="Arial" w:hAnsi="Arial" w:cs="Arial"/>
          <w:sz w:val="24"/>
          <w:szCs w:val="40"/>
        </w:rPr>
        <w:t xml:space="preserve"> dip adversely at 45</w:t>
      </w:r>
      <w:r>
        <w:rPr>
          <w:rFonts w:ascii="Arial" w:hAnsi="Arial" w:cs="Arial"/>
          <w:sz w:val="24"/>
          <w:szCs w:val="40"/>
        </w:rPr>
        <w:t>°</w:t>
      </w:r>
      <w:r w:rsidRPr="00076CB0">
        <w:rPr>
          <w:rFonts w:ascii="Arial" w:hAnsi="Arial" w:cs="Arial"/>
          <w:sz w:val="24"/>
          <w:szCs w:val="40"/>
        </w:rPr>
        <w:t xml:space="preserve"> to the pillar</w:t>
      </w:r>
      <w:r>
        <w:rPr>
          <w:rFonts w:ascii="Arial" w:hAnsi="Arial" w:cs="Arial"/>
          <w:sz w:val="24"/>
          <w:szCs w:val="40"/>
        </w:rPr>
        <w:t xml:space="preserve"> / loading</w:t>
      </w:r>
      <w:r w:rsidRPr="00076CB0">
        <w:rPr>
          <w:rFonts w:ascii="Arial" w:hAnsi="Arial" w:cs="Arial"/>
          <w:sz w:val="24"/>
          <w:szCs w:val="40"/>
        </w:rPr>
        <w:t xml:space="preserve"> axis</w:t>
      </w:r>
      <w:r>
        <w:rPr>
          <w:rFonts w:ascii="Arial" w:hAnsi="Arial" w:cs="Arial"/>
          <w:sz w:val="24"/>
          <w:szCs w:val="40"/>
        </w:rPr>
        <w:t>.</w:t>
      </w:r>
      <w:r w:rsidRPr="00076CB0">
        <w:rPr>
          <w:rFonts w:ascii="Arial" w:hAnsi="Arial" w:cs="Arial"/>
          <w:sz w:val="24"/>
          <w:szCs w:val="40"/>
        </w:rPr>
        <w:t xml:space="preserve"> This research</w:t>
      </w:r>
      <w:r>
        <w:rPr>
          <w:rFonts w:ascii="Arial" w:hAnsi="Arial" w:cs="Arial"/>
          <w:sz w:val="24"/>
          <w:szCs w:val="40"/>
        </w:rPr>
        <w:t xml:space="preserve"> also establishes that</w:t>
      </w:r>
      <w:r w:rsidRPr="00076CB0">
        <w:rPr>
          <w:rFonts w:ascii="Arial" w:hAnsi="Arial" w:cs="Arial"/>
          <w:sz w:val="24"/>
          <w:szCs w:val="40"/>
        </w:rPr>
        <w:t xml:space="preserve"> </w:t>
      </w:r>
      <w:r>
        <w:rPr>
          <w:rFonts w:ascii="Arial" w:hAnsi="Arial" w:cs="Arial"/>
          <w:sz w:val="24"/>
          <w:szCs w:val="40"/>
        </w:rPr>
        <w:t>g</w:t>
      </w:r>
      <w:r w:rsidRPr="00076CB0">
        <w:rPr>
          <w:rFonts w:ascii="Arial" w:hAnsi="Arial" w:cs="Arial"/>
          <w:sz w:val="24"/>
          <w:szCs w:val="40"/>
        </w:rPr>
        <w:t>round conditions</w:t>
      </w:r>
      <w:r>
        <w:rPr>
          <w:rFonts w:ascii="Arial" w:hAnsi="Arial" w:cs="Arial"/>
          <w:sz w:val="24"/>
          <w:szCs w:val="40"/>
        </w:rPr>
        <w:t>,</w:t>
      </w:r>
      <w:r w:rsidRPr="00076CB0">
        <w:rPr>
          <w:rFonts w:ascii="Arial" w:hAnsi="Arial" w:cs="Arial"/>
          <w:sz w:val="24"/>
          <w:szCs w:val="40"/>
        </w:rPr>
        <w:t xml:space="preserve"> as describ</w:t>
      </w:r>
      <w:r>
        <w:rPr>
          <w:rFonts w:ascii="Arial" w:hAnsi="Arial" w:cs="Arial"/>
          <w:sz w:val="24"/>
          <w:szCs w:val="40"/>
        </w:rPr>
        <w:t>ed by rock mass quality and the effect</w:t>
      </w:r>
      <w:r w:rsidRPr="00076CB0">
        <w:rPr>
          <w:rFonts w:ascii="Arial" w:hAnsi="Arial" w:cs="Arial"/>
          <w:sz w:val="24"/>
          <w:szCs w:val="40"/>
        </w:rPr>
        <w:t xml:space="preserve"> of major sub-horizontal shear structures</w:t>
      </w:r>
      <w:r>
        <w:rPr>
          <w:rFonts w:ascii="Arial" w:hAnsi="Arial" w:cs="Arial"/>
          <w:sz w:val="24"/>
          <w:szCs w:val="40"/>
        </w:rPr>
        <w:t xml:space="preserve"> on</w:t>
      </w:r>
      <w:r w:rsidRPr="00076CB0">
        <w:rPr>
          <w:rFonts w:ascii="Arial" w:hAnsi="Arial" w:cs="Arial"/>
          <w:sz w:val="24"/>
          <w:szCs w:val="40"/>
        </w:rPr>
        <w:t xml:space="preserve"> pillar systems</w:t>
      </w:r>
      <w:r>
        <w:rPr>
          <w:rFonts w:ascii="Arial" w:hAnsi="Arial" w:cs="Arial"/>
          <w:sz w:val="24"/>
          <w:szCs w:val="40"/>
        </w:rPr>
        <w:t>,</w:t>
      </w:r>
      <w:r w:rsidRPr="00076CB0">
        <w:rPr>
          <w:rFonts w:ascii="Arial" w:hAnsi="Arial" w:cs="Arial"/>
          <w:sz w:val="24"/>
          <w:szCs w:val="40"/>
        </w:rPr>
        <w:t xml:space="preserve"> have significant influence on the direction of </w:t>
      </w:r>
      <w:r>
        <w:rPr>
          <w:rFonts w:ascii="Arial" w:hAnsi="Arial" w:cs="Arial"/>
          <w:sz w:val="24"/>
          <w:szCs w:val="40"/>
        </w:rPr>
        <w:t xml:space="preserve">failure </w:t>
      </w:r>
      <w:r w:rsidRPr="00076CB0">
        <w:rPr>
          <w:rFonts w:ascii="Arial" w:hAnsi="Arial" w:cs="Arial"/>
          <w:sz w:val="24"/>
          <w:szCs w:val="40"/>
        </w:rPr>
        <w:t>propagation. This research further establish</w:t>
      </w:r>
      <w:r>
        <w:rPr>
          <w:rFonts w:ascii="Arial" w:hAnsi="Arial" w:cs="Arial"/>
          <w:sz w:val="24"/>
          <w:szCs w:val="40"/>
        </w:rPr>
        <w:t xml:space="preserve">es </w:t>
      </w:r>
      <w:r w:rsidRPr="00076CB0">
        <w:rPr>
          <w:rFonts w:ascii="Arial" w:hAnsi="Arial" w:cs="Arial"/>
          <w:sz w:val="24"/>
          <w:szCs w:val="40"/>
        </w:rPr>
        <w:t xml:space="preserve">that </w:t>
      </w:r>
      <w:r>
        <w:rPr>
          <w:rFonts w:ascii="Arial" w:hAnsi="Arial" w:cs="Arial"/>
          <w:sz w:val="24"/>
          <w:szCs w:val="40"/>
        </w:rPr>
        <w:t>the failure prefers a direction 45° to the major vertical to subvertical joint set. The angle between the direction of migration and major subvertical joint is a phenomenon that had not been largely explored in terms of influence on failure propagation. T</w:t>
      </w:r>
      <w:r w:rsidRPr="00076CB0">
        <w:rPr>
          <w:rFonts w:ascii="Arial" w:hAnsi="Arial" w:cs="Arial"/>
          <w:sz w:val="24"/>
          <w:szCs w:val="40"/>
        </w:rPr>
        <w:t>he influence o</w:t>
      </w:r>
      <w:r>
        <w:rPr>
          <w:rFonts w:ascii="Arial" w:hAnsi="Arial" w:cs="Arial"/>
          <w:sz w:val="24"/>
          <w:szCs w:val="40"/>
        </w:rPr>
        <w:t>f mining practice issues, like pillar position and factor of safety, on failure direction is</w:t>
      </w:r>
      <w:r w:rsidRPr="00076CB0">
        <w:rPr>
          <w:rFonts w:ascii="Arial" w:hAnsi="Arial" w:cs="Arial"/>
          <w:sz w:val="24"/>
          <w:szCs w:val="40"/>
        </w:rPr>
        <w:t xml:space="preserve"> </w:t>
      </w:r>
      <w:r>
        <w:rPr>
          <w:rFonts w:ascii="Arial" w:hAnsi="Arial" w:cs="Arial"/>
          <w:sz w:val="24"/>
          <w:szCs w:val="40"/>
        </w:rPr>
        <w:t xml:space="preserve">comparatively </w:t>
      </w:r>
      <w:r w:rsidRPr="00076CB0">
        <w:rPr>
          <w:rFonts w:ascii="Arial" w:hAnsi="Arial" w:cs="Arial"/>
          <w:sz w:val="24"/>
          <w:szCs w:val="40"/>
        </w:rPr>
        <w:t>low</w:t>
      </w:r>
      <w:r>
        <w:rPr>
          <w:rFonts w:ascii="Arial" w:hAnsi="Arial" w:cs="Arial"/>
          <w:sz w:val="24"/>
          <w:szCs w:val="40"/>
        </w:rPr>
        <w:t>er.</w:t>
      </w:r>
      <w:r w:rsidRPr="00076CB0">
        <w:rPr>
          <w:rFonts w:ascii="Arial" w:hAnsi="Arial" w:cs="Arial"/>
          <w:sz w:val="24"/>
          <w:szCs w:val="40"/>
        </w:rPr>
        <w:t xml:space="preserve"> </w:t>
      </w:r>
      <w:r>
        <w:rPr>
          <w:rFonts w:ascii="Arial" w:hAnsi="Arial" w:cs="Arial"/>
          <w:sz w:val="24"/>
          <w:szCs w:val="40"/>
        </w:rPr>
        <w:t>This research also shows that barrier pillars should be designed taking into account the strike of major subvertical joint sets/structures in order to improve the ability to stop the propagation of failure. The analysis of the ground monitoring parameters, closure rates in particular, can be used to inform evacuation plans and reduce the impact of failure propagation on safety and production.</w:t>
      </w:r>
    </w:p>
    <w:p w:rsidR="001474B8" w:rsidRDefault="001474B8" w:rsidP="001474B8">
      <w:pPr>
        <w:spacing w:line="360" w:lineRule="auto"/>
        <w:jc w:val="both"/>
        <w:rPr>
          <w:rFonts w:ascii="Arial" w:hAnsi="Arial" w:cs="Arial"/>
          <w:sz w:val="24"/>
          <w:szCs w:val="40"/>
        </w:rPr>
      </w:pPr>
    </w:p>
    <w:p w:rsidR="001D7FA3" w:rsidRDefault="001D7FA3">
      <w:bookmarkStart w:id="0" w:name="_GoBack"/>
      <w:bookmarkEnd w:id="0"/>
    </w:p>
    <w:sectPr w:rsidR="001D7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BAD"/>
    <w:rsid w:val="000618D9"/>
    <w:rsid w:val="001474B8"/>
    <w:rsid w:val="001B7E92"/>
    <w:rsid w:val="001D7FA3"/>
    <w:rsid w:val="002C00E4"/>
    <w:rsid w:val="00536D24"/>
    <w:rsid w:val="006D6BAD"/>
    <w:rsid w:val="00812F68"/>
    <w:rsid w:val="00D1110E"/>
    <w:rsid w:val="00D32510"/>
    <w:rsid w:val="00EC1B81"/>
    <w:rsid w:val="00FC1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88AE1-D683-4DA3-A9A1-26841AE4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1647</Characters>
  <Application>Microsoft Office Word</Application>
  <DocSecurity>0</DocSecurity>
  <Lines>13</Lines>
  <Paragraphs>3</Paragraphs>
  <ScaleCrop>false</ScaleCrop>
  <Company>Zimplats</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Mushangwe</dc:creator>
  <cp:keywords/>
  <dc:description/>
  <cp:lastModifiedBy>Patrick Mushangwe</cp:lastModifiedBy>
  <cp:revision>2</cp:revision>
  <dcterms:created xsi:type="dcterms:W3CDTF">2018-07-25T09:55:00Z</dcterms:created>
  <dcterms:modified xsi:type="dcterms:W3CDTF">2018-07-25T09:56:00Z</dcterms:modified>
</cp:coreProperties>
</file>