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F4606" w14:textId="77777777" w:rsidR="00A24FAD" w:rsidRDefault="00D022AE">
      <w:pPr>
        <w:spacing w:after="0" w:line="360" w:lineRule="auto"/>
        <w:ind w:left="0" w:hanging="2"/>
        <w:rPr>
          <w:b/>
        </w:rPr>
      </w:pPr>
      <w:r>
        <w:rPr>
          <w:b/>
        </w:rPr>
        <w:t>Chapter 8</w:t>
      </w:r>
    </w:p>
    <w:p w14:paraId="2D9E0A6E" w14:textId="77777777" w:rsidR="00A24FAD" w:rsidRDefault="00D022AE">
      <w:pPr>
        <w:spacing w:after="0" w:line="360" w:lineRule="auto"/>
        <w:ind w:left="0" w:hanging="2"/>
        <w:rPr>
          <w:b/>
        </w:rPr>
      </w:pPr>
      <w:r>
        <w:rPr>
          <w:b/>
        </w:rPr>
        <w:t>A framework for the governance of drone technology in the provision of healthcare services in Africa</w:t>
      </w:r>
    </w:p>
    <w:p w14:paraId="2302E4EC" w14:textId="77777777" w:rsidR="00A24FAD" w:rsidRDefault="00A24FAD">
      <w:pPr>
        <w:spacing w:after="0" w:line="360" w:lineRule="auto"/>
        <w:ind w:left="0" w:hanging="2"/>
      </w:pPr>
    </w:p>
    <w:p w14:paraId="4114E5BC" w14:textId="77777777" w:rsidR="00A24FAD" w:rsidRDefault="00D022AE">
      <w:pPr>
        <w:spacing w:after="0" w:line="360" w:lineRule="auto"/>
        <w:ind w:left="0" w:hanging="2"/>
      </w:pPr>
      <w:r>
        <w:t>Dr John Mangundu</w:t>
      </w:r>
    </w:p>
    <w:p w14:paraId="59BE3962" w14:textId="77777777" w:rsidR="00A24FAD" w:rsidRDefault="00A24FAD">
      <w:pPr>
        <w:pStyle w:val="Heading1"/>
        <w:spacing w:before="0" w:line="360" w:lineRule="auto"/>
        <w:ind w:left="0" w:hanging="2"/>
        <w:rPr>
          <w:b w:val="0"/>
        </w:rPr>
      </w:pPr>
      <w:bookmarkStart w:id="0" w:name="_heading=h.e9npbyhyt3on" w:colFirst="0" w:colLast="0"/>
      <w:bookmarkEnd w:id="0"/>
    </w:p>
    <w:p w14:paraId="71AC4781" w14:textId="77777777" w:rsidR="00A24FAD" w:rsidRDefault="00D022AE">
      <w:pPr>
        <w:pStyle w:val="Heading1"/>
        <w:spacing w:before="0" w:line="360" w:lineRule="auto"/>
        <w:ind w:left="0" w:hanging="2"/>
      </w:pPr>
      <w:r>
        <w:rPr>
          <w:b w:val="0"/>
        </w:rPr>
        <w:t>Abstract</w:t>
      </w:r>
    </w:p>
    <w:p w14:paraId="79401712" w14:textId="77777777" w:rsidR="00A24FAD" w:rsidRDefault="00D022AE">
      <w:pPr>
        <w:spacing w:after="0" w:line="360" w:lineRule="auto"/>
        <w:ind w:left="0" w:hanging="2"/>
      </w:pPr>
      <w:r>
        <w:t xml:space="preserve">Drone technologies continue to change the dynamics of society, presenting new forms of opportunity irrespective of economic sector. </w:t>
      </w:r>
      <w:r>
        <w:rPr>
          <w:color w:val="0D0D0D"/>
        </w:rPr>
        <w:t xml:space="preserve">These Artificial Intelligence (AI) technological advancements and their potential value envisioned are becoming increasingly </w:t>
      </w:r>
      <w:r>
        <w:t xml:space="preserve">important in the healthcare environment. Through AI support, drone technology has become an important technological innovation for the provision of healthcare services. However, for all its benefits, drone technology brings with it new risks that require governance mechanisms. Despite ever-increasing investment in drone technology for healthcare in Africa, drone technology governance remains under-researched. Through a literature review and secondary data analysis, the study described in this chapter sought to determine the state and readiness of drone technology governance and existing regulatory mechanisms, and to identify current challenges in African public healthcare. Importantly, the study's overall aim was to design and recommend a drone governance framework for African public healthcare and other comparative contexts. This chapter seeks to contribute to the theory, policy and practice of drone governance in the African public sector. </w:t>
      </w:r>
    </w:p>
    <w:p w14:paraId="2AC20D71" w14:textId="77777777" w:rsidR="00A24FAD" w:rsidRDefault="00A24FAD">
      <w:pPr>
        <w:spacing w:after="0" w:line="360" w:lineRule="auto"/>
        <w:ind w:left="0" w:hanging="2"/>
      </w:pPr>
    </w:p>
    <w:p w14:paraId="718A8449" w14:textId="77777777" w:rsidR="00A24FAD" w:rsidRDefault="00D022AE">
      <w:pPr>
        <w:spacing w:after="0" w:line="360" w:lineRule="auto"/>
        <w:ind w:left="0" w:hanging="2"/>
      </w:pPr>
      <w:r>
        <w:rPr>
          <w:i/>
        </w:rPr>
        <w:t xml:space="preserve">Keywords: </w:t>
      </w:r>
      <w:r>
        <w:t>Drone governance, healthcare, framework, ethics, artificial intelligence, risk.</w:t>
      </w:r>
    </w:p>
    <w:p w14:paraId="6A01D55C" w14:textId="77777777" w:rsidR="00A24FAD" w:rsidRDefault="00A24FAD">
      <w:pPr>
        <w:spacing w:after="0" w:line="360" w:lineRule="auto"/>
        <w:ind w:left="0" w:hanging="2"/>
      </w:pPr>
      <w:bookmarkStart w:id="1" w:name="_heading=h.wd31051gwg7a" w:colFirst="0" w:colLast="0"/>
      <w:bookmarkEnd w:id="1"/>
    </w:p>
    <w:p w14:paraId="6363198A" w14:textId="77777777" w:rsidR="00A24FAD" w:rsidRDefault="00D022AE">
      <w:pPr>
        <w:pStyle w:val="Heading1"/>
        <w:spacing w:before="0" w:line="360" w:lineRule="auto"/>
        <w:ind w:left="0" w:hanging="2"/>
      </w:pPr>
      <w:r>
        <w:t xml:space="preserve">Introduction </w:t>
      </w:r>
    </w:p>
    <w:p w14:paraId="6BD7AB48" w14:textId="77777777" w:rsidR="00A24FAD" w:rsidRDefault="00D022AE">
      <w:pPr>
        <w:spacing w:after="0" w:line="360" w:lineRule="auto"/>
        <w:ind w:left="0" w:hanging="2"/>
      </w:pPr>
      <w:r>
        <w:t xml:space="preserve">The global drone market is expected to grow to USD127 billion by the end of 2020 (Ayamga et al., 2021b). Drone technology has become an important technological innovation for the provision of healthcare services. Drones – normally referred to as ‘unmanned aerial vehicles’ (UAVs) (Ayamga et al., 2021a) – are proving increasingly important in the provision of efficient healthcare services (Stoakes, 2015; United Nations, 2018; Hiebert et al., 2020). They can reach underdeveloped rural areas, which are normally characterised by limited or inferior healthcare services provision. Regardless of the ever-increasing investment in drone technology research and the growth in research contributions, the field of research into drone technology for public use in the African context remains murky, with little discussion around </w:t>
      </w:r>
      <w:r>
        <w:lastRenderedPageBreak/>
        <w:t xml:space="preserve">associated governance mechanisms and challenges. Contributions to drone governance focusing on African healthcare are therefore significant. The study in this chapter aimed to fill this research gap by establishing the readiness of African healthcare for drone governance, the governance mechanisms in place, and the challenges to be addressed. Importantly, this study sought to develop and recommend a drone governance framework for the public healthcare sector. </w:t>
      </w:r>
    </w:p>
    <w:p w14:paraId="4BD2D56D" w14:textId="77777777" w:rsidR="00A24FAD" w:rsidRDefault="00A24FAD">
      <w:pPr>
        <w:spacing w:after="0" w:line="360" w:lineRule="auto"/>
        <w:ind w:left="0" w:hanging="2"/>
      </w:pPr>
    </w:p>
    <w:p w14:paraId="7252A291" w14:textId="77777777" w:rsidR="00A24FAD" w:rsidRDefault="00D022AE">
      <w:pPr>
        <w:spacing w:after="0" w:line="360" w:lineRule="auto"/>
        <w:ind w:left="0" w:hanging="2"/>
      </w:pPr>
      <w:r>
        <w:t xml:space="preserve">The study was conducted in Africa, where various countries (including Ghana and Rwanda) are at an advanced stage in the implementation of drone technology in healthcare (Ackerman and Strickland, 2018; McCall, 2019; Asiedu, 2019). According to </w:t>
      </w:r>
      <w:r>
        <w:rPr>
          <w:i/>
        </w:rPr>
        <w:t>Spotlight</w:t>
      </w:r>
      <w:r>
        <w:t xml:space="preserve"> (2021), the South African Medical Research Council (SAMRC) had started considering the use of drone technology – normally referred to as ‘unmanned aerial vehicles’ (UAVs) – for different healthcare service provisions including malaria control, blood delivery, emergency search and rescue, impact assessment, and communication of vital information, especially where there is poor infrastructure and in remote areas of KwaZulu-Natal and the Eastern Cape province normally characterised by transportation problems. The Western Cape province of South Africa has adopted drone technology as part of its emergency medical services. And in Limpopo province, drone technology has been used to educate communities about COVID-19-related health information by playing pre-recorded voice messages, in addition to analysing gatherings of people to assess regulation adherence. </w:t>
      </w:r>
    </w:p>
    <w:p w14:paraId="67338B0F" w14:textId="77777777" w:rsidR="00A24FAD" w:rsidRDefault="00A24FAD">
      <w:pPr>
        <w:spacing w:after="0" w:line="360" w:lineRule="auto"/>
        <w:ind w:left="0" w:hanging="2"/>
      </w:pPr>
      <w:bookmarkStart w:id="2" w:name="_heading=h.hsug9rfre7si" w:colFirst="0" w:colLast="0"/>
      <w:bookmarkEnd w:id="2"/>
    </w:p>
    <w:p w14:paraId="3F6ABE5A" w14:textId="77777777" w:rsidR="00A24FAD" w:rsidRDefault="00D022AE">
      <w:pPr>
        <w:pStyle w:val="Heading1"/>
        <w:spacing w:before="0" w:line="360" w:lineRule="auto"/>
        <w:ind w:left="0" w:hanging="2"/>
      </w:pPr>
      <w:r>
        <w:t xml:space="preserve">Theoretical background </w:t>
      </w:r>
    </w:p>
    <w:p w14:paraId="7D155EDB" w14:textId="77777777" w:rsidR="00A24FAD" w:rsidRDefault="00D022AE">
      <w:pPr>
        <w:spacing w:after="0" w:line="360" w:lineRule="auto"/>
        <w:ind w:left="0" w:hanging="2"/>
      </w:pPr>
      <w:r>
        <w:t xml:space="preserve">AI-based drone applications provide solutions to the needs of the public sector (Zheng et al., 2018). According to Zheng et al. (2018), supporting government public service provision (in the case of this study, healthcare) with AI-based technologies improves efficiency and service quality. Support is given by Chun and Wai (2007; 2008), who reported that AI-based technologies for public service provision assist in reducing processing times and workload and improving workflow, leading to economic growth. From an African perspective, Ghana was one of the first countries to adopt and use AI-based drone technology – in 2017, for medical services and supplies delivery, with the aim of providing efficient and fast medical responses to citizens in remote and hard-to-reach areas (Demuyakor, 2020; Adu-Gyamfi et al., 2021; Nyaaba &amp;and Ayamga, 2021). The government of Ghana argued that drone technologies enabled the saving of lives, especially in emergencies, as medical supplies could be delivered faster than by conventional delivery systems. Rwanda followed, adopting drone </w:t>
      </w:r>
      <w:r>
        <w:lastRenderedPageBreak/>
        <w:t>technological innovations in its healthcare system by aerially and efficiently delivering medical equipment such as COVID-19 test kits, test samples, blood and vaccines (Lewis, 2020). Ghana and Rwanda achieved these results by contracting Zipline, a US-based company. Drones have proved to be cost-effective, fast and precision delivery systems; the discourse now should be around their governance in the entire supply chain.</w:t>
      </w:r>
    </w:p>
    <w:p w14:paraId="37E4E16F" w14:textId="77777777" w:rsidR="00A24FAD" w:rsidRDefault="00A24FAD">
      <w:pPr>
        <w:spacing w:after="0" w:line="360" w:lineRule="auto"/>
        <w:ind w:left="0" w:hanging="2"/>
      </w:pPr>
      <w:bookmarkStart w:id="3" w:name="_heading=h.5vji5q7aqmie" w:colFirst="0" w:colLast="0"/>
      <w:bookmarkEnd w:id="3"/>
    </w:p>
    <w:p w14:paraId="62A92C20" w14:textId="77777777" w:rsidR="00A24FAD" w:rsidRDefault="00D022AE">
      <w:pPr>
        <w:pStyle w:val="Heading2"/>
        <w:spacing w:before="0" w:line="360" w:lineRule="auto"/>
        <w:ind w:left="0" w:hanging="2"/>
      </w:pPr>
      <w:r>
        <w:t>Benefits of drone technology in healthcare provision</w:t>
      </w:r>
    </w:p>
    <w:p w14:paraId="0F0EA870" w14:textId="77777777" w:rsidR="00A24FAD" w:rsidRDefault="00D022AE">
      <w:pPr>
        <w:spacing w:after="0" w:line="360" w:lineRule="auto"/>
        <w:ind w:left="0" w:hanging="2"/>
      </w:pPr>
      <w:r>
        <w:t>Drones have the potential to help in the delivery of medical supplies in critical emergency situations in much better ways than conventional emergency medical services (EMS). In addition, drones reduce emergency response times and increase delivery efficiency (Ling &amp; Draghic, 2019; Fakhrulddin et al., 2019; Sachan, 2016). Africa is characterised by poor road networks and infrastructure that is normally congested, which prolongs travel time for diagnosis and treatment of patients, especially in rural areas and townships. Drones are convenient to use in such cases and can assist in reducing the risk of prolonged response times to medical emergencies in remote areas (Laksham, 2019). Furthermore, given the recent energy crisis and ever-increasing fuel prices, drone technology is a cost-effective, environmentally friendly, sustainable means of transporting medical supplies (Chiang et al., 2019). For all its benefits, however, drone technological advancement brings with it new forms of risk, as discussed in the next section.</w:t>
      </w:r>
    </w:p>
    <w:p w14:paraId="406077E0" w14:textId="77777777" w:rsidR="00A24FAD" w:rsidRDefault="00A24FAD">
      <w:pPr>
        <w:spacing w:after="0" w:line="360" w:lineRule="auto"/>
        <w:ind w:left="0" w:hanging="2"/>
      </w:pPr>
      <w:bookmarkStart w:id="4" w:name="_heading=h.z6q4zzx18k57" w:colFirst="0" w:colLast="0"/>
      <w:bookmarkEnd w:id="4"/>
    </w:p>
    <w:p w14:paraId="4FE3A623" w14:textId="77777777" w:rsidR="00A24FAD" w:rsidRDefault="00D022AE">
      <w:pPr>
        <w:pStyle w:val="Heading2"/>
        <w:spacing w:before="0" w:line="360" w:lineRule="auto"/>
        <w:ind w:left="0" w:hanging="2"/>
      </w:pPr>
      <w:r>
        <w:t>Drone technology risks</w:t>
      </w:r>
    </w:p>
    <w:p w14:paraId="6B697DC8" w14:textId="77777777" w:rsidR="00A24FAD" w:rsidRDefault="00D022AE">
      <w:pPr>
        <w:spacing w:after="0" w:line="360" w:lineRule="auto"/>
        <w:ind w:left="0" w:hanging="2"/>
      </w:pPr>
      <w:r>
        <w:t xml:space="preserve">While there are several benefits of drone technology that impact on humanity (Emimi et al., 2023; Tkáč &amp; Mésároš, 2019; Li &amp; Liu, 2019; Alsamarraie et al., 2022), AI-based drone technology can also generate unforeseen and unintended negative consequences (risks) that must be carefully managed by concerned stakeholders, especially governments. The literature demonstrates that AI-driven technologies are associated with bias in data and algorithm operations, leading to discriminatory and unethical consequences for humans in different sectors of society (Huq, 2019; Kleinberg et al., 2018). Firlej and Taeihagh (2021) raised concerns about the loss of human autonomy and decision-making when AI systems are used, arguing that this could lead to ethically questionable outcomes. Johnson and Verdicchio (2017) raised the concern that this increased autonomy of AI-backed systems may negatively affect the security of human beings and societies. </w:t>
      </w:r>
    </w:p>
    <w:p w14:paraId="490B3F2B" w14:textId="77777777" w:rsidR="00A24FAD" w:rsidRDefault="00A24FAD">
      <w:pPr>
        <w:spacing w:after="0" w:line="360" w:lineRule="auto"/>
        <w:ind w:left="0" w:hanging="2"/>
      </w:pPr>
    </w:p>
    <w:p w14:paraId="4F832279" w14:textId="77777777" w:rsidR="00A24FAD" w:rsidRDefault="00D022AE">
      <w:pPr>
        <w:spacing w:after="0" w:line="360" w:lineRule="auto"/>
        <w:ind w:left="0" w:hanging="2"/>
      </w:pPr>
      <w:r>
        <w:lastRenderedPageBreak/>
        <w:t>Furthermore, drone technology is based largely on cloud-based systems that pose privacy and security risks due to resource sharing (</w:t>
      </w:r>
      <w:r>
        <w:rPr>
          <w:color w:val="222222"/>
          <w:highlight w:val="white"/>
        </w:rPr>
        <w:t>Ahmed et al., 2017</w:t>
      </w:r>
      <w:r>
        <w:t>). Svantesson</w:t>
      </w:r>
      <w:r>
        <w:rPr>
          <w:color w:val="1F1F1F"/>
        </w:rPr>
        <w:t xml:space="preserve"> and</w:t>
      </w:r>
      <w:r>
        <w:t xml:space="preserve"> Clarke (2010) reiterated that privacy and consumer risks are further complicated by the differences in jurisdictional locations and associated regulatory mechanisms guiding service providers and customers. </w:t>
      </w:r>
    </w:p>
    <w:p w14:paraId="74CE4B3A" w14:textId="77777777" w:rsidR="00A24FAD" w:rsidRDefault="00A24FAD">
      <w:pPr>
        <w:spacing w:after="0" w:line="360" w:lineRule="auto"/>
        <w:ind w:left="0" w:hanging="2"/>
      </w:pPr>
    </w:p>
    <w:p w14:paraId="2928F705" w14:textId="77777777" w:rsidR="00A24FAD" w:rsidRDefault="00D022AE">
      <w:pPr>
        <w:spacing w:after="0" w:line="360" w:lineRule="auto"/>
        <w:ind w:left="0" w:hanging="2"/>
      </w:pPr>
      <w:r>
        <w:t xml:space="preserve">Developed economies have been developing legal frameworks that guide the use of AI-related technologies; despite this, responsibility and liability for undesirable consequences resulting from such technologies remain unclear (Leenes et al., 2017; Xu &amp; Borson, 2018). In most instances, the beneficiaries of these technological advancements are not affected by the costs or the associated risks; rather, such risks are normally shifted to society as a whole (Leenes et al., 2017). For example, African countries have contracted American companies to deploy drone technology as part of their healthcare provision. Such a scenario gives rise to risks in terms of a lack of generalisability to different settings; the drones may encounter unexpected situations – often termed ‘corner cases’ – that they have not been developed to handle (Taeihagh &amp; Lim, 2019). Despite extensive testing and simulations, and customisation of the drone systems, developers cannot consider every scenario (Bolte et al., 2019). In addition, the literature points out potential safety hazards that might result from the interaction between AI-based systems and users due to automation bias, where humans become complacent and demonstrate less cautious behaviour while using such systems (Osoba &amp; Welser, 2017; Taeihagh &amp; Lim, 2019). </w:t>
      </w:r>
    </w:p>
    <w:p w14:paraId="2399338A" w14:textId="77777777" w:rsidR="00A24FAD" w:rsidRDefault="00A24FAD">
      <w:pPr>
        <w:spacing w:after="0" w:line="360" w:lineRule="auto"/>
        <w:ind w:left="0" w:hanging="2"/>
      </w:pPr>
    </w:p>
    <w:p w14:paraId="475AFBDD" w14:textId="77777777" w:rsidR="00A24FAD" w:rsidRDefault="00D022AE">
      <w:pPr>
        <w:spacing w:after="0" w:line="360" w:lineRule="auto"/>
        <w:ind w:left="0" w:hanging="2"/>
        <w:rPr>
          <w:color w:val="0D0D0D"/>
        </w:rPr>
      </w:pPr>
      <w:r>
        <w:t xml:space="preserve">Developing economies, especially those in Africa, are associated with ‘leapfrogging’ in the adoption of technological innovations (McCall, 2019). In the African context, the adoption of drone technology in healthcare service provision is an example of the rapid adoption of technological innovation (leapfrogging), which speaks to how the processes followed by developing economies differ in nature from the gradual processes in developed economies (McCall, 2019). The leapfrogging over necessary adoption processes and procedures brings with it associated risks such as </w:t>
      </w:r>
      <w:r>
        <w:rPr>
          <w:color w:val="0D0D0D"/>
        </w:rPr>
        <w:t xml:space="preserve">AI responsibility, as well as social, ethical and moral issues in the creation of value. In addition, leapfrogging means that the pace and scale at which such drone technological innovations are adopted threatens to outpace the regulatory space that addresses the risks (Taeihagh et al., 2021). As a result, governments face mounting pressure to design and recommend regulatory frameworks  that would otherwise deal reactively with such risks. According to Guihot et al. (2017) and Larsson (2020), governments and regulators </w:t>
      </w:r>
      <w:r>
        <w:rPr>
          <w:color w:val="0D0D0D"/>
        </w:rPr>
        <w:lastRenderedPageBreak/>
        <w:t xml:space="preserve">struggle to keep up and constantly trail behind due to the rapid developments in drone technology; and such a scenario leads to the formulation of laws that are vague, and short on the specificity required to regulate technologies effectively. </w:t>
      </w:r>
    </w:p>
    <w:p w14:paraId="087D391C" w14:textId="77777777" w:rsidR="00A24FAD" w:rsidRDefault="00A24FAD">
      <w:pPr>
        <w:spacing w:after="0" w:line="360" w:lineRule="auto"/>
        <w:ind w:left="0" w:hanging="2"/>
        <w:rPr>
          <w:color w:val="0D0D0D"/>
        </w:rPr>
      </w:pPr>
    </w:p>
    <w:p w14:paraId="4704A942" w14:textId="77777777" w:rsidR="00A24FAD" w:rsidRDefault="00D022AE">
      <w:pPr>
        <w:spacing w:after="0" w:line="360" w:lineRule="auto"/>
        <w:ind w:left="0" w:hanging="2"/>
        <w:rPr>
          <w:color w:val="0D0D0D"/>
        </w:rPr>
      </w:pPr>
      <w:r>
        <w:rPr>
          <w:color w:val="0D0D0D"/>
        </w:rPr>
        <w:t>Against the backdrop of emerging AI applications for the public sector, with their envisioned public value, major challenges are arising in terms of responsibility, together with ethical and social issues that potentially threaten the value delivery of AI in public service (Quraishi et al., 2017). Consequently, the ethical issues of AI-based technologies have become increasingly important (Quraishi et al., 2017). Therefore, this study argues, drone use in healthcare deserves careful consideration and proactive governance mechanisms. Drone technology governance is deemed significant, and considered to fit within the overall corporate governance context and its branches of information technology (IT) governance and AI governance, as discussed in the section below.</w:t>
      </w:r>
    </w:p>
    <w:p w14:paraId="18DE2AC3" w14:textId="77777777" w:rsidR="00A24FAD" w:rsidRDefault="00A24FAD">
      <w:pPr>
        <w:spacing w:after="0" w:line="360" w:lineRule="auto"/>
        <w:ind w:left="0" w:hanging="2"/>
        <w:rPr>
          <w:color w:val="0D0D0D"/>
        </w:rPr>
      </w:pPr>
      <w:bookmarkStart w:id="5" w:name="_heading=h.tzglmfqxutj7" w:colFirst="0" w:colLast="0"/>
      <w:bookmarkEnd w:id="5"/>
    </w:p>
    <w:p w14:paraId="1E1B2FE4" w14:textId="77777777" w:rsidR="00A24FAD" w:rsidRDefault="00D022AE">
      <w:pPr>
        <w:pStyle w:val="Heading2"/>
        <w:spacing w:before="0" w:line="360" w:lineRule="auto"/>
        <w:ind w:left="0" w:hanging="2"/>
      </w:pPr>
      <w:r>
        <w:t>The need for drone governance</w:t>
      </w:r>
    </w:p>
    <w:p w14:paraId="14090863" w14:textId="77777777" w:rsidR="00A24FAD" w:rsidRDefault="00D022AE">
      <w:pPr>
        <w:spacing w:after="0" w:line="360" w:lineRule="auto"/>
        <w:ind w:left="0" w:hanging="2"/>
      </w:pPr>
      <w:r>
        <w:t xml:space="preserve">The literature review in this study demonstrates that the discourse around drone technology applications in healthcare is relatively new. There has been discussion of drone technologies as fast, cost-effective, precise delivery systems, for example in Hundal and Laux (2020); however, there is less focus on the governance aspect of this technological innovation. Under the overall topic of governance there are sub-areas: corporate governance, information technology governance, AI governance and drone governance. Drone governance can be defined as decision-making authority and accountability to ensure that organisational drone use sustains and maintains business strategy and objectives (Van Grembergen &amp;and De Haes, 2018; Mangundu, 2023). In line with IT governance propositions by Van Grembergen and De Haes (2018), drone governance controls drone risk management, drone value delivery, drone strategic alignment to healthcare delivery, drone resource management, and performance management. As such, drone governance requires the setting up of relevant structures, processes and mechanisms for proper guidance in the adoption of drone technologies in order to minimise risk. </w:t>
      </w:r>
    </w:p>
    <w:p w14:paraId="3993672D" w14:textId="77777777" w:rsidR="00A24FAD" w:rsidRDefault="00A24FAD">
      <w:pPr>
        <w:spacing w:after="0" w:line="360" w:lineRule="auto"/>
        <w:ind w:left="0" w:hanging="2"/>
      </w:pPr>
      <w:bookmarkStart w:id="6" w:name="_heading=h.dbay3fib8sw0" w:colFirst="0" w:colLast="0"/>
      <w:bookmarkEnd w:id="6"/>
    </w:p>
    <w:p w14:paraId="66E9FF70" w14:textId="77777777" w:rsidR="00A24FAD" w:rsidRDefault="00D022AE">
      <w:pPr>
        <w:pStyle w:val="Heading1"/>
        <w:spacing w:before="0" w:line="360" w:lineRule="auto"/>
        <w:ind w:left="0" w:hanging="2"/>
      </w:pPr>
      <w:r>
        <w:t>Research problem and aims</w:t>
      </w:r>
    </w:p>
    <w:p w14:paraId="39F96094" w14:textId="77777777" w:rsidR="00A24FAD" w:rsidRDefault="00D022AE">
      <w:pPr>
        <w:spacing w:after="0" w:line="360" w:lineRule="auto"/>
        <w:ind w:left="0" w:hanging="2"/>
        <w:rPr>
          <w:color w:val="0D0D0D"/>
        </w:rPr>
      </w:pPr>
      <w:r>
        <w:rPr>
          <w:color w:val="0D0D0D"/>
        </w:rPr>
        <w:t xml:space="preserve">Despite governments having been in the process of implementing drone innovations in the public sector, such implementations have posed a demanding challenge for the public sector (Cath et al., 2018). Thierer et al. (2017) reinforced this notion, reporting that most AI-based </w:t>
      </w:r>
      <w:r>
        <w:rPr>
          <w:color w:val="0D0D0D"/>
        </w:rPr>
        <w:lastRenderedPageBreak/>
        <w:t xml:space="preserve">technological innovations are likely to remain non-beneficial over the next years. For example, Wirtz et al. (2019) identified safety, quality and integration, financial feasibility and expertise as the four main challenges to the success of such technological innovations in the public sector. Privacy and confidentiality issues have always been problematic in the African public healthcare sector </w:t>
      </w:r>
      <w:r>
        <w:t>(Pankomera &amp; Van Greunen, 2016); for</w:t>
      </w:r>
      <w:r>
        <w:rPr>
          <w:color w:val="0D0D0D"/>
        </w:rPr>
        <w:t xml:space="preserve"> example, the South African government loses millions of rands every year through legal claims for medical negligence. The use of drone technology driven by AI could exacerbate the situation further. The adoption of autonomous AI-powered drones that significantly reduce the degree of human control exerted on their decisions could fuel challenges in terms of responsibility and legal liability for the undesirable effects of drones on patients and society. Drones rely on machine learning (ML), which involves drones ‘learning’ and adapting the rules that govern them. Humans control them only partially, and it becomes difficult to assign responsibility for unpredictable drone behaviour. The unpredictability of drone technology and the involvement of different parties in their deployment raise concerns about who may be held accountable and the degree of responsibility accepted in the event of undesirable consequences for society. On the other hand, strict liability measures have the potential to derail drone technology innovation. This study therefore argues that there is a need to strike a balance between risk and reward through multi-stakeholder involvement in drone governance mechanisms. </w:t>
      </w:r>
    </w:p>
    <w:p w14:paraId="2EFACF08" w14:textId="77777777" w:rsidR="00A24FAD" w:rsidRDefault="00A24FAD">
      <w:pPr>
        <w:spacing w:after="0" w:line="360" w:lineRule="auto"/>
        <w:ind w:left="0" w:hanging="2"/>
        <w:rPr>
          <w:color w:val="0D0D0D"/>
        </w:rPr>
      </w:pPr>
    </w:p>
    <w:p w14:paraId="66E52166" w14:textId="77777777" w:rsidR="00A24FAD" w:rsidRDefault="00D022AE">
      <w:pPr>
        <w:spacing w:after="0" w:line="360" w:lineRule="auto"/>
        <w:ind w:left="0" w:hanging="2"/>
        <w:rPr>
          <w:color w:val="0D0D0D"/>
        </w:rPr>
      </w:pPr>
      <w:r>
        <w:rPr>
          <w:color w:val="0D0D0D"/>
        </w:rPr>
        <w:t>Research on d</w:t>
      </w:r>
      <w:r>
        <w:t>rone technology governance in healthcare remains in its infancy, falling short of the necessary depth of discussion on its status, mechanisms and challenges, especially in the context of developing economies in Africa. As stated by Nelson and Gorichanaz (2019), studies on the social acceptance and regulatory implications of drone use have been inconclusive. A study of this nature is imperative; if it is not conducted, drone technology could be deployed in the healthcare sector and lead to violation of societal values, norms and ethical issues – especially given that such technologies are rapidly being adopted in Africa. There are additional risks, such as failure to derive intended benefits and violation of other relevant policies in the healthcare environment, e.g. South Africa’s Protection of Personal Information (POPI) Act. Once the status and challenges of drone governance are known, a sustainable framework can be designed and recommended for implementation. Consequently</w:t>
      </w:r>
      <w:r>
        <w:rPr>
          <w:color w:val="0D0D0D"/>
        </w:rPr>
        <w:t xml:space="preserve">, this study seeks to achieve the following research objectives. </w:t>
      </w:r>
    </w:p>
    <w:p w14:paraId="7F3F286F" w14:textId="77777777" w:rsidR="00A24FAD" w:rsidRDefault="00A24FAD">
      <w:pPr>
        <w:spacing w:after="0" w:line="360" w:lineRule="auto"/>
        <w:ind w:left="0" w:hanging="2"/>
      </w:pPr>
      <w:bookmarkStart w:id="7" w:name="_heading=h.sqvjhxnui2fg" w:colFirst="0" w:colLast="0"/>
      <w:bookmarkEnd w:id="7"/>
    </w:p>
    <w:p w14:paraId="34FF171F" w14:textId="77777777" w:rsidR="00A24FAD" w:rsidRDefault="00D022AE">
      <w:pPr>
        <w:pStyle w:val="Heading2"/>
        <w:spacing w:before="0" w:line="360" w:lineRule="auto"/>
        <w:ind w:left="0" w:hanging="2"/>
      </w:pPr>
      <w:r>
        <w:lastRenderedPageBreak/>
        <w:t>Research objectives:</w:t>
      </w:r>
    </w:p>
    <w:p w14:paraId="3926D036" w14:textId="77777777" w:rsidR="00A24FAD" w:rsidRDefault="00D022AE">
      <w:pPr>
        <w:numPr>
          <w:ilvl w:val="0"/>
          <w:numId w:val="1"/>
        </w:numPr>
        <w:pBdr>
          <w:top w:val="nil"/>
          <w:left w:val="nil"/>
          <w:bottom w:val="nil"/>
          <w:right w:val="nil"/>
          <w:between w:val="nil"/>
        </w:pBdr>
        <w:spacing w:after="0" w:line="360" w:lineRule="auto"/>
        <w:ind w:left="0" w:hanging="2"/>
        <w:rPr>
          <w:color w:val="000000"/>
        </w:rPr>
      </w:pPr>
      <w:r>
        <w:rPr>
          <w:color w:val="000000"/>
        </w:rPr>
        <w:t>To analyse drone technology governance mechanisms in African public healthcare.</w:t>
      </w:r>
    </w:p>
    <w:p w14:paraId="210E7A31" w14:textId="77777777" w:rsidR="00A24FAD" w:rsidRDefault="00D022AE">
      <w:pPr>
        <w:numPr>
          <w:ilvl w:val="0"/>
          <w:numId w:val="1"/>
        </w:numPr>
        <w:pBdr>
          <w:top w:val="nil"/>
          <w:left w:val="nil"/>
          <w:bottom w:val="nil"/>
          <w:right w:val="nil"/>
          <w:between w:val="nil"/>
        </w:pBdr>
        <w:spacing w:after="0" w:line="360" w:lineRule="auto"/>
        <w:ind w:left="0" w:hanging="2"/>
        <w:rPr>
          <w:color w:val="000000"/>
        </w:rPr>
      </w:pPr>
      <w:r>
        <w:rPr>
          <w:color w:val="000000"/>
        </w:rPr>
        <w:t>To develop and recommend a framework for the governance of drones for public healthcare in Africa.</w:t>
      </w:r>
    </w:p>
    <w:p w14:paraId="437263B8" w14:textId="77777777" w:rsidR="00A24FAD" w:rsidRDefault="00A24FAD">
      <w:pPr>
        <w:pBdr>
          <w:top w:val="nil"/>
          <w:left w:val="nil"/>
          <w:bottom w:val="nil"/>
          <w:right w:val="nil"/>
          <w:between w:val="nil"/>
        </w:pBdr>
        <w:spacing w:after="0" w:line="360" w:lineRule="auto"/>
        <w:ind w:left="0" w:hanging="2"/>
        <w:rPr>
          <w:color w:val="000000"/>
        </w:rPr>
      </w:pPr>
      <w:bookmarkStart w:id="8" w:name="_heading=h.f3zp7kwac5z1" w:colFirst="0" w:colLast="0"/>
      <w:bookmarkEnd w:id="8"/>
    </w:p>
    <w:p w14:paraId="16687358" w14:textId="77777777" w:rsidR="00A24FAD" w:rsidRDefault="00D022AE">
      <w:pPr>
        <w:pStyle w:val="Heading1"/>
        <w:spacing w:before="0" w:line="360" w:lineRule="auto"/>
        <w:ind w:left="0" w:hanging="2"/>
      </w:pPr>
      <w:bookmarkStart w:id="9" w:name="_heading=h.fmg7ztuuvs8s" w:colFirst="0" w:colLast="0"/>
      <w:bookmarkEnd w:id="9"/>
      <w:r>
        <w:t>Research methodology</w:t>
      </w:r>
    </w:p>
    <w:p w14:paraId="401DC738" w14:textId="77777777" w:rsidR="00A24FAD" w:rsidRDefault="00D022AE">
      <w:pPr>
        <w:pStyle w:val="Heading2"/>
        <w:spacing w:before="0" w:line="360" w:lineRule="auto"/>
        <w:ind w:left="0" w:hanging="2"/>
      </w:pPr>
      <w:r>
        <w:t>Data collection</w:t>
      </w:r>
    </w:p>
    <w:p w14:paraId="5170776D" w14:textId="77777777" w:rsidR="00A24FAD" w:rsidRDefault="00D022AE">
      <w:pPr>
        <w:spacing w:after="0" w:line="360" w:lineRule="auto"/>
        <w:ind w:left="0" w:hanging="2"/>
      </w:pPr>
      <w:r>
        <w:t>The research objectives were achieved through the collection and analysis of secondary data. Secondary data sources used were drone governance policies and regulations around the use of drones and drone governance phenomenon in Africa available from government agencies, research institutions and other accredited online repositories. Since publicly available drone use policies were used, the researcher did not go through the process of requesting data from the relevant organisations. The benefits of secondary data analysis include convenient data access, due to availability; secondary data simplifies the crucial data collection component of research. Importantly, as this study focuses on the phenomenon studied from an African perspective, secondary data collection and analysis affords access to vast amounts of data available from different African countries without the need to incur the costs of travelling and the cumbersome processes of research ethics approval. Access to secondary data is straightforward, provided the data is from reputable sources; as Allum and Arber (2008, p.374) stated, “The integrity of large-scale public domain data sets far exceeds anything collectible by a lone researcher.”</w:t>
      </w:r>
    </w:p>
    <w:p w14:paraId="62A26065" w14:textId="77777777" w:rsidR="00A24FAD" w:rsidRDefault="00D022AE">
      <w:pPr>
        <w:spacing w:after="0" w:line="360" w:lineRule="auto"/>
        <w:ind w:left="0" w:hanging="2"/>
      </w:pPr>
      <w:bookmarkStart w:id="10" w:name="_heading=h.v1r3q9dx8cor" w:colFirst="0" w:colLast="0"/>
      <w:bookmarkEnd w:id="10"/>
      <w:r>
        <w:t xml:space="preserve"> </w:t>
      </w:r>
    </w:p>
    <w:p w14:paraId="0A58EDB1" w14:textId="77777777" w:rsidR="00A24FAD" w:rsidRDefault="00D022AE">
      <w:pPr>
        <w:pStyle w:val="Heading2"/>
        <w:spacing w:before="0" w:line="360" w:lineRule="auto"/>
        <w:ind w:left="0" w:hanging="2"/>
      </w:pPr>
      <w:r>
        <w:t>Data sources and sampling technique</w:t>
      </w:r>
    </w:p>
    <w:p w14:paraId="10A36177" w14:textId="77777777" w:rsidR="00A24FAD" w:rsidRDefault="00D022AE">
      <w:pPr>
        <w:spacing w:after="0" w:line="360" w:lineRule="auto"/>
        <w:ind w:left="0" w:hanging="2"/>
      </w:pPr>
      <w:r>
        <w:t xml:space="preserve">In January and February 2024, data were retrieved from </w:t>
      </w:r>
      <w:hyperlink r:id="rId9">
        <w:r>
          <w:rPr>
            <w:color w:val="0000FF"/>
            <w:u w:val="single"/>
          </w:rPr>
          <w:t>www.droneregulations.info</w:t>
        </w:r>
      </w:hyperlink>
      <w:r>
        <w:t xml:space="preserve"> and </w:t>
      </w:r>
      <w:hyperlink r:id="rId10">
        <w:r>
          <w:rPr>
            <w:color w:val="0000FF"/>
            <w:u w:val="single"/>
          </w:rPr>
          <w:t>www.rpas-regulations.com</w:t>
        </w:r>
      </w:hyperlink>
      <w:r>
        <w:t xml:space="preserve">, both of which offer free access to information regarding drone use policy development in 54 African countries. These  repositories are characterised by the use of directories for all the African countries listed that summarise national drone laws; for non-English-speaking countries, translations to English are made on the websites. The database aims to provide researchers and other interested parties with relevant national regulations, supplementary resources and links to novel regulatory documents to ensure that drones are safely compliant with national regulations. Because of the convenience of access to the regulatory database, all 54 African countries were considered for inclusion in the study. However, in line with </w:t>
      </w:r>
      <w:r>
        <w:rPr>
          <w:color w:val="0D0D0D"/>
        </w:rPr>
        <w:t xml:space="preserve">Fick (2022), the purposive </w:t>
      </w:r>
      <w:r>
        <w:t xml:space="preserve">sampling technique was employed for document selection and analysis. In addition, Google searches provided access to regulatory </w:t>
      </w:r>
      <w:r>
        <w:lastRenderedPageBreak/>
        <w:t xml:space="preserve">documents for some countries that could not be accessed through the database. The number of drone regulation documents studied was not predetermined. However, the point of redundancy determined the sample size of documents considered for the study. This follows the logic of </w:t>
      </w:r>
      <w:r>
        <w:rPr>
          <w:color w:val="0D0D0D"/>
        </w:rPr>
        <w:t xml:space="preserve">Merriam and Tisdell (2015), who </w:t>
      </w:r>
      <w:r>
        <w:t>reported that the point of redundancy arises when the researcher ceases to draw new insights after collecting new data.</w:t>
      </w:r>
    </w:p>
    <w:p w14:paraId="66DED49D" w14:textId="77777777" w:rsidR="00A24FAD" w:rsidRDefault="00A24FAD">
      <w:pPr>
        <w:spacing w:after="0" w:line="360" w:lineRule="auto"/>
        <w:ind w:left="0" w:hanging="2"/>
      </w:pPr>
    </w:p>
    <w:p w14:paraId="0D8F88B1" w14:textId="77777777" w:rsidR="00A24FAD" w:rsidRDefault="00D022AE">
      <w:pPr>
        <w:spacing w:after="0" w:line="360" w:lineRule="auto"/>
        <w:ind w:left="0" w:hanging="2"/>
      </w:pPr>
      <w:r>
        <w:t xml:space="preserve">The data collected for developing a framework for drone governance in African healthcare were organised as follows: First, an overall IT governance framework proposed by </w:t>
      </w:r>
      <w:r>
        <w:rPr>
          <w:color w:val="0D0D0D"/>
        </w:rPr>
        <w:t>Van Grembergen and De Haes (2018)</w:t>
      </w:r>
      <w:r>
        <w:rPr>
          <w:color w:val="FF0000"/>
        </w:rPr>
        <w:t xml:space="preserve"> </w:t>
      </w:r>
      <w:r>
        <w:t>was unpacked to determine its propositions. Second, the provisions in the drone governance policy documents were mapped to the IT governance framework, to identify confirming provisions and non-confirming provisions. The final step was to create provisions for the newly proposed comprehensive drone governance framework through descriptive analysis.</w:t>
      </w:r>
    </w:p>
    <w:p w14:paraId="567BB93A" w14:textId="77777777" w:rsidR="00A24FAD" w:rsidRDefault="00A24FAD">
      <w:pPr>
        <w:spacing w:after="0" w:line="360" w:lineRule="auto"/>
        <w:ind w:left="0" w:hanging="2"/>
      </w:pPr>
      <w:bookmarkStart w:id="11" w:name="_heading=h.2owqjx6cq4kd" w:colFirst="0" w:colLast="0"/>
      <w:bookmarkEnd w:id="11"/>
    </w:p>
    <w:p w14:paraId="637DD87C" w14:textId="77777777" w:rsidR="00A24FAD" w:rsidRDefault="00D022AE">
      <w:pPr>
        <w:pStyle w:val="Heading2"/>
        <w:spacing w:before="0" w:line="360" w:lineRule="auto"/>
        <w:ind w:left="0" w:hanging="2"/>
      </w:pPr>
      <w:r>
        <w:t>Data analysis</w:t>
      </w:r>
    </w:p>
    <w:p w14:paraId="6DE6F4E5" w14:textId="77777777" w:rsidR="00A24FAD" w:rsidRDefault="00D022AE">
      <w:pPr>
        <w:spacing w:after="0" w:line="360" w:lineRule="auto"/>
        <w:ind w:left="0" w:hanging="2"/>
      </w:pPr>
      <w:r>
        <w:t xml:space="preserve">Analysis of secondary data (drone use policies and regulatory documents) was conducted through the application of theoretical knowledge and conceptual skills to exploit existing data to achieve the research objective. A thematic analysis of the collected drone regulatory documents was conducted in line with </w:t>
      </w:r>
      <w:r>
        <w:rPr>
          <w:color w:val="0D0D0D"/>
          <w:highlight w:val="white"/>
        </w:rPr>
        <w:t>Liamputtong</w:t>
      </w:r>
      <w:r>
        <w:rPr>
          <w:color w:val="0D0D0D"/>
        </w:rPr>
        <w:t xml:space="preserve"> (2019), who </w:t>
      </w:r>
      <w:r>
        <w:t xml:space="preserve">advocated the coding reliability, codebook and reflexive methods as the three ways of conducting thematic data analysis. This researcher followed the reflexive approach to data analysis, which is purely qualitative in nature. The thematic analysis followed a five-step process, namely code generation, theme searching, reviewing of themes, theme naming, and report production. Thematic data analysis offers flexibility in terms of both answering research questions and the type of data or documents examined (Clarke and Braun, 2013). </w:t>
      </w:r>
    </w:p>
    <w:p w14:paraId="504DEBF4" w14:textId="77777777" w:rsidR="00A24FAD" w:rsidRDefault="00A24FAD">
      <w:pPr>
        <w:spacing w:after="0" w:line="360" w:lineRule="auto"/>
        <w:ind w:left="0" w:hanging="2"/>
      </w:pPr>
    </w:p>
    <w:p w14:paraId="5861C5BB" w14:textId="77777777" w:rsidR="00A24FAD" w:rsidRDefault="00D022AE">
      <w:pPr>
        <w:spacing w:after="0" w:line="360" w:lineRule="auto"/>
        <w:ind w:left="0" w:hanging="2"/>
      </w:pPr>
      <w:r>
        <w:t xml:space="preserve">To achieve the research objective, the researcher followed the </w:t>
      </w:r>
      <w:r>
        <w:rPr>
          <w:color w:val="0D0D0D"/>
        </w:rPr>
        <w:t>Design Science Research (</w:t>
      </w:r>
      <w:r>
        <w:t xml:space="preserve">DSR) procedure advocated </w:t>
      </w:r>
      <w:r>
        <w:rPr>
          <w:color w:val="0D0D0D"/>
        </w:rPr>
        <w:t xml:space="preserve">by Hevner and Chatterjee (2010). The </w:t>
      </w:r>
      <w:r>
        <w:t xml:space="preserve">DSR approach enables researchers to answer research questions about human challenges through the creation of novel artifacts. Citing Hevner and Chatterjee (2010), Ayamga et al. (2021b) reported that abstractions and representations are definitions of information technology artifacts; the study described in this chapter adopted these to develop the drone governance framework. </w:t>
      </w:r>
    </w:p>
    <w:p w14:paraId="39EB8BD3" w14:textId="77777777" w:rsidR="00A24FAD" w:rsidRDefault="00A24FAD">
      <w:pPr>
        <w:spacing w:after="0" w:line="360" w:lineRule="auto"/>
        <w:ind w:left="0" w:hanging="2"/>
      </w:pPr>
      <w:bookmarkStart w:id="12" w:name="_heading=h.e5rw5se39gn5" w:colFirst="0" w:colLast="0"/>
      <w:bookmarkEnd w:id="12"/>
    </w:p>
    <w:p w14:paraId="1C5FDEEB" w14:textId="77777777" w:rsidR="00A24FAD" w:rsidRDefault="00D022AE">
      <w:pPr>
        <w:pStyle w:val="Heading1"/>
        <w:spacing w:before="0" w:line="360" w:lineRule="auto"/>
        <w:ind w:left="0" w:hanging="2"/>
      </w:pPr>
      <w:r>
        <w:lastRenderedPageBreak/>
        <w:t>Findings and discussion</w:t>
      </w:r>
    </w:p>
    <w:p w14:paraId="24F798DE" w14:textId="77777777" w:rsidR="00A24FAD" w:rsidRDefault="00D022AE">
      <w:pPr>
        <w:spacing w:after="0" w:line="360" w:lineRule="auto"/>
        <w:ind w:left="0" w:hanging="2"/>
        <w:rPr>
          <w:color w:val="0D0D0D"/>
        </w:rPr>
      </w:pPr>
      <w:r>
        <w:rPr>
          <w:color w:val="0D0D0D"/>
        </w:rPr>
        <w:t xml:space="preserve">The study sought to achieve research objective 1: </w:t>
      </w:r>
      <w:r>
        <w:rPr>
          <w:i/>
          <w:color w:val="0D0D0D"/>
        </w:rPr>
        <w:t>to ascertain drone governance mechanisms in African public healthcare.</w:t>
      </w:r>
      <w:r>
        <w:rPr>
          <w:color w:val="0D0D0D"/>
        </w:rPr>
        <w:t xml:space="preserve"> Preliminary findings from the analysis of drone regulations and policies collected from all </w:t>
      </w:r>
      <w:r>
        <w:t>54 African countries</w:t>
      </w:r>
      <w:r>
        <w:rPr>
          <w:color w:val="0D0D0D"/>
        </w:rPr>
        <w:t xml:space="preserve"> showed inadequacy and misalignment of policy specifics and governance components . These findings revealed the general adoption of aviation regulations to fit the drone governance space to be lacking contextual analysis and not fit for purpose. Controlled aerial vehicles and unmanned aerial vehicles have different characteristics, calling for customised regulations. Medical drones can operate according to rules based on sensitive patient medical records and personal information that will be stored on cloud-based systems. In addition, drones are AI-powered systems characterised by machine learning. This implies that drones can collect information by themselves and with human influence. The analysis further demonstrated that to a large extent, drone governance mechanisms in Africa are generalised, and are focused mainly on the safety, technical, and operational elements of drone use. Such elements define attributes such as fly zones and drone weight, which are best suited for controlled transport aircraft. However, as stated above, drones are AI-powered and collect vast amounts of data, which is stored on cloud-based systems. Consequently, drone governance mechanisms must consider data risk issues, especially in the area of healthcare provision, where sensitive patient data is handled. Drone governance must therefore be contextual and informed by the key proponents of governance (value delivery, risk management, alignment, resource management and performance management). </w:t>
      </w:r>
    </w:p>
    <w:p w14:paraId="49B038AA" w14:textId="77777777" w:rsidR="00A24FAD" w:rsidRDefault="00A24FAD">
      <w:pPr>
        <w:spacing w:after="0" w:line="360" w:lineRule="auto"/>
        <w:ind w:left="0" w:hanging="2"/>
        <w:rPr>
          <w:color w:val="0D0D0D"/>
        </w:rPr>
      </w:pPr>
      <w:bookmarkStart w:id="13" w:name="_heading=h.t4gf15ekd5hz" w:colFirst="0" w:colLast="0"/>
      <w:bookmarkEnd w:id="13"/>
    </w:p>
    <w:p w14:paraId="087ABE8F" w14:textId="77777777" w:rsidR="00A24FAD" w:rsidRDefault="00D022AE">
      <w:pPr>
        <w:pStyle w:val="Heading1"/>
        <w:spacing w:before="0" w:line="360" w:lineRule="auto"/>
        <w:ind w:left="0" w:hanging="2"/>
      </w:pPr>
      <w:r>
        <w:t>Proposed drone governance framework</w:t>
      </w:r>
    </w:p>
    <w:p w14:paraId="67ED1D88" w14:textId="77777777" w:rsidR="00A24FAD" w:rsidRDefault="00D022AE">
      <w:pPr>
        <w:pBdr>
          <w:top w:val="nil"/>
          <w:left w:val="nil"/>
          <w:bottom w:val="nil"/>
          <w:right w:val="nil"/>
          <w:between w:val="nil"/>
        </w:pBdr>
        <w:spacing w:after="0" w:line="360" w:lineRule="auto"/>
        <w:ind w:left="0" w:hanging="2"/>
      </w:pPr>
      <w:r>
        <w:t xml:space="preserve">In addition to determining drone governance mechanisms in African healthcare, the study sought to achieve research objective 2: </w:t>
      </w:r>
      <w:r>
        <w:rPr>
          <w:i/>
        </w:rPr>
        <w:t>to develop and recommend a framework for the governance of drones for public healthcare in Africa.</w:t>
      </w:r>
      <w:r>
        <w:t xml:space="preserve"> This section describes a multidimensional approach that incorporates governance elements for all associated technologies used by the drone system and its functioning in the healthcare environment. Governance mechanisms such as IT governance, cloud governance and healthcare sector governance provisions are of significance in developing a drone technology governance framework for the healthcare environment. The steps followed in the development of the proposed framework are presented in Figure 1 below.</w:t>
      </w:r>
    </w:p>
    <w:p w14:paraId="0E92E358" w14:textId="77777777" w:rsidR="00A24FAD" w:rsidRDefault="00A24FAD">
      <w:pPr>
        <w:spacing w:after="0" w:line="360" w:lineRule="auto"/>
        <w:ind w:left="0" w:hanging="2"/>
      </w:pPr>
    </w:p>
    <w:p w14:paraId="342860E4" w14:textId="77777777" w:rsidR="00A24FAD" w:rsidRDefault="00D022AE">
      <w:pPr>
        <w:spacing w:after="0" w:line="360" w:lineRule="auto"/>
        <w:ind w:left="0" w:hanging="2"/>
      </w:pPr>
      <w:r>
        <w:rPr>
          <w:i/>
        </w:rPr>
        <w:t>Figure 1. Steps for drone governance framework development</w:t>
      </w:r>
    </w:p>
    <w:p w14:paraId="0C19CDF8" w14:textId="77777777" w:rsidR="00A24FAD" w:rsidRDefault="00A24FAD">
      <w:pPr>
        <w:spacing w:after="0" w:line="360" w:lineRule="auto"/>
        <w:ind w:left="0" w:hanging="2"/>
      </w:pPr>
    </w:p>
    <w:p w14:paraId="54FF4CFA" w14:textId="77777777" w:rsidR="00A24FAD" w:rsidRDefault="00A24FAD">
      <w:pPr>
        <w:spacing w:after="0" w:line="360" w:lineRule="auto"/>
        <w:ind w:left="0" w:hanging="2"/>
      </w:pPr>
    </w:p>
    <w:p w14:paraId="61390143" w14:textId="77777777" w:rsidR="00A24FAD" w:rsidRDefault="00D022AE">
      <w:pPr>
        <w:spacing w:after="0" w:line="360" w:lineRule="auto"/>
        <w:ind w:left="0" w:hanging="2"/>
      </w:pPr>
      <w:r>
        <w:rPr>
          <w:i/>
        </w:rPr>
        <w:t>Source: Author</w:t>
      </w:r>
    </w:p>
    <w:p w14:paraId="62F25D80" w14:textId="77777777" w:rsidR="00A24FAD" w:rsidRDefault="00A24FAD">
      <w:pPr>
        <w:spacing w:after="0" w:line="360" w:lineRule="auto"/>
        <w:ind w:left="0" w:hanging="2"/>
      </w:pPr>
      <w:bookmarkStart w:id="14" w:name="_heading=h.aqv9wft1owpx" w:colFirst="0" w:colLast="0"/>
      <w:bookmarkEnd w:id="14"/>
    </w:p>
    <w:p w14:paraId="06F9E280" w14:textId="77777777" w:rsidR="00A24FAD" w:rsidRDefault="00D022AE">
      <w:pPr>
        <w:pStyle w:val="Heading2"/>
        <w:spacing w:before="0" w:line="360" w:lineRule="auto"/>
        <w:ind w:left="0" w:hanging="2"/>
      </w:pPr>
      <w:r>
        <w:t>Existing drone governance framework</w:t>
      </w:r>
    </w:p>
    <w:p w14:paraId="3B730AAA" w14:textId="77777777" w:rsidR="00A24FAD" w:rsidRDefault="00D022AE">
      <w:pPr>
        <w:spacing w:after="0" w:line="360" w:lineRule="auto"/>
        <w:ind w:left="0" w:hanging="2"/>
      </w:pPr>
      <w:r>
        <w:t>The drone governance mechanisms in different countries demonstrate commonality in that they are centred on drone registration, pilot licensing, permit issuance and safety management. Countries adopt and adapt their governance framework to suit their needs, being informed by available stakeholders and availability of resources. In this context, drone governance is considered a branch of overall IT governance, as drones are AI-driven. Drone governance mechanisms must therefore align with IT governance mechanisms. Analysis of the available drone governance regulatory framework reveals that it addresses an important governance consideration: risk management. However,  in most African countries, the existing drone  regulations are more generic and lack contextualisation. Lack of contextualisation results in the regulations  missing important domains of IT governance such as value delivery, strategic alignment, performance management and resource management. The following section discusses IT governance and its domains.</w:t>
      </w:r>
    </w:p>
    <w:p w14:paraId="476CDE25" w14:textId="77777777" w:rsidR="00A24FAD" w:rsidRDefault="00A24FAD">
      <w:pPr>
        <w:spacing w:after="0" w:line="360" w:lineRule="auto"/>
        <w:ind w:left="0" w:hanging="2"/>
      </w:pPr>
      <w:bookmarkStart w:id="15" w:name="_heading=h.ngwvfawk62yp" w:colFirst="0" w:colLast="0"/>
      <w:bookmarkEnd w:id="15"/>
    </w:p>
    <w:p w14:paraId="369308BC" w14:textId="77777777" w:rsidR="00A24FAD" w:rsidRDefault="00D022AE">
      <w:pPr>
        <w:pStyle w:val="Heading2"/>
        <w:spacing w:before="0" w:line="360" w:lineRule="auto"/>
        <w:ind w:left="0" w:hanging="2"/>
      </w:pPr>
      <w:r>
        <w:t>The IT governance framework and its domains</w:t>
      </w:r>
    </w:p>
    <w:p w14:paraId="41C2DF3A" w14:textId="77777777" w:rsidR="00A24FAD" w:rsidRDefault="00D022AE">
      <w:pPr>
        <w:spacing w:after="0" w:line="360" w:lineRule="auto"/>
        <w:ind w:left="0" w:hanging="2"/>
      </w:pPr>
      <w:r>
        <w:t xml:space="preserve">Given the consideration that drone governance is a branch of IT governance, it became of vital importance to discuss IT governance and its domains. According to ITGI (2001), IT governance is an important component of enterprise governance and is characterised by leadership, structures and processes that ensure that organisational IT sustains and extends organisational strategy and objectives. Further unpacking of IT governance was advanced by Van Grembergen et al. (2003), who reported that IT governance is the  responsibility of the board, executive management and IT management to determine IT policy formulation and implementation that will ensure IT and business are aligned. IT governance can be implemented through a mix of structures, processes and relational mechanisms. </w:t>
      </w:r>
    </w:p>
    <w:p w14:paraId="6BFA801F" w14:textId="77777777" w:rsidR="00A24FAD" w:rsidRDefault="00A24FAD">
      <w:pPr>
        <w:spacing w:after="0" w:line="360" w:lineRule="auto"/>
        <w:ind w:left="0" w:hanging="2"/>
      </w:pPr>
    </w:p>
    <w:p w14:paraId="04120D1E" w14:textId="77777777" w:rsidR="00A24FAD" w:rsidRDefault="00D022AE">
      <w:pPr>
        <w:spacing w:after="0" w:line="360" w:lineRule="auto"/>
        <w:ind w:left="0" w:hanging="2"/>
      </w:pPr>
      <w:r>
        <w:t xml:space="preserve">The designing of IT governance for organisations is based on various internal and external contingency factors. This makes determining the optimal mix of governance mechanisms a complex initiative. Importantly, IT governance mechanisms are not ‘one size fits all’, as what works best for one organisation might not work well for another. As a result, different contexts of IT governance implementation require a different mix of mechanisms. Since </w:t>
      </w:r>
      <w:r>
        <w:lastRenderedPageBreak/>
        <w:t>cloud services are a vital part of the overall functioning of drone technology, elements of cloud computing governance are incorporated in the overall drone technology governance mechanisms. The following section discusses cloud computing governance.</w:t>
      </w:r>
    </w:p>
    <w:p w14:paraId="438DE215" w14:textId="77777777" w:rsidR="00A24FAD" w:rsidRDefault="00A24FAD">
      <w:pPr>
        <w:spacing w:after="0" w:line="360" w:lineRule="auto"/>
        <w:ind w:left="0" w:hanging="2"/>
      </w:pPr>
      <w:bookmarkStart w:id="16" w:name="_heading=h.r5h5qm2rh3q6" w:colFirst="0" w:colLast="0"/>
      <w:bookmarkEnd w:id="16"/>
    </w:p>
    <w:p w14:paraId="35272396" w14:textId="77777777" w:rsidR="00A24FAD" w:rsidRDefault="00D022AE">
      <w:pPr>
        <w:pStyle w:val="Heading2"/>
        <w:spacing w:before="0" w:line="360" w:lineRule="auto"/>
        <w:ind w:left="0" w:hanging="2"/>
      </w:pPr>
      <w:r>
        <w:t>Cloud governance</w:t>
      </w:r>
    </w:p>
    <w:p w14:paraId="398CF0CF" w14:textId="77777777" w:rsidR="00A24FAD" w:rsidRDefault="00D022AE">
      <w:pPr>
        <w:spacing w:after="0" w:line="360" w:lineRule="auto"/>
        <w:ind w:left="0" w:hanging="2"/>
      </w:pPr>
      <w:r>
        <w:t>Cloud governance elements are significant for consideration in the development of a drone governance framework, as drone technology applications are largely supported by cloud services. For example in healthcare, drones collect, transmit and store sensitive patient information using cloud-based systems. The literature demonstrates that governing cloud-based systems is largely still problematic. Despite cloud governance being a branch of overall IT governance (</w:t>
      </w:r>
      <w:r>
        <w:rPr>
          <w:color w:val="222222"/>
          <w:highlight w:val="white"/>
        </w:rPr>
        <w:t>Thuraisingham, 2020</w:t>
      </w:r>
      <w:r>
        <w:t xml:space="preserve">), the debate around who should govern a cloud service – the cloud provider or the cloud service customer – remains inconclusive. The important considerations regarding who is liable for the challenges of cloud-based systems (for example, confidentiality, integrity and availability) further complicate governance initiatives and deserve attention. </w:t>
      </w:r>
    </w:p>
    <w:p w14:paraId="6EFEFB54" w14:textId="77777777" w:rsidR="00A24FAD" w:rsidRDefault="00A24FAD">
      <w:pPr>
        <w:spacing w:after="0" w:line="360" w:lineRule="auto"/>
        <w:ind w:left="0" w:hanging="2"/>
      </w:pPr>
      <w:bookmarkStart w:id="17" w:name="_heading=h.o2nkf36tiyg3" w:colFirst="0" w:colLast="0"/>
      <w:bookmarkEnd w:id="17"/>
    </w:p>
    <w:p w14:paraId="46FCC651" w14:textId="77777777" w:rsidR="00A24FAD" w:rsidRDefault="00D022AE">
      <w:pPr>
        <w:pStyle w:val="Heading2"/>
        <w:spacing w:before="0" w:line="360" w:lineRule="auto"/>
        <w:ind w:left="0" w:hanging="2"/>
      </w:pPr>
      <w:r>
        <w:t>Governance provisions in the healthcare sector</w:t>
      </w:r>
    </w:p>
    <w:p w14:paraId="6A50F48E" w14:textId="77777777" w:rsidR="00A24FAD" w:rsidRDefault="00D022AE">
      <w:pPr>
        <w:spacing w:after="0" w:line="360" w:lineRule="auto"/>
        <w:ind w:left="0" w:hanging="2"/>
      </w:pPr>
      <w:r>
        <w:t xml:space="preserve">When implementing governance mechanisms in the healthcare sector, contextual analysis and alignment are key. Furthermore, the governance of an emerging technological advancement must be aligned with other governance imperatives that already exist in the environment. For example, in South Africa, drone governance in healthcare should be aligned with the data protection mechanisms governed by the Protection of Personal Information (POPI) Act. The protection of patient information is key in the provision of healthcare services. As argued by Lin et al. (2018), policymakers must develop and implement mechanisms to safeguard patients’ personal and health information. For example, in developed countries such as Canada and America, through the current Personal Information Protection and Electronic Documents Act (PIPEDA) guidelines, the corporate owners of drones and non-mobile computing systems that operate and maintain personal information (including health information) are entitled to legal privacy protections provided by the federal governments of those countries. Disclosure of sensitive patient information can lead to lawsuits and financial losses to healthcare organisations. Given the sensitive nature of patient data and the software that manages such data, the whole drone system must comply with all applicable national and local health rules governing the processing and protection of personal health information. </w:t>
      </w:r>
      <w:r>
        <w:lastRenderedPageBreak/>
        <w:t>Accordingly, provisions in the POPI Act in South Africa become significant for inclusion in the proposed drone governance framework.</w:t>
      </w:r>
    </w:p>
    <w:p w14:paraId="3EC2D157" w14:textId="77777777" w:rsidR="00A24FAD" w:rsidRDefault="00A24FAD">
      <w:pPr>
        <w:spacing w:after="0" w:line="360" w:lineRule="auto"/>
        <w:ind w:left="0" w:hanging="2"/>
      </w:pPr>
    </w:p>
    <w:p w14:paraId="52E5C3B5" w14:textId="77777777" w:rsidR="00A24FAD" w:rsidRDefault="00D022AE">
      <w:pPr>
        <w:spacing w:after="0" w:line="360" w:lineRule="auto"/>
        <w:ind w:left="0" w:hanging="2"/>
      </w:pPr>
      <w:r>
        <w:rPr>
          <w:b/>
          <w:i/>
        </w:rPr>
        <w:t>Governance provisions mapping</w:t>
      </w:r>
    </w:p>
    <w:p w14:paraId="5391CD12" w14:textId="77777777" w:rsidR="00A24FAD" w:rsidRDefault="00D022AE">
      <w:pPr>
        <w:spacing w:after="0" w:line="360" w:lineRule="auto"/>
        <w:ind w:left="0" w:hanging="2"/>
      </w:pPr>
      <w:r>
        <w:t>The study considered mapping existing drone governance elements against pertinent governance provisions from other technological innovations that support drone technology innovations. Such innovations include overall IT governance, components of cloud computing governance, and the POPI Act, which is of significant relevance to data protection. The justification for this mapping was to identify governance elements that are common across the governance provisions in related innovations. Furthermore, the mapping enabled the identification of important governance elements that are absent from existing drone governance mechanisms. Table 1 demonstrates that drone governance in Africa currently focuses on the risk management domain, while ignoring value delivery, strategic alignment and performance management. Furthermore, considerations of breach disclosure, breach notification and liability are absent from drone governance mechanisms, though present in related innovations governance. As advocated by literature (</w:t>
      </w:r>
      <w:r>
        <w:rPr>
          <w:color w:val="222222"/>
          <w:highlight w:val="white"/>
        </w:rPr>
        <w:t>Zeadally et al., 2016; Konert et al., 2019; Cummings et al., 2017</w:t>
      </w:r>
      <w:r>
        <w:t>), there is a need to establish guidelines for drone operations beyond the pilot's visual line of sight to define who owns the drone in question and who is responsible for what digital information. Policies and regulations must therefore address health information security along the entire data transfer pathway, including the transmission of health information from drone hardware to other infrastructure, and as the drone travels between points in the health provision ecosystem.</w:t>
      </w:r>
    </w:p>
    <w:p w14:paraId="1B750EF9" w14:textId="77777777" w:rsidR="00A24FAD" w:rsidRDefault="00A24FAD">
      <w:pPr>
        <w:spacing w:after="0" w:line="360" w:lineRule="auto"/>
        <w:ind w:left="0" w:hanging="2"/>
      </w:pPr>
    </w:p>
    <w:p w14:paraId="74CC1B5A" w14:textId="77777777" w:rsidR="00A24FAD" w:rsidRDefault="00D022AE">
      <w:pPr>
        <w:spacing w:after="0" w:line="360" w:lineRule="auto"/>
        <w:ind w:left="0" w:hanging="2"/>
      </w:pPr>
      <w:r>
        <w:rPr>
          <w:i/>
        </w:rPr>
        <w:t>Table 1. Mapping of existing drone governance provisions against IT governance, cloud governance and POPI Act provisions</w:t>
      </w:r>
    </w:p>
    <w:p w14:paraId="5542550A" w14:textId="77777777" w:rsidR="00A24FAD" w:rsidRDefault="00A24FAD">
      <w:pPr>
        <w:spacing w:after="0" w:line="360" w:lineRule="auto"/>
        <w:ind w:left="0" w:hanging="2"/>
      </w:pPr>
    </w:p>
    <w:tbl>
      <w:tblPr>
        <w:tblStyle w:val="a1"/>
        <w:tblW w:w="10583" w:type="dxa"/>
        <w:tblInd w:w="-915" w:type="dxa"/>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Layout w:type="fixed"/>
        <w:tblLook w:val="0000" w:firstRow="0" w:lastRow="0" w:firstColumn="0" w:lastColumn="0" w:noHBand="0" w:noVBand="0"/>
      </w:tblPr>
      <w:tblGrid>
        <w:gridCol w:w="1359"/>
        <w:gridCol w:w="1283"/>
        <w:gridCol w:w="2537"/>
        <w:gridCol w:w="1006"/>
        <w:gridCol w:w="1281"/>
        <w:gridCol w:w="1006"/>
        <w:gridCol w:w="2111"/>
      </w:tblGrid>
      <w:tr w:rsidR="00A24FAD" w14:paraId="2111C055" w14:textId="77777777">
        <w:tc>
          <w:tcPr>
            <w:tcW w:w="1359" w:type="dxa"/>
            <w:tcBorders>
              <w:top w:val="single" w:sz="4" w:space="0" w:color="9BBB59"/>
              <w:left w:val="single" w:sz="4" w:space="0" w:color="9BBB59"/>
              <w:bottom w:val="single" w:sz="4" w:space="0" w:color="9BBB59"/>
              <w:right w:val="nil"/>
            </w:tcBorders>
            <w:shd w:val="clear" w:color="auto" w:fill="9BBB59"/>
          </w:tcPr>
          <w:p w14:paraId="6CC53885" w14:textId="77777777" w:rsidR="00A24FAD" w:rsidRDefault="00D022AE">
            <w:pPr>
              <w:spacing w:after="0" w:line="360" w:lineRule="auto"/>
              <w:ind w:left="0" w:hanging="2"/>
              <w:rPr>
                <w:color w:val="0D0D0D"/>
                <w:sz w:val="20"/>
                <w:szCs w:val="20"/>
              </w:rPr>
            </w:pPr>
            <w:r>
              <w:rPr>
                <w:b/>
                <w:color w:val="0D0D0D"/>
                <w:sz w:val="20"/>
                <w:szCs w:val="20"/>
              </w:rPr>
              <w:t>Governance mechanisms</w:t>
            </w:r>
          </w:p>
        </w:tc>
        <w:tc>
          <w:tcPr>
            <w:tcW w:w="1283" w:type="dxa"/>
            <w:tcBorders>
              <w:top w:val="single" w:sz="4" w:space="0" w:color="9BBB59"/>
              <w:left w:val="nil"/>
              <w:bottom w:val="single" w:sz="4" w:space="0" w:color="9BBB59"/>
              <w:right w:val="nil"/>
            </w:tcBorders>
            <w:shd w:val="clear" w:color="auto" w:fill="9BBB59"/>
          </w:tcPr>
          <w:p w14:paraId="651648FD" w14:textId="77777777" w:rsidR="00A24FAD" w:rsidRDefault="00D022AE">
            <w:pPr>
              <w:spacing w:after="0" w:line="360" w:lineRule="auto"/>
              <w:ind w:left="0" w:hanging="2"/>
              <w:rPr>
                <w:color w:val="0D0D0D"/>
                <w:sz w:val="20"/>
                <w:szCs w:val="20"/>
              </w:rPr>
            </w:pPr>
            <w:r>
              <w:rPr>
                <w:b/>
                <w:color w:val="0D0D0D"/>
                <w:sz w:val="20"/>
                <w:szCs w:val="20"/>
              </w:rPr>
              <w:t>Governance domains</w:t>
            </w:r>
          </w:p>
        </w:tc>
        <w:tc>
          <w:tcPr>
            <w:tcW w:w="2537" w:type="dxa"/>
            <w:tcBorders>
              <w:top w:val="single" w:sz="4" w:space="0" w:color="9BBB59"/>
              <w:left w:val="nil"/>
              <w:bottom w:val="single" w:sz="4" w:space="0" w:color="9BBB59"/>
              <w:right w:val="nil"/>
            </w:tcBorders>
            <w:shd w:val="clear" w:color="auto" w:fill="9BBB59"/>
          </w:tcPr>
          <w:p w14:paraId="22FB09B9" w14:textId="77777777" w:rsidR="00A24FAD" w:rsidRDefault="00D022AE">
            <w:pPr>
              <w:spacing w:after="0" w:line="360" w:lineRule="auto"/>
              <w:ind w:left="0" w:hanging="2"/>
              <w:rPr>
                <w:color w:val="0D0D0D"/>
                <w:sz w:val="20"/>
                <w:szCs w:val="20"/>
              </w:rPr>
            </w:pPr>
            <w:r>
              <w:rPr>
                <w:b/>
                <w:color w:val="0D0D0D"/>
                <w:sz w:val="20"/>
                <w:szCs w:val="20"/>
              </w:rPr>
              <w:t>Existing drone governance sub-domains</w:t>
            </w:r>
          </w:p>
        </w:tc>
        <w:tc>
          <w:tcPr>
            <w:tcW w:w="1006" w:type="dxa"/>
            <w:tcBorders>
              <w:top w:val="single" w:sz="4" w:space="0" w:color="9BBB59"/>
              <w:left w:val="nil"/>
              <w:bottom w:val="single" w:sz="4" w:space="0" w:color="9BBB59"/>
              <w:right w:val="nil"/>
            </w:tcBorders>
            <w:shd w:val="clear" w:color="auto" w:fill="9BBB59"/>
          </w:tcPr>
          <w:p w14:paraId="13B0C2B2" w14:textId="77777777" w:rsidR="00A24FAD" w:rsidRDefault="00D022AE">
            <w:pPr>
              <w:spacing w:after="0" w:line="360" w:lineRule="auto"/>
              <w:ind w:left="0" w:hanging="2"/>
              <w:rPr>
                <w:color w:val="0D0D0D"/>
                <w:sz w:val="20"/>
                <w:szCs w:val="20"/>
              </w:rPr>
            </w:pPr>
            <w:r>
              <w:rPr>
                <w:b/>
                <w:color w:val="0D0D0D"/>
                <w:sz w:val="20"/>
                <w:szCs w:val="20"/>
              </w:rPr>
              <w:t>Inclusion</w:t>
            </w:r>
          </w:p>
        </w:tc>
        <w:tc>
          <w:tcPr>
            <w:tcW w:w="1281" w:type="dxa"/>
            <w:tcBorders>
              <w:top w:val="single" w:sz="4" w:space="0" w:color="9BBB59"/>
              <w:left w:val="nil"/>
              <w:bottom w:val="single" w:sz="4" w:space="0" w:color="9BBB59"/>
              <w:right w:val="nil"/>
            </w:tcBorders>
            <w:shd w:val="clear" w:color="auto" w:fill="9BBB59"/>
          </w:tcPr>
          <w:p w14:paraId="7F29DAE3" w14:textId="77777777" w:rsidR="00A24FAD" w:rsidRDefault="00D022AE">
            <w:pPr>
              <w:spacing w:after="0" w:line="360" w:lineRule="auto"/>
              <w:ind w:left="0" w:hanging="2"/>
              <w:rPr>
                <w:color w:val="0D0D0D"/>
                <w:sz w:val="20"/>
                <w:szCs w:val="20"/>
              </w:rPr>
            </w:pPr>
            <w:r>
              <w:rPr>
                <w:b/>
                <w:color w:val="0D0D0D"/>
                <w:sz w:val="20"/>
                <w:szCs w:val="20"/>
              </w:rPr>
              <w:t>POPI Act</w:t>
            </w:r>
          </w:p>
        </w:tc>
        <w:tc>
          <w:tcPr>
            <w:tcW w:w="1006" w:type="dxa"/>
            <w:tcBorders>
              <w:top w:val="single" w:sz="4" w:space="0" w:color="9BBB59"/>
              <w:left w:val="nil"/>
              <w:bottom w:val="single" w:sz="4" w:space="0" w:color="9BBB59"/>
              <w:right w:val="nil"/>
            </w:tcBorders>
            <w:shd w:val="clear" w:color="auto" w:fill="9BBB59"/>
          </w:tcPr>
          <w:p w14:paraId="03BF2776" w14:textId="77777777" w:rsidR="00A24FAD" w:rsidRDefault="00D022AE">
            <w:pPr>
              <w:spacing w:after="0" w:line="360" w:lineRule="auto"/>
              <w:ind w:left="0" w:hanging="2"/>
              <w:rPr>
                <w:color w:val="0D0D0D"/>
                <w:sz w:val="20"/>
                <w:szCs w:val="20"/>
              </w:rPr>
            </w:pPr>
            <w:r>
              <w:rPr>
                <w:b/>
                <w:color w:val="0D0D0D"/>
                <w:sz w:val="20"/>
                <w:szCs w:val="20"/>
              </w:rPr>
              <w:t>Inclusion</w:t>
            </w:r>
          </w:p>
        </w:tc>
        <w:tc>
          <w:tcPr>
            <w:tcW w:w="2111" w:type="dxa"/>
            <w:tcBorders>
              <w:top w:val="single" w:sz="4" w:space="0" w:color="9BBB59"/>
              <w:left w:val="nil"/>
              <w:bottom w:val="single" w:sz="4" w:space="0" w:color="9BBB59"/>
              <w:right w:val="single" w:sz="4" w:space="0" w:color="9BBB59"/>
            </w:tcBorders>
            <w:shd w:val="clear" w:color="auto" w:fill="9BBB59"/>
          </w:tcPr>
          <w:p w14:paraId="57598A0C" w14:textId="77777777" w:rsidR="00A24FAD" w:rsidRDefault="00D022AE">
            <w:pPr>
              <w:spacing w:after="0" w:line="360" w:lineRule="auto"/>
              <w:ind w:left="0" w:hanging="2"/>
              <w:rPr>
                <w:color w:val="0D0D0D"/>
                <w:sz w:val="20"/>
                <w:szCs w:val="20"/>
              </w:rPr>
            </w:pPr>
            <w:r>
              <w:rPr>
                <w:b/>
                <w:color w:val="0D0D0D"/>
                <w:sz w:val="20"/>
                <w:szCs w:val="20"/>
              </w:rPr>
              <w:t>Cloud governance</w:t>
            </w:r>
          </w:p>
        </w:tc>
      </w:tr>
      <w:tr w:rsidR="00A24FAD" w14:paraId="78A47E05" w14:textId="77777777">
        <w:tc>
          <w:tcPr>
            <w:tcW w:w="1359" w:type="dxa"/>
            <w:shd w:val="clear" w:color="auto" w:fill="EBF1DD"/>
          </w:tcPr>
          <w:p w14:paraId="410C4BC7" w14:textId="77777777" w:rsidR="00A24FAD" w:rsidRDefault="00A24FAD">
            <w:pPr>
              <w:spacing w:after="0" w:line="360" w:lineRule="auto"/>
              <w:ind w:left="0" w:hanging="2"/>
              <w:rPr>
                <w:sz w:val="20"/>
                <w:szCs w:val="20"/>
              </w:rPr>
            </w:pPr>
          </w:p>
        </w:tc>
        <w:tc>
          <w:tcPr>
            <w:tcW w:w="1283" w:type="dxa"/>
            <w:shd w:val="clear" w:color="auto" w:fill="EBF1DD"/>
          </w:tcPr>
          <w:p w14:paraId="0FC3F567" w14:textId="77777777" w:rsidR="00A24FAD" w:rsidRDefault="00A24FAD">
            <w:pPr>
              <w:spacing w:after="0" w:line="360" w:lineRule="auto"/>
              <w:ind w:left="0" w:hanging="2"/>
              <w:rPr>
                <w:sz w:val="20"/>
                <w:szCs w:val="20"/>
              </w:rPr>
            </w:pPr>
          </w:p>
        </w:tc>
        <w:tc>
          <w:tcPr>
            <w:tcW w:w="2537" w:type="dxa"/>
            <w:shd w:val="clear" w:color="auto" w:fill="EBF1DD"/>
          </w:tcPr>
          <w:p w14:paraId="6BAA174E" w14:textId="77777777" w:rsidR="00A24FAD" w:rsidRDefault="00A24FAD">
            <w:pPr>
              <w:spacing w:after="0" w:line="360" w:lineRule="auto"/>
              <w:ind w:left="0" w:hanging="2"/>
              <w:rPr>
                <w:sz w:val="20"/>
                <w:szCs w:val="20"/>
              </w:rPr>
            </w:pPr>
          </w:p>
        </w:tc>
        <w:tc>
          <w:tcPr>
            <w:tcW w:w="1006" w:type="dxa"/>
            <w:shd w:val="clear" w:color="auto" w:fill="EBF1DD"/>
          </w:tcPr>
          <w:p w14:paraId="774CEF96" w14:textId="77777777" w:rsidR="00A24FAD" w:rsidRDefault="00A24FAD">
            <w:pPr>
              <w:spacing w:after="0" w:line="360" w:lineRule="auto"/>
              <w:ind w:left="0" w:hanging="2"/>
              <w:rPr>
                <w:sz w:val="20"/>
                <w:szCs w:val="20"/>
              </w:rPr>
            </w:pPr>
          </w:p>
        </w:tc>
        <w:tc>
          <w:tcPr>
            <w:tcW w:w="1281" w:type="dxa"/>
            <w:shd w:val="clear" w:color="auto" w:fill="EBF1DD"/>
          </w:tcPr>
          <w:p w14:paraId="5D904F31" w14:textId="77777777" w:rsidR="00A24FAD" w:rsidRDefault="00A24FAD">
            <w:pPr>
              <w:spacing w:after="0" w:line="360" w:lineRule="auto"/>
              <w:ind w:left="0" w:hanging="2"/>
              <w:rPr>
                <w:sz w:val="20"/>
                <w:szCs w:val="20"/>
              </w:rPr>
            </w:pPr>
          </w:p>
        </w:tc>
        <w:tc>
          <w:tcPr>
            <w:tcW w:w="1006" w:type="dxa"/>
            <w:shd w:val="clear" w:color="auto" w:fill="EBF1DD"/>
          </w:tcPr>
          <w:p w14:paraId="043AF4D4" w14:textId="77777777" w:rsidR="00A24FAD" w:rsidRDefault="00A24FAD">
            <w:pPr>
              <w:spacing w:after="0" w:line="360" w:lineRule="auto"/>
              <w:ind w:left="0" w:hanging="2"/>
              <w:rPr>
                <w:sz w:val="20"/>
                <w:szCs w:val="20"/>
              </w:rPr>
            </w:pPr>
          </w:p>
        </w:tc>
        <w:tc>
          <w:tcPr>
            <w:tcW w:w="2111" w:type="dxa"/>
            <w:shd w:val="clear" w:color="auto" w:fill="EBF1DD"/>
          </w:tcPr>
          <w:p w14:paraId="64CF1D50" w14:textId="77777777" w:rsidR="00A24FAD" w:rsidRDefault="00A24FAD">
            <w:pPr>
              <w:spacing w:after="0" w:line="360" w:lineRule="auto"/>
              <w:ind w:left="0" w:hanging="2"/>
              <w:rPr>
                <w:sz w:val="20"/>
                <w:szCs w:val="20"/>
              </w:rPr>
            </w:pPr>
          </w:p>
        </w:tc>
      </w:tr>
      <w:tr w:rsidR="00A24FAD" w14:paraId="6C68758C" w14:textId="77777777">
        <w:tc>
          <w:tcPr>
            <w:tcW w:w="1359" w:type="dxa"/>
          </w:tcPr>
          <w:p w14:paraId="59837E99" w14:textId="77777777" w:rsidR="00A24FAD" w:rsidRDefault="00A24FAD">
            <w:pPr>
              <w:spacing w:after="0" w:line="360" w:lineRule="auto"/>
              <w:ind w:left="0" w:hanging="2"/>
              <w:rPr>
                <w:sz w:val="20"/>
                <w:szCs w:val="20"/>
              </w:rPr>
            </w:pPr>
          </w:p>
        </w:tc>
        <w:tc>
          <w:tcPr>
            <w:tcW w:w="1283" w:type="dxa"/>
          </w:tcPr>
          <w:p w14:paraId="249CAC4B" w14:textId="77777777" w:rsidR="00A24FAD" w:rsidRDefault="00A24FAD">
            <w:pPr>
              <w:spacing w:after="0" w:line="360" w:lineRule="auto"/>
              <w:ind w:left="0" w:hanging="2"/>
              <w:rPr>
                <w:sz w:val="20"/>
                <w:szCs w:val="20"/>
              </w:rPr>
            </w:pPr>
          </w:p>
          <w:p w14:paraId="298A84A0" w14:textId="77777777" w:rsidR="00A24FAD" w:rsidRDefault="00A24FAD">
            <w:pPr>
              <w:spacing w:after="0" w:line="360" w:lineRule="auto"/>
              <w:ind w:left="0" w:hanging="2"/>
              <w:rPr>
                <w:sz w:val="20"/>
                <w:szCs w:val="20"/>
              </w:rPr>
            </w:pPr>
          </w:p>
          <w:p w14:paraId="420EBDA0" w14:textId="77777777" w:rsidR="00A24FAD" w:rsidRDefault="00D022AE">
            <w:pPr>
              <w:spacing w:after="0" w:line="360" w:lineRule="auto"/>
              <w:ind w:left="0" w:hanging="2"/>
              <w:rPr>
                <w:sz w:val="20"/>
                <w:szCs w:val="20"/>
              </w:rPr>
            </w:pPr>
            <w:r>
              <w:rPr>
                <w:sz w:val="20"/>
                <w:szCs w:val="20"/>
              </w:rPr>
              <w:t>Risk management</w:t>
            </w:r>
          </w:p>
          <w:p w14:paraId="4A8D7240" w14:textId="77777777" w:rsidR="00A24FAD" w:rsidRDefault="00A24FAD">
            <w:pPr>
              <w:spacing w:after="0" w:line="360" w:lineRule="auto"/>
              <w:ind w:left="0" w:hanging="2"/>
              <w:rPr>
                <w:sz w:val="20"/>
                <w:szCs w:val="20"/>
              </w:rPr>
            </w:pPr>
          </w:p>
          <w:p w14:paraId="2F64D3E6" w14:textId="77777777" w:rsidR="00A24FAD" w:rsidRDefault="00A24FAD">
            <w:pPr>
              <w:spacing w:after="0" w:line="360" w:lineRule="auto"/>
              <w:ind w:left="0" w:hanging="2"/>
              <w:rPr>
                <w:sz w:val="20"/>
                <w:szCs w:val="20"/>
              </w:rPr>
            </w:pPr>
          </w:p>
          <w:p w14:paraId="4A21DF71" w14:textId="77777777" w:rsidR="00A24FAD" w:rsidRDefault="00A24FAD">
            <w:pPr>
              <w:spacing w:after="0" w:line="360" w:lineRule="auto"/>
              <w:ind w:left="0" w:hanging="2"/>
              <w:rPr>
                <w:sz w:val="20"/>
                <w:szCs w:val="20"/>
              </w:rPr>
            </w:pPr>
          </w:p>
          <w:p w14:paraId="1085D76F" w14:textId="77777777" w:rsidR="00A24FAD" w:rsidRDefault="00A24FAD">
            <w:pPr>
              <w:spacing w:after="0" w:line="360" w:lineRule="auto"/>
              <w:ind w:left="0" w:hanging="2"/>
              <w:rPr>
                <w:sz w:val="20"/>
                <w:szCs w:val="20"/>
              </w:rPr>
            </w:pPr>
          </w:p>
        </w:tc>
        <w:tc>
          <w:tcPr>
            <w:tcW w:w="2537" w:type="dxa"/>
          </w:tcPr>
          <w:p w14:paraId="79A66795" w14:textId="77777777" w:rsidR="00A24FAD" w:rsidRDefault="00D022AE">
            <w:pPr>
              <w:spacing w:after="0" w:line="360" w:lineRule="auto"/>
              <w:ind w:left="0" w:hanging="2"/>
              <w:rPr>
                <w:sz w:val="20"/>
                <w:szCs w:val="20"/>
              </w:rPr>
            </w:pPr>
            <w:r>
              <w:rPr>
                <w:sz w:val="20"/>
                <w:szCs w:val="20"/>
              </w:rPr>
              <w:lastRenderedPageBreak/>
              <w:t>Detect and avoid.</w:t>
            </w:r>
          </w:p>
          <w:p w14:paraId="7FE0AA0C" w14:textId="77777777" w:rsidR="00A24FAD" w:rsidRDefault="00D022AE">
            <w:pPr>
              <w:spacing w:after="0" w:line="360" w:lineRule="auto"/>
              <w:ind w:left="0" w:hanging="2"/>
              <w:rPr>
                <w:sz w:val="20"/>
                <w:szCs w:val="20"/>
              </w:rPr>
            </w:pPr>
            <w:r>
              <w:rPr>
                <w:sz w:val="20"/>
                <w:szCs w:val="20"/>
              </w:rPr>
              <w:t>Safety management</w:t>
            </w:r>
          </w:p>
          <w:p w14:paraId="68E8965A" w14:textId="77777777" w:rsidR="00A24FAD" w:rsidRDefault="00D022AE">
            <w:pPr>
              <w:spacing w:after="0" w:line="360" w:lineRule="auto"/>
              <w:ind w:left="0" w:hanging="2"/>
              <w:rPr>
                <w:sz w:val="20"/>
                <w:szCs w:val="20"/>
              </w:rPr>
            </w:pPr>
            <w:r>
              <w:rPr>
                <w:sz w:val="20"/>
                <w:szCs w:val="20"/>
              </w:rPr>
              <w:t>Airworthiness approval</w:t>
            </w:r>
          </w:p>
          <w:p w14:paraId="3DDCEE9C" w14:textId="77777777" w:rsidR="00A24FAD" w:rsidRDefault="00D022AE">
            <w:pPr>
              <w:spacing w:after="0" w:line="360" w:lineRule="auto"/>
              <w:ind w:left="0" w:hanging="2"/>
              <w:rPr>
                <w:sz w:val="20"/>
                <w:szCs w:val="20"/>
              </w:rPr>
            </w:pPr>
            <w:r>
              <w:rPr>
                <w:sz w:val="20"/>
                <w:szCs w:val="20"/>
              </w:rPr>
              <w:t>Licensing and competence</w:t>
            </w:r>
          </w:p>
          <w:p w14:paraId="5FBAB06F" w14:textId="77777777" w:rsidR="00A24FAD" w:rsidRDefault="00D022AE">
            <w:pPr>
              <w:spacing w:after="0" w:line="360" w:lineRule="auto"/>
              <w:ind w:left="0" w:hanging="2"/>
              <w:rPr>
                <w:sz w:val="20"/>
                <w:szCs w:val="20"/>
              </w:rPr>
            </w:pPr>
            <w:r>
              <w:rPr>
                <w:sz w:val="20"/>
                <w:szCs w:val="20"/>
              </w:rPr>
              <w:t>Special authorisation</w:t>
            </w:r>
          </w:p>
          <w:p w14:paraId="180F8365" w14:textId="77777777" w:rsidR="00A24FAD" w:rsidRDefault="00A24FAD">
            <w:pPr>
              <w:spacing w:after="0" w:line="360" w:lineRule="auto"/>
              <w:ind w:left="0" w:hanging="2"/>
              <w:rPr>
                <w:sz w:val="20"/>
                <w:szCs w:val="20"/>
              </w:rPr>
            </w:pPr>
          </w:p>
        </w:tc>
        <w:tc>
          <w:tcPr>
            <w:tcW w:w="1006" w:type="dxa"/>
          </w:tcPr>
          <w:p w14:paraId="263070D7" w14:textId="77777777" w:rsidR="00A24FAD" w:rsidRDefault="00D022AE">
            <w:pPr>
              <w:spacing w:after="0" w:line="360" w:lineRule="auto"/>
              <w:ind w:left="0" w:hanging="2"/>
              <w:rPr>
                <w:sz w:val="20"/>
                <w:szCs w:val="20"/>
              </w:rPr>
            </w:pPr>
            <w:r>
              <w:rPr>
                <w:rFonts w:ascii="Wingdings" w:eastAsia="Wingdings" w:hAnsi="Wingdings" w:cs="Wingdings"/>
                <w:b/>
                <w:sz w:val="20"/>
                <w:szCs w:val="20"/>
              </w:rPr>
              <w:t>✔</w:t>
            </w:r>
          </w:p>
          <w:p w14:paraId="2B65B5F5" w14:textId="77777777" w:rsidR="00A24FAD" w:rsidRDefault="00D022AE">
            <w:pPr>
              <w:spacing w:after="0" w:line="360" w:lineRule="auto"/>
              <w:ind w:left="0" w:hanging="2"/>
              <w:rPr>
                <w:sz w:val="20"/>
                <w:szCs w:val="20"/>
              </w:rPr>
            </w:pPr>
            <w:r>
              <w:rPr>
                <w:rFonts w:ascii="Wingdings" w:eastAsia="Wingdings" w:hAnsi="Wingdings" w:cs="Wingdings"/>
                <w:b/>
                <w:sz w:val="20"/>
                <w:szCs w:val="20"/>
              </w:rPr>
              <w:t>✔</w:t>
            </w:r>
          </w:p>
          <w:p w14:paraId="78024746" w14:textId="77777777" w:rsidR="00A24FAD" w:rsidRDefault="00D022AE">
            <w:pPr>
              <w:spacing w:after="0" w:line="360" w:lineRule="auto"/>
              <w:ind w:left="0" w:hanging="2"/>
              <w:rPr>
                <w:sz w:val="20"/>
                <w:szCs w:val="20"/>
              </w:rPr>
            </w:pPr>
            <w:r>
              <w:rPr>
                <w:rFonts w:ascii="Wingdings" w:eastAsia="Wingdings" w:hAnsi="Wingdings" w:cs="Wingdings"/>
                <w:b/>
                <w:sz w:val="20"/>
                <w:szCs w:val="20"/>
              </w:rPr>
              <w:t>✔</w:t>
            </w:r>
          </w:p>
          <w:p w14:paraId="0A754F61" w14:textId="77777777" w:rsidR="00A24FAD" w:rsidRDefault="00D022AE">
            <w:pPr>
              <w:spacing w:after="0" w:line="360" w:lineRule="auto"/>
              <w:ind w:left="0" w:hanging="2"/>
              <w:rPr>
                <w:sz w:val="20"/>
                <w:szCs w:val="20"/>
              </w:rPr>
            </w:pPr>
            <w:r>
              <w:rPr>
                <w:rFonts w:ascii="Wingdings" w:eastAsia="Wingdings" w:hAnsi="Wingdings" w:cs="Wingdings"/>
                <w:b/>
                <w:sz w:val="20"/>
                <w:szCs w:val="20"/>
              </w:rPr>
              <w:t>✔</w:t>
            </w:r>
          </w:p>
          <w:p w14:paraId="5172F4F5" w14:textId="77777777" w:rsidR="00A24FAD" w:rsidRDefault="00D022AE">
            <w:pPr>
              <w:spacing w:after="0" w:line="360" w:lineRule="auto"/>
              <w:ind w:left="0" w:hanging="2"/>
              <w:rPr>
                <w:sz w:val="20"/>
                <w:szCs w:val="20"/>
              </w:rPr>
            </w:pPr>
            <w:r>
              <w:rPr>
                <w:b/>
                <w:sz w:val="20"/>
                <w:szCs w:val="20"/>
              </w:rPr>
              <w:t>X</w:t>
            </w:r>
          </w:p>
        </w:tc>
        <w:tc>
          <w:tcPr>
            <w:tcW w:w="1281" w:type="dxa"/>
          </w:tcPr>
          <w:p w14:paraId="422C481A" w14:textId="77777777" w:rsidR="00A24FAD" w:rsidRDefault="00D022AE">
            <w:pPr>
              <w:spacing w:after="0" w:line="360" w:lineRule="auto"/>
              <w:ind w:left="0" w:hanging="2"/>
              <w:rPr>
                <w:sz w:val="20"/>
                <w:szCs w:val="20"/>
              </w:rPr>
            </w:pPr>
            <w:r>
              <w:rPr>
                <w:sz w:val="20"/>
                <w:szCs w:val="20"/>
              </w:rPr>
              <w:t xml:space="preserve">Risk assessment </w:t>
            </w:r>
          </w:p>
          <w:p w14:paraId="37D6D2E8" w14:textId="77777777" w:rsidR="00A24FAD" w:rsidRDefault="00D022AE">
            <w:pPr>
              <w:spacing w:after="0" w:line="360" w:lineRule="auto"/>
              <w:ind w:left="0" w:hanging="2"/>
              <w:rPr>
                <w:sz w:val="20"/>
                <w:szCs w:val="20"/>
              </w:rPr>
            </w:pPr>
            <w:r>
              <w:rPr>
                <w:sz w:val="20"/>
                <w:szCs w:val="20"/>
              </w:rPr>
              <w:t xml:space="preserve">Technical measures </w:t>
            </w:r>
          </w:p>
          <w:p w14:paraId="4765D05E" w14:textId="77777777" w:rsidR="00A24FAD" w:rsidRDefault="00D022AE">
            <w:pPr>
              <w:spacing w:after="0" w:line="360" w:lineRule="auto"/>
              <w:ind w:left="0" w:hanging="2"/>
              <w:rPr>
                <w:sz w:val="20"/>
                <w:szCs w:val="20"/>
              </w:rPr>
            </w:pPr>
            <w:r>
              <w:rPr>
                <w:sz w:val="20"/>
                <w:szCs w:val="20"/>
              </w:rPr>
              <w:t xml:space="preserve">Breach notification </w:t>
            </w:r>
          </w:p>
        </w:tc>
        <w:tc>
          <w:tcPr>
            <w:tcW w:w="1006" w:type="dxa"/>
          </w:tcPr>
          <w:p w14:paraId="27F787EF" w14:textId="77777777" w:rsidR="00A24FAD" w:rsidRDefault="00D022AE">
            <w:pPr>
              <w:spacing w:after="0" w:line="360" w:lineRule="auto"/>
              <w:ind w:left="0" w:hanging="2"/>
              <w:rPr>
                <w:sz w:val="20"/>
                <w:szCs w:val="20"/>
              </w:rPr>
            </w:pPr>
            <w:r>
              <w:rPr>
                <w:rFonts w:ascii="Wingdings" w:eastAsia="Wingdings" w:hAnsi="Wingdings" w:cs="Wingdings"/>
                <w:b/>
                <w:sz w:val="20"/>
                <w:szCs w:val="20"/>
              </w:rPr>
              <w:t>✔</w:t>
            </w:r>
          </w:p>
          <w:p w14:paraId="5E2690DF" w14:textId="77777777" w:rsidR="00A24FAD" w:rsidRDefault="00A24FAD">
            <w:pPr>
              <w:spacing w:after="0" w:line="360" w:lineRule="auto"/>
              <w:ind w:left="0" w:hanging="2"/>
              <w:rPr>
                <w:rFonts w:ascii="Noto Sans Symbols" w:eastAsia="Noto Sans Symbols" w:hAnsi="Noto Sans Symbols" w:cs="Noto Sans Symbols"/>
                <w:sz w:val="20"/>
                <w:szCs w:val="20"/>
              </w:rPr>
            </w:pPr>
          </w:p>
          <w:p w14:paraId="0890ABEF" w14:textId="77777777" w:rsidR="00A24FAD" w:rsidRDefault="00D022AE">
            <w:pPr>
              <w:spacing w:after="0" w:line="360" w:lineRule="auto"/>
              <w:ind w:left="0" w:hanging="2"/>
              <w:rPr>
                <w:sz w:val="20"/>
                <w:szCs w:val="20"/>
              </w:rPr>
            </w:pPr>
            <w:r>
              <w:rPr>
                <w:rFonts w:ascii="Wingdings" w:eastAsia="Wingdings" w:hAnsi="Wingdings" w:cs="Wingdings"/>
                <w:b/>
                <w:sz w:val="20"/>
                <w:szCs w:val="20"/>
              </w:rPr>
              <w:t>✔</w:t>
            </w:r>
          </w:p>
          <w:p w14:paraId="31209909" w14:textId="77777777" w:rsidR="00A24FAD" w:rsidRDefault="00A24FAD">
            <w:pPr>
              <w:spacing w:after="0" w:line="360" w:lineRule="auto"/>
              <w:ind w:left="0" w:hanging="2"/>
              <w:rPr>
                <w:sz w:val="20"/>
                <w:szCs w:val="20"/>
              </w:rPr>
            </w:pPr>
          </w:p>
          <w:p w14:paraId="4A9BC45D" w14:textId="77777777" w:rsidR="00A24FAD" w:rsidRDefault="00D022AE">
            <w:pPr>
              <w:spacing w:after="0" w:line="360" w:lineRule="auto"/>
              <w:ind w:left="0" w:hanging="2"/>
              <w:rPr>
                <w:sz w:val="20"/>
                <w:szCs w:val="20"/>
              </w:rPr>
            </w:pPr>
            <w:r>
              <w:rPr>
                <w:b/>
                <w:sz w:val="20"/>
                <w:szCs w:val="20"/>
              </w:rPr>
              <w:t>X</w:t>
            </w:r>
          </w:p>
        </w:tc>
        <w:tc>
          <w:tcPr>
            <w:tcW w:w="2111" w:type="dxa"/>
          </w:tcPr>
          <w:p w14:paraId="54C8F24F" w14:textId="77777777" w:rsidR="00A24FAD" w:rsidRDefault="00D022AE">
            <w:pPr>
              <w:spacing w:after="0" w:line="360" w:lineRule="auto"/>
              <w:ind w:left="0" w:hanging="2"/>
              <w:rPr>
                <w:sz w:val="20"/>
                <w:szCs w:val="20"/>
              </w:rPr>
            </w:pPr>
            <w:r>
              <w:rPr>
                <w:sz w:val="20"/>
                <w:szCs w:val="20"/>
              </w:rPr>
              <w:t xml:space="preserve">Breach disclosure </w:t>
            </w:r>
            <w:r>
              <w:rPr>
                <w:b/>
                <w:sz w:val="20"/>
                <w:szCs w:val="20"/>
              </w:rPr>
              <w:t>X</w:t>
            </w:r>
          </w:p>
          <w:p w14:paraId="3C04A853" w14:textId="77777777" w:rsidR="00A24FAD" w:rsidRDefault="00D022AE">
            <w:pPr>
              <w:spacing w:after="0" w:line="360" w:lineRule="auto"/>
              <w:ind w:left="0" w:hanging="2"/>
              <w:rPr>
                <w:sz w:val="20"/>
                <w:szCs w:val="20"/>
              </w:rPr>
            </w:pPr>
            <w:r>
              <w:rPr>
                <w:sz w:val="20"/>
                <w:szCs w:val="20"/>
              </w:rPr>
              <w:t xml:space="preserve">Security and privacy </w:t>
            </w:r>
            <w:r>
              <w:rPr>
                <w:rFonts w:ascii="Wingdings" w:eastAsia="Wingdings" w:hAnsi="Wingdings" w:cs="Wingdings"/>
                <w:b/>
                <w:sz w:val="20"/>
                <w:szCs w:val="20"/>
              </w:rPr>
              <w:t>✔</w:t>
            </w:r>
          </w:p>
          <w:p w14:paraId="19BA5A03" w14:textId="77777777" w:rsidR="00A24FAD" w:rsidRDefault="00D022AE">
            <w:pPr>
              <w:spacing w:after="0" w:line="360" w:lineRule="auto"/>
              <w:ind w:left="0" w:hanging="2"/>
              <w:rPr>
                <w:sz w:val="20"/>
                <w:szCs w:val="20"/>
              </w:rPr>
            </w:pPr>
            <w:r>
              <w:rPr>
                <w:sz w:val="20"/>
                <w:szCs w:val="20"/>
              </w:rPr>
              <w:t>Liability</w:t>
            </w:r>
            <w:r>
              <w:rPr>
                <w:b/>
                <w:sz w:val="20"/>
                <w:szCs w:val="20"/>
              </w:rPr>
              <w:t xml:space="preserve"> X</w:t>
            </w:r>
          </w:p>
          <w:p w14:paraId="1D1BE11C" w14:textId="77777777" w:rsidR="00A24FAD" w:rsidRDefault="00A24FAD">
            <w:pPr>
              <w:spacing w:after="0" w:line="360" w:lineRule="auto"/>
              <w:ind w:left="0" w:hanging="2"/>
              <w:rPr>
                <w:sz w:val="20"/>
                <w:szCs w:val="20"/>
              </w:rPr>
            </w:pPr>
          </w:p>
          <w:p w14:paraId="5197B59B" w14:textId="77777777" w:rsidR="00A24FAD" w:rsidRDefault="00A24FAD">
            <w:pPr>
              <w:spacing w:after="0" w:line="360" w:lineRule="auto"/>
              <w:ind w:left="0" w:hanging="2"/>
              <w:rPr>
                <w:sz w:val="20"/>
                <w:szCs w:val="20"/>
              </w:rPr>
            </w:pPr>
          </w:p>
          <w:p w14:paraId="441ECB42" w14:textId="77777777" w:rsidR="00A24FAD" w:rsidRDefault="00A24FAD">
            <w:pPr>
              <w:spacing w:after="0" w:line="360" w:lineRule="auto"/>
              <w:ind w:left="0" w:hanging="2"/>
              <w:rPr>
                <w:sz w:val="20"/>
                <w:szCs w:val="20"/>
              </w:rPr>
            </w:pPr>
          </w:p>
        </w:tc>
      </w:tr>
      <w:tr w:rsidR="00A24FAD" w14:paraId="3F7388F9" w14:textId="77777777">
        <w:tc>
          <w:tcPr>
            <w:tcW w:w="1359" w:type="dxa"/>
            <w:shd w:val="clear" w:color="auto" w:fill="EBF1DD"/>
          </w:tcPr>
          <w:p w14:paraId="7E725C24" w14:textId="77777777" w:rsidR="00A24FAD" w:rsidRDefault="00D022AE">
            <w:pPr>
              <w:spacing w:after="0" w:line="360" w:lineRule="auto"/>
              <w:ind w:left="0" w:hanging="2"/>
              <w:rPr>
                <w:sz w:val="20"/>
                <w:szCs w:val="20"/>
              </w:rPr>
            </w:pPr>
            <w:r>
              <w:rPr>
                <w:sz w:val="20"/>
                <w:szCs w:val="20"/>
              </w:rPr>
              <w:t>Structures Process Relational mechanisms</w:t>
            </w:r>
          </w:p>
        </w:tc>
        <w:tc>
          <w:tcPr>
            <w:tcW w:w="1283" w:type="dxa"/>
            <w:shd w:val="clear" w:color="auto" w:fill="EBF1DD"/>
          </w:tcPr>
          <w:p w14:paraId="0445BAA8" w14:textId="77777777" w:rsidR="00A24FAD" w:rsidRDefault="00D022AE">
            <w:pPr>
              <w:spacing w:after="0" w:line="360" w:lineRule="auto"/>
              <w:ind w:left="0" w:hanging="2"/>
              <w:rPr>
                <w:sz w:val="20"/>
                <w:szCs w:val="20"/>
              </w:rPr>
            </w:pPr>
            <w:r>
              <w:rPr>
                <w:sz w:val="20"/>
                <w:szCs w:val="20"/>
              </w:rPr>
              <w:t>Value delivery</w:t>
            </w:r>
          </w:p>
        </w:tc>
        <w:tc>
          <w:tcPr>
            <w:tcW w:w="2537" w:type="dxa"/>
            <w:shd w:val="clear" w:color="auto" w:fill="EBF1DD"/>
          </w:tcPr>
          <w:p w14:paraId="02166FF7" w14:textId="77777777" w:rsidR="00A24FAD" w:rsidRDefault="00D022AE">
            <w:pPr>
              <w:spacing w:after="0" w:line="360" w:lineRule="auto"/>
              <w:ind w:left="0" w:hanging="2"/>
              <w:rPr>
                <w:sz w:val="20"/>
                <w:szCs w:val="20"/>
              </w:rPr>
            </w:pPr>
            <w:r>
              <w:rPr>
                <w:b/>
                <w:sz w:val="20"/>
                <w:szCs w:val="20"/>
              </w:rPr>
              <w:t>------</w:t>
            </w:r>
          </w:p>
        </w:tc>
        <w:tc>
          <w:tcPr>
            <w:tcW w:w="1006" w:type="dxa"/>
            <w:shd w:val="clear" w:color="auto" w:fill="EBF1DD"/>
          </w:tcPr>
          <w:p w14:paraId="31D1FB4C" w14:textId="77777777" w:rsidR="00A24FAD" w:rsidRDefault="00D022AE">
            <w:pPr>
              <w:spacing w:after="0" w:line="360" w:lineRule="auto"/>
              <w:ind w:left="0" w:hanging="2"/>
              <w:rPr>
                <w:sz w:val="20"/>
                <w:szCs w:val="20"/>
              </w:rPr>
            </w:pPr>
            <w:r>
              <w:rPr>
                <w:b/>
                <w:sz w:val="20"/>
                <w:szCs w:val="20"/>
              </w:rPr>
              <w:t>X</w:t>
            </w:r>
          </w:p>
        </w:tc>
        <w:tc>
          <w:tcPr>
            <w:tcW w:w="1281" w:type="dxa"/>
            <w:shd w:val="clear" w:color="auto" w:fill="EBF1DD"/>
          </w:tcPr>
          <w:p w14:paraId="5FA25EAA" w14:textId="77777777" w:rsidR="00A24FAD" w:rsidRDefault="00A24FAD">
            <w:pPr>
              <w:spacing w:after="0" w:line="360" w:lineRule="auto"/>
              <w:ind w:left="0" w:hanging="2"/>
              <w:rPr>
                <w:sz w:val="20"/>
                <w:szCs w:val="20"/>
              </w:rPr>
            </w:pPr>
          </w:p>
        </w:tc>
        <w:tc>
          <w:tcPr>
            <w:tcW w:w="1006" w:type="dxa"/>
            <w:shd w:val="clear" w:color="auto" w:fill="EBF1DD"/>
          </w:tcPr>
          <w:p w14:paraId="7316783F" w14:textId="77777777" w:rsidR="00A24FAD" w:rsidRDefault="00A24FAD">
            <w:pPr>
              <w:spacing w:after="0" w:line="360" w:lineRule="auto"/>
              <w:ind w:left="0" w:hanging="2"/>
              <w:rPr>
                <w:sz w:val="20"/>
                <w:szCs w:val="20"/>
              </w:rPr>
            </w:pPr>
          </w:p>
        </w:tc>
        <w:tc>
          <w:tcPr>
            <w:tcW w:w="2111" w:type="dxa"/>
            <w:shd w:val="clear" w:color="auto" w:fill="EBF1DD"/>
          </w:tcPr>
          <w:p w14:paraId="400FF695" w14:textId="77777777" w:rsidR="00A24FAD" w:rsidRDefault="00A24FAD">
            <w:pPr>
              <w:spacing w:after="0" w:line="360" w:lineRule="auto"/>
              <w:ind w:left="0" w:hanging="2"/>
              <w:rPr>
                <w:sz w:val="20"/>
                <w:szCs w:val="20"/>
              </w:rPr>
            </w:pPr>
          </w:p>
        </w:tc>
      </w:tr>
      <w:tr w:rsidR="00A24FAD" w14:paraId="2F1F1281" w14:textId="77777777">
        <w:tc>
          <w:tcPr>
            <w:tcW w:w="1359" w:type="dxa"/>
          </w:tcPr>
          <w:p w14:paraId="4E5A7FF0" w14:textId="77777777" w:rsidR="00A24FAD" w:rsidRDefault="00A24FAD">
            <w:pPr>
              <w:spacing w:after="0" w:line="360" w:lineRule="auto"/>
              <w:ind w:left="0" w:hanging="2"/>
              <w:rPr>
                <w:sz w:val="20"/>
                <w:szCs w:val="20"/>
              </w:rPr>
            </w:pPr>
          </w:p>
        </w:tc>
        <w:tc>
          <w:tcPr>
            <w:tcW w:w="1283" w:type="dxa"/>
          </w:tcPr>
          <w:p w14:paraId="00EAFEF8" w14:textId="77777777" w:rsidR="00A24FAD" w:rsidRDefault="00D022AE">
            <w:pPr>
              <w:spacing w:after="0" w:line="360" w:lineRule="auto"/>
              <w:ind w:left="0" w:hanging="2"/>
              <w:rPr>
                <w:sz w:val="20"/>
                <w:szCs w:val="20"/>
              </w:rPr>
            </w:pPr>
            <w:r>
              <w:rPr>
                <w:sz w:val="20"/>
                <w:szCs w:val="20"/>
              </w:rPr>
              <w:t>Strategic alignment</w:t>
            </w:r>
          </w:p>
        </w:tc>
        <w:tc>
          <w:tcPr>
            <w:tcW w:w="2537" w:type="dxa"/>
          </w:tcPr>
          <w:p w14:paraId="52442F55" w14:textId="77777777" w:rsidR="00A24FAD" w:rsidRDefault="00D022AE">
            <w:pPr>
              <w:spacing w:after="0" w:line="360" w:lineRule="auto"/>
              <w:ind w:left="0" w:hanging="2"/>
              <w:rPr>
                <w:sz w:val="20"/>
                <w:szCs w:val="20"/>
              </w:rPr>
            </w:pPr>
            <w:r>
              <w:rPr>
                <w:b/>
                <w:sz w:val="20"/>
                <w:szCs w:val="20"/>
              </w:rPr>
              <w:t>------</w:t>
            </w:r>
          </w:p>
        </w:tc>
        <w:tc>
          <w:tcPr>
            <w:tcW w:w="1006" w:type="dxa"/>
          </w:tcPr>
          <w:p w14:paraId="1CD8B569" w14:textId="77777777" w:rsidR="00A24FAD" w:rsidRDefault="00D022AE">
            <w:pPr>
              <w:spacing w:after="0" w:line="360" w:lineRule="auto"/>
              <w:ind w:left="0" w:hanging="2"/>
              <w:rPr>
                <w:sz w:val="20"/>
                <w:szCs w:val="20"/>
              </w:rPr>
            </w:pPr>
            <w:r>
              <w:rPr>
                <w:b/>
                <w:sz w:val="20"/>
                <w:szCs w:val="20"/>
              </w:rPr>
              <w:t>X</w:t>
            </w:r>
          </w:p>
        </w:tc>
        <w:tc>
          <w:tcPr>
            <w:tcW w:w="1281" w:type="dxa"/>
          </w:tcPr>
          <w:p w14:paraId="40B440CE" w14:textId="77777777" w:rsidR="00A24FAD" w:rsidRDefault="00A24FAD">
            <w:pPr>
              <w:spacing w:after="0" w:line="360" w:lineRule="auto"/>
              <w:ind w:left="0" w:hanging="2"/>
              <w:rPr>
                <w:sz w:val="20"/>
                <w:szCs w:val="20"/>
              </w:rPr>
            </w:pPr>
          </w:p>
        </w:tc>
        <w:tc>
          <w:tcPr>
            <w:tcW w:w="1006" w:type="dxa"/>
          </w:tcPr>
          <w:p w14:paraId="5E26F97F" w14:textId="77777777" w:rsidR="00A24FAD" w:rsidRDefault="00A24FAD">
            <w:pPr>
              <w:spacing w:after="0" w:line="360" w:lineRule="auto"/>
              <w:ind w:left="0" w:hanging="2"/>
              <w:rPr>
                <w:sz w:val="20"/>
                <w:szCs w:val="20"/>
              </w:rPr>
            </w:pPr>
          </w:p>
        </w:tc>
        <w:tc>
          <w:tcPr>
            <w:tcW w:w="2111" w:type="dxa"/>
          </w:tcPr>
          <w:p w14:paraId="183E751A" w14:textId="77777777" w:rsidR="00A24FAD" w:rsidRDefault="00A24FAD">
            <w:pPr>
              <w:spacing w:after="0" w:line="360" w:lineRule="auto"/>
              <w:ind w:left="0" w:hanging="2"/>
              <w:rPr>
                <w:sz w:val="20"/>
                <w:szCs w:val="20"/>
              </w:rPr>
            </w:pPr>
          </w:p>
        </w:tc>
      </w:tr>
      <w:tr w:rsidR="00A24FAD" w14:paraId="799853EF" w14:textId="77777777">
        <w:tc>
          <w:tcPr>
            <w:tcW w:w="1359" w:type="dxa"/>
            <w:shd w:val="clear" w:color="auto" w:fill="EBF1DD"/>
          </w:tcPr>
          <w:p w14:paraId="5615B135" w14:textId="77777777" w:rsidR="00A24FAD" w:rsidRDefault="00A24FAD">
            <w:pPr>
              <w:spacing w:after="0" w:line="360" w:lineRule="auto"/>
              <w:ind w:left="0" w:hanging="2"/>
              <w:rPr>
                <w:sz w:val="20"/>
                <w:szCs w:val="20"/>
              </w:rPr>
            </w:pPr>
          </w:p>
        </w:tc>
        <w:tc>
          <w:tcPr>
            <w:tcW w:w="1283" w:type="dxa"/>
            <w:shd w:val="clear" w:color="auto" w:fill="EBF1DD"/>
          </w:tcPr>
          <w:p w14:paraId="193C2FFF" w14:textId="77777777" w:rsidR="00A24FAD" w:rsidRDefault="00D022AE">
            <w:pPr>
              <w:spacing w:after="0" w:line="360" w:lineRule="auto"/>
              <w:ind w:left="0" w:hanging="2"/>
              <w:rPr>
                <w:sz w:val="20"/>
                <w:szCs w:val="20"/>
              </w:rPr>
            </w:pPr>
            <w:r>
              <w:rPr>
                <w:sz w:val="20"/>
                <w:szCs w:val="20"/>
              </w:rPr>
              <w:t>Performance management</w:t>
            </w:r>
          </w:p>
        </w:tc>
        <w:tc>
          <w:tcPr>
            <w:tcW w:w="2537" w:type="dxa"/>
            <w:shd w:val="clear" w:color="auto" w:fill="EBF1DD"/>
          </w:tcPr>
          <w:p w14:paraId="350A1923" w14:textId="77777777" w:rsidR="00A24FAD" w:rsidRDefault="00D022AE">
            <w:pPr>
              <w:spacing w:after="0" w:line="360" w:lineRule="auto"/>
              <w:ind w:left="0" w:hanging="2"/>
              <w:rPr>
                <w:sz w:val="20"/>
                <w:szCs w:val="20"/>
              </w:rPr>
            </w:pPr>
            <w:r>
              <w:rPr>
                <w:b/>
                <w:sz w:val="20"/>
                <w:szCs w:val="20"/>
              </w:rPr>
              <w:t>------</w:t>
            </w:r>
          </w:p>
        </w:tc>
        <w:tc>
          <w:tcPr>
            <w:tcW w:w="1006" w:type="dxa"/>
            <w:shd w:val="clear" w:color="auto" w:fill="EBF1DD"/>
          </w:tcPr>
          <w:p w14:paraId="5F7322D6" w14:textId="77777777" w:rsidR="00A24FAD" w:rsidRDefault="00D022AE">
            <w:pPr>
              <w:spacing w:after="0" w:line="360" w:lineRule="auto"/>
              <w:ind w:left="0" w:hanging="2"/>
              <w:rPr>
                <w:sz w:val="20"/>
                <w:szCs w:val="20"/>
              </w:rPr>
            </w:pPr>
            <w:r>
              <w:rPr>
                <w:b/>
                <w:sz w:val="20"/>
                <w:szCs w:val="20"/>
              </w:rPr>
              <w:t>X</w:t>
            </w:r>
          </w:p>
        </w:tc>
        <w:tc>
          <w:tcPr>
            <w:tcW w:w="1281" w:type="dxa"/>
            <w:shd w:val="clear" w:color="auto" w:fill="EBF1DD"/>
          </w:tcPr>
          <w:p w14:paraId="5F0C64C0" w14:textId="77777777" w:rsidR="00A24FAD" w:rsidRDefault="00A24FAD">
            <w:pPr>
              <w:spacing w:after="0" w:line="360" w:lineRule="auto"/>
              <w:ind w:left="0" w:hanging="2"/>
              <w:rPr>
                <w:sz w:val="20"/>
                <w:szCs w:val="20"/>
              </w:rPr>
            </w:pPr>
          </w:p>
        </w:tc>
        <w:tc>
          <w:tcPr>
            <w:tcW w:w="1006" w:type="dxa"/>
            <w:shd w:val="clear" w:color="auto" w:fill="EBF1DD"/>
          </w:tcPr>
          <w:p w14:paraId="798200FF" w14:textId="77777777" w:rsidR="00A24FAD" w:rsidRDefault="00A24FAD">
            <w:pPr>
              <w:spacing w:after="0" w:line="360" w:lineRule="auto"/>
              <w:ind w:left="0" w:hanging="2"/>
              <w:rPr>
                <w:sz w:val="20"/>
                <w:szCs w:val="20"/>
              </w:rPr>
            </w:pPr>
          </w:p>
        </w:tc>
        <w:tc>
          <w:tcPr>
            <w:tcW w:w="2111" w:type="dxa"/>
            <w:shd w:val="clear" w:color="auto" w:fill="EBF1DD"/>
          </w:tcPr>
          <w:p w14:paraId="0B6D4262" w14:textId="77777777" w:rsidR="00A24FAD" w:rsidRDefault="00A24FAD">
            <w:pPr>
              <w:spacing w:after="0" w:line="360" w:lineRule="auto"/>
              <w:ind w:left="0" w:hanging="2"/>
              <w:rPr>
                <w:sz w:val="20"/>
                <w:szCs w:val="20"/>
              </w:rPr>
            </w:pPr>
          </w:p>
        </w:tc>
      </w:tr>
    </w:tbl>
    <w:p w14:paraId="63D8E9B7" w14:textId="77777777" w:rsidR="00A24FAD" w:rsidRDefault="00A24FAD">
      <w:pPr>
        <w:spacing w:after="0" w:line="360" w:lineRule="auto"/>
        <w:ind w:left="0" w:hanging="2"/>
      </w:pPr>
    </w:p>
    <w:p w14:paraId="138AEEEB" w14:textId="77777777" w:rsidR="00A24FAD" w:rsidRDefault="00D022AE">
      <w:pPr>
        <w:spacing w:after="0" w:line="360" w:lineRule="auto"/>
        <w:ind w:left="0" w:hanging="2"/>
      </w:pPr>
      <w:r>
        <w:rPr>
          <w:i/>
        </w:rPr>
        <w:t>Source: Author</w:t>
      </w:r>
    </w:p>
    <w:p w14:paraId="53FC7441" w14:textId="77777777" w:rsidR="00A24FAD" w:rsidRDefault="00A24FAD">
      <w:pPr>
        <w:spacing w:after="0" w:line="360" w:lineRule="auto"/>
        <w:ind w:left="0" w:hanging="2"/>
      </w:pPr>
      <w:bookmarkStart w:id="18" w:name="_heading=h.wbjkm0nylz08" w:colFirst="0" w:colLast="0"/>
      <w:bookmarkEnd w:id="18"/>
    </w:p>
    <w:p w14:paraId="1704B503" w14:textId="77777777" w:rsidR="00A24FAD" w:rsidRDefault="00D022AE">
      <w:pPr>
        <w:pStyle w:val="Heading2"/>
        <w:spacing w:before="0" w:line="360" w:lineRule="auto"/>
        <w:ind w:left="0" w:hanging="2"/>
      </w:pPr>
      <w:r>
        <w:t>The integrated framework</w:t>
      </w:r>
    </w:p>
    <w:p w14:paraId="2AA0EDF0" w14:textId="77777777" w:rsidR="00A24FAD" w:rsidRDefault="00D022AE">
      <w:pPr>
        <w:spacing w:after="0" w:line="360" w:lineRule="auto"/>
        <w:ind w:left="0" w:hanging="2"/>
      </w:pPr>
      <w:r>
        <w:t xml:space="preserve">The proposed integrated framework harmonises different governance provisions for different technologies that encompass drone technology in a specific context – in this case, the healthcare environment. In the absence of such a perspective, it becomes almost impossible to design a holistic drone governance framework for the healthcare environment. For a more holistic governance framework, contextual elements become worthy of consideration, including the technical and non-technical artifacts of drone use, as demonstrated in Figure 2. The study recommends a comprehensive drone governance framework that encompasses different layers, including the technical functionality of drones, the society in which drone use flourishes, and the ethical considerations informing propositions for drone regulation. </w:t>
      </w:r>
    </w:p>
    <w:p w14:paraId="7AD4CC5A" w14:textId="77777777" w:rsidR="00A24FAD" w:rsidRDefault="00A24FAD">
      <w:pPr>
        <w:spacing w:after="0" w:line="360" w:lineRule="auto"/>
        <w:ind w:left="0" w:hanging="2"/>
      </w:pPr>
    </w:p>
    <w:p w14:paraId="50B0936D" w14:textId="77777777" w:rsidR="00A24FAD" w:rsidRDefault="00D022AE">
      <w:pPr>
        <w:spacing w:after="0" w:line="360" w:lineRule="auto"/>
        <w:ind w:left="0" w:hanging="2"/>
        <w:jc w:val="both"/>
      </w:pPr>
      <w:r>
        <w:rPr>
          <w:i/>
        </w:rPr>
        <w:t>Figure 2. The Integrated Framework</w:t>
      </w:r>
    </w:p>
    <w:p w14:paraId="2114AAD2" w14:textId="77777777" w:rsidR="00A24FAD" w:rsidRDefault="00A24FAD">
      <w:pPr>
        <w:spacing w:after="0" w:line="360" w:lineRule="auto"/>
        <w:ind w:left="0" w:hanging="2"/>
        <w:jc w:val="both"/>
      </w:pPr>
    </w:p>
    <w:p w14:paraId="30E9F52F" w14:textId="77777777" w:rsidR="00A24FAD" w:rsidRDefault="00A24FAD">
      <w:pPr>
        <w:spacing w:after="0" w:line="360" w:lineRule="auto"/>
        <w:ind w:left="0" w:hanging="2"/>
        <w:jc w:val="both"/>
      </w:pPr>
    </w:p>
    <w:p w14:paraId="1A6FDD13" w14:textId="77777777" w:rsidR="00A24FAD" w:rsidRDefault="00A24FAD">
      <w:pPr>
        <w:spacing w:after="0" w:line="360" w:lineRule="auto"/>
        <w:ind w:left="0" w:hanging="2"/>
        <w:jc w:val="both"/>
      </w:pPr>
    </w:p>
    <w:p w14:paraId="5080E2F0" w14:textId="77777777" w:rsidR="00A24FAD" w:rsidRDefault="00D022AE">
      <w:pPr>
        <w:spacing w:after="0" w:line="360" w:lineRule="auto"/>
        <w:ind w:left="0" w:hanging="2"/>
        <w:jc w:val="both"/>
      </w:pPr>
      <w:r>
        <w:rPr>
          <w:i/>
        </w:rPr>
        <w:t xml:space="preserve">Source: Author’s </w:t>
      </w:r>
    </w:p>
    <w:p w14:paraId="7B8F0480" w14:textId="77777777" w:rsidR="00A24FAD" w:rsidRDefault="00A24FAD">
      <w:pPr>
        <w:spacing w:after="0" w:line="360" w:lineRule="auto"/>
        <w:ind w:left="0" w:hanging="2"/>
      </w:pPr>
    </w:p>
    <w:p w14:paraId="38AC913F" w14:textId="77777777" w:rsidR="00A24FAD" w:rsidRDefault="00D022AE">
      <w:pPr>
        <w:spacing w:after="0" w:line="360" w:lineRule="auto"/>
        <w:ind w:left="0" w:hanging="2"/>
      </w:pPr>
      <w:r>
        <w:rPr>
          <w:b/>
          <w:i/>
        </w:rPr>
        <w:t>The drone technology functionality layer</w:t>
      </w:r>
    </w:p>
    <w:p w14:paraId="4F4CE358" w14:textId="77777777" w:rsidR="00A24FAD" w:rsidRDefault="00D022AE">
      <w:pPr>
        <w:spacing w:after="0" w:line="360" w:lineRule="auto"/>
        <w:ind w:left="0" w:hanging="2"/>
      </w:pPr>
      <w:r>
        <w:t>The drone technology functionality layer comprises the drone governance component that focuses on regulating drone data collection, data transmission and data storage. Privacy and security of patient data can be compromised at the functional level. Drones can perceive their environment, independently process patient data, and store it in cloud spaces. Healthcare-</w:t>
      </w:r>
      <w:r>
        <w:lastRenderedPageBreak/>
        <w:t xml:space="preserve">expert oversight of a drone’s perceptions of its environment and the actions it takes thereafter become crucial. </w:t>
      </w:r>
    </w:p>
    <w:p w14:paraId="53BA8F6B" w14:textId="77777777" w:rsidR="00A24FAD" w:rsidRDefault="00A24FAD">
      <w:pPr>
        <w:spacing w:after="0" w:line="360" w:lineRule="auto"/>
        <w:ind w:left="0" w:hanging="2"/>
      </w:pPr>
    </w:p>
    <w:p w14:paraId="371CDDA7" w14:textId="77777777" w:rsidR="00A24FAD" w:rsidRDefault="00D022AE">
      <w:pPr>
        <w:spacing w:after="0" w:line="360" w:lineRule="auto"/>
        <w:ind w:left="0" w:hanging="2"/>
      </w:pPr>
      <w:r>
        <w:rPr>
          <w:b/>
          <w:i/>
        </w:rPr>
        <w:t>Drone socio-ethics layer</w:t>
      </w:r>
    </w:p>
    <w:p w14:paraId="69702B14" w14:textId="77777777" w:rsidR="00A24FAD" w:rsidRDefault="00D022AE">
      <w:pPr>
        <w:spacing w:after="0" w:line="360" w:lineRule="auto"/>
        <w:ind w:left="0" w:hanging="2"/>
      </w:pPr>
      <w:r>
        <w:t xml:space="preserve">The drone socio-ethics layer focuses on the external facets of the overall drone governance process. This component of the framework includes drone ethics, drone societal impact considerations, and other drone laws and regulations. </w:t>
      </w:r>
    </w:p>
    <w:p w14:paraId="0F318F30" w14:textId="77777777" w:rsidR="00A24FAD" w:rsidRDefault="00A24FAD">
      <w:pPr>
        <w:spacing w:after="0" w:line="360" w:lineRule="auto"/>
        <w:ind w:left="0" w:hanging="2"/>
      </w:pPr>
    </w:p>
    <w:p w14:paraId="7B4ECDA5" w14:textId="77777777" w:rsidR="00A24FAD" w:rsidRDefault="00D022AE">
      <w:pPr>
        <w:spacing w:after="0" w:line="360" w:lineRule="auto"/>
        <w:ind w:left="0" w:hanging="2"/>
      </w:pPr>
      <w:r>
        <w:rPr>
          <w:b/>
          <w:i/>
        </w:rPr>
        <w:t>Drone regulation outcomes layer</w:t>
      </w:r>
    </w:p>
    <w:p w14:paraId="19342F66" w14:textId="77777777" w:rsidR="00A24FAD" w:rsidRDefault="00D022AE">
      <w:pPr>
        <w:spacing w:after="0" w:line="360" w:lineRule="auto"/>
        <w:ind w:left="0" w:hanging="2"/>
      </w:pPr>
      <w:r>
        <w:t>The drone relation outcomes layer is intended to measure the influence of drone governance on drone value delivery to public healthcare, drone usage strategic alignment to healthcare provision strategy, drone risk management, and drone performance management.</w:t>
      </w:r>
    </w:p>
    <w:p w14:paraId="020B2AA9" w14:textId="77777777" w:rsidR="00A24FAD" w:rsidRDefault="00A24FAD">
      <w:pPr>
        <w:spacing w:after="0" w:line="360" w:lineRule="auto"/>
        <w:ind w:left="0" w:hanging="2"/>
      </w:pPr>
    </w:p>
    <w:p w14:paraId="01703744" w14:textId="77777777" w:rsidR="00A24FAD" w:rsidRDefault="00D022AE">
      <w:pPr>
        <w:spacing w:after="0" w:line="360" w:lineRule="auto"/>
        <w:ind w:left="0" w:hanging="2"/>
      </w:pPr>
      <w:r>
        <w:rPr>
          <w:b/>
          <w:i/>
        </w:rPr>
        <w:t>Drone governance establishments layer</w:t>
      </w:r>
    </w:p>
    <w:p w14:paraId="4904E314" w14:textId="77777777" w:rsidR="00A24FAD" w:rsidRDefault="00D022AE">
      <w:pPr>
        <w:spacing w:after="0" w:line="360" w:lineRule="auto"/>
        <w:ind w:left="0" w:hanging="2"/>
      </w:pPr>
      <w:r>
        <w:t>The proposed framework seeks to embed AI governance through the establishment of AI governance structures, processes and relational mechanisms. Such establishments should be able to implement AI governance and track the outcomes of the AI governance initiatives.</w:t>
      </w:r>
    </w:p>
    <w:p w14:paraId="5B8849A7" w14:textId="77777777" w:rsidR="00A24FAD" w:rsidRDefault="00A24FAD">
      <w:pPr>
        <w:spacing w:after="0" w:line="360" w:lineRule="auto"/>
        <w:ind w:left="0" w:hanging="2"/>
      </w:pPr>
    </w:p>
    <w:p w14:paraId="167E7F23" w14:textId="77777777" w:rsidR="00A24FAD" w:rsidRDefault="00D022AE">
      <w:pPr>
        <w:spacing w:after="0" w:line="360" w:lineRule="auto"/>
        <w:ind w:left="0" w:hanging="2"/>
      </w:pPr>
      <w:r>
        <w:rPr>
          <w:b/>
        </w:rPr>
        <w:t>Implications for research, practice, and society</w:t>
      </w:r>
    </w:p>
    <w:p w14:paraId="0DE011AC" w14:textId="77777777" w:rsidR="00A24FAD" w:rsidRDefault="00D022AE">
      <w:pPr>
        <w:spacing w:after="0" w:line="360" w:lineRule="auto"/>
        <w:ind w:left="0" w:hanging="2"/>
      </w:pPr>
      <w:r>
        <w:t>The study findings offer an opportunity for recommendations to be made to drone regulators, drone policy implementers and drone technology adoption decision-makers in healthcare. These stakeholders are informed about the holistic governance framework for drone adoption and use in the provision of healthcare services. Due to the differences in drones and aircraft in terms of their operations and the data collection involved, this study argues that a blanket approach to the regulatory framework and guiding policy is not suitable. Furthermore, this study serves to ignite scholarly conversations around drone technology governance, in an environment characterised by a ‘leapfrogging’ approach to technological innovation adoption. Leapfrogging typically occurs when there is a lack of regulatory frameworks for associated technological innovations. Therefore, future scholars will have a foundation to further the drone governance phenomenon.</w:t>
      </w:r>
    </w:p>
    <w:p w14:paraId="6812B08C" w14:textId="77777777" w:rsidR="00A24FAD" w:rsidRDefault="00A24FAD">
      <w:pPr>
        <w:spacing w:after="0" w:line="360" w:lineRule="auto"/>
        <w:ind w:left="0" w:hanging="2"/>
        <w:rPr>
          <w:rFonts w:ascii="Verdana" w:eastAsia="Verdana" w:hAnsi="Verdana" w:cs="Verdana"/>
          <w:color w:val="000000"/>
          <w:sz w:val="20"/>
          <w:szCs w:val="20"/>
          <w:shd w:val="clear" w:color="auto" w:fill="EFF2F6"/>
        </w:rPr>
      </w:pPr>
    </w:p>
    <w:p w14:paraId="300BEC7D" w14:textId="77777777" w:rsidR="00A24FAD" w:rsidRDefault="00D022AE">
      <w:pPr>
        <w:spacing w:after="0" w:line="360" w:lineRule="auto"/>
        <w:ind w:left="0" w:hanging="2"/>
      </w:pPr>
      <w:r>
        <w:rPr>
          <w:b/>
        </w:rPr>
        <w:t>Future work</w:t>
      </w:r>
    </w:p>
    <w:p w14:paraId="547C3407" w14:textId="77777777" w:rsidR="00A24FAD" w:rsidRDefault="00D022AE">
      <w:pPr>
        <w:spacing w:after="0" w:line="360" w:lineRule="auto"/>
        <w:ind w:left="0" w:hanging="2"/>
      </w:pPr>
      <w:r>
        <w:t>Technological innovations in information systems are highly contextual (</w:t>
      </w:r>
      <w:r>
        <w:rPr>
          <w:color w:val="222222"/>
          <w:highlight w:val="white"/>
        </w:rPr>
        <w:t>Avgerou, 2001; Cho et al., 2008; Jeyaraj and Sabherwal, 2008; Mangundu, 2023</w:t>
      </w:r>
      <w:r>
        <w:t xml:space="preserve">). As such, future studies could </w:t>
      </w:r>
      <w:r>
        <w:lastRenderedPageBreak/>
        <w:t>borrow the framework developed in this research and apply it to different African contexts or countries that are driving drone use and drone regulatory framework design. The framework proposed in this study could be further tested and validated through interviews with interested drone policymakers in the healthcare sectors.</w:t>
      </w:r>
    </w:p>
    <w:p w14:paraId="3BE4C85C" w14:textId="77777777" w:rsidR="00A24FAD" w:rsidRDefault="00A24FAD">
      <w:pPr>
        <w:spacing w:after="0" w:line="360" w:lineRule="auto"/>
        <w:ind w:left="0" w:hanging="2"/>
      </w:pPr>
      <w:bookmarkStart w:id="19" w:name="_heading=h.asbkgwxoikyx" w:colFirst="0" w:colLast="0"/>
      <w:bookmarkEnd w:id="19"/>
    </w:p>
    <w:p w14:paraId="52E746C4" w14:textId="77777777" w:rsidR="00A24FAD" w:rsidRDefault="00D022AE">
      <w:pPr>
        <w:pStyle w:val="Heading1"/>
        <w:spacing w:before="0" w:line="360" w:lineRule="auto"/>
        <w:ind w:left="0" w:hanging="2"/>
      </w:pPr>
      <w:r>
        <w:t>Conclusion</w:t>
      </w:r>
    </w:p>
    <w:p w14:paraId="0D92A2C6" w14:textId="77777777" w:rsidR="00A24FAD" w:rsidRDefault="00D022AE">
      <w:pPr>
        <w:spacing w:after="0" w:line="360" w:lineRule="auto"/>
        <w:ind w:left="0" w:hanging="2"/>
      </w:pPr>
      <w:r>
        <w:t xml:space="preserve">This chapter aimed to discuss drone governance mechanisms in African healthcare, with specific attention given to developing and recommending a drone technology governance framework for the healthcare sector in Africa. The findings revealed that in </w:t>
      </w:r>
      <w:r>
        <w:rPr>
          <w:color w:val="0D0D0D"/>
        </w:rPr>
        <w:t xml:space="preserve">general, aviation regulations are adapted to fit the drone governance space, without contextual analysis and despite not being fit for purpose. </w:t>
      </w:r>
      <w:r>
        <w:t>The existing governance framework falls short of important governance elements in the IT field. Therefore, t</w:t>
      </w:r>
      <w:r>
        <w:rPr>
          <w:color w:val="0D0D0D"/>
        </w:rPr>
        <w:t>his chapter argues that aviation regulations are inadequate for adoption in the governance of drone technology. Considering these arguments, this chapter developed and recommended a more suitable drone governance framework for the healthcare environment.</w:t>
      </w:r>
      <w:r>
        <w:t xml:space="preserve"> The framework evaluation comprises four sections: first, a description of the existing drone governance framework; second, an evaluation of the existing framework against the established IT governance framework; third, an evaluation of the existing drone governance framework against the healthcare governance imperatives; and fourth, the development of a new framework. Empirical research is strongly encouraged to determine the inhibitors to drone governance mechanism implementation in different African sectors. </w:t>
      </w:r>
    </w:p>
    <w:p w14:paraId="4D7B4A0A" w14:textId="77777777" w:rsidR="00A24FAD" w:rsidRDefault="00A24FAD">
      <w:pPr>
        <w:spacing w:after="0" w:line="360" w:lineRule="auto"/>
        <w:ind w:left="0" w:hanging="2"/>
      </w:pPr>
      <w:bookmarkStart w:id="20" w:name="_heading=h.8rkcdnhzv6fz" w:colFirst="0" w:colLast="0"/>
      <w:bookmarkEnd w:id="20"/>
    </w:p>
    <w:p w14:paraId="0DD43FBF" w14:textId="77777777" w:rsidR="00A24FAD" w:rsidRDefault="00D022AE">
      <w:pPr>
        <w:pStyle w:val="Heading1"/>
        <w:spacing w:before="0" w:line="360" w:lineRule="auto"/>
        <w:ind w:left="0" w:hanging="2"/>
      </w:pPr>
      <w:r>
        <w:t>References</w:t>
      </w:r>
    </w:p>
    <w:p w14:paraId="229E3B42" w14:textId="77777777" w:rsidR="00A24FAD" w:rsidRDefault="00D022AE">
      <w:pPr>
        <w:spacing w:after="0" w:line="360" w:lineRule="auto"/>
        <w:ind w:left="0" w:hanging="2"/>
      </w:pPr>
      <w:r>
        <w:rPr>
          <w:color w:val="222222"/>
          <w:highlight w:val="white"/>
        </w:rPr>
        <w:t xml:space="preserve">Ackerman, E. and Strickland, E. (2018). Medical delivery drones take flight in East Africa. </w:t>
      </w:r>
      <w:r>
        <w:rPr>
          <w:i/>
          <w:color w:val="222222"/>
          <w:highlight w:val="white"/>
        </w:rPr>
        <w:t>IEEE Spectrum</w:t>
      </w:r>
      <w:r>
        <w:rPr>
          <w:color w:val="222222"/>
          <w:highlight w:val="white"/>
        </w:rPr>
        <w:t xml:space="preserve">, </w:t>
      </w:r>
      <w:r>
        <w:rPr>
          <w:i/>
          <w:color w:val="222222"/>
          <w:highlight w:val="white"/>
        </w:rPr>
        <w:t>55</w:t>
      </w:r>
      <w:r>
        <w:rPr>
          <w:color w:val="222222"/>
          <w:highlight w:val="white"/>
        </w:rPr>
        <w:t xml:space="preserve">(1), 34-35. </w:t>
      </w:r>
      <w:hyperlink r:id="rId11">
        <w:r>
          <w:rPr>
            <w:color w:val="0000FF"/>
            <w:highlight w:val="white"/>
            <w:u w:val="single"/>
          </w:rPr>
          <w:t>https://doi.org/10.1109/mspec.2018.8241731</w:t>
        </w:r>
      </w:hyperlink>
    </w:p>
    <w:p w14:paraId="2B5427A6" w14:textId="77777777" w:rsidR="00A24FAD" w:rsidRDefault="00D022AE">
      <w:pPr>
        <w:spacing w:after="0" w:line="360" w:lineRule="auto"/>
        <w:ind w:left="0" w:hanging="2"/>
        <w:rPr>
          <w:color w:val="222222"/>
          <w:highlight w:val="white"/>
        </w:rPr>
      </w:pPr>
      <w:r>
        <w:rPr>
          <w:color w:val="222222"/>
          <w:highlight w:val="white"/>
        </w:rPr>
        <w:t>Adu-Gyamfi, S., Gyasi, R. M., &amp; Darkwa, B. D. (2021). Historicizing medical drones in Africa: A focus on Ghana. </w:t>
      </w:r>
      <w:r>
        <w:rPr>
          <w:i/>
          <w:color w:val="222222"/>
          <w:highlight w:val="white"/>
        </w:rPr>
        <w:t>History of Sscience and Ttechnology</w:t>
      </w:r>
      <w:r>
        <w:rPr>
          <w:color w:val="222222"/>
          <w:highlight w:val="white"/>
        </w:rPr>
        <w:t>, </w:t>
      </w:r>
      <w:r>
        <w:rPr>
          <w:i/>
          <w:color w:val="222222"/>
          <w:highlight w:val="white"/>
        </w:rPr>
        <w:t>11</w:t>
      </w:r>
      <w:r>
        <w:rPr>
          <w:color w:val="222222"/>
          <w:highlight w:val="white"/>
        </w:rPr>
        <w:t>(1), 103-125. https://doi.org/10.32703/2415-7422-2021-11-1-103-125</w:t>
      </w:r>
    </w:p>
    <w:p w14:paraId="5681C885" w14:textId="77777777" w:rsidR="00A24FAD" w:rsidRDefault="00D022AE">
      <w:pPr>
        <w:spacing w:after="0" w:line="360" w:lineRule="auto"/>
        <w:ind w:left="0" w:hanging="2"/>
        <w:rPr>
          <w:color w:val="222222"/>
          <w:highlight w:val="white"/>
        </w:rPr>
      </w:pPr>
      <w:r>
        <w:rPr>
          <w:color w:val="222222"/>
          <w:highlight w:val="white"/>
        </w:rPr>
        <w:t xml:space="preserve">Ahmed, H. A. S., Ali, M. H., Kadhum, L. M., Zolkipli, M. F. &amp; Alsariera, Y. A. (2017). A review of challenges and security risks of cloud computing. </w:t>
      </w:r>
      <w:r>
        <w:rPr>
          <w:i/>
          <w:color w:val="222222"/>
          <w:highlight w:val="white"/>
        </w:rPr>
        <w:t>Journal of Telecommunication, Electronic and Computer Engineering (JTEC)</w:t>
      </w:r>
      <w:r>
        <w:rPr>
          <w:color w:val="222222"/>
          <w:highlight w:val="white"/>
        </w:rPr>
        <w:t xml:space="preserve">, </w:t>
      </w:r>
      <w:r>
        <w:rPr>
          <w:i/>
          <w:color w:val="222222"/>
          <w:highlight w:val="white"/>
        </w:rPr>
        <w:t>9</w:t>
      </w:r>
      <w:r>
        <w:rPr>
          <w:color w:val="222222"/>
          <w:highlight w:val="white"/>
        </w:rPr>
        <w:t>(1-2), 87-91.</w:t>
      </w:r>
    </w:p>
    <w:p w14:paraId="4BF67F84" w14:textId="77777777" w:rsidR="00A24FAD" w:rsidRDefault="00D022AE">
      <w:pPr>
        <w:spacing w:after="0" w:line="360" w:lineRule="auto"/>
        <w:ind w:left="0" w:hanging="2"/>
        <w:rPr>
          <w:color w:val="222222"/>
          <w:highlight w:val="white"/>
        </w:rPr>
      </w:pPr>
      <w:r>
        <w:rPr>
          <w:color w:val="222222"/>
          <w:highlight w:val="white"/>
        </w:rPr>
        <w:t xml:space="preserve">Allum, N., &amp; Arber, S. (2008). Secondary analysis of survey data. In </w:t>
      </w:r>
      <w:r>
        <w:rPr>
          <w:i/>
          <w:color w:val="222222"/>
          <w:highlight w:val="white"/>
        </w:rPr>
        <w:t>Researching Social Life</w:t>
      </w:r>
      <w:r>
        <w:rPr>
          <w:color w:val="222222"/>
          <w:highlight w:val="white"/>
        </w:rPr>
        <w:t xml:space="preserve"> (pp. 372-393). Sage.</w:t>
      </w:r>
    </w:p>
    <w:p w14:paraId="4A86C5B1" w14:textId="77777777" w:rsidR="00A24FAD" w:rsidRDefault="00D022AE">
      <w:pPr>
        <w:spacing w:after="0" w:line="360" w:lineRule="auto"/>
        <w:ind w:left="0" w:hanging="2"/>
        <w:rPr>
          <w:color w:val="0000FF"/>
          <w:u w:val="single"/>
        </w:rPr>
      </w:pPr>
      <w:r>
        <w:lastRenderedPageBreak/>
        <w:t xml:space="preserve">Alsamarraie, M., Ghazali, F., Hatem, Z. M. &amp; Flaih, A. Y. (2022). A review on the benefits, barriers of the drone employment in the construction site. </w:t>
      </w:r>
      <w:r>
        <w:rPr>
          <w:i/>
        </w:rPr>
        <w:t>Jurnal Teknologi</w:t>
      </w:r>
      <w:r>
        <w:t xml:space="preserve">, </w:t>
      </w:r>
      <w:r>
        <w:rPr>
          <w:i/>
        </w:rPr>
        <w:t>84</w:t>
      </w:r>
      <w:r>
        <w:t xml:space="preserve">(2), 121-131. </w:t>
      </w:r>
      <w:hyperlink r:id="rId12">
        <w:r>
          <w:rPr>
            <w:color w:val="0000FF"/>
            <w:u w:val="single"/>
          </w:rPr>
          <w:t>https://doi.org/10.11113/jurnalteknologi.v84.17503</w:t>
        </w:r>
      </w:hyperlink>
    </w:p>
    <w:p w14:paraId="2F5AEFDE" w14:textId="77777777" w:rsidR="00A24FAD" w:rsidRDefault="00D022AE">
      <w:pPr>
        <w:spacing w:after="0" w:line="360" w:lineRule="auto"/>
        <w:ind w:left="0" w:hanging="2"/>
      </w:pPr>
      <w:r>
        <w:t xml:space="preserve">Asiedu, K. G. (2019). </w:t>
      </w:r>
      <w:r>
        <w:rPr>
          <w:i/>
        </w:rPr>
        <w:t>An ambitious drone delivery health service in Ghana is tackling key logistics challenges</w:t>
      </w:r>
      <w:r>
        <w:t xml:space="preserve">. https://qz.com/africa/1604374/ziplines-drone-delivery-launches-in-ghana-with-vaccines/ </w:t>
      </w:r>
    </w:p>
    <w:p w14:paraId="4EB0E5F3" w14:textId="77777777" w:rsidR="00A24FAD" w:rsidRDefault="00D022AE">
      <w:pPr>
        <w:spacing w:after="0" w:line="360" w:lineRule="auto"/>
        <w:ind w:left="0" w:hanging="2"/>
        <w:rPr>
          <w:color w:val="222222"/>
          <w:highlight w:val="white"/>
        </w:rPr>
      </w:pPr>
      <w:r>
        <w:rPr>
          <w:color w:val="222222"/>
          <w:highlight w:val="white"/>
        </w:rPr>
        <w:t xml:space="preserve">Avgerou, C. (2001). The significance of context in information systems and organizational change. </w:t>
      </w:r>
      <w:r>
        <w:rPr>
          <w:i/>
          <w:color w:val="222222"/>
          <w:highlight w:val="white"/>
        </w:rPr>
        <w:t>Information Systems Journal</w:t>
      </w:r>
      <w:r>
        <w:rPr>
          <w:color w:val="222222"/>
          <w:highlight w:val="white"/>
        </w:rPr>
        <w:t xml:space="preserve">, </w:t>
      </w:r>
      <w:r>
        <w:rPr>
          <w:i/>
          <w:color w:val="222222"/>
          <w:highlight w:val="white"/>
        </w:rPr>
        <w:t>11</w:t>
      </w:r>
      <w:r>
        <w:rPr>
          <w:color w:val="222222"/>
          <w:highlight w:val="white"/>
        </w:rPr>
        <w:t xml:space="preserve">(1), 43-63. </w:t>
      </w:r>
      <w:hyperlink r:id="rId13">
        <w:r>
          <w:rPr>
            <w:color w:val="0000FF"/>
            <w:highlight w:val="white"/>
            <w:u w:val="single"/>
          </w:rPr>
          <w:t>https://doi.org/10.1046/j.1365-2575.2001.00095.x</w:t>
        </w:r>
      </w:hyperlink>
    </w:p>
    <w:p w14:paraId="73726DFF" w14:textId="77777777" w:rsidR="00A24FAD" w:rsidRDefault="00D022AE">
      <w:pPr>
        <w:spacing w:after="0" w:line="360" w:lineRule="auto"/>
        <w:ind w:left="0" w:hanging="2"/>
        <w:rPr>
          <w:color w:val="0000FF"/>
          <w:u w:val="single"/>
        </w:rPr>
      </w:pPr>
      <w:r>
        <w:rPr>
          <w:color w:val="222222"/>
          <w:highlight w:val="white"/>
        </w:rPr>
        <w:t xml:space="preserve">Ayamga, M., Akaba, S. &amp; Nyaaba, A. A. (2021a). Multifaceted applicability of drones: A review. </w:t>
      </w:r>
      <w:r>
        <w:rPr>
          <w:i/>
          <w:color w:val="222222"/>
          <w:highlight w:val="white"/>
        </w:rPr>
        <w:t>Technological Forecasting and Social Change</w:t>
      </w:r>
      <w:r>
        <w:rPr>
          <w:color w:val="222222"/>
          <w:highlight w:val="white"/>
        </w:rPr>
        <w:t xml:space="preserve">, </w:t>
      </w:r>
      <w:r>
        <w:rPr>
          <w:i/>
          <w:color w:val="222222"/>
          <w:highlight w:val="white"/>
        </w:rPr>
        <w:t>167</w:t>
      </w:r>
      <w:r>
        <w:rPr>
          <w:color w:val="222222"/>
          <w:highlight w:val="white"/>
        </w:rPr>
        <w:t xml:space="preserve">, 120677. </w:t>
      </w:r>
      <w:hyperlink r:id="rId14">
        <w:r>
          <w:rPr>
            <w:color w:val="0000FF"/>
            <w:u w:val="single"/>
          </w:rPr>
          <w:t>https://doi.org/10.1016/j.techfore.2021.120677</w:t>
        </w:r>
      </w:hyperlink>
    </w:p>
    <w:p w14:paraId="07F2BDDC" w14:textId="77777777" w:rsidR="00A24FAD" w:rsidRDefault="00D022AE">
      <w:pPr>
        <w:spacing w:after="0" w:line="360" w:lineRule="auto"/>
        <w:ind w:left="0" w:hanging="2"/>
        <w:rPr>
          <w:color w:val="0000FF"/>
          <w:highlight w:val="white"/>
          <w:u w:val="single"/>
        </w:rPr>
      </w:pPr>
      <w:r>
        <w:rPr>
          <w:color w:val="222222"/>
          <w:highlight w:val="white"/>
        </w:rPr>
        <w:t xml:space="preserve">Ayamga, M., Tekinerdogan, B., Kassahun, A. &amp; Rambaldi, G. (2021b). Developing a policy framework for adoption and management of drones for agriculture in Africa. </w:t>
      </w:r>
      <w:r>
        <w:rPr>
          <w:i/>
          <w:color w:val="222222"/>
          <w:highlight w:val="white"/>
        </w:rPr>
        <w:t>Technology Analysis &amp; Strategic Management</w:t>
      </w:r>
      <w:r>
        <w:rPr>
          <w:color w:val="222222"/>
          <w:highlight w:val="white"/>
        </w:rPr>
        <w:t xml:space="preserve">, </w:t>
      </w:r>
      <w:r>
        <w:rPr>
          <w:i/>
          <w:color w:val="222222"/>
          <w:highlight w:val="white"/>
        </w:rPr>
        <w:t>33</w:t>
      </w:r>
      <w:r>
        <w:rPr>
          <w:color w:val="222222"/>
          <w:highlight w:val="white"/>
        </w:rPr>
        <w:t xml:space="preserve">(8), 970-987. </w:t>
      </w:r>
      <w:hyperlink r:id="rId15">
        <w:r>
          <w:rPr>
            <w:color w:val="0000FF"/>
            <w:highlight w:val="white"/>
            <w:u w:val="single"/>
          </w:rPr>
          <w:t>https://doi.org/10.1080/09537325.2020.1858047</w:t>
        </w:r>
      </w:hyperlink>
    </w:p>
    <w:p w14:paraId="066A5BE5" w14:textId="77777777" w:rsidR="00A24FAD" w:rsidRDefault="00D022AE">
      <w:pPr>
        <w:spacing w:after="0" w:line="360" w:lineRule="auto"/>
        <w:ind w:left="0" w:hanging="2"/>
        <w:rPr>
          <w:color w:val="0000FF"/>
          <w:highlight w:val="white"/>
          <w:u w:val="single"/>
        </w:rPr>
      </w:pPr>
      <w:r>
        <w:rPr>
          <w:color w:val="222222"/>
          <w:highlight w:val="white"/>
        </w:rPr>
        <w:t xml:space="preserve">Bolte, J. A., Bar, A., Lipinski, D. &amp; Fingscheidt, T. (2019). Towards corner case detection for autonomous driving. In </w:t>
      </w:r>
      <w:r>
        <w:rPr>
          <w:i/>
          <w:color w:val="222222"/>
          <w:highlight w:val="white"/>
        </w:rPr>
        <w:t>2019 IEEE Intelligent Vehicles Symposium (IV)</w:t>
      </w:r>
      <w:r>
        <w:rPr>
          <w:color w:val="222222"/>
          <w:highlight w:val="white"/>
        </w:rPr>
        <w:t xml:space="preserve"> (pp. 438-445). IEEE. </w:t>
      </w:r>
      <w:hyperlink r:id="rId16">
        <w:r>
          <w:rPr>
            <w:color w:val="0000FF"/>
            <w:highlight w:val="white"/>
            <w:u w:val="single"/>
          </w:rPr>
          <w:t>https://doi.org/10.1109/ivs.2019.8813817</w:t>
        </w:r>
      </w:hyperlink>
    </w:p>
    <w:p w14:paraId="395411CB" w14:textId="77777777" w:rsidR="00A24FAD" w:rsidRDefault="00D022AE">
      <w:pPr>
        <w:spacing w:after="0" w:line="360" w:lineRule="auto"/>
        <w:ind w:left="0" w:hanging="2"/>
        <w:rPr>
          <w:color w:val="222222"/>
        </w:rPr>
      </w:pPr>
      <w:r>
        <w:rPr>
          <w:color w:val="222222"/>
          <w:highlight w:val="white"/>
        </w:rPr>
        <w:t xml:space="preserve">Cath, C., Wachter, S., Mittelstadt, B., Taddeo, M. &amp; Floridi, L. (2018). Artificial intelligence and the ‘good society’: The US, EU, and UK approach. </w:t>
      </w:r>
      <w:r>
        <w:rPr>
          <w:i/>
          <w:color w:val="222222"/>
          <w:highlight w:val="white"/>
        </w:rPr>
        <w:t>Science and Engineering Ethics</w:t>
      </w:r>
      <w:r>
        <w:rPr>
          <w:color w:val="222222"/>
          <w:highlight w:val="white"/>
        </w:rPr>
        <w:t xml:space="preserve">, </w:t>
      </w:r>
      <w:r>
        <w:rPr>
          <w:i/>
          <w:color w:val="222222"/>
          <w:highlight w:val="white"/>
        </w:rPr>
        <w:t>24</w:t>
      </w:r>
      <w:r>
        <w:rPr>
          <w:color w:val="222222"/>
          <w:highlight w:val="white"/>
        </w:rPr>
        <w:t xml:space="preserve">(2), 505-528. </w:t>
      </w:r>
      <w:hyperlink r:id="rId17">
        <w:r>
          <w:rPr>
            <w:color w:val="0000FF"/>
            <w:u w:val="single"/>
          </w:rPr>
          <w:t>https://doi.org/10.1007/s11948-017-9901-7</w:t>
        </w:r>
      </w:hyperlink>
    </w:p>
    <w:p w14:paraId="693B7C06" w14:textId="77777777" w:rsidR="00A24FAD" w:rsidRDefault="00D022AE">
      <w:pPr>
        <w:spacing w:after="0" w:line="360" w:lineRule="auto"/>
        <w:ind w:left="0" w:hanging="2"/>
        <w:rPr>
          <w:color w:val="222222"/>
          <w:highlight w:val="white"/>
        </w:rPr>
      </w:pPr>
      <w:r>
        <w:rPr>
          <w:color w:val="222222"/>
          <w:highlight w:val="white"/>
        </w:rPr>
        <w:t xml:space="preserve">Chiang, W. C., Li, Y., Shang, J. &amp; Urban, T. L. (2019). Impact of drone delivery on sustainability and cost: Realizing the UAV potential through vehicle routing optimization. </w:t>
      </w:r>
      <w:r>
        <w:rPr>
          <w:i/>
          <w:color w:val="222222"/>
          <w:highlight w:val="white"/>
        </w:rPr>
        <w:t>Applied Energy</w:t>
      </w:r>
      <w:r>
        <w:rPr>
          <w:color w:val="222222"/>
          <w:highlight w:val="white"/>
        </w:rPr>
        <w:t xml:space="preserve">, </w:t>
      </w:r>
      <w:r>
        <w:rPr>
          <w:i/>
          <w:color w:val="222222"/>
          <w:highlight w:val="white"/>
        </w:rPr>
        <w:t>242</w:t>
      </w:r>
      <w:r>
        <w:rPr>
          <w:color w:val="222222"/>
          <w:highlight w:val="white"/>
        </w:rPr>
        <w:t xml:space="preserve">, 1164-1175. </w:t>
      </w:r>
      <w:hyperlink r:id="rId18">
        <w:r>
          <w:rPr>
            <w:color w:val="0000FF"/>
            <w:highlight w:val="white"/>
            <w:u w:val="single"/>
          </w:rPr>
          <w:t>https://doi.org/10.1016/j.apenergy.2019.03.117</w:t>
        </w:r>
      </w:hyperlink>
    </w:p>
    <w:p w14:paraId="2A11E5DF" w14:textId="77777777" w:rsidR="00A24FAD" w:rsidRDefault="00D022AE">
      <w:pPr>
        <w:spacing w:after="0" w:line="360" w:lineRule="auto"/>
        <w:ind w:left="0" w:hanging="2"/>
        <w:rPr>
          <w:color w:val="222222"/>
          <w:highlight w:val="white"/>
        </w:rPr>
      </w:pPr>
      <w:r>
        <w:rPr>
          <w:color w:val="222222"/>
          <w:highlight w:val="white"/>
        </w:rPr>
        <w:t xml:space="preserve">Cho, S., Mathiassen, L. &amp; Nilsson, A. (2008). Contextual dynamics during health information systems implementation: an event-based actor-network approach. </w:t>
      </w:r>
      <w:r>
        <w:rPr>
          <w:i/>
          <w:color w:val="222222"/>
          <w:highlight w:val="white"/>
        </w:rPr>
        <w:t>European Journal of Information Systems</w:t>
      </w:r>
      <w:r>
        <w:rPr>
          <w:color w:val="222222"/>
          <w:highlight w:val="white"/>
        </w:rPr>
        <w:t xml:space="preserve">, </w:t>
      </w:r>
      <w:r>
        <w:rPr>
          <w:i/>
          <w:color w:val="222222"/>
          <w:highlight w:val="white"/>
        </w:rPr>
        <w:t>17</w:t>
      </w:r>
      <w:r>
        <w:rPr>
          <w:color w:val="222222"/>
          <w:highlight w:val="white"/>
        </w:rPr>
        <w:t xml:space="preserve">(6), 614-630. </w:t>
      </w:r>
      <w:hyperlink r:id="rId19">
        <w:r>
          <w:rPr>
            <w:color w:val="0000FF"/>
            <w:highlight w:val="white"/>
            <w:u w:val="single"/>
          </w:rPr>
          <w:t>https://doi.org/10.1057/ejis.2008.49</w:t>
        </w:r>
      </w:hyperlink>
    </w:p>
    <w:p w14:paraId="0BAC60E0" w14:textId="77777777" w:rsidR="00A24FAD" w:rsidRDefault="00D022AE">
      <w:pPr>
        <w:spacing w:after="0" w:line="360" w:lineRule="auto"/>
        <w:ind w:left="0" w:hanging="2"/>
      </w:pPr>
      <w:r>
        <w:t xml:space="preserve">Chun, A. &amp; Wai, H. (2007). Using AI for E-government automatic assessment of immigration application forms. In </w:t>
      </w:r>
      <w:r>
        <w:rPr>
          <w:i/>
        </w:rPr>
        <w:t>Proceedings of the National Conference on Artificial Intelligence, AAAI 2007, 2,</w:t>
      </w:r>
      <w:r>
        <w:t xml:space="preserve"> Vancouver, BC, Canada. pp. 1684-1691. </w:t>
      </w:r>
    </w:p>
    <w:p w14:paraId="6F0D2213" w14:textId="77777777" w:rsidR="00A24FAD" w:rsidRDefault="00D022AE">
      <w:pPr>
        <w:spacing w:after="0" w:line="360" w:lineRule="auto"/>
        <w:ind w:left="0" w:hanging="2"/>
      </w:pPr>
      <w:r>
        <w:t xml:space="preserve">Chun, A. &amp; Wai, H. (2008). An AI framework for the automatic assessment of E-government forms. </w:t>
      </w:r>
      <w:r>
        <w:rPr>
          <w:i/>
        </w:rPr>
        <w:t>AI Magazine, 29</w:t>
      </w:r>
      <w:r>
        <w:t>(1), 52-64.</w:t>
      </w:r>
    </w:p>
    <w:p w14:paraId="65E135A6" w14:textId="77777777" w:rsidR="00A24FAD" w:rsidRDefault="00D022AE">
      <w:pPr>
        <w:spacing w:after="0" w:line="360" w:lineRule="auto"/>
        <w:ind w:left="0" w:hanging="2"/>
        <w:rPr>
          <w:color w:val="222222"/>
          <w:highlight w:val="white"/>
        </w:rPr>
      </w:pPr>
      <w:r>
        <w:rPr>
          <w:color w:val="222222"/>
          <w:highlight w:val="white"/>
        </w:rPr>
        <w:lastRenderedPageBreak/>
        <w:t xml:space="preserve">Clarke, V. &amp; Braun, V. (2013). Teaching thematic analysis: Overcoming challenges and developing strategies for effective learning. </w:t>
      </w:r>
      <w:r>
        <w:rPr>
          <w:i/>
          <w:color w:val="222222"/>
          <w:highlight w:val="white"/>
        </w:rPr>
        <w:t>The Psychologist</w:t>
      </w:r>
      <w:r>
        <w:rPr>
          <w:color w:val="222222"/>
          <w:highlight w:val="white"/>
        </w:rPr>
        <w:t xml:space="preserve">, </w:t>
      </w:r>
      <w:r>
        <w:rPr>
          <w:i/>
          <w:color w:val="222222"/>
          <w:highlight w:val="white"/>
        </w:rPr>
        <w:t>26</w:t>
      </w:r>
      <w:r>
        <w:rPr>
          <w:color w:val="222222"/>
          <w:highlight w:val="white"/>
        </w:rPr>
        <w:t>(2), 120-123.</w:t>
      </w:r>
    </w:p>
    <w:p w14:paraId="0BD42029" w14:textId="77777777" w:rsidR="00A24FAD" w:rsidRDefault="00D022AE">
      <w:pPr>
        <w:spacing w:after="0" w:line="360" w:lineRule="auto"/>
        <w:ind w:left="0" w:hanging="2"/>
      </w:pPr>
      <w:r>
        <w:rPr>
          <w:color w:val="222222"/>
          <w:highlight w:val="white"/>
        </w:rPr>
        <w:t xml:space="preserve">Cummings, A. R., Cummings, G. R., Hamer, E., Moses, P., Norman, Z., Captain, V., Bento, R. &amp; Butler, K. (2017). Developing a UAV-based monitoring program with indigenous peoples. </w:t>
      </w:r>
      <w:r>
        <w:rPr>
          <w:i/>
          <w:color w:val="222222"/>
          <w:highlight w:val="white"/>
        </w:rPr>
        <w:t>Journal of Unmanned Vehicle Systems</w:t>
      </w:r>
      <w:r>
        <w:rPr>
          <w:color w:val="222222"/>
          <w:highlight w:val="white"/>
        </w:rPr>
        <w:t xml:space="preserve">, </w:t>
      </w:r>
      <w:r>
        <w:rPr>
          <w:i/>
          <w:color w:val="222222"/>
          <w:highlight w:val="white"/>
        </w:rPr>
        <w:t>5</w:t>
      </w:r>
      <w:r>
        <w:rPr>
          <w:color w:val="222222"/>
          <w:highlight w:val="white"/>
        </w:rPr>
        <w:t xml:space="preserve">(4), 115-125. </w:t>
      </w:r>
      <w:hyperlink r:id="rId20">
        <w:r>
          <w:rPr>
            <w:color w:val="0000FF"/>
            <w:highlight w:val="white"/>
            <w:u w:val="single"/>
          </w:rPr>
          <w:t>https://doi.org/10.1139/juvs-2016-0022</w:t>
        </w:r>
      </w:hyperlink>
    </w:p>
    <w:p w14:paraId="63E28C39" w14:textId="77777777" w:rsidR="00A24FAD" w:rsidRDefault="00D022AE">
      <w:pPr>
        <w:spacing w:after="0" w:line="360" w:lineRule="auto"/>
        <w:ind w:left="0" w:hanging="2"/>
      </w:pPr>
      <w:r>
        <w:rPr>
          <w:color w:val="000000"/>
          <w:highlight w:val="white"/>
        </w:rPr>
        <w:t>Demuyakor, J. (2020). Ghana go digital A</w:t>
      </w:r>
      <w:r>
        <w:rPr>
          <w:highlight w:val="white"/>
        </w:rPr>
        <w:t>a</w:t>
      </w:r>
      <w:r>
        <w:rPr>
          <w:color w:val="0000FF"/>
          <w:highlight w:val="white"/>
          <w:u w:val="single"/>
        </w:rPr>
        <w:t>genda: The impact of zipline drone technology on digital emergency health delivery in Ghana. </w:t>
      </w:r>
      <w:r>
        <w:rPr>
          <w:i/>
          <w:color w:val="0000FF"/>
          <w:highlight w:val="white"/>
          <w:u w:val="single"/>
        </w:rPr>
        <w:t>Humanities</w:t>
      </w:r>
      <w:r>
        <w:rPr>
          <w:color w:val="0000FF"/>
          <w:highlight w:val="white"/>
          <w:u w:val="single"/>
        </w:rPr>
        <w:t>, </w:t>
      </w:r>
      <w:r>
        <w:rPr>
          <w:i/>
          <w:color w:val="0000FF"/>
          <w:highlight w:val="white"/>
          <w:u w:val="single"/>
        </w:rPr>
        <w:t>8</w:t>
      </w:r>
      <w:r>
        <w:rPr>
          <w:color w:val="0000FF"/>
          <w:highlight w:val="white"/>
          <w:u w:val="single"/>
        </w:rPr>
        <w:t>(1), 242-253. https://doi.org/10.34293/sijash.v8i1.3301</w:t>
      </w:r>
    </w:p>
    <w:p w14:paraId="052A63EB" w14:textId="77777777" w:rsidR="00A24FAD" w:rsidRDefault="00D022AE">
      <w:pPr>
        <w:spacing w:after="0" w:line="360" w:lineRule="auto"/>
        <w:ind w:left="0" w:hanging="2"/>
        <w:rPr>
          <w:color w:val="0000FF"/>
          <w:u w:val="single"/>
        </w:rPr>
      </w:pPr>
      <w:r>
        <w:rPr>
          <w:color w:val="000000"/>
        </w:rPr>
        <w:t xml:space="preserve">Emimi , M., Khaleel, M., &amp; Alkrash , A. (2023). The </w:t>
      </w:r>
      <w:r>
        <w:t>current opportunities and challenges in drone technology</w:t>
      </w:r>
      <w:r>
        <w:rPr>
          <w:color w:val="000000"/>
        </w:rPr>
        <w:t xml:space="preserve"> . </w:t>
      </w:r>
      <w:r>
        <w:rPr>
          <w:i/>
          <w:color w:val="000000"/>
        </w:rPr>
        <w:t xml:space="preserve">Int. J. Electr. Eng. </w:t>
      </w:r>
      <w:r>
        <w:rPr>
          <w:i/>
        </w:rPr>
        <w:t>a</w:t>
      </w:r>
      <w:r>
        <w:rPr>
          <w:i/>
          <w:color w:val="0000FF"/>
          <w:u w:val="single"/>
        </w:rPr>
        <w:t>And Sustain.</w:t>
      </w:r>
      <w:r>
        <w:rPr>
          <w:color w:val="0000FF"/>
          <w:u w:val="single"/>
        </w:rPr>
        <w:t>, </w:t>
      </w:r>
      <w:r>
        <w:rPr>
          <w:i/>
          <w:color w:val="0000FF"/>
          <w:u w:val="single"/>
        </w:rPr>
        <w:t>1</w:t>
      </w:r>
      <w:r>
        <w:rPr>
          <w:color w:val="0000FF"/>
          <w:u w:val="single"/>
        </w:rPr>
        <w:t>(3), 74</w:t>
      </w:r>
      <w:r>
        <w:t>-</w:t>
      </w:r>
      <w:r>
        <w:rPr>
          <w:color w:val="0000FF"/>
          <w:u w:val="single"/>
        </w:rPr>
        <w:t>–89. Retrieved from https://ijees.org/index.php/ijees/article/view/47</w:t>
      </w:r>
    </w:p>
    <w:p w14:paraId="4647CF7D" w14:textId="77777777" w:rsidR="00A24FAD" w:rsidRDefault="00D022AE">
      <w:pPr>
        <w:spacing w:after="0" w:line="360" w:lineRule="auto"/>
        <w:ind w:left="0" w:hanging="2"/>
        <w:rPr>
          <w:color w:val="0000FF"/>
          <w:highlight w:val="white"/>
          <w:u w:val="single"/>
        </w:rPr>
      </w:pPr>
      <w:r>
        <w:rPr>
          <w:color w:val="222222"/>
          <w:highlight w:val="white"/>
        </w:rPr>
        <w:t xml:space="preserve">Fakhrulddin, S. S., Gharghan, S. K., Al-Naji, A. &amp; Chahl, J. (2019). An advanced first aid system based on an unmanned aerial vehicle and a wireless body area sensor network for elderly persons in outdoor environments. </w:t>
      </w:r>
      <w:r>
        <w:rPr>
          <w:i/>
          <w:color w:val="222222"/>
          <w:highlight w:val="white"/>
        </w:rPr>
        <w:t>Sensors</w:t>
      </w:r>
      <w:r>
        <w:rPr>
          <w:color w:val="222222"/>
          <w:highlight w:val="white"/>
        </w:rPr>
        <w:t xml:space="preserve">, </w:t>
      </w:r>
      <w:r>
        <w:rPr>
          <w:i/>
          <w:color w:val="222222"/>
          <w:highlight w:val="white"/>
        </w:rPr>
        <w:t>19</w:t>
      </w:r>
      <w:r>
        <w:rPr>
          <w:color w:val="222222"/>
          <w:highlight w:val="white"/>
        </w:rPr>
        <w:t xml:space="preserve">(13), 2955. </w:t>
      </w:r>
      <w:hyperlink r:id="rId21">
        <w:r>
          <w:rPr>
            <w:color w:val="0000FF"/>
            <w:highlight w:val="white"/>
            <w:u w:val="single"/>
          </w:rPr>
          <w:t>https://doi.org/10.3390/s19132955</w:t>
        </w:r>
      </w:hyperlink>
    </w:p>
    <w:p w14:paraId="4BEFD330" w14:textId="77777777" w:rsidR="00A24FAD" w:rsidRDefault="00D022AE">
      <w:pPr>
        <w:spacing w:after="0" w:line="360" w:lineRule="auto"/>
        <w:ind w:left="0" w:hanging="2"/>
        <w:rPr>
          <w:color w:val="0000FF"/>
          <w:u w:val="single"/>
        </w:rPr>
      </w:pPr>
      <w:r>
        <w:rPr>
          <w:color w:val="222222"/>
          <w:highlight w:val="white"/>
        </w:rPr>
        <w:t xml:space="preserve">Firlej, M. &amp; Taeihagh, A. (2021). Regulating human control over autonomous systems. </w:t>
      </w:r>
      <w:r>
        <w:rPr>
          <w:i/>
          <w:color w:val="222222"/>
          <w:highlight w:val="white"/>
        </w:rPr>
        <w:t>Regulation &amp; Governance</w:t>
      </w:r>
      <w:r>
        <w:rPr>
          <w:color w:val="222222"/>
          <w:highlight w:val="white"/>
        </w:rPr>
        <w:t xml:space="preserve">, </w:t>
      </w:r>
      <w:r>
        <w:rPr>
          <w:i/>
          <w:color w:val="222222"/>
          <w:highlight w:val="white"/>
        </w:rPr>
        <w:t>15</w:t>
      </w:r>
      <w:r>
        <w:rPr>
          <w:color w:val="222222"/>
          <w:highlight w:val="white"/>
        </w:rPr>
        <w:t xml:space="preserve">(4), 1071-1091. </w:t>
      </w:r>
      <w:hyperlink r:id="rId22">
        <w:r>
          <w:rPr>
            <w:color w:val="0000FF"/>
            <w:u w:val="single"/>
          </w:rPr>
          <w:t>https://doi.org/10.1111/rego.12344</w:t>
        </w:r>
      </w:hyperlink>
    </w:p>
    <w:p w14:paraId="4A85BE0A" w14:textId="77777777" w:rsidR="00A24FAD" w:rsidRDefault="00D022AE">
      <w:pPr>
        <w:spacing w:after="0" w:line="360" w:lineRule="auto"/>
        <w:ind w:left="0" w:hanging="2"/>
        <w:rPr>
          <w:color w:val="222222"/>
          <w:highlight w:val="white"/>
        </w:rPr>
      </w:pPr>
      <w:r>
        <w:rPr>
          <w:color w:val="222222"/>
          <w:highlight w:val="white"/>
        </w:rPr>
        <w:t xml:space="preserve">Flick, U. (2022). An introduction to qualitative research. In </w:t>
      </w:r>
      <w:r>
        <w:rPr>
          <w:i/>
          <w:color w:val="222222"/>
          <w:highlight w:val="white"/>
        </w:rPr>
        <w:t>An Introduction to Qualitative Research</w:t>
      </w:r>
      <w:r>
        <w:rPr>
          <w:color w:val="222222"/>
          <w:highlight w:val="white"/>
        </w:rPr>
        <w:t>, pp.1-100. Sage Publications Inc.</w:t>
      </w:r>
    </w:p>
    <w:p w14:paraId="07D86B2A" w14:textId="77777777" w:rsidR="00A24FAD" w:rsidRDefault="00D022AE">
      <w:pPr>
        <w:spacing w:after="0" w:line="360" w:lineRule="auto"/>
        <w:ind w:left="0" w:hanging="2"/>
        <w:rPr>
          <w:color w:val="222222"/>
        </w:rPr>
      </w:pPr>
      <w:bookmarkStart w:id="21" w:name="_heading=h.82dbxyt1ypqo" w:colFirst="0" w:colLast="0"/>
      <w:bookmarkEnd w:id="21"/>
      <w:r>
        <w:rPr>
          <w:color w:val="222222"/>
          <w:highlight w:val="white"/>
        </w:rPr>
        <w:t xml:space="preserve">Guihot, M., Matthew, A. F. &amp; Suzor, N. P. (2017). Nudging robots: Innovative solutions to regulate artificial intelligence. </w:t>
      </w:r>
      <w:r>
        <w:rPr>
          <w:i/>
          <w:color w:val="222222"/>
          <w:highlight w:val="white"/>
        </w:rPr>
        <w:t>Vand. J. Ent. &amp; Tech. L.</w:t>
      </w:r>
      <w:r>
        <w:rPr>
          <w:color w:val="222222"/>
          <w:highlight w:val="white"/>
        </w:rPr>
        <w:t xml:space="preserve">, </w:t>
      </w:r>
      <w:r>
        <w:rPr>
          <w:i/>
          <w:color w:val="222222"/>
          <w:highlight w:val="white"/>
        </w:rPr>
        <w:t>20</w:t>
      </w:r>
      <w:r>
        <w:rPr>
          <w:color w:val="222222"/>
          <w:highlight w:val="white"/>
        </w:rPr>
        <w:t xml:space="preserve">, 385. </w:t>
      </w:r>
      <w:hyperlink r:id="rId23">
        <w:r>
          <w:rPr>
            <w:color w:val="0000FF"/>
            <w:u w:val="single"/>
          </w:rPr>
          <w:t>https://doi.org/10.31228/osf.io/5at2f</w:t>
        </w:r>
      </w:hyperlink>
    </w:p>
    <w:p w14:paraId="1493E275" w14:textId="77777777" w:rsidR="00A24FAD" w:rsidRDefault="00D022AE">
      <w:pPr>
        <w:spacing w:after="0" w:line="360" w:lineRule="auto"/>
        <w:ind w:left="0" w:hanging="2"/>
        <w:rPr>
          <w:color w:val="222222"/>
          <w:highlight w:val="white"/>
        </w:rPr>
      </w:pPr>
      <w:r>
        <w:rPr>
          <w:color w:val="222222"/>
          <w:highlight w:val="white"/>
        </w:rPr>
        <w:t xml:space="preserve">Haes, S. D. &amp; Grembergen, W. V. (2015). </w:t>
      </w:r>
      <w:r>
        <w:rPr>
          <w:i/>
          <w:color w:val="222222"/>
          <w:highlight w:val="white"/>
        </w:rPr>
        <w:t>Enterprise Governance of Information Technology: Achieving Alignment and Value, featuring COBIT 5</w:t>
      </w:r>
      <w:r>
        <w:rPr>
          <w:color w:val="222222"/>
          <w:highlight w:val="white"/>
        </w:rPr>
        <w:t xml:space="preserve">. Springer Publishing Company, Incorporated. </w:t>
      </w:r>
      <w:hyperlink r:id="rId24">
        <w:r>
          <w:rPr>
            <w:color w:val="0000FF"/>
            <w:highlight w:val="white"/>
            <w:u w:val="single"/>
          </w:rPr>
          <w:t>https://doi.org/10.1007/978-3-319-14547-1</w:t>
        </w:r>
      </w:hyperlink>
    </w:p>
    <w:p w14:paraId="08635ED3" w14:textId="77777777" w:rsidR="00A24FAD" w:rsidRDefault="00D022AE">
      <w:pPr>
        <w:spacing w:after="0" w:line="360" w:lineRule="auto"/>
        <w:ind w:left="0" w:hanging="2"/>
        <w:rPr>
          <w:color w:val="222222"/>
        </w:rPr>
      </w:pPr>
      <w:r>
        <w:rPr>
          <w:color w:val="222222"/>
          <w:highlight w:val="white"/>
        </w:rPr>
        <w:t xml:space="preserve">Hevner, A. &amp; Chatterjee, S. (2010). Design science research in information systems. In </w:t>
      </w:r>
      <w:r>
        <w:rPr>
          <w:i/>
          <w:color w:val="222222"/>
          <w:highlight w:val="white"/>
        </w:rPr>
        <w:t>Design Research in Information Systems: Theory and Practice</w:t>
      </w:r>
      <w:r>
        <w:rPr>
          <w:color w:val="222222"/>
          <w:highlight w:val="white"/>
        </w:rPr>
        <w:t xml:space="preserve">, pp. 9-22. </w:t>
      </w:r>
      <w:hyperlink r:id="rId25">
        <w:r>
          <w:rPr>
            <w:color w:val="0000FF"/>
            <w:u w:val="single"/>
          </w:rPr>
          <w:t>https://doi.org/10.1007/978-1-4419-5653-8_2</w:t>
        </w:r>
      </w:hyperlink>
    </w:p>
    <w:p w14:paraId="67398098" w14:textId="77777777" w:rsidR="00A24FAD" w:rsidRDefault="00D022AE">
      <w:pPr>
        <w:spacing w:after="0" w:line="360" w:lineRule="auto"/>
        <w:ind w:left="0" w:hanging="2"/>
        <w:rPr>
          <w:color w:val="222222"/>
          <w:highlight w:val="white"/>
        </w:rPr>
      </w:pPr>
      <w:r>
        <w:rPr>
          <w:color w:val="222222"/>
          <w:highlight w:val="white"/>
        </w:rPr>
        <w:t xml:space="preserve">Hiebert, B., Nouvet, E., Jeyabalan, V. &amp; Donelle, L. (2020). The application of drones in healthcare and health-related services in North America: A scoping review. </w:t>
      </w:r>
      <w:r>
        <w:rPr>
          <w:i/>
          <w:color w:val="222222"/>
          <w:highlight w:val="white"/>
        </w:rPr>
        <w:t>Drones</w:t>
      </w:r>
      <w:r>
        <w:rPr>
          <w:color w:val="222222"/>
          <w:highlight w:val="white"/>
        </w:rPr>
        <w:t xml:space="preserve">, </w:t>
      </w:r>
      <w:r>
        <w:rPr>
          <w:i/>
          <w:color w:val="222222"/>
          <w:highlight w:val="white"/>
        </w:rPr>
        <w:t>4</w:t>
      </w:r>
      <w:r>
        <w:rPr>
          <w:color w:val="222222"/>
          <w:highlight w:val="white"/>
        </w:rPr>
        <w:t xml:space="preserve">(3), 30. </w:t>
      </w:r>
      <w:hyperlink r:id="rId26">
        <w:r>
          <w:rPr>
            <w:color w:val="0000FF"/>
            <w:highlight w:val="white"/>
            <w:u w:val="single"/>
          </w:rPr>
          <w:t>https://doi.org/10.3390/drones4030030</w:t>
        </w:r>
      </w:hyperlink>
    </w:p>
    <w:p w14:paraId="24072D0C" w14:textId="77777777" w:rsidR="00A24FAD" w:rsidRDefault="00D022AE">
      <w:pPr>
        <w:spacing w:after="0" w:line="360" w:lineRule="auto"/>
        <w:ind w:left="0" w:hanging="2"/>
        <w:rPr>
          <w:color w:val="0000FF"/>
          <w:highlight w:val="white"/>
          <w:u w:val="single"/>
        </w:rPr>
      </w:pPr>
      <w:r>
        <w:rPr>
          <w:color w:val="222222"/>
          <w:highlight w:val="white"/>
        </w:rPr>
        <w:lastRenderedPageBreak/>
        <w:t xml:space="preserve">Hundal, G. S. &amp; Laux, C. M. (2020). Integrative technologies to make supply chains lean, agile and green: A review. </w:t>
      </w:r>
      <w:r>
        <w:rPr>
          <w:i/>
          <w:color w:val="222222"/>
          <w:highlight w:val="white"/>
        </w:rPr>
        <w:t>International Journal of Supply Chain and Operations Resilience</w:t>
      </w:r>
      <w:r>
        <w:rPr>
          <w:color w:val="222222"/>
          <w:highlight w:val="white"/>
        </w:rPr>
        <w:t xml:space="preserve">, </w:t>
      </w:r>
      <w:r>
        <w:rPr>
          <w:i/>
          <w:color w:val="222222"/>
          <w:highlight w:val="white"/>
        </w:rPr>
        <w:t>4</w:t>
      </w:r>
      <w:r>
        <w:rPr>
          <w:color w:val="222222"/>
          <w:highlight w:val="white"/>
        </w:rPr>
        <w:t xml:space="preserve">(2), 171-186. </w:t>
      </w:r>
      <w:hyperlink r:id="rId27">
        <w:r>
          <w:rPr>
            <w:color w:val="0000FF"/>
            <w:highlight w:val="white"/>
            <w:u w:val="single"/>
          </w:rPr>
          <w:t>https://doi.org/10.1504/ijscor.2020.109184</w:t>
        </w:r>
      </w:hyperlink>
    </w:p>
    <w:p w14:paraId="4257F96E" w14:textId="77777777" w:rsidR="00A24FAD" w:rsidRDefault="00D022AE">
      <w:pPr>
        <w:spacing w:after="0" w:line="360" w:lineRule="auto"/>
        <w:ind w:left="0" w:hanging="2"/>
        <w:rPr>
          <w:sz w:val="16"/>
          <w:szCs w:val="16"/>
        </w:rPr>
      </w:pPr>
      <w:r>
        <w:t xml:space="preserve">Huq, A. Z. (2019). Racial equity in algorithmic criminal justice. </w:t>
      </w:r>
      <w:r>
        <w:rPr>
          <w:i/>
        </w:rPr>
        <w:t>Duke Law Journal, 68</w:t>
      </w:r>
      <w:r>
        <w:t xml:space="preserve">(6), 1043-1134. </w:t>
      </w:r>
    </w:p>
    <w:p w14:paraId="4408C328" w14:textId="77777777" w:rsidR="00A24FAD" w:rsidRDefault="00D022AE">
      <w:pPr>
        <w:spacing w:after="0" w:line="360" w:lineRule="auto"/>
        <w:ind w:left="0" w:hanging="2"/>
        <w:rPr>
          <w:color w:val="000000"/>
        </w:rPr>
      </w:pPr>
      <w:r>
        <w:t xml:space="preserve">ITGI (IT Governance Institute). (2001). </w:t>
      </w:r>
      <w:r>
        <w:rPr>
          <w:i/>
          <w:color w:val="000000"/>
        </w:rPr>
        <w:t>Board briefing on IT governance</w:t>
      </w:r>
      <w:r>
        <w:rPr>
          <w:color w:val="000000"/>
        </w:rPr>
        <w:t xml:space="preserve"> (2nd ed.). Rolling Meadows, USA: IT Governance Institute.</w:t>
      </w:r>
    </w:p>
    <w:p w14:paraId="1F33B957" w14:textId="77777777" w:rsidR="00A24FAD" w:rsidRDefault="00D022AE">
      <w:pPr>
        <w:spacing w:after="0" w:line="360" w:lineRule="auto"/>
        <w:ind w:left="0" w:hanging="2"/>
        <w:rPr>
          <w:color w:val="222222"/>
          <w:highlight w:val="white"/>
        </w:rPr>
      </w:pPr>
      <w:r>
        <w:rPr>
          <w:color w:val="222222"/>
          <w:highlight w:val="white"/>
        </w:rPr>
        <w:t xml:space="preserve">Jeyaraj, A. &amp; Sabherwal, R. (2008). Adoption of information systems innovations by individuals: A study of processes involving contextual, adopter, and influencer actions. </w:t>
      </w:r>
      <w:r>
        <w:rPr>
          <w:i/>
          <w:color w:val="222222"/>
          <w:highlight w:val="white"/>
        </w:rPr>
        <w:t>Information and Organization</w:t>
      </w:r>
      <w:r>
        <w:rPr>
          <w:color w:val="222222"/>
          <w:highlight w:val="white"/>
        </w:rPr>
        <w:t xml:space="preserve">, </w:t>
      </w:r>
      <w:r>
        <w:rPr>
          <w:i/>
          <w:color w:val="222222"/>
          <w:highlight w:val="white"/>
        </w:rPr>
        <w:t>18</w:t>
      </w:r>
      <w:r>
        <w:rPr>
          <w:color w:val="222222"/>
          <w:highlight w:val="white"/>
        </w:rPr>
        <w:t xml:space="preserve">(3), 205-234. </w:t>
      </w:r>
      <w:hyperlink r:id="rId28">
        <w:r>
          <w:rPr>
            <w:color w:val="0000FF"/>
            <w:highlight w:val="white"/>
            <w:u w:val="single"/>
          </w:rPr>
          <w:t>https://doi.org/10.1016/j.infoandorg.2008.04.001</w:t>
        </w:r>
      </w:hyperlink>
    </w:p>
    <w:p w14:paraId="1E59EFFC" w14:textId="77777777" w:rsidR="00A24FAD" w:rsidRDefault="00D022AE">
      <w:pPr>
        <w:spacing w:after="0" w:line="360" w:lineRule="auto"/>
        <w:ind w:left="0" w:hanging="2"/>
        <w:rPr>
          <w:color w:val="222222"/>
        </w:rPr>
      </w:pPr>
      <w:r>
        <w:rPr>
          <w:color w:val="222222"/>
          <w:highlight w:val="white"/>
        </w:rPr>
        <w:t xml:space="preserve">Johnson, D. G. &amp; Verdicchio, M. (2017). AI anxiety. </w:t>
      </w:r>
      <w:r>
        <w:rPr>
          <w:i/>
          <w:color w:val="222222"/>
          <w:highlight w:val="white"/>
        </w:rPr>
        <w:t>Journal of the Association for Information Science and Technology</w:t>
      </w:r>
      <w:r>
        <w:rPr>
          <w:color w:val="222222"/>
          <w:highlight w:val="white"/>
        </w:rPr>
        <w:t xml:space="preserve">, </w:t>
      </w:r>
      <w:r>
        <w:rPr>
          <w:i/>
          <w:color w:val="222222"/>
          <w:highlight w:val="white"/>
        </w:rPr>
        <w:t>68</w:t>
      </w:r>
      <w:r>
        <w:rPr>
          <w:color w:val="222222"/>
          <w:highlight w:val="white"/>
        </w:rPr>
        <w:t xml:space="preserve">(9), 2267-2270. </w:t>
      </w:r>
      <w:hyperlink r:id="rId29">
        <w:r>
          <w:rPr>
            <w:color w:val="0000FF"/>
            <w:u w:val="single"/>
          </w:rPr>
          <w:t>https://doi.org/10.1002/asi.23867</w:t>
        </w:r>
      </w:hyperlink>
    </w:p>
    <w:p w14:paraId="7B5864EB" w14:textId="77777777" w:rsidR="00A24FAD" w:rsidRDefault="00D022AE">
      <w:pPr>
        <w:spacing w:after="0" w:line="360" w:lineRule="auto"/>
        <w:ind w:left="0" w:hanging="2"/>
        <w:rPr>
          <w:color w:val="0000FF"/>
          <w:highlight w:val="white"/>
          <w:u w:val="single"/>
        </w:rPr>
      </w:pPr>
      <w:r>
        <w:rPr>
          <w:color w:val="222222"/>
          <w:highlight w:val="white"/>
        </w:rPr>
        <w:t xml:space="preserve">Kleinberg, J., Ludwig, J., Mullainathan, S. &amp; Sunstein, C. R. (2018). Discrimination in the age of algorithms. </w:t>
      </w:r>
      <w:r>
        <w:rPr>
          <w:i/>
          <w:color w:val="222222"/>
          <w:highlight w:val="white"/>
        </w:rPr>
        <w:t>Journal of Legal Analysis</w:t>
      </w:r>
      <w:r>
        <w:rPr>
          <w:color w:val="222222"/>
          <w:highlight w:val="white"/>
        </w:rPr>
        <w:t xml:space="preserve">, </w:t>
      </w:r>
      <w:r>
        <w:rPr>
          <w:i/>
          <w:color w:val="222222"/>
          <w:highlight w:val="white"/>
        </w:rPr>
        <w:t>10</w:t>
      </w:r>
      <w:r>
        <w:rPr>
          <w:color w:val="222222"/>
          <w:highlight w:val="white"/>
        </w:rPr>
        <w:t xml:space="preserve">, 113-174. </w:t>
      </w:r>
      <w:hyperlink r:id="rId30">
        <w:r>
          <w:rPr>
            <w:color w:val="0000FF"/>
            <w:highlight w:val="white"/>
            <w:u w:val="single"/>
          </w:rPr>
          <w:t>https://doi.org/10.3386/w25548</w:t>
        </w:r>
      </w:hyperlink>
    </w:p>
    <w:p w14:paraId="09248B6D" w14:textId="77777777" w:rsidR="00A24FAD" w:rsidRDefault="00D022AE">
      <w:pPr>
        <w:spacing w:after="0" w:line="360" w:lineRule="auto"/>
        <w:ind w:left="0" w:hanging="2"/>
        <w:rPr>
          <w:color w:val="222222"/>
          <w:highlight w:val="white"/>
        </w:rPr>
      </w:pPr>
      <w:r>
        <w:rPr>
          <w:color w:val="222222"/>
          <w:highlight w:val="white"/>
        </w:rPr>
        <w:t xml:space="preserve">Konert, A., Smereka, J. &amp; Szarpak, L. (2019). The use of drones in emergency medicine: Practical and legal aspects. </w:t>
      </w:r>
      <w:r>
        <w:rPr>
          <w:i/>
          <w:color w:val="222222"/>
          <w:highlight w:val="white"/>
        </w:rPr>
        <w:t>Emergency Medicine International</w:t>
      </w:r>
      <w:r>
        <w:rPr>
          <w:color w:val="222222"/>
          <w:highlight w:val="white"/>
        </w:rPr>
        <w:t xml:space="preserve">, </w:t>
      </w:r>
      <w:r>
        <w:rPr>
          <w:i/>
          <w:color w:val="222222"/>
          <w:highlight w:val="white"/>
        </w:rPr>
        <w:t>2019</w:t>
      </w:r>
      <w:r>
        <w:rPr>
          <w:color w:val="222222"/>
          <w:highlight w:val="white"/>
        </w:rPr>
        <w:t xml:space="preserve">(1), 3589792. </w:t>
      </w:r>
      <w:hyperlink r:id="rId31">
        <w:r>
          <w:rPr>
            <w:color w:val="0000FF"/>
            <w:highlight w:val="white"/>
            <w:u w:val="single"/>
          </w:rPr>
          <w:t>https://doi.org/10.1155/2019/3589792</w:t>
        </w:r>
      </w:hyperlink>
    </w:p>
    <w:p w14:paraId="5A059868" w14:textId="77777777" w:rsidR="00A24FAD" w:rsidRDefault="00D022AE">
      <w:pPr>
        <w:spacing w:after="0" w:line="360" w:lineRule="auto"/>
        <w:ind w:left="0" w:hanging="2"/>
        <w:rPr>
          <w:color w:val="0000FF"/>
          <w:highlight w:val="white"/>
          <w:u w:val="single"/>
        </w:rPr>
      </w:pPr>
      <w:r>
        <w:rPr>
          <w:color w:val="222222"/>
          <w:highlight w:val="white"/>
        </w:rPr>
        <w:t xml:space="preserve">Laksham, K. B. (2019). Unmanned aerial vehicle (drones) in public health: A SWOT analysis. </w:t>
      </w:r>
      <w:r>
        <w:rPr>
          <w:i/>
          <w:color w:val="222222"/>
          <w:highlight w:val="white"/>
        </w:rPr>
        <w:t>Journal of Family Medicine and Primary Care</w:t>
      </w:r>
      <w:r>
        <w:rPr>
          <w:color w:val="222222"/>
          <w:highlight w:val="white"/>
        </w:rPr>
        <w:t xml:space="preserve">, </w:t>
      </w:r>
      <w:r>
        <w:rPr>
          <w:i/>
          <w:color w:val="222222"/>
          <w:highlight w:val="white"/>
        </w:rPr>
        <w:t>8</w:t>
      </w:r>
      <w:r>
        <w:rPr>
          <w:color w:val="222222"/>
          <w:highlight w:val="white"/>
        </w:rPr>
        <w:t xml:space="preserve">(2), 342. </w:t>
      </w:r>
      <w:hyperlink r:id="rId32">
        <w:r>
          <w:rPr>
            <w:color w:val="0000FF"/>
            <w:highlight w:val="white"/>
            <w:u w:val="single"/>
          </w:rPr>
          <w:t>https://doi.org/10.4103/jfmpc.jfmpc_413_18</w:t>
        </w:r>
      </w:hyperlink>
    </w:p>
    <w:p w14:paraId="23B4B662" w14:textId="77777777" w:rsidR="00A24FAD" w:rsidRDefault="00D022AE">
      <w:pPr>
        <w:spacing w:after="0" w:line="360" w:lineRule="auto"/>
        <w:ind w:left="0" w:hanging="2"/>
        <w:rPr>
          <w:color w:val="0000FF"/>
          <w:highlight w:val="white"/>
          <w:u w:val="single"/>
        </w:rPr>
      </w:pPr>
      <w:r>
        <w:rPr>
          <w:color w:val="222222"/>
          <w:highlight w:val="white"/>
        </w:rPr>
        <w:t xml:space="preserve">Larsson, S. (2020). On the governance of artificial intelligence through ethics guidelines. </w:t>
      </w:r>
      <w:r>
        <w:rPr>
          <w:i/>
          <w:color w:val="222222"/>
          <w:highlight w:val="white"/>
        </w:rPr>
        <w:t>Asian Journal of Law and Society</w:t>
      </w:r>
      <w:r>
        <w:rPr>
          <w:color w:val="222222"/>
          <w:highlight w:val="white"/>
        </w:rPr>
        <w:t xml:space="preserve">, </w:t>
      </w:r>
      <w:r>
        <w:rPr>
          <w:i/>
          <w:color w:val="222222"/>
          <w:highlight w:val="white"/>
        </w:rPr>
        <w:t>7</w:t>
      </w:r>
      <w:r>
        <w:rPr>
          <w:color w:val="222222"/>
          <w:highlight w:val="white"/>
        </w:rPr>
        <w:t xml:space="preserve">(3), pp.437-451. </w:t>
      </w:r>
      <w:hyperlink r:id="rId33">
        <w:r>
          <w:rPr>
            <w:color w:val="0000FF"/>
            <w:highlight w:val="white"/>
            <w:u w:val="single"/>
          </w:rPr>
          <w:t>https://doi.org/10.1017/als.2020.19</w:t>
        </w:r>
      </w:hyperlink>
    </w:p>
    <w:p w14:paraId="66C596F4" w14:textId="77777777" w:rsidR="00A24FAD" w:rsidRDefault="00D022AE">
      <w:pPr>
        <w:spacing w:after="0" w:line="360" w:lineRule="auto"/>
        <w:ind w:left="0" w:hanging="2"/>
        <w:rPr>
          <w:color w:val="0000FF"/>
          <w:highlight w:val="white"/>
          <w:u w:val="single"/>
        </w:rPr>
      </w:pPr>
      <w:r>
        <w:rPr>
          <w:color w:val="222222"/>
          <w:highlight w:val="white"/>
        </w:rPr>
        <w:t xml:space="preserve">Leenes, R., Palmerini, E., Koops, B. J., Bertolini, A., Salvini, P. &amp; Lucivero, F. (2017). Regulatory challenges of robotics: Some guidelines for addressing legal and ethical issues. </w:t>
      </w:r>
      <w:r>
        <w:rPr>
          <w:i/>
          <w:color w:val="222222"/>
          <w:highlight w:val="white"/>
        </w:rPr>
        <w:t>Law, Innovation and Technology</w:t>
      </w:r>
      <w:r>
        <w:rPr>
          <w:color w:val="222222"/>
          <w:highlight w:val="white"/>
        </w:rPr>
        <w:t xml:space="preserve">, </w:t>
      </w:r>
      <w:r>
        <w:rPr>
          <w:i/>
          <w:color w:val="222222"/>
          <w:highlight w:val="white"/>
        </w:rPr>
        <w:t>9</w:t>
      </w:r>
      <w:r>
        <w:rPr>
          <w:color w:val="222222"/>
          <w:highlight w:val="white"/>
        </w:rPr>
        <w:t xml:space="preserve">(1), 1-44. </w:t>
      </w:r>
      <w:hyperlink r:id="rId34">
        <w:r>
          <w:rPr>
            <w:color w:val="0000FF"/>
            <w:highlight w:val="white"/>
            <w:u w:val="single"/>
          </w:rPr>
          <w:t>https://doi.org/10.1080/17579961.2017.1304921</w:t>
        </w:r>
      </w:hyperlink>
    </w:p>
    <w:p w14:paraId="453D082D" w14:textId="77777777" w:rsidR="00A24FAD" w:rsidRDefault="00D022AE">
      <w:pPr>
        <w:spacing w:after="0" w:line="360" w:lineRule="auto"/>
        <w:ind w:left="0" w:hanging="2"/>
        <w:rPr>
          <w:color w:val="222222"/>
          <w:highlight w:val="white"/>
        </w:rPr>
      </w:pPr>
      <w:r>
        <w:rPr>
          <w:color w:val="222222"/>
          <w:highlight w:val="white"/>
        </w:rPr>
        <w:t xml:space="preserve">Lewis, N. (2020). A tech company engineered drones to deliver vital COVID-19 medical supplies to rural Ghana and Rwanda in minutes. </w:t>
      </w:r>
      <w:r>
        <w:rPr>
          <w:i/>
          <w:color w:val="222222"/>
          <w:highlight w:val="white"/>
        </w:rPr>
        <w:t>Business Insider</w:t>
      </w:r>
      <w:r>
        <w:rPr>
          <w:color w:val="222222"/>
          <w:highlight w:val="white"/>
        </w:rPr>
        <w:t xml:space="preserve">, </w:t>
      </w:r>
      <w:r>
        <w:rPr>
          <w:i/>
          <w:color w:val="222222"/>
          <w:highlight w:val="white"/>
        </w:rPr>
        <w:t>12</w:t>
      </w:r>
      <w:r>
        <w:rPr>
          <w:color w:val="222222"/>
          <w:highlight w:val="white"/>
        </w:rPr>
        <w:t xml:space="preserve">. Retrieved from: </w:t>
      </w:r>
      <w:r>
        <w:rPr>
          <w:color w:val="222222"/>
        </w:rPr>
        <w:t>https://www.businessinsider.com/zipline-drone-coronavirus-supplies-africa-rwanda-ghana-2020-5?international=true&amp;r=US&amp;IR=T</w:t>
      </w:r>
    </w:p>
    <w:p w14:paraId="516F71A6" w14:textId="77777777" w:rsidR="00A24FAD" w:rsidRDefault="00D022AE">
      <w:pPr>
        <w:spacing w:after="0" w:line="360" w:lineRule="auto"/>
        <w:ind w:left="0" w:hanging="2"/>
        <w:rPr>
          <w:color w:val="222222"/>
          <w:highlight w:val="white"/>
        </w:rPr>
      </w:pPr>
      <w:r>
        <w:t xml:space="preserve">Li, Y. &amp; Liu, C. (2019). Applications of multirotor drone technologies in construction management. </w:t>
      </w:r>
      <w:r>
        <w:rPr>
          <w:i/>
        </w:rPr>
        <w:t>International Journal of Construction Management</w:t>
      </w:r>
      <w:r>
        <w:t xml:space="preserve">, </w:t>
      </w:r>
      <w:r>
        <w:rPr>
          <w:i/>
        </w:rPr>
        <w:t>19</w:t>
      </w:r>
      <w:r>
        <w:t xml:space="preserve">(5), 401-412. </w:t>
      </w:r>
      <w:hyperlink r:id="rId35">
        <w:r>
          <w:rPr>
            <w:color w:val="0000FF"/>
            <w:u w:val="single"/>
          </w:rPr>
          <w:t>https://doi.org/10.1080/15623599.2018.1452101</w:t>
        </w:r>
      </w:hyperlink>
    </w:p>
    <w:p w14:paraId="3B67DC33" w14:textId="77777777" w:rsidR="00A24FAD" w:rsidRDefault="00D022AE">
      <w:pPr>
        <w:spacing w:after="0" w:line="360" w:lineRule="auto"/>
        <w:ind w:left="0" w:hanging="2"/>
        <w:rPr>
          <w:color w:val="222222"/>
          <w:highlight w:val="white"/>
        </w:rPr>
      </w:pPr>
      <w:r>
        <w:rPr>
          <w:color w:val="222222"/>
          <w:highlight w:val="white"/>
        </w:rPr>
        <w:lastRenderedPageBreak/>
        <w:t>Liamputtong, P. (Ed.). (2019). </w:t>
      </w:r>
      <w:r>
        <w:rPr>
          <w:i/>
          <w:color w:val="222222"/>
          <w:highlight w:val="white"/>
        </w:rPr>
        <w:t>Handbook of research methods in health social sciences</w:t>
      </w:r>
      <w:r>
        <w:rPr>
          <w:color w:val="222222"/>
          <w:highlight w:val="white"/>
        </w:rPr>
        <w:t xml:space="preserve"> (Vol. 10, pp. 978-981). Singapore: Springer. </w:t>
      </w:r>
    </w:p>
    <w:p w14:paraId="1A7763C6" w14:textId="77777777" w:rsidR="00A24FAD" w:rsidRDefault="00D022AE">
      <w:pPr>
        <w:spacing w:after="0" w:line="360" w:lineRule="auto"/>
        <w:ind w:left="0" w:hanging="2"/>
        <w:rPr>
          <w:color w:val="0000FF"/>
          <w:highlight w:val="white"/>
          <w:u w:val="single"/>
        </w:rPr>
      </w:pPr>
      <w:r>
        <w:rPr>
          <w:color w:val="222222"/>
          <w:highlight w:val="white"/>
        </w:rPr>
        <w:t xml:space="preserve">Lin, C. A., Shah, K., Mauntel, L. C. C. &amp; Shah, S. A. (2018). Drone delivery of medications: Review of the landscape and legal considerations. </w:t>
      </w:r>
      <w:r>
        <w:rPr>
          <w:i/>
          <w:color w:val="222222"/>
          <w:highlight w:val="white"/>
        </w:rPr>
        <w:t>The Bulletin of the American Society of Hospital Pharmacists</w:t>
      </w:r>
      <w:r>
        <w:rPr>
          <w:color w:val="222222"/>
          <w:highlight w:val="white"/>
        </w:rPr>
        <w:t xml:space="preserve">, </w:t>
      </w:r>
      <w:r>
        <w:rPr>
          <w:i/>
          <w:color w:val="222222"/>
          <w:highlight w:val="white"/>
        </w:rPr>
        <w:t>75</w:t>
      </w:r>
      <w:r>
        <w:rPr>
          <w:color w:val="222222"/>
          <w:highlight w:val="white"/>
        </w:rPr>
        <w:t xml:space="preserve">(3), 153-158. </w:t>
      </w:r>
      <w:hyperlink r:id="rId36">
        <w:r>
          <w:rPr>
            <w:color w:val="0000FF"/>
            <w:highlight w:val="white"/>
            <w:u w:val="single"/>
          </w:rPr>
          <w:t>https://doi.org/10.2146/ajhp170196</w:t>
        </w:r>
      </w:hyperlink>
    </w:p>
    <w:p w14:paraId="713B7533" w14:textId="77777777" w:rsidR="00A24FAD" w:rsidRDefault="00D022AE">
      <w:pPr>
        <w:spacing w:after="0" w:line="360" w:lineRule="auto"/>
        <w:ind w:left="0" w:hanging="2"/>
        <w:rPr>
          <w:color w:val="0000FF"/>
          <w:highlight w:val="white"/>
          <w:u w:val="single"/>
        </w:rPr>
      </w:pPr>
      <w:r>
        <w:rPr>
          <w:color w:val="222222"/>
          <w:highlight w:val="white"/>
        </w:rPr>
        <w:t xml:space="preserve">Ling, G. &amp; Draghic, N. (2019.) Aerial drones for blood delivery. </w:t>
      </w:r>
      <w:r>
        <w:rPr>
          <w:i/>
          <w:color w:val="222222"/>
          <w:highlight w:val="white"/>
        </w:rPr>
        <w:t>Transfusion</w:t>
      </w:r>
      <w:r>
        <w:rPr>
          <w:color w:val="222222"/>
          <w:highlight w:val="white"/>
        </w:rPr>
        <w:t xml:space="preserve">, </w:t>
      </w:r>
      <w:r>
        <w:rPr>
          <w:i/>
          <w:color w:val="222222"/>
          <w:highlight w:val="white"/>
        </w:rPr>
        <w:t>59</w:t>
      </w:r>
      <w:r>
        <w:rPr>
          <w:color w:val="222222"/>
          <w:highlight w:val="white"/>
        </w:rPr>
        <w:t xml:space="preserve">(S2), 1608-1611. </w:t>
      </w:r>
      <w:hyperlink r:id="rId37">
        <w:r>
          <w:rPr>
            <w:color w:val="0000FF"/>
            <w:highlight w:val="white"/>
            <w:u w:val="single"/>
          </w:rPr>
          <w:t>https://doi.org/10.1111/trf.15195</w:t>
        </w:r>
      </w:hyperlink>
    </w:p>
    <w:p w14:paraId="110C104E" w14:textId="77777777" w:rsidR="00A24FAD" w:rsidRDefault="00D022AE">
      <w:pPr>
        <w:spacing w:after="0" w:line="360" w:lineRule="auto"/>
        <w:ind w:left="0" w:hanging="2"/>
      </w:pPr>
      <w:bookmarkStart w:id="22" w:name="_heading=h.6yn82lhm20h3" w:colFirst="0" w:colLast="0"/>
      <w:bookmarkEnd w:id="22"/>
      <w:r>
        <w:t xml:space="preserve">Mangundu, J. (2023). </w:t>
      </w:r>
      <w:r>
        <w:rPr>
          <w:i/>
        </w:rPr>
        <w:t>Information Technology Governance Practices and Inhibitors in South African Private and Public Health Care.</w:t>
      </w:r>
      <w:r>
        <w:t xml:space="preserve"> AVARSITY Books, Cape Town. </w:t>
      </w:r>
      <w:hyperlink r:id="rId38">
        <w:r>
          <w:rPr>
            <w:color w:val="0000FF"/>
            <w:u w:val="single"/>
          </w:rPr>
          <w:t>https://doi.org/10.4102/aosis.2023.BK418</w:t>
        </w:r>
      </w:hyperlink>
    </w:p>
    <w:p w14:paraId="16DA2DAC" w14:textId="77777777" w:rsidR="00A24FAD" w:rsidRDefault="00D022AE">
      <w:pPr>
        <w:spacing w:after="0" w:line="360" w:lineRule="auto"/>
        <w:ind w:left="0" w:hanging="2"/>
        <w:rPr>
          <w:color w:val="0000FF"/>
          <w:highlight w:val="white"/>
          <w:u w:val="single"/>
        </w:rPr>
      </w:pPr>
      <w:r>
        <w:rPr>
          <w:color w:val="222222"/>
          <w:highlight w:val="white"/>
        </w:rPr>
        <w:t xml:space="preserve">McCall, B. (2019). Sub-Saharan Africa leads the way in medical drones. </w:t>
      </w:r>
      <w:r>
        <w:rPr>
          <w:i/>
          <w:color w:val="222222"/>
          <w:highlight w:val="white"/>
        </w:rPr>
        <w:t>The Lancet</w:t>
      </w:r>
      <w:r>
        <w:rPr>
          <w:color w:val="222222"/>
          <w:highlight w:val="white"/>
        </w:rPr>
        <w:t xml:space="preserve">, </w:t>
      </w:r>
      <w:r>
        <w:rPr>
          <w:i/>
          <w:color w:val="222222"/>
          <w:highlight w:val="white"/>
        </w:rPr>
        <w:t>393</w:t>
      </w:r>
      <w:r>
        <w:rPr>
          <w:color w:val="222222"/>
          <w:highlight w:val="white"/>
        </w:rPr>
        <w:t xml:space="preserve">(10166), 17-18. </w:t>
      </w:r>
      <w:hyperlink r:id="rId39">
        <w:r>
          <w:rPr>
            <w:color w:val="0000FF"/>
            <w:highlight w:val="white"/>
            <w:u w:val="single"/>
          </w:rPr>
          <w:t>https://doi.org/10.1016/s0140-6736(18)33253-7</w:t>
        </w:r>
      </w:hyperlink>
    </w:p>
    <w:p w14:paraId="4B16CED7" w14:textId="77777777" w:rsidR="00A24FAD" w:rsidRDefault="00D022AE">
      <w:pPr>
        <w:spacing w:after="0" w:line="360" w:lineRule="auto"/>
        <w:ind w:left="0" w:hanging="2"/>
        <w:rPr>
          <w:color w:val="222222"/>
          <w:highlight w:val="white"/>
        </w:rPr>
      </w:pPr>
      <w:r>
        <w:rPr>
          <w:color w:val="222222"/>
          <w:highlight w:val="white"/>
        </w:rPr>
        <w:t xml:space="preserve">Merriam, S. B. &amp; Tisdell, E. J. (2015). </w:t>
      </w:r>
      <w:r>
        <w:rPr>
          <w:i/>
          <w:color w:val="222222"/>
          <w:highlight w:val="white"/>
        </w:rPr>
        <w:t>Qualitative Research: A Guide to Design and Implementation</w:t>
      </w:r>
      <w:r>
        <w:rPr>
          <w:color w:val="222222"/>
          <w:highlight w:val="white"/>
        </w:rPr>
        <w:t>. John Wiley &amp; Sons.</w:t>
      </w:r>
    </w:p>
    <w:p w14:paraId="4509E027" w14:textId="77777777" w:rsidR="00A24FAD" w:rsidRDefault="00D022AE">
      <w:pPr>
        <w:spacing w:after="0" w:line="360" w:lineRule="auto"/>
        <w:ind w:left="0" w:hanging="2"/>
      </w:pPr>
      <w:r>
        <w:rPr>
          <w:color w:val="222222"/>
          <w:highlight w:val="white"/>
        </w:rPr>
        <w:t xml:space="preserve">Nelson, J. &amp; Gorichanaz, T. (2019). Trust as an ethical value in emerging technology governance: The case of drone regulation. </w:t>
      </w:r>
      <w:r>
        <w:rPr>
          <w:i/>
          <w:color w:val="222222"/>
          <w:highlight w:val="white"/>
        </w:rPr>
        <w:t>Technology in Society</w:t>
      </w:r>
      <w:r>
        <w:rPr>
          <w:color w:val="222222"/>
          <w:highlight w:val="white"/>
        </w:rPr>
        <w:t xml:space="preserve">, </w:t>
      </w:r>
      <w:r>
        <w:rPr>
          <w:i/>
          <w:color w:val="222222"/>
          <w:highlight w:val="white"/>
        </w:rPr>
        <w:t>59</w:t>
      </w:r>
      <w:r>
        <w:rPr>
          <w:color w:val="222222"/>
          <w:highlight w:val="white"/>
        </w:rPr>
        <w:t xml:space="preserve">, 101131. </w:t>
      </w:r>
      <w:hyperlink r:id="rId40">
        <w:r>
          <w:rPr>
            <w:color w:val="0000FF"/>
            <w:u w:val="single"/>
          </w:rPr>
          <w:t>https://doi.org/10.1016/j.techsoc.2019.04.007</w:t>
        </w:r>
      </w:hyperlink>
    </w:p>
    <w:p w14:paraId="26E90E0A" w14:textId="77777777" w:rsidR="00A24FAD" w:rsidRDefault="00D022AE">
      <w:pPr>
        <w:spacing w:after="0" w:line="360" w:lineRule="auto"/>
        <w:ind w:left="0" w:hanging="2"/>
        <w:rPr>
          <w:color w:val="222222"/>
        </w:rPr>
      </w:pPr>
      <w:r>
        <w:rPr>
          <w:color w:val="222222"/>
        </w:rPr>
        <w:t>Nyaaba, A. A., &amp; Ayamga, M. (2021). Intricacies of medical drones in healthcare delivery: Implications for Africa. </w:t>
      </w:r>
      <w:r>
        <w:rPr>
          <w:i/>
          <w:color w:val="222222"/>
        </w:rPr>
        <w:t>Technology in Society</w:t>
      </w:r>
      <w:r>
        <w:rPr>
          <w:color w:val="222222"/>
        </w:rPr>
        <w:t>, </w:t>
      </w:r>
      <w:r>
        <w:rPr>
          <w:i/>
          <w:color w:val="222222"/>
        </w:rPr>
        <w:t>66</w:t>
      </w:r>
      <w:r>
        <w:rPr>
          <w:color w:val="222222"/>
        </w:rPr>
        <w:t>, 101624. https://doi.org/10.1016/j.techsoc.2021.101624</w:t>
      </w:r>
    </w:p>
    <w:p w14:paraId="55CC4F40" w14:textId="77777777" w:rsidR="00A24FAD" w:rsidRDefault="00D022AE">
      <w:pPr>
        <w:spacing w:after="0" w:line="360" w:lineRule="auto"/>
        <w:ind w:left="0" w:hanging="2"/>
        <w:rPr>
          <w:color w:val="0000FF"/>
          <w:highlight w:val="white"/>
          <w:u w:val="single"/>
        </w:rPr>
      </w:pPr>
      <w:r>
        <w:rPr>
          <w:color w:val="222222"/>
          <w:highlight w:val="white"/>
        </w:rPr>
        <w:t xml:space="preserve">Osoba, O. A. &amp; Welser IV, W. (2017). </w:t>
      </w:r>
      <w:r>
        <w:rPr>
          <w:i/>
          <w:color w:val="222222"/>
          <w:highlight w:val="white"/>
        </w:rPr>
        <w:t>An Intelligence in Our Image: The Risks of Bias and Errors in Artificial Intelligence</w:t>
      </w:r>
      <w:r>
        <w:rPr>
          <w:color w:val="222222"/>
          <w:highlight w:val="white"/>
        </w:rPr>
        <w:t xml:space="preserve">. Rand Corporation. </w:t>
      </w:r>
      <w:hyperlink r:id="rId41">
        <w:r>
          <w:rPr>
            <w:color w:val="0000FF"/>
            <w:highlight w:val="white"/>
            <w:u w:val="single"/>
          </w:rPr>
          <w:t>https://doi.org/10.7249/rr1744</w:t>
        </w:r>
      </w:hyperlink>
    </w:p>
    <w:p w14:paraId="1A093E3E" w14:textId="77777777" w:rsidR="00A24FAD" w:rsidRDefault="00D022AE">
      <w:pPr>
        <w:spacing w:after="0" w:line="360" w:lineRule="auto"/>
        <w:ind w:left="0" w:hanging="2"/>
        <w:rPr>
          <w:color w:val="222222"/>
          <w:highlight w:val="white"/>
        </w:rPr>
      </w:pPr>
      <w:r>
        <w:rPr>
          <w:color w:val="222222"/>
          <w:highlight w:val="white"/>
        </w:rPr>
        <w:t xml:space="preserve">Pankomera, R. &amp; Van Greunen, D. (2016). Privacy and security issues for a patient-centric approach in public healthcare in a resource constrained setting. In </w:t>
      </w:r>
      <w:r>
        <w:rPr>
          <w:i/>
          <w:color w:val="222222"/>
          <w:highlight w:val="white"/>
        </w:rPr>
        <w:t>2016 IST-Africa Week Conference</w:t>
      </w:r>
      <w:r>
        <w:rPr>
          <w:color w:val="222222"/>
          <w:highlight w:val="white"/>
        </w:rPr>
        <w:t xml:space="preserve"> (pp. 1-10). IEEE. </w:t>
      </w:r>
      <w:hyperlink r:id="rId42">
        <w:r>
          <w:rPr>
            <w:color w:val="0000FF"/>
            <w:highlight w:val="white"/>
            <w:u w:val="single"/>
          </w:rPr>
          <w:t>https://doi.org/10.1109/istafrica.2016.7530664</w:t>
        </w:r>
      </w:hyperlink>
    </w:p>
    <w:p w14:paraId="6FA58AE4" w14:textId="77777777" w:rsidR="00A24FAD" w:rsidRDefault="00D022AE">
      <w:pPr>
        <w:spacing w:after="0" w:line="360" w:lineRule="auto"/>
        <w:ind w:left="0" w:hanging="2"/>
        <w:rPr>
          <w:color w:val="222222"/>
          <w:highlight w:val="white"/>
        </w:rPr>
      </w:pPr>
      <w:r>
        <w:rPr>
          <w:color w:val="222222"/>
          <w:highlight w:val="white"/>
        </w:rPr>
        <w:t xml:space="preserve">Quraishi, F. F., Wajid, S. A. &amp; Dhiman, P. (2017). Social and ethical impact of artificial intelligence on public: A case study of university students. </w:t>
      </w:r>
      <w:r>
        <w:rPr>
          <w:i/>
          <w:color w:val="222222"/>
          <w:highlight w:val="white"/>
        </w:rPr>
        <w:t>International Journal of Scientific Research in Science, Engineering and Technology</w:t>
      </w:r>
      <w:r>
        <w:rPr>
          <w:color w:val="222222"/>
          <w:highlight w:val="white"/>
        </w:rPr>
        <w:t xml:space="preserve">, </w:t>
      </w:r>
      <w:r>
        <w:rPr>
          <w:i/>
          <w:color w:val="222222"/>
          <w:highlight w:val="white"/>
        </w:rPr>
        <w:t>3</w:t>
      </w:r>
      <w:r>
        <w:rPr>
          <w:color w:val="222222"/>
          <w:highlight w:val="white"/>
        </w:rPr>
        <w:t>(8), 463-467.</w:t>
      </w:r>
    </w:p>
    <w:p w14:paraId="3CCE39C6" w14:textId="77777777" w:rsidR="00A24FAD" w:rsidRDefault="00D022AE">
      <w:pPr>
        <w:spacing w:after="0" w:line="360" w:lineRule="auto"/>
        <w:ind w:left="0" w:hanging="2"/>
      </w:pPr>
      <w:r>
        <w:rPr>
          <w:color w:val="222222"/>
          <w:highlight w:val="white"/>
        </w:rPr>
        <w:t xml:space="preserve">Sachan, D. (2016). The age of drones: What might it mean for health? </w:t>
      </w:r>
      <w:r>
        <w:rPr>
          <w:i/>
          <w:color w:val="222222"/>
          <w:highlight w:val="white"/>
        </w:rPr>
        <w:t>Lancet</w:t>
      </w:r>
      <w:r>
        <w:rPr>
          <w:color w:val="222222"/>
          <w:highlight w:val="white"/>
        </w:rPr>
        <w:t xml:space="preserve">, </w:t>
      </w:r>
      <w:r>
        <w:rPr>
          <w:i/>
          <w:color w:val="222222"/>
          <w:highlight w:val="white"/>
        </w:rPr>
        <w:t>387</w:t>
      </w:r>
      <w:r>
        <w:rPr>
          <w:color w:val="222222"/>
          <w:highlight w:val="white"/>
        </w:rPr>
        <w:t xml:space="preserve">(10030), 1803-1804. </w:t>
      </w:r>
      <w:hyperlink r:id="rId43">
        <w:r>
          <w:rPr>
            <w:color w:val="0000FF"/>
            <w:highlight w:val="white"/>
            <w:u w:val="single"/>
          </w:rPr>
          <w:t>https://doi.org/10.1016/s0140-6736(16)30361-0</w:t>
        </w:r>
      </w:hyperlink>
    </w:p>
    <w:p w14:paraId="4E8B3EF7" w14:textId="77777777" w:rsidR="00A24FAD" w:rsidRDefault="00D022AE">
      <w:pPr>
        <w:spacing w:after="0" w:line="360" w:lineRule="auto"/>
        <w:ind w:left="0" w:hanging="2"/>
        <w:rPr>
          <w:color w:val="0000FF"/>
          <w:highlight w:val="white"/>
          <w:u w:val="single"/>
        </w:rPr>
      </w:pPr>
      <w:r>
        <w:t>Spotlight, (2021). How drones are used in SA’s health services. Available on: https://www.spotlightnsp.co.za/2021/04/26/how-drones-are-used-in-sas-health-services/</w:t>
      </w:r>
    </w:p>
    <w:p w14:paraId="4EFB61FF" w14:textId="77777777" w:rsidR="00A24FAD" w:rsidRDefault="00D022AE">
      <w:pPr>
        <w:spacing w:after="0" w:line="360" w:lineRule="auto"/>
        <w:ind w:left="0" w:hanging="2"/>
        <w:rPr>
          <w:color w:val="0000FF"/>
          <w:u w:val="single"/>
        </w:rPr>
      </w:pPr>
      <w:bookmarkStart w:id="23" w:name="_heading=h.jaheddcthght" w:colFirst="0" w:colLast="0"/>
      <w:bookmarkEnd w:id="23"/>
      <w:r>
        <w:rPr>
          <w:color w:val="222222"/>
          <w:highlight w:val="white"/>
        </w:rPr>
        <w:lastRenderedPageBreak/>
        <w:t xml:space="preserve">Stoakes, U. (2015, August 1). </w:t>
      </w:r>
      <w:r>
        <w:rPr>
          <w:i/>
          <w:color w:val="222222"/>
          <w:highlight w:val="white"/>
        </w:rPr>
        <w:t>The leapfrog opportunity in the world’s underserved healthcare markets.</w:t>
      </w:r>
      <w:r>
        <w:rPr>
          <w:color w:val="222222"/>
          <w:highlight w:val="white"/>
        </w:rPr>
        <w:t xml:space="preserve"> Forbes. </w:t>
      </w:r>
      <w:hyperlink r:id="rId44">
        <w:r>
          <w:rPr>
            <w:color w:val="0000FF"/>
            <w:u w:val="single"/>
          </w:rPr>
          <w:t>https://www.forbes.com/sites/unitystoakes/2015/08/01/the-leapfrog-opportunity-in-the-worlds-underserved-health-care-markets/?sh=6ceae5546908</w:t>
        </w:r>
      </w:hyperlink>
    </w:p>
    <w:p w14:paraId="1CEB4C6E" w14:textId="77777777" w:rsidR="00A24FAD" w:rsidRDefault="00D022AE">
      <w:pPr>
        <w:spacing w:after="0" w:line="360" w:lineRule="auto"/>
        <w:ind w:left="0" w:hanging="2"/>
        <w:rPr>
          <w:color w:val="222222"/>
          <w:highlight w:val="white"/>
        </w:rPr>
      </w:pPr>
      <w:r>
        <w:rPr>
          <w:color w:val="222222"/>
          <w:highlight w:val="white"/>
        </w:rPr>
        <w:t xml:space="preserve">Svantesson, D. &amp; Clarke, R. (2010). Privacy and consumer risks in cloud computing. </w:t>
      </w:r>
      <w:r>
        <w:rPr>
          <w:i/>
          <w:color w:val="222222"/>
          <w:highlight w:val="white"/>
        </w:rPr>
        <w:t>Computer Law &amp; Security Review</w:t>
      </w:r>
      <w:r>
        <w:rPr>
          <w:color w:val="222222"/>
          <w:highlight w:val="white"/>
        </w:rPr>
        <w:t xml:space="preserve">, </w:t>
      </w:r>
      <w:r>
        <w:rPr>
          <w:i/>
          <w:color w:val="222222"/>
          <w:highlight w:val="white"/>
        </w:rPr>
        <w:t>26</w:t>
      </w:r>
      <w:r>
        <w:rPr>
          <w:color w:val="222222"/>
          <w:highlight w:val="white"/>
        </w:rPr>
        <w:t xml:space="preserve">(4), 391-397. </w:t>
      </w:r>
      <w:hyperlink r:id="rId45">
        <w:r>
          <w:rPr>
            <w:color w:val="0000FF"/>
            <w:highlight w:val="white"/>
            <w:u w:val="single"/>
          </w:rPr>
          <w:t>https://doi.org/10.1016/j.clsr.2010.05.005</w:t>
        </w:r>
      </w:hyperlink>
    </w:p>
    <w:p w14:paraId="09DFD4CE" w14:textId="77777777" w:rsidR="00A24FAD" w:rsidRDefault="00D022AE">
      <w:pPr>
        <w:spacing w:after="0" w:line="360" w:lineRule="auto"/>
        <w:ind w:left="0" w:hanging="2"/>
        <w:rPr>
          <w:color w:val="0000FF"/>
          <w:highlight w:val="white"/>
          <w:u w:val="single"/>
        </w:rPr>
      </w:pPr>
      <w:r>
        <w:rPr>
          <w:color w:val="222222"/>
          <w:highlight w:val="white"/>
        </w:rPr>
        <w:t xml:space="preserve">Taeihagh, A. &amp; Lim, H. S. M. (2019). Governing autonomous vehicles: Emerging responses for safety, liability, privacy, cybersecurity, and industry risks. </w:t>
      </w:r>
      <w:r>
        <w:rPr>
          <w:i/>
          <w:color w:val="222222"/>
          <w:highlight w:val="white"/>
        </w:rPr>
        <w:t>Transport Reviews</w:t>
      </w:r>
      <w:r>
        <w:rPr>
          <w:color w:val="222222"/>
          <w:highlight w:val="white"/>
        </w:rPr>
        <w:t xml:space="preserve">, </w:t>
      </w:r>
      <w:r>
        <w:rPr>
          <w:i/>
          <w:color w:val="222222"/>
          <w:highlight w:val="white"/>
        </w:rPr>
        <w:t>39</w:t>
      </w:r>
      <w:r>
        <w:rPr>
          <w:color w:val="222222"/>
          <w:highlight w:val="white"/>
        </w:rPr>
        <w:t xml:space="preserve">(1), 103-128. </w:t>
      </w:r>
      <w:hyperlink r:id="rId46">
        <w:r>
          <w:rPr>
            <w:color w:val="0000FF"/>
            <w:highlight w:val="white"/>
            <w:u w:val="single"/>
          </w:rPr>
          <w:t>https://doi.org/10.1080/01441647.2018.1494640</w:t>
        </w:r>
      </w:hyperlink>
    </w:p>
    <w:p w14:paraId="6AF3A931" w14:textId="77777777" w:rsidR="00A24FAD" w:rsidRDefault="00D022AE">
      <w:pPr>
        <w:spacing w:after="0" w:line="360" w:lineRule="auto"/>
        <w:ind w:left="0" w:hanging="2"/>
      </w:pPr>
      <w:r>
        <w:rPr>
          <w:color w:val="222222"/>
          <w:highlight w:val="white"/>
        </w:rPr>
        <w:t xml:space="preserve">Taeihagh, A., Ramesh, M. &amp; Howlett, M. (2021). Assessing the regulatory challenges of emerging disruptive technologies. </w:t>
      </w:r>
      <w:r>
        <w:rPr>
          <w:i/>
          <w:color w:val="222222"/>
          <w:highlight w:val="white"/>
        </w:rPr>
        <w:t>Regulation &amp; Governance</w:t>
      </w:r>
      <w:r>
        <w:rPr>
          <w:color w:val="222222"/>
          <w:highlight w:val="white"/>
        </w:rPr>
        <w:t xml:space="preserve">, </w:t>
      </w:r>
      <w:r>
        <w:rPr>
          <w:i/>
          <w:color w:val="222222"/>
          <w:highlight w:val="white"/>
        </w:rPr>
        <w:t>15</w:t>
      </w:r>
      <w:r>
        <w:rPr>
          <w:color w:val="222222"/>
          <w:highlight w:val="white"/>
        </w:rPr>
        <w:t xml:space="preserve">(4), 1009-1019. </w:t>
      </w:r>
      <w:hyperlink r:id="rId47">
        <w:r>
          <w:rPr>
            <w:color w:val="0000FF"/>
            <w:u w:val="single"/>
          </w:rPr>
          <w:t>https://doi.org/10.1111/rego.12392</w:t>
        </w:r>
      </w:hyperlink>
    </w:p>
    <w:p w14:paraId="20AEAC25" w14:textId="77777777" w:rsidR="00A24FAD" w:rsidRDefault="00D022AE">
      <w:pPr>
        <w:spacing w:after="0" w:line="360" w:lineRule="auto"/>
        <w:ind w:left="0" w:hanging="2"/>
        <w:rPr>
          <w:color w:val="0000FF"/>
          <w:u w:val="single"/>
        </w:rPr>
      </w:pPr>
      <w:r>
        <w:t xml:space="preserve">Thierer, A., O’Sullivan Castillo, A. &amp;and Russell, R. (2017). Artificial intelligence and public policy. </w:t>
      </w:r>
      <w:r>
        <w:rPr>
          <w:i/>
        </w:rPr>
        <w:t>Mercatus Rresearch</w:t>
      </w:r>
      <w:r>
        <w:t>.  Retrieved from: https://www.mercatus.org/publications /artificial-intelligence-public-policy</w:t>
      </w:r>
    </w:p>
    <w:p w14:paraId="680EDE48" w14:textId="77777777" w:rsidR="00A24FAD" w:rsidRDefault="00D022AE">
      <w:pPr>
        <w:spacing w:after="0" w:line="360" w:lineRule="auto"/>
        <w:ind w:left="0" w:hanging="2"/>
      </w:pPr>
      <w:r>
        <w:rPr>
          <w:color w:val="222222"/>
          <w:highlight w:val="white"/>
        </w:rPr>
        <w:t xml:space="preserve">Thuraisingham, B. (2020). Cloud governance. In </w:t>
      </w:r>
      <w:r>
        <w:rPr>
          <w:i/>
          <w:color w:val="222222"/>
          <w:highlight w:val="white"/>
        </w:rPr>
        <w:t>2020 IEEE 13th International Conference on Cloud Computing (CLOUD)</w:t>
      </w:r>
      <w:r>
        <w:rPr>
          <w:color w:val="222222"/>
          <w:highlight w:val="white"/>
        </w:rPr>
        <w:t xml:space="preserve"> (pp. 86-90). IEEE.</w:t>
      </w:r>
    </w:p>
    <w:p w14:paraId="1D725E01" w14:textId="77777777" w:rsidR="00A24FAD" w:rsidRDefault="00D022AE">
      <w:pPr>
        <w:spacing w:after="0" w:line="360" w:lineRule="auto"/>
        <w:ind w:left="0" w:hanging="2"/>
        <w:rPr>
          <w:color w:val="0000FF"/>
          <w:u w:val="single"/>
        </w:rPr>
      </w:pPr>
      <w:r>
        <w:t xml:space="preserve">Tkáč, M. &amp; Mésároš, P. (2019). Utilizing drone technology in the civil engineering. </w:t>
      </w:r>
      <w:r>
        <w:rPr>
          <w:i/>
        </w:rPr>
        <w:t>Selected Scientific Papers – Journal of Civil Engineering</w:t>
      </w:r>
      <w:r>
        <w:t xml:space="preserve">, </w:t>
      </w:r>
      <w:r>
        <w:rPr>
          <w:i/>
        </w:rPr>
        <w:t>14</w:t>
      </w:r>
      <w:r>
        <w:t xml:space="preserve">(1), 27-37. </w:t>
      </w:r>
      <w:hyperlink r:id="rId48">
        <w:r>
          <w:rPr>
            <w:color w:val="0000FF"/>
            <w:u w:val="single"/>
          </w:rPr>
          <w:t>https://doi.org/10.1515/sspjce-2019-0003</w:t>
        </w:r>
      </w:hyperlink>
    </w:p>
    <w:p w14:paraId="478D0AC7" w14:textId="77777777" w:rsidR="00A24FAD" w:rsidRDefault="00D022AE">
      <w:pPr>
        <w:spacing w:after="0" w:line="360" w:lineRule="auto"/>
        <w:ind w:left="0" w:hanging="2"/>
        <w:rPr>
          <w:color w:val="0D0D0D"/>
        </w:rPr>
      </w:pPr>
      <w:bookmarkStart w:id="24" w:name="_heading=h.jlabmbcm9a7g" w:colFirst="0" w:colLast="0"/>
      <w:bookmarkEnd w:id="24"/>
      <w:r>
        <w:rPr>
          <w:color w:val="0D0D0D"/>
        </w:rPr>
        <w:t xml:space="preserve">United Nations Department of Economic and Social Affairs. (2018). </w:t>
      </w:r>
      <w:r>
        <w:rPr>
          <w:i/>
          <w:color w:val="0D0D0D"/>
        </w:rPr>
        <w:t>World Economic and Social Survey 2018.</w:t>
      </w:r>
      <w:r>
        <w:rPr>
          <w:color w:val="0D0D0D"/>
        </w:rPr>
        <w:t xml:space="preserve"> Retrieved from </w:t>
      </w:r>
      <w:hyperlink r:id="rId49">
        <w:r>
          <w:rPr>
            <w:color w:val="0000FF"/>
            <w:u w:val="single"/>
          </w:rPr>
          <w:t>https://www.un.org/development/desa/dpad/wp-content/uploads/sites/45/publication/WESS2018_full_web.pdf</w:t>
        </w:r>
      </w:hyperlink>
    </w:p>
    <w:p w14:paraId="08E359E6" w14:textId="77777777" w:rsidR="00A24FAD" w:rsidRDefault="00D022AE">
      <w:pPr>
        <w:spacing w:after="0" w:line="360" w:lineRule="auto"/>
        <w:ind w:left="0" w:hanging="2"/>
        <w:rPr>
          <w:color w:val="222222"/>
        </w:rPr>
      </w:pPr>
      <w:bookmarkStart w:id="25" w:name="_heading=h.6ki9klttxkh5" w:colFirst="0" w:colLast="0"/>
      <w:bookmarkEnd w:id="25"/>
      <w:r>
        <w:rPr>
          <w:color w:val="222222"/>
          <w:highlight w:val="white"/>
        </w:rPr>
        <w:t xml:space="preserve">Van Grembergen, W. &amp; De Haes, S. (2018). </w:t>
      </w:r>
      <w:r>
        <w:rPr>
          <w:i/>
          <w:color w:val="222222"/>
          <w:highlight w:val="white"/>
        </w:rPr>
        <w:t>Introduction to the minitrack on IT governance and its mechanisms.</w:t>
      </w:r>
      <w:r>
        <w:rPr>
          <w:color w:val="222222"/>
          <w:highlight w:val="white"/>
        </w:rPr>
        <w:t xml:space="preserve"> ScholarSpace. </w:t>
      </w:r>
      <w:hyperlink r:id="rId50">
        <w:r>
          <w:rPr>
            <w:color w:val="0000FF"/>
            <w:u w:val="single"/>
          </w:rPr>
          <w:t>https://doi.org/10.24251/hicss.2018.611</w:t>
        </w:r>
      </w:hyperlink>
    </w:p>
    <w:p w14:paraId="14FC8BB9" w14:textId="77777777" w:rsidR="00A24FAD" w:rsidRDefault="00D022AE">
      <w:pPr>
        <w:spacing w:after="0" w:line="360" w:lineRule="auto"/>
        <w:ind w:left="0" w:hanging="2"/>
      </w:pPr>
      <w:bookmarkStart w:id="26" w:name="_heading=h.oz7xp47bz9bm" w:colFirst="0" w:colLast="0"/>
      <w:bookmarkEnd w:id="26"/>
      <w:r>
        <w:t xml:space="preserve">Van Grembergen, W., De Haes, S. &amp; Guldentops, E. (2003). Structures, processes and relational mechanisms for information technology governance. In W. Van Grembergen (Ed.), </w:t>
      </w:r>
      <w:r>
        <w:rPr>
          <w:i/>
        </w:rPr>
        <w:t>Strategies for Information Technology Governance</w:t>
      </w:r>
      <w:r>
        <w:t xml:space="preserve"> (pp. 1-36). Idea Group Publishing, Pennsylvania, USA. </w:t>
      </w:r>
      <w:hyperlink r:id="rId51">
        <w:r>
          <w:rPr>
            <w:color w:val="0000FF"/>
            <w:u w:val="single"/>
          </w:rPr>
          <w:t>https://doi.org/10.4018/978-1-59140-140-7.ch001</w:t>
        </w:r>
      </w:hyperlink>
    </w:p>
    <w:p w14:paraId="3788F067" w14:textId="77777777" w:rsidR="00A24FAD" w:rsidRDefault="00D022AE">
      <w:pPr>
        <w:spacing w:after="0" w:line="360" w:lineRule="auto"/>
        <w:ind w:left="0" w:hanging="2"/>
        <w:rPr>
          <w:color w:val="0000FF"/>
          <w:u w:val="single"/>
        </w:rPr>
      </w:pPr>
      <w:bookmarkStart w:id="27" w:name="_heading=h.htf7sqeojv2l" w:colFirst="0" w:colLast="0"/>
      <w:bookmarkEnd w:id="27"/>
      <w:r>
        <w:rPr>
          <w:color w:val="222222"/>
          <w:highlight w:val="white"/>
        </w:rPr>
        <w:t xml:space="preserve">Wirtz, B. W., Weyerer, J. C. &amp; Geyer, C. (2019). Artificial intelligence and the public sector – applications and challenges. </w:t>
      </w:r>
      <w:r>
        <w:rPr>
          <w:i/>
          <w:color w:val="222222"/>
          <w:highlight w:val="white"/>
        </w:rPr>
        <w:t>International Journal of Public Administration</w:t>
      </w:r>
      <w:r>
        <w:rPr>
          <w:color w:val="222222"/>
          <w:highlight w:val="white"/>
        </w:rPr>
        <w:t xml:space="preserve">, </w:t>
      </w:r>
      <w:r>
        <w:rPr>
          <w:i/>
          <w:color w:val="222222"/>
          <w:highlight w:val="white"/>
        </w:rPr>
        <w:t>42</w:t>
      </w:r>
      <w:r>
        <w:rPr>
          <w:color w:val="222222"/>
          <w:highlight w:val="white"/>
        </w:rPr>
        <w:t>(7), 596-615.</w:t>
      </w:r>
      <w:r>
        <w:rPr>
          <w:color w:val="222222"/>
        </w:rPr>
        <w:t xml:space="preserve"> </w:t>
      </w:r>
      <w:hyperlink r:id="rId52">
        <w:r>
          <w:rPr>
            <w:color w:val="0000FF"/>
            <w:u w:val="single"/>
          </w:rPr>
          <w:t>https://doi.org/10.1080/01900692.2018.1498103</w:t>
        </w:r>
      </w:hyperlink>
    </w:p>
    <w:p w14:paraId="1B7B821A" w14:textId="77777777" w:rsidR="00A24FAD" w:rsidRDefault="00D022AE">
      <w:pPr>
        <w:spacing w:after="0" w:line="360" w:lineRule="auto"/>
        <w:ind w:left="0" w:hanging="2"/>
        <w:rPr>
          <w:color w:val="0000FF"/>
          <w:highlight w:val="white"/>
          <w:u w:val="single"/>
        </w:rPr>
      </w:pPr>
      <w:r>
        <w:rPr>
          <w:color w:val="222222"/>
          <w:highlight w:val="white"/>
        </w:rPr>
        <w:t xml:space="preserve">Xu, H. &amp; Borson, J. E. (2018). The future of legal and ethical regulations for autonomous robotics. In </w:t>
      </w:r>
      <w:r>
        <w:rPr>
          <w:i/>
          <w:color w:val="222222"/>
          <w:highlight w:val="white"/>
        </w:rPr>
        <w:t>2018 IEEE/RSJ International Conference on Intelligent Robots and Systems (IROS)</w:t>
      </w:r>
      <w:r>
        <w:rPr>
          <w:color w:val="222222"/>
          <w:highlight w:val="white"/>
        </w:rPr>
        <w:t xml:space="preserve"> (pp. 2362-2366). IEEE. </w:t>
      </w:r>
      <w:hyperlink r:id="rId53">
        <w:r>
          <w:rPr>
            <w:color w:val="0000FF"/>
            <w:highlight w:val="white"/>
            <w:u w:val="single"/>
          </w:rPr>
          <w:t>https://doi.org/10.1109/iros.2018.8593915</w:t>
        </w:r>
      </w:hyperlink>
    </w:p>
    <w:p w14:paraId="6C3ADB63" w14:textId="77777777" w:rsidR="00A24FAD" w:rsidRDefault="00D022AE">
      <w:pPr>
        <w:spacing w:after="0" w:line="360" w:lineRule="auto"/>
        <w:ind w:left="0" w:hanging="2"/>
        <w:rPr>
          <w:color w:val="222222"/>
          <w:highlight w:val="white"/>
        </w:rPr>
      </w:pPr>
      <w:r>
        <w:rPr>
          <w:color w:val="222222"/>
          <w:highlight w:val="white"/>
        </w:rPr>
        <w:lastRenderedPageBreak/>
        <w:t xml:space="preserve">Zeadally, S., Isaac, J. T. &amp; Baig, Z. (2016). Security attacks and solutions in electronic health (e-health) systems. </w:t>
      </w:r>
      <w:r>
        <w:rPr>
          <w:i/>
          <w:color w:val="222222"/>
          <w:highlight w:val="white"/>
        </w:rPr>
        <w:t>Journal of Medical Systems</w:t>
      </w:r>
      <w:r>
        <w:rPr>
          <w:color w:val="222222"/>
          <w:highlight w:val="white"/>
        </w:rPr>
        <w:t xml:space="preserve">, </w:t>
      </w:r>
      <w:r>
        <w:rPr>
          <w:i/>
          <w:color w:val="222222"/>
          <w:highlight w:val="white"/>
        </w:rPr>
        <w:t>40</w:t>
      </w:r>
      <w:r>
        <w:rPr>
          <w:color w:val="222222"/>
          <w:highlight w:val="white"/>
        </w:rPr>
        <w:t xml:space="preserve">, 1-12. </w:t>
      </w:r>
      <w:hyperlink r:id="rId54">
        <w:r>
          <w:rPr>
            <w:color w:val="0000FF"/>
            <w:highlight w:val="white"/>
            <w:u w:val="single"/>
          </w:rPr>
          <w:t>https://doi.org/10.1007/s10916-016-0597-z</w:t>
        </w:r>
      </w:hyperlink>
    </w:p>
    <w:p w14:paraId="28FF4ACB" w14:textId="77777777" w:rsidR="00A24FAD" w:rsidRDefault="00D022AE">
      <w:pPr>
        <w:spacing w:after="0" w:line="360" w:lineRule="auto"/>
        <w:ind w:left="0" w:hanging="2"/>
        <w:rPr>
          <w:color w:val="0000FF"/>
          <w:u w:val="single"/>
        </w:rPr>
      </w:pPr>
      <w:bookmarkStart w:id="28" w:name="_heading=h.d6m1bufzy1hf" w:colFirst="0" w:colLast="0"/>
      <w:bookmarkEnd w:id="28"/>
      <w:r>
        <w:t xml:space="preserve">Zheng, Y., Han, Y., Cui, L., Miao, C., Leung, C., &amp; Yang, Q. (2018). SmartHS: An AI platform for improving government service provision. </w:t>
      </w:r>
      <w:r>
        <w:rPr>
          <w:i/>
        </w:rPr>
        <w:t>Proceedings of the AAAI Conference on Artificial Intelligence, 32</w:t>
      </w:r>
      <w:r>
        <w:t xml:space="preserve">(1). </w:t>
      </w:r>
      <w:r>
        <w:br/>
      </w:r>
      <w:hyperlink r:id="rId55">
        <w:r>
          <w:rPr>
            <w:color w:val="0000FF"/>
            <w:u w:val="single"/>
          </w:rPr>
          <w:t>https://doi.org/10.1609/aaai.v32i1.11382</w:t>
        </w:r>
      </w:hyperlink>
    </w:p>
    <w:p w14:paraId="64E521E3" w14:textId="77777777" w:rsidR="00A24FAD" w:rsidRDefault="00A24FAD">
      <w:pPr>
        <w:pBdr>
          <w:top w:val="nil"/>
          <w:left w:val="nil"/>
          <w:bottom w:val="nil"/>
          <w:right w:val="nil"/>
          <w:between w:val="nil"/>
        </w:pBdr>
        <w:spacing w:after="0" w:line="360" w:lineRule="auto"/>
        <w:ind w:left="0" w:hanging="2"/>
        <w:rPr>
          <w:color w:val="000000"/>
        </w:rPr>
      </w:pPr>
    </w:p>
    <w:sectPr w:rsidR="00A24FAD">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embedRegular r:id="rId1" w:fontKey="{4EC6CD04-DC00-47AE-BE79-DBA659631D4E}"/>
  </w:font>
  <w:font w:name="Georgia">
    <w:panose1 w:val="02040502050405020303"/>
    <w:charset w:val="00"/>
    <w:family w:val="roman"/>
    <w:pitch w:val="variable"/>
    <w:sig w:usb0="00000287" w:usb1="00000000" w:usb2="00000000" w:usb3="00000000" w:csb0="0000009F" w:csb1="00000000"/>
    <w:embedRegular r:id="rId2" w:fontKey="{86921D32-10BB-45D0-B688-358C56A74808}"/>
    <w:embedItalic r:id="rId3" w:fontKey="{4C0C0122-431C-4DDF-9C90-96854370A84F}"/>
  </w:font>
  <w:font w:name="Gill Sans MT">
    <w:panose1 w:val="020B0502020104020203"/>
    <w:charset w:val="00"/>
    <w:family w:val="swiss"/>
    <w:pitch w:val="variable"/>
    <w:sig w:usb0="00000007" w:usb1="00000000" w:usb2="00000000" w:usb3="00000000" w:csb0="00000003" w:csb1="00000000"/>
    <w:embedRegular r:id="rId4" w:fontKey="{16AF9779-2BE1-43B1-97B2-B26B7DAD9192}"/>
  </w:font>
  <w:font w:name="Cambria">
    <w:panose1 w:val="02040503050406030204"/>
    <w:charset w:val="00"/>
    <w:family w:val="roman"/>
    <w:pitch w:val="variable"/>
    <w:sig w:usb0="E00006FF" w:usb1="420024FF" w:usb2="02000000" w:usb3="00000000" w:csb0="0000019F" w:csb1="00000000"/>
    <w:embedRegular r:id="rId5" w:fontKey="{B23D70B1-9153-4066-9941-638B8DD305CF}"/>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embedRegular r:id="rId6" w:fontKey="{EA323495-6CD7-4B48-ADDA-C509812946DB}"/>
  </w:font>
  <w:font w:name="Calibri">
    <w:panose1 w:val="020F0502020204030204"/>
    <w:charset w:val="00"/>
    <w:family w:val="swiss"/>
    <w:pitch w:val="variable"/>
    <w:sig w:usb0="E4002EFF" w:usb1="C000247B" w:usb2="00000009" w:usb3="00000000" w:csb0="000001FF" w:csb1="00000000"/>
    <w:embedRegular r:id="rId7" w:fontKey="{0641D079-0D35-4992-A31D-FDBABC39916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660E32"/>
    <w:multiLevelType w:val="multilevel"/>
    <w:tmpl w:val="7BE0A0CC"/>
    <w:lvl w:ilvl="0">
      <w:start w:val="1"/>
      <w:numFmt w:val="decimal"/>
      <w:lvlText w:val="%1."/>
      <w:lvlJc w:val="left"/>
      <w:pPr>
        <w:ind w:left="720" w:hanging="360"/>
      </w:pPr>
      <w:rPr>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16cid:durableId="14339346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FAD"/>
    <w:rsid w:val="005423CA"/>
    <w:rsid w:val="00726349"/>
    <w:rsid w:val="007B20B8"/>
    <w:rsid w:val="00A24FAD"/>
    <w:rsid w:val="00D022AE"/>
    <w:rsid w:val="00D8516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70A1E"/>
  <w15:docId w15:val="{8F858B71-76B9-4A3A-9429-AD6CD628A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ZA"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ind w:leftChars="-1" w:left="-1" w:hangingChars="1" w:hanging="1"/>
      <w:textDirection w:val="btLr"/>
      <w:textAlignment w:val="top"/>
      <w:outlineLvl w:val="0"/>
    </w:pPr>
    <w:rPr>
      <w:position w:val="-1"/>
    </w:rPr>
  </w:style>
  <w:style w:type="paragraph" w:styleId="Heading1">
    <w:name w:val="heading 1"/>
    <w:basedOn w:val="Normal"/>
    <w:next w:val="Normal"/>
    <w:uiPriority w:val="9"/>
    <w:qFormat/>
    <w:pPr>
      <w:keepNext/>
      <w:keepLines/>
      <w:spacing w:before="240" w:after="0"/>
    </w:pPr>
    <w:rPr>
      <w:b/>
    </w:rPr>
  </w:style>
  <w:style w:type="paragraph" w:styleId="Heading2">
    <w:name w:val="heading 2"/>
    <w:basedOn w:val="Normal"/>
    <w:next w:val="Normal"/>
    <w:uiPriority w:val="9"/>
    <w:unhideWhenUsed/>
    <w:qFormat/>
    <w:pPr>
      <w:keepNext/>
      <w:keepLines/>
      <w:spacing w:before="40" w:after="0"/>
      <w:outlineLvl w:val="1"/>
    </w:pPr>
    <w:rPr>
      <w:b/>
      <w:i/>
    </w:rPr>
  </w:style>
  <w:style w:type="paragraph" w:styleId="Heading3">
    <w:name w:val="heading 3"/>
    <w:basedOn w:val="Normal"/>
    <w:next w:val="Normal"/>
    <w:uiPriority w:val="9"/>
    <w:semiHidden/>
    <w:unhideWhenUsed/>
    <w:qFormat/>
    <w:pPr>
      <w:keepNext/>
      <w:keepLines/>
      <w:spacing w:before="40" w:after="0"/>
      <w:outlineLvl w:val="2"/>
    </w:pPr>
    <w:rPr>
      <w:i/>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240" w:lineRule="auto"/>
    </w:pPr>
    <w:rPr>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name w:val="a"/>
    <w:basedOn w:val="TableNormal"/>
    <w:pPr>
      <w:suppressAutoHyphens/>
      <w:spacing w:after="0" w:line="240" w:lineRule="auto"/>
      <w:ind w:leftChars="-1" w:left="-1" w:hangingChars="1" w:hanging="1"/>
      <w:textDirection w:val="btLr"/>
      <w:textAlignment w:val="top"/>
      <w:outlineLvl w:val="0"/>
    </w:pPr>
    <w:rPr>
      <w:position w:val="-1"/>
    </w:rPr>
    <w:tblPr>
      <w:tblStyleRowBandSize w:val="1"/>
      <w:tblStyleColBandSize w:val="1"/>
    </w:tblPr>
  </w:style>
  <w:style w:type="character" w:styleId="Hyperlink">
    <w:name w:val="Hyperlink"/>
    <w:qFormat/>
    <w:rPr>
      <w:color w:val="0000FF"/>
      <w:w w:val="100"/>
      <w:position w:val="-1"/>
      <w:u w:val="single"/>
      <w:effect w:val="none"/>
      <w:vertAlign w:val="baseline"/>
      <w:cs w:val="0"/>
      <w:em w:val="none"/>
    </w:rPr>
  </w:style>
  <w:style w:type="paragraph" w:styleId="ListParagraph">
    <w:name w:val="List Paragraph"/>
    <w:basedOn w:val="Normal"/>
    <w:pPr>
      <w:spacing w:after="0" w:line="240" w:lineRule="auto"/>
      <w:ind w:left="720"/>
      <w:contextualSpacing/>
    </w:pPr>
    <w:rPr>
      <w:rFonts w:ascii="Gill Sans MT" w:hAnsi="Gill Sans MT"/>
      <w:lang w:val="en-US" w:eastAsia="en-US"/>
    </w:rPr>
  </w:style>
  <w:style w:type="table" w:styleId="GridTable4-Accent3">
    <w:name w:val="Grid Table 4 Accent 3"/>
    <w:basedOn w:val="TableNormal"/>
    <w:pPr>
      <w:suppressAutoHyphens/>
      <w:spacing w:after="0" w:line="240" w:lineRule="auto"/>
      <w:ind w:leftChars="-1" w:left="-1" w:hangingChars="1" w:hanging="1"/>
      <w:textDirection w:val="btLr"/>
      <w:textAlignment w:val="top"/>
      <w:outlineLvl w:val="0"/>
    </w:pPr>
    <w:rPr>
      <w:rFonts w:ascii="Cambria" w:eastAsia="Cambria" w:hAnsi="Cambria"/>
      <w:position w:val="-1"/>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style>
  <w:style w:type="paragraph" w:styleId="TOC1">
    <w:name w:val="toc 1"/>
    <w:basedOn w:val="Normal"/>
    <w:next w:val="Normal"/>
    <w:qFormat/>
    <w:pPr>
      <w:spacing w:after="100"/>
    </w:pPr>
  </w:style>
  <w:style w:type="paragraph" w:styleId="TOC2">
    <w:name w:val="toc 2"/>
    <w:basedOn w:val="Normal"/>
    <w:next w:val="Normal"/>
    <w:qFormat/>
    <w:pPr>
      <w:spacing w:after="100"/>
      <w:ind w:left="240"/>
    </w:pPr>
  </w:style>
  <w:style w:type="table" w:customStyle="1" w:styleId="a0">
    <w:name w:val="a0"/>
    <w:basedOn w:val="TableNormal"/>
    <w:pPr>
      <w:suppressAutoHyphens/>
      <w:spacing w:after="0" w:line="240" w:lineRule="auto"/>
      <w:ind w:leftChars="-1" w:left="-1" w:hangingChars="1" w:hanging="1"/>
      <w:textDirection w:val="btLr"/>
      <w:textAlignment w:val="top"/>
      <w:outlineLvl w:val="0"/>
    </w:pPr>
    <w:rPr>
      <w:rFonts w:ascii="Cambria" w:eastAsia="Cambria" w:hAnsi="Cambria" w:cs="Cambria"/>
      <w:position w:val="-1"/>
      <w:sz w:val="22"/>
      <w:szCs w:val="22"/>
    </w:rPr>
    <w:tblPr>
      <w:tblStyleRowBandSize w:val="1"/>
      <w:tblStyleColBandSize w:val="1"/>
    </w:tblPr>
  </w:style>
  <w:style w:type="character" w:styleId="CommentReference">
    <w:name w:val="annotation reference"/>
    <w:qFormat/>
    <w:rPr>
      <w:w w:val="100"/>
      <w:position w:val="-1"/>
      <w:sz w:val="16"/>
      <w:szCs w:val="16"/>
      <w:effect w:val="none"/>
      <w:vertAlign w:val="baseline"/>
      <w:cs w:val="0"/>
      <w:em w:val="none"/>
    </w:rPr>
  </w:style>
  <w:style w:type="paragraph" w:styleId="CommentText">
    <w:name w:val="annotation text"/>
    <w:basedOn w:val="Normal"/>
    <w:qFormat/>
    <w:pPr>
      <w:spacing w:line="240" w:lineRule="auto"/>
    </w:pPr>
    <w:rPr>
      <w:sz w:val="20"/>
      <w:szCs w:val="20"/>
    </w:rPr>
  </w:style>
  <w:style w:type="character" w:customStyle="1" w:styleId="CommentTextChar">
    <w:name w:val="Comment Text Char"/>
    <w:rPr>
      <w:w w:val="100"/>
      <w:position w:val="-1"/>
      <w:sz w:val="20"/>
      <w:szCs w:val="20"/>
      <w:effect w:val="none"/>
      <w:vertAlign w:val="baseline"/>
      <w:cs w:val="0"/>
      <w:em w:val="none"/>
    </w:rPr>
  </w:style>
  <w:style w:type="paragraph" w:styleId="CommentSubject">
    <w:name w:val="annotation subject"/>
    <w:basedOn w:val="CommentText"/>
    <w:next w:val="CommentText"/>
    <w:qFormat/>
    <w:rPr>
      <w:b/>
      <w:bCs/>
    </w:rPr>
  </w:style>
  <w:style w:type="character" w:customStyle="1" w:styleId="CommentSubjectChar">
    <w:name w:val="Comment Subject Char"/>
    <w:rPr>
      <w:b/>
      <w:bCs/>
      <w:w w:val="100"/>
      <w:position w:val="-1"/>
      <w:sz w:val="20"/>
      <w:szCs w:val="20"/>
      <w:effect w:val="none"/>
      <w:vertAlign w:val="baseline"/>
      <w:cs w:val="0"/>
      <w:em w:val="none"/>
    </w:rPr>
  </w:style>
  <w:style w:type="paragraph" w:styleId="Revision">
    <w:name w:val="Revision"/>
    <w:pPr>
      <w:suppressAutoHyphens/>
      <w:spacing w:line="1" w:lineRule="atLeast"/>
      <w:ind w:leftChars="-1" w:left="-1" w:hangingChars="1" w:hanging="1"/>
      <w:textDirection w:val="btLr"/>
      <w:textAlignment w:val="top"/>
      <w:outlineLvl w:val="0"/>
    </w:pPr>
    <w:rPr>
      <w:position w:val="-1"/>
    </w:rPr>
  </w:style>
  <w:style w:type="character" w:customStyle="1" w:styleId="redstar">
    <w:name w:val="redstar"/>
    <w:basedOn w:val="DefaultParagraphFont"/>
    <w:rPr>
      <w:w w:val="100"/>
      <w:position w:val="-1"/>
      <w:effect w:val="none"/>
      <w:vertAlign w:val="baseline"/>
      <w:cs w:val="0"/>
      <w:em w:val="none"/>
    </w:rPr>
  </w:style>
  <w:style w:type="character" w:customStyle="1" w:styleId="react-xocs-alternative-link">
    <w:name w:val="react-xocs-alternative-link"/>
    <w:basedOn w:val="DefaultParagraphFont"/>
    <w:rPr>
      <w:w w:val="100"/>
      <w:position w:val="-1"/>
      <w:effect w:val="none"/>
      <w:vertAlign w:val="baseline"/>
      <w:cs w:val="0"/>
      <w:em w:val="none"/>
    </w:rPr>
  </w:style>
  <w:style w:type="character" w:customStyle="1" w:styleId="text">
    <w:name w:val="text"/>
    <w:basedOn w:val="DefaultParagraphFont"/>
    <w:rPr>
      <w:w w:val="100"/>
      <w:position w:val="-1"/>
      <w:effect w:val="none"/>
      <w:vertAlign w:val="baseline"/>
      <w:cs w:val="0"/>
      <w:em w:val="none"/>
    </w:rPr>
  </w:style>
  <w:style w:type="character" w:customStyle="1" w:styleId="given-name">
    <w:name w:val="given-name"/>
    <w:basedOn w:val="DefaultParagraphFont"/>
    <w:rPr>
      <w:w w:val="100"/>
      <w:position w:val="-1"/>
      <w:effect w:val="none"/>
      <w:vertAlign w:val="baseline"/>
      <w:cs w:val="0"/>
      <w:em w:val="none"/>
    </w:rPr>
  </w:style>
  <w:style w:type="character" w:styleId="SmartLink">
    <w:name w:val="Smart Link"/>
    <w:qFormat/>
    <w:rPr>
      <w:color w:val="605E5C"/>
      <w:w w:val="100"/>
      <w:position w:val="-1"/>
      <w:effect w:val="none"/>
      <w:shd w:val="clear" w:color="auto" w:fill="E1DFDD"/>
      <w:vertAlign w:val="baseline"/>
      <w:cs w:val="0"/>
      <w:em w:val="none"/>
    </w:rPr>
  </w:style>
  <w:style w:type="character" w:customStyle="1" w:styleId="html-italic">
    <w:name w:val="html-italic"/>
    <w:basedOn w:val="DefaultParagraphFont"/>
    <w:rPr>
      <w:w w:val="100"/>
      <w:position w:val="-1"/>
      <w:effect w:val="none"/>
      <w:vertAlign w:val="baseline"/>
      <w:cs w:val="0"/>
      <w:em w:val="none"/>
    </w:rPr>
  </w:style>
  <w:style w:type="character" w:customStyle="1" w:styleId="TitleChar">
    <w:name w:val="Title Char"/>
    <w:rPr>
      <w:w w:val="100"/>
      <w:position w:val="-1"/>
      <w:sz w:val="32"/>
      <w:szCs w:val="32"/>
      <w:effect w:val="none"/>
      <w:vertAlign w:val="baseline"/>
      <w:cs w:val="0"/>
      <w:em w:val="none"/>
    </w:rPr>
  </w:style>
  <w:style w:type="character" w:customStyle="1" w:styleId="Heading1Char">
    <w:name w:val="Heading 1 Char"/>
    <w:rPr>
      <w:b/>
      <w:w w:val="100"/>
      <w:position w:val="-1"/>
      <w:sz w:val="24"/>
      <w:szCs w:val="24"/>
      <w:effect w:val="none"/>
      <w:vertAlign w:val="baseline"/>
      <w:cs w:val="0"/>
      <w:em w:val="none"/>
    </w:rPr>
  </w:style>
  <w:style w:type="character" w:styleId="FollowedHyperlink">
    <w:name w:val="FollowedHyperlink"/>
    <w:qFormat/>
    <w:rPr>
      <w:color w:val="96607D"/>
      <w:w w:val="100"/>
      <w:position w:val="-1"/>
      <w:u w:val="single"/>
      <w:effect w:val="none"/>
      <w:vertAlign w:val="baseline"/>
      <w:cs w:val="0"/>
      <w:em w:val="none"/>
    </w:rPr>
  </w:style>
  <w:style w:type="character" w:styleId="UnresolvedMention">
    <w:name w:val="Unresolved Mention"/>
    <w:qFormat/>
    <w:rPr>
      <w:color w:val="605E5C"/>
      <w:w w:val="100"/>
      <w:position w:val="-1"/>
      <w:effect w:val="none"/>
      <w:shd w:val="clear" w:color="auto" w:fill="E1DFDD"/>
      <w:vertAlign w:val="baseline"/>
      <w:cs w:val="0"/>
      <w:em w:val="none"/>
    </w:rPr>
  </w:style>
  <w:style w:type="table" w:customStyle="1" w:styleId="a1">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doi.org/10.3390/drones4030030" TargetMode="External"/><Relationship Id="rId18" Type="http://schemas.openxmlformats.org/officeDocument/2006/relationships/hyperlink" Target="https://www.un.org/development/desa/dpad/wp-content/uploads/sites/45/publication/WESS2018_full_web.pdf" TargetMode="External"/><Relationship Id="rId26" Type="http://schemas.openxmlformats.org/officeDocument/2006/relationships/hyperlink" Target="https://doi.org/10.31228/osf.io/5at2f" TargetMode="External"/><Relationship Id="rId39" Type="http://schemas.openxmlformats.org/officeDocument/2006/relationships/hyperlink" Target="http://www.droneregulations.info" TargetMode="External"/><Relationship Id="rId21" Type="http://schemas.openxmlformats.org/officeDocument/2006/relationships/hyperlink" Target="https://doi.org/10.3390/s19132955" TargetMode="External"/><Relationship Id="rId34" Type="http://schemas.openxmlformats.org/officeDocument/2006/relationships/hyperlink" Target="https://doi.org/10.1155/2019/3589792" TargetMode="External"/><Relationship Id="rId42" Type="http://schemas.openxmlformats.org/officeDocument/2006/relationships/hyperlink" Target="https://doi.org/10.1109/istafrica.2016.7530664" TargetMode="External"/><Relationship Id="rId47" Type="http://schemas.openxmlformats.org/officeDocument/2006/relationships/hyperlink" Target="https://doi.org/10.1016/s0140-6736(18)33253-7" TargetMode="External"/><Relationship Id="rId50" Type="http://schemas.openxmlformats.org/officeDocument/2006/relationships/hyperlink" Target="https://doi.org/10.24251/hicss.2018.611" TargetMode="External"/><Relationship Id="rId55" Type="http://schemas.openxmlformats.org/officeDocument/2006/relationships/hyperlink" Target="https://doi.org/10.1080/01900692.2018.1498103"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1109/ivs.2019.8813817" TargetMode="External"/><Relationship Id="rId29" Type="http://schemas.openxmlformats.org/officeDocument/2006/relationships/hyperlink" Target="https://doi.org/10.1002/asi.23867" TargetMode="External"/><Relationship Id="rId11" Type="http://schemas.openxmlformats.org/officeDocument/2006/relationships/hyperlink" Target="https://doi.org/10.1017/als.2020.19" TargetMode="External"/><Relationship Id="rId24" Type="http://schemas.openxmlformats.org/officeDocument/2006/relationships/hyperlink" Target="https://doi.org/10.1007/978-3-319-14547-1" TargetMode="External"/><Relationship Id="rId32" Type="http://schemas.openxmlformats.org/officeDocument/2006/relationships/hyperlink" Target="https://doi.org/10.4103/jfmpc.jfmpc_413_18" TargetMode="External"/><Relationship Id="rId37" Type="http://schemas.openxmlformats.org/officeDocument/2006/relationships/hyperlink" Target="https://doi.org/10.1111/trf.15195" TargetMode="External"/><Relationship Id="rId40" Type="http://schemas.openxmlformats.org/officeDocument/2006/relationships/hyperlink" Target="https://doi.org/10.1016/j.techsoc.2019.04.007" TargetMode="External"/><Relationship Id="rId45" Type="http://schemas.openxmlformats.org/officeDocument/2006/relationships/hyperlink" Target="https://doi.org/10.1016/j.clsr.2010.05.005" TargetMode="External"/><Relationship Id="rId53" Type="http://schemas.openxmlformats.org/officeDocument/2006/relationships/hyperlink" Target="https://doi.org/10.1109/iros.2018.8593915" TargetMode="External"/><Relationship Id="rId5" Type="http://schemas.openxmlformats.org/officeDocument/2006/relationships/numbering" Target="numbering.xml"/><Relationship Id="rId19" Type="http://schemas.openxmlformats.org/officeDocument/2006/relationships/hyperlink" Target="https://doi.org/10.1057/ejis.2008.49" TargetMode="External"/><Relationship Id="rId4" Type="http://schemas.openxmlformats.org/officeDocument/2006/relationships/customXml" Target="../customXml/item4.xml"/><Relationship Id="rId9" Type="http://schemas.openxmlformats.org/officeDocument/2006/relationships/hyperlink" Target="https://doi.org/10.7249/rr1744" TargetMode="External"/><Relationship Id="rId14" Type="http://schemas.openxmlformats.org/officeDocument/2006/relationships/hyperlink" Target="https://doi.org/10.1016/j.techfore.2021.120677" TargetMode="External"/><Relationship Id="rId22" Type="http://schemas.openxmlformats.org/officeDocument/2006/relationships/hyperlink" Target="https://doi.org/10.1046/j.1365-2575.2001.00095.x" TargetMode="External"/><Relationship Id="rId27" Type="http://schemas.openxmlformats.org/officeDocument/2006/relationships/hyperlink" Target="https://doi.org/10.1504/ijscor.2020.109184" TargetMode="External"/><Relationship Id="rId30" Type="http://schemas.openxmlformats.org/officeDocument/2006/relationships/hyperlink" Target="https://doi.org/10.1609/aaai.v32i1.11382" TargetMode="External"/><Relationship Id="rId35" Type="http://schemas.openxmlformats.org/officeDocument/2006/relationships/hyperlink" Target="https://doi.org/10.1080/15623599.2018.1452101" TargetMode="External"/><Relationship Id="rId43" Type="http://schemas.openxmlformats.org/officeDocument/2006/relationships/hyperlink" Target="https://doi.org/10.1016/s0140-6736(16)30361-0" TargetMode="External"/><Relationship Id="rId48" Type="http://schemas.openxmlformats.org/officeDocument/2006/relationships/hyperlink" Target="https://doi.org/10.1515/sspjce-2019-0003"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doi.org/10.3386/w25548" TargetMode="External"/><Relationship Id="rId3" Type="http://schemas.openxmlformats.org/officeDocument/2006/relationships/customXml" Target="../customXml/item3.xml"/><Relationship Id="rId12" Type="http://schemas.openxmlformats.org/officeDocument/2006/relationships/hyperlink" Target="https://doi.org/10.1111/rego.12344" TargetMode="External"/><Relationship Id="rId17" Type="http://schemas.openxmlformats.org/officeDocument/2006/relationships/hyperlink" Target="https://doi.org/10.1080/17579961.2017.1304921" TargetMode="External"/><Relationship Id="rId25" Type="http://schemas.openxmlformats.org/officeDocument/2006/relationships/hyperlink" Target="https://doi.org/10.1111/rego.12392" TargetMode="External"/><Relationship Id="rId33" Type="http://schemas.openxmlformats.org/officeDocument/2006/relationships/hyperlink" Target="https://doi.org/10.11113/jurnalteknologi.v84.17503" TargetMode="External"/><Relationship Id="rId38" Type="http://schemas.openxmlformats.org/officeDocument/2006/relationships/hyperlink" Target="https://doi.org/10.1007/s11948-017-9901-7" TargetMode="External"/><Relationship Id="rId46" Type="http://schemas.openxmlformats.org/officeDocument/2006/relationships/hyperlink" Target="https://doi.org/10.1007/978-1-4419-5653-8_2" TargetMode="External"/><Relationship Id="rId20" Type="http://schemas.openxmlformats.org/officeDocument/2006/relationships/hyperlink" Target="https://doi.org/10.4018/978-1-59140-140-7.ch001" TargetMode="External"/><Relationship Id="rId41" Type="http://schemas.openxmlformats.org/officeDocument/2006/relationships/hyperlink" Target="https://doi.org/10.1080/09537325.2020.1858047" TargetMode="External"/><Relationship Id="rId54" Type="http://schemas.openxmlformats.org/officeDocument/2006/relationships/hyperlink" Target="https://doi.org/10.4102/aosis.2023.BK418"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oi.org/10.1080/01441647.2018.1494640" TargetMode="External"/><Relationship Id="rId23" Type="http://schemas.openxmlformats.org/officeDocument/2006/relationships/hyperlink" Target="https://doi.org/10.1016/j.infoandorg.2008.04.001" TargetMode="External"/><Relationship Id="rId28" Type="http://schemas.openxmlformats.org/officeDocument/2006/relationships/hyperlink" Target="https://doi.org/10.1109/mspec.2018.8241731" TargetMode="External"/><Relationship Id="rId36" Type="http://schemas.openxmlformats.org/officeDocument/2006/relationships/hyperlink" Target="https://doi.org/10.1007/s10916-016-0597-z" TargetMode="External"/><Relationship Id="rId49" Type="http://schemas.openxmlformats.org/officeDocument/2006/relationships/hyperlink" Target="https://doi.org/10.1139/juvs-2016-0022" TargetMode="External"/><Relationship Id="rId57" Type="http://schemas.openxmlformats.org/officeDocument/2006/relationships/theme" Target="theme/theme1.xml"/><Relationship Id="rId10" Type="http://schemas.openxmlformats.org/officeDocument/2006/relationships/hyperlink" Target="http://www.rpas-regulations.com" TargetMode="External"/><Relationship Id="rId31" Type="http://schemas.openxmlformats.org/officeDocument/2006/relationships/hyperlink" Target="https://www.forbes.com/sites/unitystoakes/2015/08/01/the-leapfrog-opportunity-in-the-worlds-underserved-health-care-markets/" TargetMode="External"/><Relationship Id="rId44" Type="http://schemas.openxmlformats.org/officeDocument/2006/relationships/hyperlink" Target="https://doi.org/10.2146/ajhp170196?sh=6ceae5546908" TargetMode="External"/><Relationship Id="rId52" Type="http://schemas.openxmlformats.org/officeDocument/2006/relationships/hyperlink" Target="https://doi.org/10.1016/j.apenergy.2019.03.117"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14D5D0ECC18EF43A770B4DF2988E03F" ma:contentTypeVersion="19" ma:contentTypeDescription="Create a new document." ma:contentTypeScope="" ma:versionID="5f3055d36953918debd1be0389eef4f3">
  <xsd:schema xmlns:xsd="http://www.w3.org/2001/XMLSchema" xmlns:xs="http://www.w3.org/2001/XMLSchema" xmlns:p="http://schemas.microsoft.com/office/2006/metadata/properties" xmlns:ns2="1e2eb8aa-1833-4a60-bdf4-39ceaf089f14" xmlns:ns3="6c54d3af-34d3-46dd-b1ce-bb97f7b78c0c" targetNamespace="http://schemas.microsoft.com/office/2006/metadata/properties" ma:root="true" ma:fieldsID="190810796a63741038b36e77935afeec" ns2:_="" ns3:_="">
    <xsd:import namespace="1e2eb8aa-1833-4a60-bdf4-39ceaf089f14"/>
    <xsd:import namespace="6c54d3af-34d3-46dd-b1ce-bb97f7b78c0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2eb8aa-1833-4a60-bdf4-39ceaf089f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37a8ded-3f91-4be5-83ad-6fb9390bbe21"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c54d3af-34d3-46dd-b1ce-bb97f7b78c0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65db8d73-75d6-4f20-981b-b1fb9a990146}" ma:internalName="TaxCatchAll" ma:showField="CatchAllData" ma:web="6c54d3af-34d3-46dd-b1ce-bb97f7b78c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kRCpbC+thCxGFx9/Rhc5I7Ro4A==">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</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TaxCatchAll xmlns="6c54d3af-34d3-46dd-b1ce-bb97f7b78c0c" xsi:nil="true"/>
    <lcf76f155ced4ddcb4097134ff3c332f xmlns="1e2eb8aa-1833-4a60-bdf4-39ceaf089f1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B3F7F92-1B3A-43F8-B8CF-44ECF0CB7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2eb8aa-1833-4a60-bdf4-39ceaf089f14"/>
    <ds:schemaRef ds:uri="6c54d3af-34d3-46dd-b1ce-bb97f7b78c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F91929-4934-4BC2-AA4B-D498FACBE82E}">
  <ds:schemaRefs>
    <ds:schemaRef ds:uri="http://schemas.microsoft.com/sharepoint/v3/contenttype/form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2DCEAE4B-CE45-447A-98F9-1423279A6276}">
  <ds:schemaRefs>
    <ds:schemaRef ds:uri="http://schemas.microsoft.com/office/2006/metadata/properties"/>
    <ds:schemaRef ds:uri="http://schemas.microsoft.com/office/infopath/2007/PartnerControls"/>
    <ds:schemaRef ds:uri="6c54d3af-34d3-46dd-b1ce-bb97f7b78c0c"/>
    <ds:schemaRef ds:uri="1e2eb8aa-1833-4a60-bdf4-39ceaf089f14"/>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6583</Words>
  <Characters>41980</Characters>
  <Application>Microsoft Office Word</Application>
  <DocSecurity>0</DocSecurity>
  <Lines>741</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Mangundu</dc:creator>
  <cp:lastModifiedBy>Pfano Makhera</cp:lastModifiedBy>
  <cp:revision>2</cp:revision>
  <dcterms:created xsi:type="dcterms:W3CDTF">2026-03-02T09:06:00Z</dcterms:created>
  <dcterms:modified xsi:type="dcterms:W3CDTF">2026-03-02T09:06:00Z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0x010100E14D5D0ECC18EF43A770B4DF2988E03F</vt:lpwstr>
  </property>
  <property fmtid="{D5CDD505-2E9C-101B-9397-08002B2CF9AE}" pid="3" name="GrammarlyDocumentId">
    <vt:lpwstr>6865fab5b484abde79c7b47b99c6200a28c880997d73bc848fc1bdf92e73947a</vt:lpwstr>
  </property>
  <property fmtid="{D5CDD505-2E9C-101B-9397-08002B2CF9AE}" pid="4" name="MediaServiceImageTags">
    <vt:lpwstr>MediaServiceImageTags</vt:lpwstr>
  </property>
</Properties>
</file>