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D5B76E" w14:textId="77777777" w:rsidR="009C2C27" w:rsidRDefault="009C2C27" w:rsidP="008B7CD9">
      <w:pPr>
        <w:autoSpaceDE w:val="0"/>
        <w:autoSpaceDN w:val="0"/>
        <w:adjustRightInd w:val="0"/>
        <w:spacing w:after="240" w:line="480" w:lineRule="atLeast"/>
        <w:jc w:val="center"/>
        <w:rPr>
          <w:b/>
          <w:color w:val="000000"/>
          <w:sz w:val="32"/>
          <w:szCs w:val="32"/>
        </w:rPr>
      </w:pPr>
      <w:bookmarkStart w:id="0" w:name="_GoBack"/>
      <w:bookmarkEnd w:id="0"/>
    </w:p>
    <w:p w14:paraId="2E160FB7" w14:textId="77777777" w:rsidR="009C2C27" w:rsidRDefault="009C2C27" w:rsidP="008B7CD9">
      <w:pPr>
        <w:autoSpaceDE w:val="0"/>
        <w:autoSpaceDN w:val="0"/>
        <w:adjustRightInd w:val="0"/>
        <w:spacing w:after="240" w:line="480" w:lineRule="atLeast"/>
        <w:jc w:val="center"/>
        <w:rPr>
          <w:b/>
          <w:color w:val="000000"/>
          <w:sz w:val="32"/>
          <w:szCs w:val="32"/>
        </w:rPr>
      </w:pPr>
    </w:p>
    <w:p w14:paraId="1AC174B4" w14:textId="063B9F7D" w:rsidR="009C2C27" w:rsidRDefault="009C2C27" w:rsidP="008B7CD9">
      <w:pPr>
        <w:autoSpaceDE w:val="0"/>
        <w:autoSpaceDN w:val="0"/>
        <w:adjustRightInd w:val="0"/>
        <w:spacing w:after="240" w:line="480" w:lineRule="atLeast"/>
        <w:jc w:val="center"/>
        <w:rPr>
          <w:color w:val="000000"/>
          <w:sz w:val="32"/>
          <w:szCs w:val="32"/>
        </w:rPr>
      </w:pPr>
    </w:p>
    <w:p w14:paraId="386229A5" w14:textId="77777777" w:rsidR="00CD2FAB" w:rsidRPr="009C2C27" w:rsidRDefault="00CD2FAB" w:rsidP="008B7CD9">
      <w:pPr>
        <w:autoSpaceDE w:val="0"/>
        <w:autoSpaceDN w:val="0"/>
        <w:adjustRightInd w:val="0"/>
        <w:spacing w:after="240" w:line="480" w:lineRule="atLeast"/>
        <w:jc w:val="center"/>
        <w:rPr>
          <w:color w:val="000000"/>
          <w:sz w:val="32"/>
          <w:szCs w:val="32"/>
        </w:rPr>
      </w:pPr>
    </w:p>
    <w:p w14:paraId="228845AB" w14:textId="5C7B7B21" w:rsidR="003D0A33" w:rsidRPr="009C2C27" w:rsidRDefault="009C2C27" w:rsidP="008B7CD9">
      <w:pPr>
        <w:autoSpaceDE w:val="0"/>
        <w:autoSpaceDN w:val="0"/>
        <w:adjustRightInd w:val="0"/>
        <w:spacing w:after="240" w:line="480" w:lineRule="atLeast"/>
        <w:jc w:val="center"/>
        <w:rPr>
          <w:color w:val="000000"/>
          <w:sz w:val="32"/>
          <w:szCs w:val="32"/>
        </w:rPr>
      </w:pPr>
      <w:r w:rsidRPr="009C2C27">
        <w:rPr>
          <w:color w:val="000000"/>
          <w:sz w:val="32"/>
          <w:szCs w:val="32"/>
        </w:rPr>
        <w:t>THE DEFICIENCY OF LIBERAL AUTONOMY IN MENTAL HEALTHCARE SETTINGS</w:t>
      </w:r>
    </w:p>
    <w:p w14:paraId="2413CF43" w14:textId="77777777" w:rsidR="008B7CD9" w:rsidRDefault="008B7CD9" w:rsidP="008B7CD9">
      <w:pPr>
        <w:autoSpaceDE w:val="0"/>
        <w:autoSpaceDN w:val="0"/>
        <w:adjustRightInd w:val="0"/>
        <w:spacing w:after="240" w:line="480" w:lineRule="atLeast"/>
        <w:jc w:val="center"/>
        <w:rPr>
          <w:rFonts w:ascii="Times" w:hAnsi="Times" w:cs="Times"/>
          <w:color w:val="000000"/>
          <w:sz w:val="42"/>
          <w:szCs w:val="42"/>
        </w:rPr>
      </w:pPr>
    </w:p>
    <w:p w14:paraId="2D073BCF" w14:textId="18A8F035" w:rsidR="00B677CF" w:rsidRPr="009C2C27" w:rsidRDefault="00B677CF" w:rsidP="008B7CD9">
      <w:pPr>
        <w:autoSpaceDE w:val="0"/>
        <w:autoSpaceDN w:val="0"/>
        <w:adjustRightInd w:val="0"/>
        <w:spacing w:after="240" w:line="480" w:lineRule="atLeast"/>
        <w:jc w:val="center"/>
        <w:rPr>
          <w:rFonts w:ascii="Times" w:hAnsi="Times" w:cs="Times"/>
          <w:color w:val="000000"/>
          <w:sz w:val="28"/>
          <w:szCs w:val="28"/>
        </w:rPr>
      </w:pPr>
      <w:r w:rsidRPr="009C2C27">
        <w:rPr>
          <w:rFonts w:ascii="Times" w:hAnsi="Times" w:cs="Times"/>
          <w:color w:val="000000"/>
          <w:sz w:val="28"/>
          <w:szCs w:val="28"/>
        </w:rPr>
        <w:t>Simone Lee Joannou</w:t>
      </w:r>
    </w:p>
    <w:p w14:paraId="3773B311" w14:textId="77777777" w:rsidR="003D0A33" w:rsidRDefault="003D0A33" w:rsidP="008B7CD9">
      <w:pPr>
        <w:autoSpaceDE w:val="0"/>
        <w:autoSpaceDN w:val="0"/>
        <w:adjustRightInd w:val="0"/>
        <w:spacing w:after="240" w:line="480" w:lineRule="atLeast"/>
        <w:jc w:val="center"/>
        <w:rPr>
          <w:rFonts w:ascii="Times" w:hAnsi="Times" w:cs="Times"/>
          <w:color w:val="000000"/>
          <w:sz w:val="42"/>
          <w:szCs w:val="42"/>
        </w:rPr>
      </w:pPr>
    </w:p>
    <w:p w14:paraId="229E50D5" w14:textId="2E8FBDEB" w:rsidR="003D0A33" w:rsidRDefault="003D0A33" w:rsidP="008B7CD9">
      <w:pPr>
        <w:autoSpaceDE w:val="0"/>
        <w:autoSpaceDN w:val="0"/>
        <w:adjustRightInd w:val="0"/>
        <w:spacing w:after="240" w:line="480" w:lineRule="atLeast"/>
        <w:jc w:val="center"/>
        <w:rPr>
          <w:rFonts w:ascii="Times" w:hAnsi="Times" w:cs="Times"/>
          <w:color w:val="000000"/>
          <w:sz w:val="42"/>
          <w:szCs w:val="42"/>
        </w:rPr>
      </w:pPr>
    </w:p>
    <w:p w14:paraId="5B75B63D" w14:textId="24A7F2F4" w:rsidR="003D0A33" w:rsidRDefault="003D0A33" w:rsidP="008B7CD9">
      <w:pPr>
        <w:autoSpaceDE w:val="0"/>
        <w:autoSpaceDN w:val="0"/>
        <w:adjustRightInd w:val="0"/>
        <w:spacing w:after="240" w:line="480" w:lineRule="atLeast"/>
        <w:jc w:val="center"/>
        <w:rPr>
          <w:rFonts w:ascii="Times" w:hAnsi="Times" w:cs="Times"/>
          <w:color w:val="000000"/>
        </w:rPr>
      </w:pPr>
    </w:p>
    <w:p w14:paraId="5A204FD5" w14:textId="24A38C60" w:rsidR="009C2C27" w:rsidRDefault="009C2C27" w:rsidP="008B7CD9">
      <w:pPr>
        <w:autoSpaceDE w:val="0"/>
        <w:autoSpaceDN w:val="0"/>
        <w:adjustRightInd w:val="0"/>
        <w:spacing w:after="240" w:line="480" w:lineRule="atLeast"/>
        <w:jc w:val="center"/>
        <w:rPr>
          <w:rFonts w:ascii="Times" w:hAnsi="Times" w:cs="Times"/>
          <w:color w:val="000000"/>
        </w:rPr>
      </w:pPr>
    </w:p>
    <w:p w14:paraId="70A29B3C" w14:textId="39E570AE" w:rsidR="009C2C27" w:rsidRDefault="009C2C27" w:rsidP="008B7CD9">
      <w:pPr>
        <w:autoSpaceDE w:val="0"/>
        <w:autoSpaceDN w:val="0"/>
        <w:adjustRightInd w:val="0"/>
        <w:spacing w:after="240" w:line="480" w:lineRule="atLeast"/>
        <w:jc w:val="center"/>
        <w:rPr>
          <w:rFonts w:ascii="Times" w:hAnsi="Times" w:cs="Times"/>
          <w:color w:val="000000"/>
        </w:rPr>
      </w:pPr>
    </w:p>
    <w:p w14:paraId="225B1AC6" w14:textId="1C1EDA8D" w:rsidR="00CD2FAB" w:rsidRDefault="00CD2FAB" w:rsidP="008B7CD9">
      <w:pPr>
        <w:autoSpaceDE w:val="0"/>
        <w:autoSpaceDN w:val="0"/>
        <w:adjustRightInd w:val="0"/>
        <w:spacing w:after="240" w:line="480" w:lineRule="atLeast"/>
        <w:jc w:val="center"/>
        <w:rPr>
          <w:rFonts w:ascii="Times" w:hAnsi="Times" w:cs="Times"/>
          <w:color w:val="000000"/>
        </w:rPr>
      </w:pPr>
    </w:p>
    <w:p w14:paraId="7DB2822E" w14:textId="7135C1A4" w:rsidR="000C27B6" w:rsidRPr="000C27B6" w:rsidRDefault="000C27B6" w:rsidP="00CD2FAB">
      <w:pPr>
        <w:spacing w:before="100" w:beforeAutospacing="1" w:after="100" w:afterAutospacing="1"/>
        <w:jc w:val="center"/>
        <w:rPr>
          <w:rFonts w:eastAsia="Times New Roman"/>
        </w:rPr>
      </w:pPr>
      <w:r w:rsidRPr="000C27B6">
        <w:rPr>
          <w:rFonts w:eastAsia="Times New Roman"/>
        </w:rPr>
        <w:t xml:space="preserve">A research report </w:t>
      </w:r>
      <w:r>
        <w:rPr>
          <w:rFonts w:eastAsia="Times New Roman"/>
        </w:rPr>
        <w:t>submitted to the Wits Department of Philosophy</w:t>
      </w:r>
      <w:r w:rsidRPr="000C27B6">
        <w:rPr>
          <w:rFonts w:eastAsia="Times New Roman"/>
        </w:rPr>
        <w:t xml:space="preserve">, Faculty of Humanities, University of the Witwatersrand in partial fulfilment of the requirements for the degree of Master of </w:t>
      </w:r>
      <w:r>
        <w:rPr>
          <w:rFonts w:eastAsia="Times New Roman"/>
        </w:rPr>
        <w:t>Arts in Philosophy</w:t>
      </w:r>
      <w:r w:rsidRPr="000C27B6">
        <w:rPr>
          <w:rFonts w:eastAsia="Times New Roman"/>
        </w:rPr>
        <w:t xml:space="preserve"> by combina</w:t>
      </w:r>
      <w:r>
        <w:rPr>
          <w:rFonts w:eastAsia="Times New Roman"/>
        </w:rPr>
        <w:t>tion of coursework and research report.</w:t>
      </w:r>
    </w:p>
    <w:p w14:paraId="4754D36F" w14:textId="77777777" w:rsidR="00CD2FAB" w:rsidRDefault="000C27B6" w:rsidP="008B7CD9">
      <w:pPr>
        <w:jc w:val="center"/>
        <w:rPr>
          <w:bCs/>
        </w:rPr>
      </w:pPr>
      <w:r w:rsidRPr="009C2C27">
        <w:rPr>
          <w:bCs/>
        </w:rPr>
        <w:t>Johannesburg, 2018</w:t>
      </w:r>
    </w:p>
    <w:p w14:paraId="61F9A64B" w14:textId="77777777" w:rsidR="00CD2FAB" w:rsidRDefault="00CD2FAB" w:rsidP="008B7CD9">
      <w:pPr>
        <w:jc w:val="center"/>
        <w:rPr>
          <w:bCs/>
        </w:rPr>
      </w:pPr>
    </w:p>
    <w:p w14:paraId="1E303EA1" w14:textId="77777777" w:rsidR="00CD2FAB" w:rsidRDefault="00CD2FAB" w:rsidP="008B7CD9">
      <w:pPr>
        <w:jc w:val="center"/>
        <w:rPr>
          <w:bCs/>
        </w:rPr>
      </w:pPr>
    </w:p>
    <w:p w14:paraId="06623E2D" w14:textId="77777777" w:rsidR="00CD2FAB" w:rsidRDefault="00CD2FAB" w:rsidP="008B7CD9">
      <w:pPr>
        <w:jc w:val="center"/>
        <w:rPr>
          <w:bCs/>
        </w:rPr>
      </w:pPr>
    </w:p>
    <w:p w14:paraId="5AA6B85C" w14:textId="0C629C31" w:rsidR="00CD2FAB" w:rsidRDefault="008B7CD9" w:rsidP="006B43F8">
      <w:pPr>
        <w:jc w:val="center"/>
        <w:rPr>
          <w:bCs/>
        </w:rPr>
        <w:sectPr w:rsidR="00CD2FAB" w:rsidSect="00CD2FAB">
          <w:headerReference w:type="even" r:id="rId9"/>
          <w:headerReference w:type="default" r:id="rId10"/>
          <w:footerReference w:type="even" r:id="rId11"/>
          <w:footerReference w:type="default" r:id="rId12"/>
          <w:footerReference w:type="first" r:id="rId13"/>
          <w:pgSz w:w="12240" w:h="15840"/>
          <w:pgMar w:top="1440" w:right="1440" w:bottom="1440" w:left="1440" w:header="720" w:footer="720" w:gutter="0"/>
          <w:pgNumType w:fmt="lowerRoman" w:start="1"/>
          <w:cols w:space="720"/>
          <w:titlePg/>
          <w:docGrid w:linePitch="360"/>
        </w:sectPr>
      </w:pPr>
      <w:r>
        <w:rPr>
          <w:bCs/>
        </w:rPr>
        <w:br/>
      </w:r>
    </w:p>
    <w:p w14:paraId="655C1771" w14:textId="57B80485" w:rsidR="008B7CD9" w:rsidRDefault="004645C9" w:rsidP="008B7CD9">
      <w:pPr>
        <w:rPr>
          <w:bCs/>
        </w:rPr>
      </w:pPr>
      <w:r>
        <w:rPr>
          <w:bCs/>
        </w:rPr>
        <w:lastRenderedPageBreak/>
        <w:t>ABSTRACT</w:t>
      </w:r>
    </w:p>
    <w:p w14:paraId="5641FF31" w14:textId="6FBDC8AA" w:rsidR="00BA18A0" w:rsidRDefault="00BA18A0" w:rsidP="00AE708B">
      <w:pPr>
        <w:jc w:val="both"/>
      </w:pPr>
    </w:p>
    <w:p w14:paraId="6E1366C7" w14:textId="154202AC" w:rsidR="00AE708B" w:rsidRPr="00673D64" w:rsidRDefault="00544B82" w:rsidP="00544B82">
      <w:r>
        <w:t>Patient</w:t>
      </w:r>
      <w:r w:rsidR="00AE708B">
        <w:t>s</w:t>
      </w:r>
      <w:r>
        <w:t>’</w:t>
      </w:r>
      <w:r w:rsidR="00AE708B">
        <w:t xml:space="preserve"> experience</w:t>
      </w:r>
      <w:r>
        <w:t>s</w:t>
      </w:r>
      <w:r w:rsidR="00AE708B">
        <w:t xml:space="preserve"> of vulnerability in the clinical encounter</w:t>
      </w:r>
      <w:r w:rsidR="00BA18A0">
        <w:t xml:space="preserve"> </w:t>
      </w:r>
      <w:r>
        <w:t>are</w:t>
      </w:r>
      <w:r w:rsidR="00BA18A0">
        <w:t xml:space="preserve"> a decisive factor in how </w:t>
      </w:r>
      <w:r>
        <w:t>they respond</w:t>
      </w:r>
      <w:r w:rsidR="00BA18A0">
        <w:t xml:space="preserve"> to </w:t>
      </w:r>
      <w:r>
        <w:t>their diagnose</w:t>
      </w:r>
      <w:r w:rsidR="00BA18A0">
        <w:t xml:space="preserve">s and whether or not </w:t>
      </w:r>
      <w:r>
        <w:t xml:space="preserve">they will proceed with </w:t>
      </w:r>
      <w:r w:rsidR="00BA18A0">
        <w:t xml:space="preserve">treatment. This experience of vulnerability is </w:t>
      </w:r>
      <w:r w:rsidR="00AE708B">
        <w:t xml:space="preserve">not </w:t>
      </w:r>
      <w:r w:rsidR="00BA18A0">
        <w:t xml:space="preserve">adequately </w:t>
      </w:r>
      <w:r w:rsidR="00AE708B">
        <w:t>accounted for in the standard model of the doctor-patient relationship</w:t>
      </w:r>
      <w:r>
        <w:t xml:space="preserve"> </w:t>
      </w:r>
      <w:r w:rsidR="00B71555">
        <w:t xml:space="preserve">that </w:t>
      </w:r>
      <w:r>
        <w:t>currently dominates medical ethics</w:t>
      </w:r>
      <w:r w:rsidR="00AE708B">
        <w:t xml:space="preserve">. </w:t>
      </w:r>
      <w:r>
        <w:t>The model of doctor-patient relationships has come to resemble</w:t>
      </w:r>
      <w:r w:rsidR="00B71555">
        <w:t xml:space="preserve"> closely</w:t>
      </w:r>
      <w:r>
        <w:t xml:space="preserve"> the consumer-provider relationship</w:t>
      </w:r>
      <w:r w:rsidR="00B71555">
        <w:t xml:space="preserve"> model</w:t>
      </w:r>
      <w:r>
        <w:t xml:space="preserve"> in liberal Western culture, and as a result clinical encounters </w:t>
      </w:r>
      <w:r w:rsidR="00B71555">
        <w:t>have come</w:t>
      </w:r>
      <w:r>
        <w:t xml:space="preserve"> to look more like business transactions</w:t>
      </w:r>
      <w:r w:rsidR="00B71555">
        <w:t>,</w:t>
      </w:r>
      <w:r>
        <w:t xml:space="preserve"> which treat patients as primarily consumers. Ultimately</w:t>
      </w:r>
      <w:r w:rsidR="00B71555">
        <w:t>,</w:t>
      </w:r>
      <w:r>
        <w:t xml:space="preserve"> this results in a clinical encounter relationship </w:t>
      </w:r>
      <w:r w:rsidR="00B71555">
        <w:t>that</w:t>
      </w:r>
      <w:r>
        <w:t xml:space="preserve"> undermines patient autonomy, revealing a problem inherent in the way that physicians understand individual autonomy. </w:t>
      </w:r>
      <w:r w:rsidR="00AE708B">
        <w:t>I argue that the failure to address patient vulnerability</w:t>
      </w:r>
      <w:r>
        <w:t xml:space="preserve"> adequately</w:t>
      </w:r>
      <w:r w:rsidR="00AE708B">
        <w:t xml:space="preserve"> </w:t>
      </w:r>
      <w:r>
        <w:t xml:space="preserve">in the clinical encounter </w:t>
      </w:r>
      <w:r w:rsidR="00AE708B">
        <w:t xml:space="preserve">amounts to a failure </w:t>
      </w:r>
      <w:r>
        <w:t>to</w:t>
      </w:r>
      <w:r w:rsidR="00AE708B">
        <w:t xml:space="preserve"> respect </w:t>
      </w:r>
      <w:r w:rsidR="00BA18A0">
        <w:t xml:space="preserve">patient </w:t>
      </w:r>
      <w:r w:rsidR="00AE708B">
        <w:t>autonomy</w:t>
      </w:r>
      <w:r w:rsidR="00B71555">
        <w:t xml:space="preserve">, and </w:t>
      </w:r>
      <w:r w:rsidR="00AE708B">
        <w:t xml:space="preserve">that this problem </w:t>
      </w:r>
      <w:r w:rsidR="00B71555">
        <w:t>may</w:t>
      </w:r>
      <w:r w:rsidR="00AE708B">
        <w:t xml:space="preserve"> be attributed to an outdated and </w:t>
      </w:r>
      <w:r w:rsidR="00B2562F">
        <w:t>simplistic</w:t>
      </w:r>
      <w:r w:rsidR="00AE708B">
        <w:t xml:space="preserve"> account of autonomy that informs standards for doctor-patient relationships. </w:t>
      </w:r>
      <w:r w:rsidR="00BA18A0">
        <w:t xml:space="preserve">Such an account of autonomy addresses only the competency conditions of autonomy and neglects the authenticity conditions of autonomy. </w:t>
      </w:r>
      <w:r w:rsidR="00AE708B">
        <w:t>I conclude that an updated and more nuanced account of autonomy</w:t>
      </w:r>
      <w:r w:rsidR="00B71555">
        <w:t>,</w:t>
      </w:r>
      <w:r w:rsidR="00AE708B">
        <w:t xml:space="preserve"> </w:t>
      </w:r>
      <w:r w:rsidR="00BA18A0">
        <w:t xml:space="preserve">which provides </w:t>
      </w:r>
      <w:r>
        <w:t xml:space="preserve">strong authenticity conditions as well as competency conditions, </w:t>
      </w:r>
      <w:r w:rsidR="00AE708B">
        <w:t>will</w:t>
      </w:r>
      <w:r>
        <w:t xml:space="preserve"> consequently</w:t>
      </w:r>
      <w:r w:rsidR="00AE708B">
        <w:t xml:space="preserve"> bolster the standard of doctor-patient relationships, and in turn afford patients a greater level of autonomy with which to make sound decisions regarding medical treatment. </w:t>
      </w:r>
    </w:p>
    <w:p w14:paraId="68C3D4E1" w14:textId="77777777" w:rsidR="00827B56" w:rsidRDefault="00827B56" w:rsidP="008B7CD9">
      <w:pPr>
        <w:rPr>
          <w:bCs/>
        </w:rPr>
      </w:pPr>
    </w:p>
    <w:p w14:paraId="1E161B30" w14:textId="64FCC210" w:rsidR="004645C9" w:rsidRDefault="004645C9">
      <w:pPr>
        <w:rPr>
          <w:bCs/>
        </w:rPr>
      </w:pPr>
      <w:r>
        <w:rPr>
          <w:bCs/>
        </w:rPr>
        <w:br w:type="page"/>
      </w:r>
    </w:p>
    <w:p w14:paraId="598B1A12" w14:textId="5A41849A" w:rsidR="008B7CD9" w:rsidRDefault="008B7CD9" w:rsidP="008B7CD9">
      <w:pPr>
        <w:spacing w:before="100" w:beforeAutospacing="1" w:after="100" w:afterAutospacing="1"/>
        <w:rPr>
          <w:rFonts w:eastAsia="Times New Roman"/>
        </w:rPr>
      </w:pPr>
      <w:r>
        <w:rPr>
          <w:rFonts w:eastAsia="Times New Roman"/>
        </w:rPr>
        <w:lastRenderedPageBreak/>
        <w:t>DECLARATION</w:t>
      </w:r>
    </w:p>
    <w:p w14:paraId="29D1766D" w14:textId="2D3A3A68" w:rsidR="008B7CD9" w:rsidRPr="008B7CD9" w:rsidRDefault="008B7CD9" w:rsidP="008B7CD9">
      <w:pPr>
        <w:spacing w:before="100" w:beforeAutospacing="1" w:after="100" w:afterAutospacing="1"/>
        <w:rPr>
          <w:rFonts w:eastAsia="Times New Roman"/>
        </w:rPr>
      </w:pPr>
      <w:r>
        <w:rPr>
          <w:rFonts w:eastAsia="Times New Roman"/>
        </w:rPr>
        <w:t>I declare that this research report</w:t>
      </w:r>
      <w:r w:rsidRPr="008B7CD9">
        <w:rPr>
          <w:rFonts w:eastAsia="Times New Roman"/>
        </w:rPr>
        <w:t xml:space="preserve"> is my own unaided work. It is being submitted for the degree of </w:t>
      </w:r>
      <w:r>
        <w:rPr>
          <w:rFonts w:eastAsia="Times New Roman"/>
        </w:rPr>
        <w:t>Master of Arts in Philosophy</w:t>
      </w:r>
      <w:r w:rsidRPr="008B7CD9">
        <w:rPr>
          <w:rFonts w:eastAsia="Times New Roman"/>
        </w:rPr>
        <w:t xml:space="preserve"> at the University of the Witwatersrand, Johannesburg. It has not been submitted before for any degree or examination at any other University. </w:t>
      </w:r>
    </w:p>
    <w:p w14:paraId="052803BD" w14:textId="77777777" w:rsidR="004645C9" w:rsidRDefault="004645C9" w:rsidP="008B7CD9">
      <w:pPr>
        <w:spacing w:before="100" w:beforeAutospacing="1" w:after="100" w:afterAutospacing="1"/>
        <w:rPr>
          <w:rFonts w:eastAsia="Times New Roman"/>
        </w:rPr>
      </w:pPr>
    </w:p>
    <w:p w14:paraId="3B3C7530" w14:textId="77777777" w:rsidR="00544B82" w:rsidRDefault="00544B82" w:rsidP="008B7CD9">
      <w:pPr>
        <w:spacing w:before="100" w:beforeAutospacing="1" w:after="100" w:afterAutospacing="1"/>
        <w:rPr>
          <w:rFonts w:eastAsia="Times New Roman"/>
        </w:rPr>
      </w:pPr>
    </w:p>
    <w:p w14:paraId="61DDCC23" w14:textId="1968756D" w:rsidR="004645C9" w:rsidRDefault="008B7CD9" w:rsidP="008B7CD9">
      <w:pPr>
        <w:spacing w:before="100" w:beforeAutospacing="1" w:after="100" w:afterAutospacing="1"/>
        <w:rPr>
          <w:rFonts w:eastAsia="Times New Roman"/>
        </w:rPr>
      </w:pPr>
      <w:r>
        <w:rPr>
          <w:rFonts w:eastAsia="Times New Roman"/>
        </w:rPr>
        <w:t xml:space="preserve">Simone Lee Joannou </w:t>
      </w:r>
      <w:r w:rsidRPr="008B7CD9">
        <w:rPr>
          <w:rFonts w:eastAsia="Times New Roman"/>
        </w:rPr>
        <w:t xml:space="preserve"> </w:t>
      </w:r>
    </w:p>
    <w:p w14:paraId="49967DC7" w14:textId="6B241245" w:rsidR="008B7CD9" w:rsidRDefault="008B7CD9" w:rsidP="008B7CD9">
      <w:pPr>
        <w:spacing w:before="100" w:beforeAutospacing="1" w:after="100" w:afterAutospacing="1"/>
        <w:rPr>
          <w:rFonts w:eastAsia="Times New Roman"/>
        </w:rPr>
      </w:pPr>
      <w:r>
        <w:rPr>
          <w:rFonts w:eastAsia="Times New Roman"/>
        </w:rPr>
        <w:t>15</w:t>
      </w:r>
      <w:r w:rsidRPr="00CD2FAB">
        <w:rPr>
          <w:rFonts w:eastAsia="Times New Roman"/>
          <w:vertAlign w:val="superscript"/>
        </w:rPr>
        <w:t>th</w:t>
      </w:r>
      <w:r>
        <w:rPr>
          <w:rFonts w:eastAsia="Times New Roman"/>
        </w:rPr>
        <w:t xml:space="preserve"> day of February in the year 2018.</w:t>
      </w:r>
      <w:r w:rsidRPr="008B7CD9">
        <w:rPr>
          <w:rFonts w:eastAsia="Times New Roman"/>
        </w:rPr>
        <w:t xml:space="preserve"> </w:t>
      </w:r>
    </w:p>
    <w:p w14:paraId="490FEBF8" w14:textId="77777777" w:rsidR="008B7CD9" w:rsidRDefault="008B7CD9">
      <w:pPr>
        <w:rPr>
          <w:rFonts w:eastAsia="Times New Roman"/>
        </w:rPr>
      </w:pPr>
      <w:r>
        <w:rPr>
          <w:rFonts w:eastAsia="Times New Roman"/>
        </w:rPr>
        <w:br w:type="page"/>
      </w:r>
    </w:p>
    <w:p w14:paraId="16647833" w14:textId="0D018D1B" w:rsidR="008B7CD9" w:rsidRPr="004645C9" w:rsidRDefault="008B7CD9" w:rsidP="008B7CD9">
      <w:pPr>
        <w:spacing w:before="100" w:beforeAutospacing="1" w:after="100" w:afterAutospacing="1"/>
        <w:rPr>
          <w:rFonts w:eastAsia="Times New Roman"/>
        </w:rPr>
      </w:pPr>
      <w:r w:rsidRPr="004645C9">
        <w:rPr>
          <w:rFonts w:eastAsia="Times New Roman"/>
        </w:rPr>
        <w:lastRenderedPageBreak/>
        <w:t>ACKNOWLEDGEMENTS</w:t>
      </w:r>
      <w:r w:rsidRPr="004645C9">
        <w:rPr>
          <w:rFonts w:ascii="Arial,Bold" w:eastAsia="Times New Roman" w:hAnsi="Arial,Bold"/>
        </w:rPr>
        <w:t xml:space="preserve"> </w:t>
      </w:r>
    </w:p>
    <w:p w14:paraId="3B206232" w14:textId="25F3412C" w:rsidR="00E45099" w:rsidRPr="008B7CD9" w:rsidRDefault="00B44C53" w:rsidP="00E84003">
      <w:pPr>
        <w:spacing w:before="100" w:beforeAutospacing="1" w:after="100" w:afterAutospacing="1"/>
        <w:rPr>
          <w:rFonts w:eastAsia="Times New Roman"/>
        </w:rPr>
      </w:pPr>
      <w:r>
        <w:rPr>
          <w:rFonts w:eastAsia="Times New Roman"/>
        </w:rPr>
        <w:t xml:space="preserve">First and foremost, </w:t>
      </w:r>
      <w:r w:rsidR="00E45099">
        <w:rPr>
          <w:rFonts w:eastAsia="Times New Roman"/>
        </w:rPr>
        <w:t>I owe my deepest gratitude to Professor Samantha Vice</w:t>
      </w:r>
      <w:r>
        <w:rPr>
          <w:rFonts w:eastAsia="Times New Roman"/>
        </w:rPr>
        <w:t xml:space="preserve">. </w:t>
      </w:r>
      <w:r w:rsidR="006F7A80">
        <w:rPr>
          <w:rFonts w:eastAsia="Times New Roman"/>
        </w:rPr>
        <w:t>I am beyond grateful for all of her academic guidance, as well as every time</w:t>
      </w:r>
      <w:r w:rsidR="00AC4568">
        <w:rPr>
          <w:rFonts w:eastAsia="Times New Roman"/>
        </w:rPr>
        <w:t xml:space="preserve"> that</w:t>
      </w:r>
      <w:r w:rsidR="006F7A80">
        <w:rPr>
          <w:rFonts w:eastAsia="Times New Roman"/>
        </w:rPr>
        <w:t xml:space="preserve"> she</w:t>
      </w:r>
      <w:r w:rsidR="00AC4568">
        <w:rPr>
          <w:rFonts w:eastAsia="Times New Roman"/>
        </w:rPr>
        <w:t xml:space="preserve"> managed to keep me grounded, focused</w:t>
      </w:r>
      <w:r w:rsidR="008609E8">
        <w:rPr>
          <w:rFonts w:eastAsia="Times New Roman"/>
        </w:rPr>
        <w:t>,</w:t>
      </w:r>
      <w:r w:rsidR="00AC4568">
        <w:rPr>
          <w:rFonts w:eastAsia="Times New Roman"/>
        </w:rPr>
        <w:t xml:space="preserve"> and committed</w:t>
      </w:r>
      <w:r w:rsidR="006F7A80">
        <w:rPr>
          <w:rFonts w:eastAsia="Times New Roman"/>
        </w:rPr>
        <w:t xml:space="preserve"> </w:t>
      </w:r>
      <w:r w:rsidR="00AC4568">
        <w:rPr>
          <w:rFonts w:eastAsia="Times New Roman"/>
        </w:rPr>
        <w:t xml:space="preserve">when I certainly could not have done it alone. </w:t>
      </w:r>
      <w:r>
        <w:rPr>
          <w:rFonts w:eastAsia="Times New Roman"/>
        </w:rPr>
        <w:t>Her unending support and encouragement</w:t>
      </w:r>
      <w:r w:rsidR="00AC4568">
        <w:rPr>
          <w:rFonts w:eastAsia="Times New Roman"/>
        </w:rPr>
        <w:t>, as well as her brilliant intellect</w:t>
      </w:r>
      <w:r w:rsidR="006B43F8">
        <w:rPr>
          <w:rFonts w:eastAsia="Times New Roman"/>
        </w:rPr>
        <w:t>, imagination</w:t>
      </w:r>
      <w:r w:rsidR="00AC4568">
        <w:rPr>
          <w:rFonts w:eastAsia="Times New Roman"/>
        </w:rPr>
        <w:t xml:space="preserve"> and mentorship have been an invaluable gift. </w:t>
      </w:r>
      <w:r w:rsidR="00276306">
        <w:rPr>
          <w:rFonts w:eastAsia="Times New Roman"/>
        </w:rPr>
        <w:t>I surely never would have made it this far without her</w:t>
      </w:r>
      <w:r w:rsidR="00AC4568">
        <w:rPr>
          <w:rFonts w:eastAsia="Times New Roman"/>
        </w:rPr>
        <w:t xml:space="preserve">. </w:t>
      </w:r>
      <w:r>
        <w:rPr>
          <w:rFonts w:eastAsia="Times New Roman"/>
        </w:rPr>
        <w:t xml:space="preserve">I also owe gratitude to </w:t>
      </w:r>
      <w:r w:rsidR="006F7A80">
        <w:rPr>
          <w:rFonts w:eastAsia="Times New Roman"/>
        </w:rPr>
        <w:t xml:space="preserve">members of the Wits Philosophy Department for various contributions to this work and inspiration in other areas of philosophy that kept me curious and committed. My thanks to </w:t>
      </w:r>
      <w:r>
        <w:rPr>
          <w:rFonts w:eastAsia="Times New Roman"/>
        </w:rPr>
        <w:t xml:space="preserve">Professor Lucy Allais, Professor Kelly Gillespie, </w:t>
      </w:r>
      <w:r w:rsidR="006F7A80">
        <w:rPr>
          <w:rFonts w:eastAsia="Times New Roman"/>
        </w:rPr>
        <w:t xml:space="preserve">Professor Penny Levitt, Professor Dylan Futter, </w:t>
      </w:r>
      <w:r>
        <w:rPr>
          <w:rFonts w:eastAsia="Times New Roman"/>
        </w:rPr>
        <w:t>and Professor Mark Leon</w:t>
      </w:r>
      <w:r w:rsidR="006F7A80">
        <w:rPr>
          <w:rFonts w:eastAsia="Times New Roman"/>
        </w:rPr>
        <w:t xml:space="preserve">, and Andrew Nicholson. </w:t>
      </w:r>
      <w:r w:rsidR="00276306">
        <w:rPr>
          <w:rFonts w:eastAsia="Times New Roman"/>
        </w:rPr>
        <w:t xml:space="preserve">It is a pleasure to thank Dr. Gregory Johnson and Gael Beckett for their </w:t>
      </w:r>
      <w:r>
        <w:rPr>
          <w:rFonts w:eastAsia="Times New Roman"/>
        </w:rPr>
        <w:t xml:space="preserve">indispensable </w:t>
      </w:r>
      <w:r w:rsidR="00276306">
        <w:rPr>
          <w:rFonts w:eastAsia="Times New Roman"/>
        </w:rPr>
        <w:t xml:space="preserve">roles in making this work possible. </w:t>
      </w:r>
      <w:r>
        <w:rPr>
          <w:rFonts w:eastAsia="Times New Roman"/>
        </w:rPr>
        <w:t xml:space="preserve">My utmost love and gratitude goes to </w:t>
      </w:r>
      <w:r w:rsidR="00276306">
        <w:rPr>
          <w:rFonts w:eastAsia="Times New Roman"/>
        </w:rPr>
        <w:t>Jennifer Fitzsimmo</w:t>
      </w:r>
      <w:r>
        <w:rPr>
          <w:rFonts w:eastAsia="Times New Roman"/>
        </w:rPr>
        <w:t>n</w:t>
      </w:r>
      <w:r w:rsidR="00276306">
        <w:rPr>
          <w:rFonts w:eastAsia="Times New Roman"/>
        </w:rPr>
        <w:t>s, Alexander Sigrist, Soraya Dunn, Kalycia Jennifer Urqu</w:t>
      </w:r>
      <w:r>
        <w:rPr>
          <w:rFonts w:eastAsia="Times New Roman"/>
        </w:rPr>
        <w:t>h</w:t>
      </w:r>
      <w:r w:rsidR="00276306">
        <w:rPr>
          <w:rFonts w:eastAsia="Times New Roman"/>
        </w:rPr>
        <w:t>art</w:t>
      </w:r>
      <w:r>
        <w:rPr>
          <w:rFonts w:eastAsia="Times New Roman"/>
        </w:rPr>
        <w:t xml:space="preserve">, </w:t>
      </w:r>
      <w:r w:rsidR="00F67089">
        <w:rPr>
          <w:rFonts w:eastAsia="Times New Roman"/>
        </w:rPr>
        <w:t xml:space="preserve">Pansy </w:t>
      </w:r>
      <w:r w:rsidR="00DB1FD2">
        <w:rPr>
          <w:rFonts w:eastAsia="Times New Roman"/>
        </w:rPr>
        <w:t xml:space="preserve">Fireking, </w:t>
      </w:r>
      <w:r w:rsidR="00276306">
        <w:rPr>
          <w:rFonts w:eastAsia="Times New Roman"/>
        </w:rPr>
        <w:t>and</w:t>
      </w:r>
      <w:r w:rsidR="00DB1FD2">
        <w:rPr>
          <w:rFonts w:eastAsia="Times New Roman"/>
        </w:rPr>
        <w:t xml:space="preserve"> the</w:t>
      </w:r>
      <w:r w:rsidR="00276306">
        <w:rPr>
          <w:rFonts w:eastAsia="Times New Roman"/>
        </w:rPr>
        <w:t xml:space="preserve"> countless others who</w:t>
      </w:r>
      <w:r>
        <w:rPr>
          <w:rFonts w:eastAsia="Times New Roman"/>
        </w:rPr>
        <w:t xml:space="preserve"> </w:t>
      </w:r>
      <w:r w:rsidR="00AC4568">
        <w:rPr>
          <w:rFonts w:eastAsia="Times New Roman"/>
        </w:rPr>
        <w:t>have all over the years</w:t>
      </w:r>
      <w:r w:rsidR="00DB1FD2">
        <w:rPr>
          <w:rFonts w:eastAsia="Times New Roman"/>
        </w:rPr>
        <w:t xml:space="preserve"> </w:t>
      </w:r>
      <w:r>
        <w:rPr>
          <w:rFonts w:eastAsia="Times New Roman"/>
        </w:rPr>
        <w:t>inspired me, kept me</w:t>
      </w:r>
      <w:r w:rsidR="00276306">
        <w:rPr>
          <w:rFonts w:eastAsia="Times New Roman"/>
        </w:rPr>
        <w:t xml:space="preserve"> sane, alive, focused</w:t>
      </w:r>
      <w:r>
        <w:rPr>
          <w:rFonts w:eastAsia="Times New Roman"/>
        </w:rPr>
        <w:t>, strong,</w:t>
      </w:r>
      <w:r w:rsidR="00276306">
        <w:rPr>
          <w:rFonts w:eastAsia="Times New Roman"/>
        </w:rPr>
        <w:t xml:space="preserve"> and </w:t>
      </w:r>
      <w:r>
        <w:rPr>
          <w:rFonts w:eastAsia="Times New Roman"/>
        </w:rPr>
        <w:t>dedicated to completing this project with integrity.</w:t>
      </w:r>
      <w:r w:rsidR="00276306">
        <w:rPr>
          <w:rFonts w:eastAsia="Times New Roman"/>
        </w:rPr>
        <w:t xml:space="preserve"> I am incredibly fortunate to have had the support of my family during my studies and I owe this accomplishment to them in a large way. My sincerest thanks go to </w:t>
      </w:r>
      <w:r w:rsidR="0073689A">
        <w:rPr>
          <w:rFonts w:eastAsia="Times New Roman"/>
        </w:rPr>
        <w:t xml:space="preserve">my best friend and </w:t>
      </w:r>
      <w:r w:rsidR="00357FF4">
        <w:rPr>
          <w:rFonts w:eastAsia="Times New Roman"/>
        </w:rPr>
        <w:t>partner</w:t>
      </w:r>
      <w:r w:rsidR="0073689A">
        <w:rPr>
          <w:rFonts w:eastAsia="Times New Roman"/>
        </w:rPr>
        <w:t xml:space="preserve">, </w:t>
      </w:r>
      <w:r w:rsidR="00276306">
        <w:rPr>
          <w:rFonts w:eastAsia="Times New Roman"/>
        </w:rPr>
        <w:t>Professor Mark Tschaepe</w:t>
      </w:r>
      <w:r w:rsidR="0073689A">
        <w:rPr>
          <w:rFonts w:eastAsia="Times New Roman"/>
        </w:rPr>
        <w:t>,</w:t>
      </w:r>
      <w:r w:rsidR="00276306">
        <w:rPr>
          <w:rFonts w:eastAsia="Times New Roman"/>
        </w:rPr>
        <w:t xml:space="preserve"> for his extensive contribution to my research and to my state of happiness </w:t>
      </w:r>
      <w:r w:rsidR="00F67089">
        <w:rPr>
          <w:rFonts w:eastAsia="Times New Roman"/>
        </w:rPr>
        <w:t>throughout the entire process</w:t>
      </w:r>
      <w:r w:rsidR="00276306">
        <w:rPr>
          <w:rFonts w:eastAsia="Times New Roman"/>
        </w:rPr>
        <w:t>.</w:t>
      </w:r>
      <w:r w:rsidR="00F1309E">
        <w:rPr>
          <w:rFonts w:eastAsia="Times New Roman"/>
        </w:rPr>
        <w:t xml:space="preserve"> If it were not for meeting him I may have never learned that philosophy could be</w:t>
      </w:r>
      <w:r w:rsidR="00841E6C">
        <w:rPr>
          <w:rFonts w:eastAsia="Times New Roman"/>
        </w:rPr>
        <w:t xml:space="preserve"> utilized as</w:t>
      </w:r>
      <w:r w:rsidR="00F1309E">
        <w:rPr>
          <w:rFonts w:eastAsia="Times New Roman"/>
        </w:rPr>
        <w:t xml:space="preserve"> a powerful tool of social justice and advocacy. I am beyond grateful for the confidence and courage </w:t>
      </w:r>
      <w:r w:rsidR="00F67089">
        <w:rPr>
          <w:rFonts w:eastAsia="Times New Roman"/>
        </w:rPr>
        <w:t xml:space="preserve">he has </w:t>
      </w:r>
      <w:r w:rsidR="00F1309E">
        <w:rPr>
          <w:rFonts w:eastAsia="Times New Roman"/>
        </w:rPr>
        <w:t xml:space="preserve">given me from the </w:t>
      </w:r>
      <w:r w:rsidR="008609E8">
        <w:rPr>
          <w:rFonts w:eastAsia="Times New Roman"/>
        </w:rPr>
        <w:t>start.</w:t>
      </w:r>
      <w:r w:rsidR="00276306">
        <w:rPr>
          <w:rFonts w:eastAsia="Times New Roman"/>
        </w:rPr>
        <w:t xml:space="preserve"> </w:t>
      </w:r>
      <w:r w:rsidR="00F1309E">
        <w:rPr>
          <w:rFonts w:eastAsia="Times New Roman"/>
        </w:rPr>
        <w:t xml:space="preserve">Finally, </w:t>
      </w:r>
      <w:r w:rsidR="00276306">
        <w:rPr>
          <w:rFonts w:eastAsia="Times New Roman"/>
        </w:rPr>
        <w:t xml:space="preserve">I dedicate this work to any and all people </w:t>
      </w:r>
      <w:r w:rsidR="0073689A">
        <w:rPr>
          <w:rFonts w:eastAsia="Times New Roman"/>
        </w:rPr>
        <w:t xml:space="preserve">living </w:t>
      </w:r>
      <w:r w:rsidR="00F67089">
        <w:rPr>
          <w:rFonts w:eastAsia="Times New Roman"/>
        </w:rPr>
        <w:t>with mental health issues</w:t>
      </w:r>
      <w:r w:rsidR="0073689A">
        <w:rPr>
          <w:rFonts w:eastAsia="Times New Roman"/>
        </w:rPr>
        <w:t xml:space="preserve"> who are or ever have been afraid to speak up and ask for help. </w:t>
      </w:r>
      <w:r>
        <w:rPr>
          <w:rFonts w:eastAsia="Times New Roman"/>
        </w:rPr>
        <w:t xml:space="preserve">To </w:t>
      </w:r>
      <w:r w:rsidR="00276306">
        <w:rPr>
          <w:rFonts w:eastAsia="Times New Roman"/>
        </w:rPr>
        <w:t>those that are in the throes of madness or recovering from it</w:t>
      </w:r>
      <w:r w:rsidR="0073689A">
        <w:rPr>
          <w:rFonts w:eastAsia="Times New Roman"/>
        </w:rPr>
        <w:t>:</w:t>
      </w:r>
      <w:r w:rsidR="00276306">
        <w:rPr>
          <w:rFonts w:eastAsia="Times New Roman"/>
        </w:rPr>
        <w:t xml:space="preserve"> You are not alone.</w:t>
      </w:r>
    </w:p>
    <w:p w14:paraId="4ED97719" w14:textId="18FC31FB" w:rsidR="00B677CF" w:rsidRPr="009C2C27" w:rsidRDefault="00B677CF" w:rsidP="008B7CD9">
      <w:pPr>
        <w:rPr>
          <w:bCs/>
        </w:rPr>
      </w:pPr>
      <w:r w:rsidRPr="009C2C27">
        <w:rPr>
          <w:bCs/>
        </w:rPr>
        <w:br w:type="page"/>
      </w:r>
    </w:p>
    <w:sdt>
      <w:sdtPr>
        <w:rPr>
          <w:rFonts w:eastAsiaTheme="minorHAnsi"/>
          <w:b w:val="0"/>
          <w:bCs w:val="0"/>
          <w:sz w:val="24"/>
          <w:szCs w:val="24"/>
        </w:rPr>
        <w:id w:val="-1175265670"/>
        <w:docPartObj>
          <w:docPartGallery w:val="Table of Contents"/>
          <w:docPartUnique/>
        </w:docPartObj>
      </w:sdtPr>
      <w:sdtEndPr>
        <w:rPr>
          <w:noProof/>
        </w:rPr>
      </w:sdtEndPr>
      <w:sdtContent>
        <w:p w14:paraId="09C72DF2" w14:textId="3B900C29" w:rsidR="00FA64C0" w:rsidRPr="009D7FD7" w:rsidRDefault="00FA64C0" w:rsidP="006B43F8">
          <w:pPr>
            <w:pStyle w:val="TOCHeading"/>
            <w:tabs>
              <w:tab w:val="left" w:pos="720"/>
              <w:tab w:val="left" w:pos="1440"/>
              <w:tab w:val="left" w:pos="2160"/>
              <w:tab w:val="right" w:pos="9360"/>
            </w:tabs>
          </w:pPr>
          <w:r w:rsidRPr="009D7FD7">
            <w:t>Table of Contents</w:t>
          </w:r>
          <w:r w:rsidR="00E41141" w:rsidRPr="009D7FD7">
            <w:tab/>
          </w:r>
          <w:r w:rsidR="006B43F8">
            <w:tab/>
          </w:r>
        </w:p>
        <w:p w14:paraId="20A15744" w14:textId="6939E1D1" w:rsidR="006F7A80" w:rsidRDefault="00FA64C0">
          <w:pPr>
            <w:pStyle w:val="TOC1"/>
            <w:rPr>
              <w:rFonts w:eastAsiaTheme="minorEastAsia"/>
              <w:b w:val="0"/>
              <w:bCs w:val="0"/>
              <w:noProof/>
            </w:rPr>
          </w:pPr>
          <w:r w:rsidRPr="009D7FD7">
            <w:rPr>
              <w:rFonts w:ascii="Times New Roman" w:hAnsi="Times New Roman" w:cs="Times New Roman"/>
            </w:rPr>
            <w:fldChar w:fldCharType="begin"/>
          </w:r>
          <w:r w:rsidRPr="009D7FD7">
            <w:rPr>
              <w:rFonts w:ascii="Times New Roman" w:hAnsi="Times New Roman" w:cs="Times New Roman"/>
            </w:rPr>
            <w:instrText xml:space="preserve"> TOC \o "1-3" \h \z \u </w:instrText>
          </w:r>
          <w:r w:rsidRPr="009D7FD7">
            <w:rPr>
              <w:rFonts w:ascii="Times New Roman" w:hAnsi="Times New Roman" w:cs="Times New Roman"/>
            </w:rPr>
            <w:fldChar w:fldCharType="separate"/>
          </w:r>
          <w:hyperlink w:anchor="_Toc505150505" w:history="1">
            <w:r w:rsidR="006F7A80" w:rsidRPr="00D433BC">
              <w:rPr>
                <w:rStyle w:val="Hyperlink"/>
                <w:noProof/>
              </w:rPr>
              <w:t>Introduction</w:t>
            </w:r>
            <w:r w:rsidR="006F7A80">
              <w:rPr>
                <w:noProof/>
                <w:webHidden/>
              </w:rPr>
              <w:tab/>
            </w:r>
            <w:r w:rsidR="006F7A80">
              <w:rPr>
                <w:noProof/>
                <w:webHidden/>
              </w:rPr>
              <w:fldChar w:fldCharType="begin"/>
            </w:r>
            <w:r w:rsidR="006F7A80">
              <w:rPr>
                <w:noProof/>
                <w:webHidden/>
              </w:rPr>
              <w:instrText xml:space="preserve"> PAGEREF _Toc505150505 \h </w:instrText>
            </w:r>
            <w:r w:rsidR="006F7A80">
              <w:rPr>
                <w:noProof/>
                <w:webHidden/>
              </w:rPr>
            </w:r>
            <w:r w:rsidR="006F7A80">
              <w:rPr>
                <w:noProof/>
                <w:webHidden/>
              </w:rPr>
              <w:fldChar w:fldCharType="separate"/>
            </w:r>
            <w:r w:rsidR="006F7A80">
              <w:rPr>
                <w:noProof/>
                <w:webHidden/>
              </w:rPr>
              <w:t>1</w:t>
            </w:r>
            <w:r w:rsidR="006F7A80">
              <w:rPr>
                <w:noProof/>
                <w:webHidden/>
              </w:rPr>
              <w:fldChar w:fldCharType="end"/>
            </w:r>
          </w:hyperlink>
        </w:p>
        <w:p w14:paraId="689D9A9A" w14:textId="7CEE0D4B" w:rsidR="006F7A80" w:rsidRDefault="00EA7298">
          <w:pPr>
            <w:pStyle w:val="TOC1"/>
            <w:rPr>
              <w:rFonts w:eastAsiaTheme="minorEastAsia"/>
              <w:b w:val="0"/>
              <w:bCs w:val="0"/>
              <w:noProof/>
            </w:rPr>
          </w:pPr>
          <w:hyperlink w:anchor="_Toc505150506" w:history="1">
            <w:r w:rsidR="006F7A80" w:rsidRPr="00D433BC">
              <w:rPr>
                <w:rStyle w:val="Hyperlink"/>
                <w:noProof/>
              </w:rPr>
              <w:t>Chapter I:  Doctor-Patient Relationships and the Clinical Encounter</w:t>
            </w:r>
            <w:r w:rsidR="006F7A80">
              <w:rPr>
                <w:noProof/>
                <w:webHidden/>
              </w:rPr>
              <w:tab/>
            </w:r>
            <w:r w:rsidR="006F7A80">
              <w:rPr>
                <w:noProof/>
                <w:webHidden/>
              </w:rPr>
              <w:fldChar w:fldCharType="begin"/>
            </w:r>
            <w:r w:rsidR="006F7A80">
              <w:rPr>
                <w:noProof/>
                <w:webHidden/>
              </w:rPr>
              <w:instrText xml:space="preserve"> PAGEREF _Toc505150506 \h </w:instrText>
            </w:r>
            <w:r w:rsidR="006F7A80">
              <w:rPr>
                <w:noProof/>
                <w:webHidden/>
              </w:rPr>
            </w:r>
            <w:r w:rsidR="006F7A80">
              <w:rPr>
                <w:noProof/>
                <w:webHidden/>
              </w:rPr>
              <w:fldChar w:fldCharType="separate"/>
            </w:r>
            <w:r w:rsidR="006F7A80">
              <w:rPr>
                <w:noProof/>
                <w:webHidden/>
              </w:rPr>
              <w:t>9</w:t>
            </w:r>
            <w:r w:rsidR="006F7A80">
              <w:rPr>
                <w:noProof/>
                <w:webHidden/>
              </w:rPr>
              <w:fldChar w:fldCharType="end"/>
            </w:r>
          </w:hyperlink>
        </w:p>
        <w:p w14:paraId="0140EA0E" w14:textId="7A2B266F" w:rsidR="006F7A80" w:rsidRDefault="00EA7298">
          <w:pPr>
            <w:pStyle w:val="TOC2"/>
            <w:rPr>
              <w:rFonts w:eastAsiaTheme="minorEastAsia"/>
              <w:b w:val="0"/>
              <w:bCs w:val="0"/>
              <w:noProof/>
              <w:sz w:val="24"/>
              <w:szCs w:val="24"/>
            </w:rPr>
          </w:pPr>
          <w:hyperlink w:anchor="_Toc505150507" w:history="1">
            <w:r w:rsidR="006F7A80" w:rsidRPr="00D433BC">
              <w:rPr>
                <w:rStyle w:val="Hyperlink"/>
                <w:noProof/>
              </w:rPr>
              <w:t>Medical Paternalism</w:t>
            </w:r>
            <w:r w:rsidR="006F7A80">
              <w:rPr>
                <w:noProof/>
                <w:webHidden/>
              </w:rPr>
              <w:tab/>
            </w:r>
            <w:r w:rsidR="006F7A80">
              <w:rPr>
                <w:noProof/>
                <w:webHidden/>
              </w:rPr>
              <w:fldChar w:fldCharType="begin"/>
            </w:r>
            <w:r w:rsidR="006F7A80">
              <w:rPr>
                <w:noProof/>
                <w:webHidden/>
              </w:rPr>
              <w:instrText xml:space="preserve"> PAGEREF _Toc505150507 \h </w:instrText>
            </w:r>
            <w:r w:rsidR="006F7A80">
              <w:rPr>
                <w:noProof/>
                <w:webHidden/>
              </w:rPr>
            </w:r>
            <w:r w:rsidR="006F7A80">
              <w:rPr>
                <w:noProof/>
                <w:webHidden/>
              </w:rPr>
              <w:fldChar w:fldCharType="separate"/>
            </w:r>
            <w:r w:rsidR="006F7A80">
              <w:rPr>
                <w:noProof/>
                <w:webHidden/>
              </w:rPr>
              <w:t>9</w:t>
            </w:r>
            <w:r w:rsidR="006F7A80">
              <w:rPr>
                <w:noProof/>
                <w:webHidden/>
              </w:rPr>
              <w:fldChar w:fldCharType="end"/>
            </w:r>
          </w:hyperlink>
        </w:p>
        <w:p w14:paraId="325FC1FA" w14:textId="12076151" w:rsidR="006F7A80" w:rsidRDefault="00EA7298">
          <w:pPr>
            <w:pStyle w:val="TOC2"/>
            <w:rPr>
              <w:rFonts w:eastAsiaTheme="minorEastAsia"/>
              <w:b w:val="0"/>
              <w:bCs w:val="0"/>
              <w:noProof/>
              <w:sz w:val="24"/>
              <w:szCs w:val="24"/>
            </w:rPr>
          </w:pPr>
          <w:hyperlink w:anchor="_Toc505150508" w:history="1">
            <w:r w:rsidR="006F7A80" w:rsidRPr="00D433BC">
              <w:rPr>
                <w:rStyle w:val="Hyperlink"/>
                <w:noProof/>
              </w:rPr>
              <w:t>The Therapeutic Relationship</w:t>
            </w:r>
            <w:r w:rsidR="006F7A80">
              <w:rPr>
                <w:noProof/>
                <w:webHidden/>
              </w:rPr>
              <w:tab/>
            </w:r>
            <w:r w:rsidR="006F7A80">
              <w:rPr>
                <w:noProof/>
                <w:webHidden/>
              </w:rPr>
              <w:fldChar w:fldCharType="begin"/>
            </w:r>
            <w:r w:rsidR="006F7A80">
              <w:rPr>
                <w:noProof/>
                <w:webHidden/>
              </w:rPr>
              <w:instrText xml:space="preserve"> PAGEREF _Toc505150508 \h </w:instrText>
            </w:r>
            <w:r w:rsidR="006F7A80">
              <w:rPr>
                <w:noProof/>
                <w:webHidden/>
              </w:rPr>
            </w:r>
            <w:r w:rsidR="006F7A80">
              <w:rPr>
                <w:noProof/>
                <w:webHidden/>
              </w:rPr>
              <w:fldChar w:fldCharType="separate"/>
            </w:r>
            <w:r w:rsidR="006F7A80">
              <w:rPr>
                <w:noProof/>
                <w:webHidden/>
              </w:rPr>
              <w:t>12</w:t>
            </w:r>
            <w:r w:rsidR="006F7A80">
              <w:rPr>
                <w:noProof/>
                <w:webHidden/>
              </w:rPr>
              <w:fldChar w:fldCharType="end"/>
            </w:r>
          </w:hyperlink>
        </w:p>
        <w:p w14:paraId="1EA151B7" w14:textId="39011131" w:rsidR="006F7A80" w:rsidRDefault="00EA7298">
          <w:pPr>
            <w:pStyle w:val="TOC2"/>
            <w:rPr>
              <w:rFonts w:eastAsiaTheme="minorEastAsia"/>
              <w:b w:val="0"/>
              <w:bCs w:val="0"/>
              <w:noProof/>
              <w:sz w:val="24"/>
              <w:szCs w:val="24"/>
            </w:rPr>
          </w:pPr>
          <w:hyperlink w:anchor="_Toc505150509" w:history="1">
            <w:r w:rsidR="006F7A80" w:rsidRPr="00D433BC">
              <w:rPr>
                <w:rStyle w:val="Hyperlink"/>
                <w:noProof/>
              </w:rPr>
              <w:t>Informed Consent</w:t>
            </w:r>
            <w:r w:rsidR="006F7A80">
              <w:rPr>
                <w:noProof/>
                <w:webHidden/>
              </w:rPr>
              <w:tab/>
            </w:r>
            <w:r w:rsidR="006F7A80">
              <w:rPr>
                <w:noProof/>
                <w:webHidden/>
              </w:rPr>
              <w:fldChar w:fldCharType="begin"/>
            </w:r>
            <w:r w:rsidR="006F7A80">
              <w:rPr>
                <w:noProof/>
                <w:webHidden/>
              </w:rPr>
              <w:instrText xml:space="preserve"> PAGEREF _Toc505150509 \h </w:instrText>
            </w:r>
            <w:r w:rsidR="006F7A80">
              <w:rPr>
                <w:noProof/>
                <w:webHidden/>
              </w:rPr>
            </w:r>
            <w:r w:rsidR="006F7A80">
              <w:rPr>
                <w:noProof/>
                <w:webHidden/>
              </w:rPr>
              <w:fldChar w:fldCharType="separate"/>
            </w:r>
            <w:r w:rsidR="006F7A80">
              <w:rPr>
                <w:noProof/>
                <w:webHidden/>
              </w:rPr>
              <w:t>14</w:t>
            </w:r>
            <w:r w:rsidR="006F7A80">
              <w:rPr>
                <w:noProof/>
                <w:webHidden/>
              </w:rPr>
              <w:fldChar w:fldCharType="end"/>
            </w:r>
          </w:hyperlink>
        </w:p>
        <w:p w14:paraId="2DC899CF" w14:textId="52576DA4" w:rsidR="006F7A80" w:rsidRDefault="00EA7298">
          <w:pPr>
            <w:pStyle w:val="TOC2"/>
            <w:rPr>
              <w:rFonts w:eastAsiaTheme="minorEastAsia"/>
              <w:b w:val="0"/>
              <w:bCs w:val="0"/>
              <w:noProof/>
              <w:sz w:val="24"/>
              <w:szCs w:val="24"/>
            </w:rPr>
          </w:pPr>
          <w:hyperlink w:anchor="_Toc505150510" w:history="1">
            <w:r w:rsidR="006F7A80" w:rsidRPr="00D433BC">
              <w:rPr>
                <w:rStyle w:val="Hyperlink"/>
                <w:noProof/>
              </w:rPr>
              <w:t>The Autonomy/Contract Model</w:t>
            </w:r>
            <w:r w:rsidR="006F7A80">
              <w:rPr>
                <w:noProof/>
                <w:webHidden/>
              </w:rPr>
              <w:tab/>
            </w:r>
            <w:r w:rsidR="006F7A80">
              <w:rPr>
                <w:noProof/>
                <w:webHidden/>
              </w:rPr>
              <w:fldChar w:fldCharType="begin"/>
            </w:r>
            <w:r w:rsidR="006F7A80">
              <w:rPr>
                <w:noProof/>
                <w:webHidden/>
              </w:rPr>
              <w:instrText xml:space="preserve"> PAGEREF _Toc505150510 \h </w:instrText>
            </w:r>
            <w:r w:rsidR="006F7A80">
              <w:rPr>
                <w:noProof/>
                <w:webHidden/>
              </w:rPr>
            </w:r>
            <w:r w:rsidR="006F7A80">
              <w:rPr>
                <w:noProof/>
                <w:webHidden/>
              </w:rPr>
              <w:fldChar w:fldCharType="separate"/>
            </w:r>
            <w:r w:rsidR="006F7A80">
              <w:rPr>
                <w:noProof/>
                <w:webHidden/>
              </w:rPr>
              <w:t>15</w:t>
            </w:r>
            <w:r w:rsidR="006F7A80">
              <w:rPr>
                <w:noProof/>
                <w:webHidden/>
              </w:rPr>
              <w:fldChar w:fldCharType="end"/>
            </w:r>
          </w:hyperlink>
        </w:p>
        <w:p w14:paraId="03C15E80" w14:textId="3FDFD352" w:rsidR="006F7A80" w:rsidRDefault="00EA7298">
          <w:pPr>
            <w:pStyle w:val="TOC1"/>
            <w:rPr>
              <w:rFonts w:eastAsiaTheme="minorEastAsia"/>
              <w:b w:val="0"/>
              <w:bCs w:val="0"/>
              <w:noProof/>
            </w:rPr>
          </w:pPr>
          <w:hyperlink w:anchor="_Toc505150511" w:history="1">
            <w:r w:rsidR="006F7A80" w:rsidRPr="00D433BC">
              <w:rPr>
                <w:rStyle w:val="Hyperlink"/>
                <w:noProof/>
              </w:rPr>
              <w:t>The Doctor-Patient Relationship in Psychotherapeutic Contexts</w:t>
            </w:r>
            <w:r w:rsidR="006F7A80">
              <w:rPr>
                <w:noProof/>
                <w:webHidden/>
              </w:rPr>
              <w:tab/>
            </w:r>
            <w:r w:rsidR="006F7A80">
              <w:rPr>
                <w:noProof/>
                <w:webHidden/>
              </w:rPr>
              <w:fldChar w:fldCharType="begin"/>
            </w:r>
            <w:r w:rsidR="006F7A80">
              <w:rPr>
                <w:noProof/>
                <w:webHidden/>
              </w:rPr>
              <w:instrText xml:space="preserve"> PAGEREF _Toc505150511 \h </w:instrText>
            </w:r>
            <w:r w:rsidR="006F7A80">
              <w:rPr>
                <w:noProof/>
                <w:webHidden/>
              </w:rPr>
            </w:r>
            <w:r w:rsidR="006F7A80">
              <w:rPr>
                <w:noProof/>
                <w:webHidden/>
              </w:rPr>
              <w:fldChar w:fldCharType="separate"/>
            </w:r>
            <w:r w:rsidR="006F7A80">
              <w:rPr>
                <w:noProof/>
                <w:webHidden/>
              </w:rPr>
              <w:t>20</w:t>
            </w:r>
            <w:r w:rsidR="006F7A80">
              <w:rPr>
                <w:noProof/>
                <w:webHidden/>
              </w:rPr>
              <w:fldChar w:fldCharType="end"/>
            </w:r>
          </w:hyperlink>
        </w:p>
        <w:p w14:paraId="2C530A7D" w14:textId="4771312F" w:rsidR="006F7A80" w:rsidRDefault="00EA7298">
          <w:pPr>
            <w:pStyle w:val="TOC2"/>
            <w:rPr>
              <w:rFonts w:eastAsiaTheme="minorEastAsia"/>
              <w:b w:val="0"/>
              <w:bCs w:val="0"/>
              <w:noProof/>
              <w:sz w:val="24"/>
              <w:szCs w:val="24"/>
            </w:rPr>
          </w:pPr>
          <w:hyperlink w:anchor="_Toc505150512" w:history="1">
            <w:r w:rsidR="006F7A80" w:rsidRPr="00D433BC">
              <w:rPr>
                <w:rStyle w:val="Hyperlink"/>
                <w:noProof/>
              </w:rPr>
              <w:t>Psychiatric Ethics</w:t>
            </w:r>
            <w:r w:rsidR="006F7A80">
              <w:rPr>
                <w:noProof/>
                <w:webHidden/>
              </w:rPr>
              <w:tab/>
            </w:r>
            <w:r w:rsidR="006F7A80">
              <w:rPr>
                <w:noProof/>
                <w:webHidden/>
              </w:rPr>
              <w:fldChar w:fldCharType="begin"/>
            </w:r>
            <w:r w:rsidR="006F7A80">
              <w:rPr>
                <w:noProof/>
                <w:webHidden/>
              </w:rPr>
              <w:instrText xml:space="preserve"> PAGEREF _Toc505150512 \h </w:instrText>
            </w:r>
            <w:r w:rsidR="006F7A80">
              <w:rPr>
                <w:noProof/>
                <w:webHidden/>
              </w:rPr>
            </w:r>
            <w:r w:rsidR="006F7A80">
              <w:rPr>
                <w:noProof/>
                <w:webHidden/>
              </w:rPr>
              <w:fldChar w:fldCharType="separate"/>
            </w:r>
            <w:r w:rsidR="006F7A80">
              <w:rPr>
                <w:noProof/>
                <w:webHidden/>
              </w:rPr>
              <w:t>20</w:t>
            </w:r>
            <w:r w:rsidR="006F7A80">
              <w:rPr>
                <w:noProof/>
                <w:webHidden/>
              </w:rPr>
              <w:fldChar w:fldCharType="end"/>
            </w:r>
          </w:hyperlink>
        </w:p>
        <w:p w14:paraId="08C61F2A" w14:textId="7A16F989" w:rsidR="006F7A80" w:rsidRDefault="00EA7298">
          <w:pPr>
            <w:pStyle w:val="TOC2"/>
            <w:rPr>
              <w:rFonts w:eastAsiaTheme="minorEastAsia"/>
              <w:b w:val="0"/>
              <w:bCs w:val="0"/>
              <w:noProof/>
              <w:sz w:val="24"/>
              <w:szCs w:val="24"/>
            </w:rPr>
          </w:pPr>
          <w:hyperlink w:anchor="_Toc505150513" w:history="1">
            <w:r w:rsidR="006F7A80" w:rsidRPr="00D433BC">
              <w:rPr>
                <w:rStyle w:val="Hyperlink"/>
                <w:noProof/>
              </w:rPr>
              <w:t>The Clinical Encounter: Evaluation and Diagnosis in Psychiatry</w:t>
            </w:r>
            <w:r w:rsidR="006F7A80">
              <w:rPr>
                <w:noProof/>
                <w:webHidden/>
              </w:rPr>
              <w:tab/>
            </w:r>
            <w:r w:rsidR="006F7A80">
              <w:rPr>
                <w:noProof/>
                <w:webHidden/>
              </w:rPr>
              <w:fldChar w:fldCharType="begin"/>
            </w:r>
            <w:r w:rsidR="006F7A80">
              <w:rPr>
                <w:noProof/>
                <w:webHidden/>
              </w:rPr>
              <w:instrText xml:space="preserve"> PAGEREF _Toc505150513 \h </w:instrText>
            </w:r>
            <w:r w:rsidR="006F7A80">
              <w:rPr>
                <w:noProof/>
                <w:webHidden/>
              </w:rPr>
            </w:r>
            <w:r w:rsidR="006F7A80">
              <w:rPr>
                <w:noProof/>
                <w:webHidden/>
              </w:rPr>
              <w:fldChar w:fldCharType="separate"/>
            </w:r>
            <w:r w:rsidR="006F7A80">
              <w:rPr>
                <w:noProof/>
                <w:webHidden/>
              </w:rPr>
              <w:t>22</w:t>
            </w:r>
            <w:r w:rsidR="006F7A80">
              <w:rPr>
                <w:noProof/>
                <w:webHidden/>
              </w:rPr>
              <w:fldChar w:fldCharType="end"/>
            </w:r>
          </w:hyperlink>
        </w:p>
        <w:p w14:paraId="0B923247" w14:textId="08C4C4D8" w:rsidR="006F7A80" w:rsidRDefault="00EA7298">
          <w:pPr>
            <w:pStyle w:val="TOC2"/>
            <w:rPr>
              <w:rFonts w:eastAsiaTheme="minorEastAsia"/>
              <w:b w:val="0"/>
              <w:bCs w:val="0"/>
              <w:noProof/>
              <w:sz w:val="24"/>
              <w:szCs w:val="24"/>
            </w:rPr>
          </w:pPr>
          <w:hyperlink w:anchor="_Toc505150515" w:history="1">
            <w:r w:rsidR="006F7A80" w:rsidRPr="00D433BC">
              <w:rPr>
                <w:rStyle w:val="Hyperlink"/>
                <w:noProof/>
              </w:rPr>
              <w:t>Criticisms of the current psychiatric diagnostic model</w:t>
            </w:r>
            <w:r w:rsidR="006F7A80">
              <w:rPr>
                <w:noProof/>
                <w:webHidden/>
              </w:rPr>
              <w:tab/>
            </w:r>
            <w:r w:rsidR="006F7A80">
              <w:rPr>
                <w:noProof/>
                <w:webHidden/>
              </w:rPr>
              <w:fldChar w:fldCharType="begin"/>
            </w:r>
            <w:r w:rsidR="006F7A80">
              <w:rPr>
                <w:noProof/>
                <w:webHidden/>
              </w:rPr>
              <w:instrText xml:space="preserve"> PAGEREF _Toc505150515 \h </w:instrText>
            </w:r>
            <w:r w:rsidR="006F7A80">
              <w:rPr>
                <w:noProof/>
                <w:webHidden/>
              </w:rPr>
            </w:r>
            <w:r w:rsidR="006F7A80">
              <w:rPr>
                <w:noProof/>
                <w:webHidden/>
              </w:rPr>
              <w:fldChar w:fldCharType="separate"/>
            </w:r>
            <w:r w:rsidR="006F7A80">
              <w:rPr>
                <w:noProof/>
                <w:webHidden/>
              </w:rPr>
              <w:t>24</w:t>
            </w:r>
            <w:r w:rsidR="006F7A80">
              <w:rPr>
                <w:noProof/>
                <w:webHidden/>
              </w:rPr>
              <w:fldChar w:fldCharType="end"/>
            </w:r>
          </w:hyperlink>
        </w:p>
        <w:p w14:paraId="029F96AA" w14:textId="05140C46" w:rsidR="006F7A80" w:rsidRDefault="00EA7298">
          <w:pPr>
            <w:pStyle w:val="TOC2"/>
            <w:rPr>
              <w:rFonts w:eastAsiaTheme="minorEastAsia"/>
              <w:b w:val="0"/>
              <w:bCs w:val="0"/>
              <w:noProof/>
              <w:sz w:val="24"/>
              <w:szCs w:val="24"/>
            </w:rPr>
          </w:pPr>
          <w:hyperlink w:anchor="_Toc505150516" w:history="1">
            <w:r w:rsidR="006F7A80" w:rsidRPr="00D433BC">
              <w:rPr>
                <w:rStyle w:val="Hyperlink"/>
                <w:noProof/>
              </w:rPr>
              <w:t>Concluding Remarks</w:t>
            </w:r>
            <w:r w:rsidR="006F7A80">
              <w:rPr>
                <w:noProof/>
                <w:webHidden/>
              </w:rPr>
              <w:tab/>
            </w:r>
            <w:r w:rsidR="006F7A80">
              <w:rPr>
                <w:noProof/>
                <w:webHidden/>
              </w:rPr>
              <w:fldChar w:fldCharType="begin"/>
            </w:r>
            <w:r w:rsidR="006F7A80">
              <w:rPr>
                <w:noProof/>
                <w:webHidden/>
              </w:rPr>
              <w:instrText xml:space="preserve"> PAGEREF _Toc505150516 \h </w:instrText>
            </w:r>
            <w:r w:rsidR="006F7A80">
              <w:rPr>
                <w:noProof/>
                <w:webHidden/>
              </w:rPr>
            </w:r>
            <w:r w:rsidR="006F7A80">
              <w:rPr>
                <w:noProof/>
                <w:webHidden/>
              </w:rPr>
              <w:fldChar w:fldCharType="separate"/>
            </w:r>
            <w:r w:rsidR="006F7A80">
              <w:rPr>
                <w:noProof/>
                <w:webHidden/>
              </w:rPr>
              <w:t>27</w:t>
            </w:r>
            <w:r w:rsidR="006F7A80">
              <w:rPr>
                <w:noProof/>
                <w:webHidden/>
              </w:rPr>
              <w:fldChar w:fldCharType="end"/>
            </w:r>
          </w:hyperlink>
        </w:p>
        <w:p w14:paraId="3F63B0D1" w14:textId="671FD167" w:rsidR="006F7A80" w:rsidRDefault="00EA7298">
          <w:pPr>
            <w:pStyle w:val="TOC1"/>
            <w:rPr>
              <w:rFonts w:eastAsiaTheme="minorEastAsia"/>
              <w:b w:val="0"/>
              <w:bCs w:val="0"/>
              <w:noProof/>
            </w:rPr>
          </w:pPr>
          <w:hyperlink w:anchor="_Toc505150517" w:history="1">
            <w:r w:rsidR="006F7A80" w:rsidRPr="00D433BC">
              <w:rPr>
                <w:rStyle w:val="Hyperlink"/>
                <w:noProof/>
              </w:rPr>
              <w:t>Chapter II: Personal Autonomy and Individual Liberty</w:t>
            </w:r>
            <w:r w:rsidR="006F7A80">
              <w:rPr>
                <w:noProof/>
                <w:webHidden/>
              </w:rPr>
              <w:tab/>
            </w:r>
            <w:r w:rsidR="006F7A80">
              <w:rPr>
                <w:noProof/>
                <w:webHidden/>
              </w:rPr>
              <w:fldChar w:fldCharType="begin"/>
            </w:r>
            <w:r w:rsidR="006F7A80">
              <w:rPr>
                <w:noProof/>
                <w:webHidden/>
              </w:rPr>
              <w:instrText xml:space="preserve"> PAGEREF _Toc505150517 \h </w:instrText>
            </w:r>
            <w:r w:rsidR="006F7A80">
              <w:rPr>
                <w:noProof/>
                <w:webHidden/>
              </w:rPr>
            </w:r>
            <w:r w:rsidR="006F7A80">
              <w:rPr>
                <w:noProof/>
                <w:webHidden/>
              </w:rPr>
              <w:fldChar w:fldCharType="separate"/>
            </w:r>
            <w:r w:rsidR="006F7A80">
              <w:rPr>
                <w:noProof/>
                <w:webHidden/>
              </w:rPr>
              <w:t>28</w:t>
            </w:r>
            <w:r w:rsidR="006F7A80">
              <w:rPr>
                <w:noProof/>
                <w:webHidden/>
              </w:rPr>
              <w:fldChar w:fldCharType="end"/>
            </w:r>
          </w:hyperlink>
        </w:p>
        <w:p w14:paraId="6E8314D5" w14:textId="24DF21D7" w:rsidR="006F7A80" w:rsidRDefault="00EA7298">
          <w:pPr>
            <w:pStyle w:val="TOC2"/>
            <w:rPr>
              <w:rFonts w:eastAsiaTheme="minorEastAsia"/>
              <w:b w:val="0"/>
              <w:bCs w:val="0"/>
              <w:noProof/>
              <w:sz w:val="24"/>
              <w:szCs w:val="24"/>
            </w:rPr>
          </w:pPr>
          <w:hyperlink w:anchor="_Toc505150518" w:history="1">
            <w:r w:rsidR="006F7A80" w:rsidRPr="00D433BC">
              <w:rPr>
                <w:rStyle w:val="Hyperlink"/>
                <w:noProof/>
              </w:rPr>
              <w:t>Personal Autonomy and Individual Liberty</w:t>
            </w:r>
            <w:r w:rsidR="006F7A80">
              <w:rPr>
                <w:noProof/>
                <w:webHidden/>
              </w:rPr>
              <w:tab/>
            </w:r>
            <w:r w:rsidR="006F7A80">
              <w:rPr>
                <w:noProof/>
                <w:webHidden/>
              </w:rPr>
              <w:fldChar w:fldCharType="begin"/>
            </w:r>
            <w:r w:rsidR="006F7A80">
              <w:rPr>
                <w:noProof/>
                <w:webHidden/>
              </w:rPr>
              <w:instrText xml:space="preserve"> PAGEREF _Toc505150518 \h </w:instrText>
            </w:r>
            <w:r w:rsidR="006F7A80">
              <w:rPr>
                <w:noProof/>
                <w:webHidden/>
              </w:rPr>
            </w:r>
            <w:r w:rsidR="006F7A80">
              <w:rPr>
                <w:noProof/>
                <w:webHidden/>
              </w:rPr>
              <w:fldChar w:fldCharType="separate"/>
            </w:r>
            <w:r w:rsidR="006F7A80">
              <w:rPr>
                <w:noProof/>
                <w:webHidden/>
              </w:rPr>
              <w:t>28</w:t>
            </w:r>
            <w:r w:rsidR="006F7A80">
              <w:rPr>
                <w:noProof/>
                <w:webHidden/>
              </w:rPr>
              <w:fldChar w:fldCharType="end"/>
            </w:r>
          </w:hyperlink>
        </w:p>
        <w:p w14:paraId="35C332CE" w14:textId="094AD699" w:rsidR="006F7A80" w:rsidRDefault="00EA7298">
          <w:pPr>
            <w:pStyle w:val="TOC2"/>
            <w:rPr>
              <w:rFonts w:eastAsiaTheme="minorEastAsia"/>
              <w:b w:val="0"/>
              <w:bCs w:val="0"/>
              <w:noProof/>
              <w:sz w:val="24"/>
              <w:szCs w:val="24"/>
            </w:rPr>
          </w:pPr>
          <w:hyperlink w:anchor="_Toc505150519" w:history="1">
            <w:r w:rsidR="006F7A80" w:rsidRPr="00D433BC">
              <w:rPr>
                <w:rStyle w:val="Hyperlink"/>
                <w:noProof/>
              </w:rPr>
              <w:t>The Problem of Socialization</w:t>
            </w:r>
            <w:r w:rsidR="006F7A80">
              <w:rPr>
                <w:noProof/>
                <w:webHidden/>
              </w:rPr>
              <w:tab/>
            </w:r>
            <w:r w:rsidR="006F7A80">
              <w:rPr>
                <w:noProof/>
                <w:webHidden/>
              </w:rPr>
              <w:fldChar w:fldCharType="begin"/>
            </w:r>
            <w:r w:rsidR="006F7A80">
              <w:rPr>
                <w:noProof/>
                <w:webHidden/>
              </w:rPr>
              <w:instrText xml:space="preserve"> PAGEREF _Toc505150519 \h </w:instrText>
            </w:r>
            <w:r w:rsidR="006F7A80">
              <w:rPr>
                <w:noProof/>
                <w:webHidden/>
              </w:rPr>
            </w:r>
            <w:r w:rsidR="006F7A80">
              <w:rPr>
                <w:noProof/>
                <w:webHidden/>
              </w:rPr>
              <w:fldChar w:fldCharType="separate"/>
            </w:r>
            <w:r w:rsidR="006F7A80">
              <w:rPr>
                <w:noProof/>
                <w:webHidden/>
              </w:rPr>
              <w:t>31</w:t>
            </w:r>
            <w:r w:rsidR="006F7A80">
              <w:rPr>
                <w:noProof/>
                <w:webHidden/>
              </w:rPr>
              <w:fldChar w:fldCharType="end"/>
            </w:r>
          </w:hyperlink>
        </w:p>
        <w:p w14:paraId="1C80D364" w14:textId="672FF6F6" w:rsidR="006F7A80" w:rsidRDefault="00EA7298">
          <w:pPr>
            <w:pStyle w:val="TOC1"/>
            <w:rPr>
              <w:rFonts w:eastAsiaTheme="minorEastAsia"/>
              <w:b w:val="0"/>
              <w:bCs w:val="0"/>
              <w:noProof/>
            </w:rPr>
          </w:pPr>
          <w:hyperlink w:anchor="_Toc505150520" w:history="1">
            <w:r w:rsidR="006F7A80" w:rsidRPr="00D433BC">
              <w:rPr>
                <w:rStyle w:val="Hyperlink"/>
                <w:noProof/>
              </w:rPr>
              <w:t>Procedural Theories of Autonomy</w:t>
            </w:r>
            <w:r w:rsidR="006F7A80">
              <w:rPr>
                <w:noProof/>
                <w:webHidden/>
              </w:rPr>
              <w:tab/>
            </w:r>
            <w:r w:rsidR="006F7A80">
              <w:rPr>
                <w:noProof/>
                <w:webHidden/>
              </w:rPr>
              <w:fldChar w:fldCharType="begin"/>
            </w:r>
            <w:r w:rsidR="006F7A80">
              <w:rPr>
                <w:noProof/>
                <w:webHidden/>
              </w:rPr>
              <w:instrText xml:space="preserve"> PAGEREF _Toc505150520 \h </w:instrText>
            </w:r>
            <w:r w:rsidR="006F7A80">
              <w:rPr>
                <w:noProof/>
                <w:webHidden/>
              </w:rPr>
            </w:r>
            <w:r w:rsidR="006F7A80">
              <w:rPr>
                <w:noProof/>
                <w:webHidden/>
              </w:rPr>
              <w:fldChar w:fldCharType="separate"/>
            </w:r>
            <w:r w:rsidR="006F7A80">
              <w:rPr>
                <w:noProof/>
                <w:webHidden/>
              </w:rPr>
              <w:t>35</w:t>
            </w:r>
            <w:r w:rsidR="006F7A80">
              <w:rPr>
                <w:noProof/>
                <w:webHidden/>
              </w:rPr>
              <w:fldChar w:fldCharType="end"/>
            </w:r>
          </w:hyperlink>
        </w:p>
        <w:p w14:paraId="153A72E8" w14:textId="673823CF" w:rsidR="006F7A80" w:rsidRDefault="00EA7298">
          <w:pPr>
            <w:pStyle w:val="TOC2"/>
            <w:rPr>
              <w:rFonts w:eastAsiaTheme="minorEastAsia"/>
              <w:b w:val="0"/>
              <w:bCs w:val="0"/>
              <w:noProof/>
              <w:sz w:val="24"/>
              <w:szCs w:val="24"/>
            </w:rPr>
          </w:pPr>
          <w:hyperlink w:anchor="_Toc505150521" w:history="1">
            <w:r w:rsidR="006F7A80" w:rsidRPr="00D433BC">
              <w:rPr>
                <w:rStyle w:val="Hyperlink"/>
                <w:noProof/>
              </w:rPr>
              <w:t>Structural Account of Autonomy</w:t>
            </w:r>
            <w:r w:rsidR="006F7A80">
              <w:rPr>
                <w:noProof/>
                <w:webHidden/>
              </w:rPr>
              <w:tab/>
            </w:r>
            <w:r w:rsidR="006F7A80">
              <w:rPr>
                <w:noProof/>
                <w:webHidden/>
              </w:rPr>
              <w:fldChar w:fldCharType="begin"/>
            </w:r>
            <w:r w:rsidR="006F7A80">
              <w:rPr>
                <w:noProof/>
                <w:webHidden/>
              </w:rPr>
              <w:instrText xml:space="preserve"> PAGEREF _Toc505150521 \h </w:instrText>
            </w:r>
            <w:r w:rsidR="006F7A80">
              <w:rPr>
                <w:noProof/>
                <w:webHidden/>
              </w:rPr>
            </w:r>
            <w:r w:rsidR="006F7A80">
              <w:rPr>
                <w:noProof/>
                <w:webHidden/>
              </w:rPr>
              <w:fldChar w:fldCharType="separate"/>
            </w:r>
            <w:r w:rsidR="006F7A80">
              <w:rPr>
                <w:noProof/>
                <w:webHidden/>
              </w:rPr>
              <w:t>36</w:t>
            </w:r>
            <w:r w:rsidR="006F7A80">
              <w:rPr>
                <w:noProof/>
                <w:webHidden/>
              </w:rPr>
              <w:fldChar w:fldCharType="end"/>
            </w:r>
          </w:hyperlink>
        </w:p>
        <w:p w14:paraId="7E56DE02" w14:textId="0EA004A9" w:rsidR="006F7A80" w:rsidRDefault="00EA7298">
          <w:pPr>
            <w:pStyle w:val="TOC2"/>
            <w:rPr>
              <w:rFonts w:eastAsiaTheme="minorEastAsia"/>
              <w:b w:val="0"/>
              <w:bCs w:val="0"/>
              <w:noProof/>
              <w:sz w:val="24"/>
              <w:szCs w:val="24"/>
            </w:rPr>
          </w:pPr>
          <w:hyperlink w:anchor="_Toc505150522" w:history="1">
            <w:r w:rsidR="006F7A80" w:rsidRPr="00D433BC">
              <w:rPr>
                <w:rStyle w:val="Hyperlink"/>
                <w:noProof/>
              </w:rPr>
              <w:t>Historical Accounts of Autonomy</w:t>
            </w:r>
            <w:r w:rsidR="006F7A80">
              <w:rPr>
                <w:noProof/>
                <w:webHidden/>
              </w:rPr>
              <w:tab/>
            </w:r>
            <w:r w:rsidR="006F7A80">
              <w:rPr>
                <w:noProof/>
                <w:webHidden/>
              </w:rPr>
              <w:fldChar w:fldCharType="begin"/>
            </w:r>
            <w:r w:rsidR="006F7A80">
              <w:rPr>
                <w:noProof/>
                <w:webHidden/>
              </w:rPr>
              <w:instrText xml:space="preserve"> PAGEREF _Toc505150522 \h </w:instrText>
            </w:r>
            <w:r w:rsidR="006F7A80">
              <w:rPr>
                <w:noProof/>
                <w:webHidden/>
              </w:rPr>
            </w:r>
            <w:r w:rsidR="006F7A80">
              <w:rPr>
                <w:noProof/>
                <w:webHidden/>
              </w:rPr>
              <w:fldChar w:fldCharType="separate"/>
            </w:r>
            <w:r w:rsidR="006F7A80">
              <w:rPr>
                <w:noProof/>
                <w:webHidden/>
              </w:rPr>
              <w:t>38</w:t>
            </w:r>
            <w:r w:rsidR="006F7A80">
              <w:rPr>
                <w:noProof/>
                <w:webHidden/>
              </w:rPr>
              <w:fldChar w:fldCharType="end"/>
            </w:r>
          </w:hyperlink>
        </w:p>
        <w:p w14:paraId="658FE79D" w14:textId="37805911" w:rsidR="006F7A80" w:rsidRDefault="00EA7298">
          <w:pPr>
            <w:pStyle w:val="TOC2"/>
            <w:rPr>
              <w:rFonts w:eastAsiaTheme="minorEastAsia"/>
              <w:b w:val="0"/>
              <w:bCs w:val="0"/>
              <w:noProof/>
              <w:sz w:val="24"/>
              <w:szCs w:val="24"/>
            </w:rPr>
          </w:pPr>
          <w:hyperlink w:anchor="_Toc505150523" w:history="1">
            <w:r w:rsidR="006F7A80" w:rsidRPr="00D433BC">
              <w:rPr>
                <w:rStyle w:val="Hyperlink"/>
                <w:noProof/>
              </w:rPr>
              <w:t>Competency Approach to Autonomy</w:t>
            </w:r>
            <w:r w:rsidR="006F7A80">
              <w:rPr>
                <w:noProof/>
                <w:webHidden/>
              </w:rPr>
              <w:tab/>
            </w:r>
            <w:r w:rsidR="006F7A80">
              <w:rPr>
                <w:noProof/>
                <w:webHidden/>
              </w:rPr>
              <w:fldChar w:fldCharType="begin"/>
            </w:r>
            <w:r w:rsidR="006F7A80">
              <w:rPr>
                <w:noProof/>
                <w:webHidden/>
              </w:rPr>
              <w:instrText xml:space="preserve"> PAGEREF _Toc505150523 \h </w:instrText>
            </w:r>
            <w:r w:rsidR="006F7A80">
              <w:rPr>
                <w:noProof/>
                <w:webHidden/>
              </w:rPr>
            </w:r>
            <w:r w:rsidR="006F7A80">
              <w:rPr>
                <w:noProof/>
                <w:webHidden/>
              </w:rPr>
              <w:fldChar w:fldCharType="separate"/>
            </w:r>
            <w:r w:rsidR="006F7A80">
              <w:rPr>
                <w:noProof/>
                <w:webHidden/>
              </w:rPr>
              <w:t>39</w:t>
            </w:r>
            <w:r w:rsidR="006F7A80">
              <w:rPr>
                <w:noProof/>
                <w:webHidden/>
              </w:rPr>
              <w:fldChar w:fldCharType="end"/>
            </w:r>
          </w:hyperlink>
        </w:p>
        <w:p w14:paraId="5CB559A9" w14:textId="48E1984C" w:rsidR="006F7A80" w:rsidRDefault="00EA7298">
          <w:pPr>
            <w:pStyle w:val="TOC2"/>
            <w:rPr>
              <w:rFonts w:eastAsiaTheme="minorEastAsia"/>
              <w:b w:val="0"/>
              <w:bCs w:val="0"/>
              <w:noProof/>
              <w:sz w:val="24"/>
              <w:szCs w:val="24"/>
            </w:rPr>
          </w:pPr>
          <w:hyperlink w:anchor="_Toc505150524" w:history="1">
            <w:r w:rsidR="006F7A80" w:rsidRPr="00D433BC">
              <w:rPr>
                <w:rStyle w:val="Hyperlink"/>
                <w:noProof/>
              </w:rPr>
              <w:t>Concluding Remarks</w:t>
            </w:r>
            <w:r w:rsidR="006F7A80">
              <w:rPr>
                <w:noProof/>
                <w:webHidden/>
              </w:rPr>
              <w:tab/>
            </w:r>
            <w:r w:rsidR="006F7A80">
              <w:rPr>
                <w:noProof/>
                <w:webHidden/>
              </w:rPr>
              <w:fldChar w:fldCharType="begin"/>
            </w:r>
            <w:r w:rsidR="006F7A80">
              <w:rPr>
                <w:noProof/>
                <w:webHidden/>
              </w:rPr>
              <w:instrText xml:space="preserve"> PAGEREF _Toc505150524 \h </w:instrText>
            </w:r>
            <w:r w:rsidR="006F7A80">
              <w:rPr>
                <w:noProof/>
                <w:webHidden/>
              </w:rPr>
            </w:r>
            <w:r w:rsidR="006F7A80">
              <w:rPr>
                <w:noProof/>
                <w:webHidden/>
              </w:rPr>
              <w:fldChar w:fldCharType="separate"/>
            </w:r>
            <w:r w:rsidR="006F7A80">
              <w:rPr>
                <w:noProof/>
                <w:webHidden/>
              </w:rPr>
              <w:t>44</w:t>
            </w:r>
            <w:r w:rsidR="006F7A80">
              <w:rPr>
                <w:noProof/>
                <w:webHidden/>
              </w:rPr>
              <w:fldChar w:fldCharType="end"/>
            </w:r>
          </w:hyperlink>
        </w:p>
        <w:p w14:paraId="343D8A40" w14:textId="11A152B0" w:rsidR="006F7A80" w:rsidRDefault="00EA7298">
          <w:pPr>
            <w:pStyle w:val="TOC1"/>
            <w:rPr>
              <w:rFonts w:eastAsiaTheme="minorEastAsia"/>
              <w:b w:val="0"/>
              <w:bCs w:val="0"/>
              <w:noProof/>
            </w:rPr>
          </w:pPr>
          <w:hyperlink w:anchor="_Toc505150525" w:history="1">
            <w:r w:rsidR="006F7A80" w:rsidRPr="00D433BC">
              <w:rPr>
                <w:rStyle w:val="Hyperlink"/>
                <w:noProof/>
              </w:rPr>
              <w:t>Substantive Accounts</w:t>
            </w:r>
            <w:r w:rsidR="006F7A80">
              <w:rPr>
                <w:noProof/>
                <w:webHidden/>
              </w:rPr>
              <w:tab/>
            </w:r>
            <w:r w:rsidR="006F7A80">
              <w:rPr>
                <w:noProof/>
                <w:webHidden/>
              </w:rPr>
              <w:fldChar w:fldCharType="begin"/>
            </w:r>
            <w:r w:rsidR="006F7A80">
              <w:rPr>
                <w:noProof/>
                <w:webHidden/>
              </w:rPr>
              <w:instrText xml:space="preserve"> PAGEREF _Toc505150525 \h </w:instrText>
            </w:r>
            <w:r w:rsidR="006F7A80">
              <w:rPr>
                <w:noProof/>
                <w:webHidden/>
              </w:rPr>
            </w:r>
            <w:r w:rsidR="006F7A80">
              <w:rPr>
                <w:noProof/>
                <w:webHidden/>
              </w:rPr>
              <w:fldChar w:fldCharType="separate"/>
            </w:r>
            <w:r w:rsidR="006F7A80">
              <w:rPr>
                <w:noProof/>
                <w:webHidden/>
              </w:rPr>
              <w:t>45</w:t>
            </w:r>
            <w:r w:rsidR="006F7A80">
              <w:rPr>
                <w:noProof/>
                <w:webHidden/>
              </w:rPr>
              <w:fldChar w:fldCharType="end"/>
            </w:r>
          </w:hyperlink>
        </w:p>
        <w:p w14:paraId="37ED9BA2" w14:textId="5E428B1F" w:rsidR="006F7A80" w:rsidRDefault="00EA7298">
          <w:pPr>
            <w:pStyle w:val="TOC2"/>
            <w:rPr>
              <w:rFonts w:eastAsiaTheme="minorEastAsia"/>
              <w:b w:val="0"/>
              <w:bCs w:val="0"/>
              <w:noProof/>
              <w:sz w:val="24"/>
              <w:szCs w:val="24"/>
            </w:rPr>
          </w:pPr>
          <w:hyperlink w:anchor="_Toc505150526" w:history="1">
            <w:r w:rsidR="006F7A80" w:rsidRPr="00D433BC">
              <w:rPr>
                <w:rStyle w:val="Hyperlink"/>
                <w:noProof/>
              </w:rPr>
              <w:t>Strong Substantive Accounts</w:t>
            </w:r>
            <w:r w:rsidR="006F7A80">
              <w:rPr>
                <w:noProof/>
                <w:webHidden/>
              </w:rPr>
              <w:tab/>
            </w:r>
            <w:r w:rsidR="006F7A80">
              <w:rPr>
                <w:noProof/>
                <w:webHidden/>
              </w:rPr>
              <w:fldChar w:fldCharType="begin"/>
            </w:r>
            <w:r w:rsidR="006F7A80">
              <w:rPr>
                <w:noProof/>
                <w:webHidden/>
              </w:rPr>
              <w:instrText xml:space="preserve"> PAGEREF _Toc505150526 \h </w:instrText>
            </w:r>
            <w:r w:rsidR="006F7A80">
              <w:rPr>
                <w:noProof/>
                <w:webHidden/>
              </w:rPr>
            </w:r>
            <w:r w:rsidR="006F7A80">
              <w:rPr>
                <w:noProof/>
                <w:webHidden/>
              </w:rPr>
              <w:fldChar w:fldCharType="separate"/>
            </w:r>
            <w:r w:rsidR="006F7A80">
              <w:rPr>
                <w:noProof/>
                <w:webHidden/>
              </w:rPr>
              <w:t>46</w:t>
            </w:r>
            <w:r w:rsidR="006F7A80">
              <w:rPr>
                <w:noProof/>
                <w:webHidden/>
              </w:rPr>
              <w:fldChar w:fldCharType="end"/>
            </w:r>
          </w:hyperlink>
        </w:p>
        <w:p w14:paraId="31785C49" w14:textId="55C5B71D" w:rsidR="006F7A80" w:rsidRDefault="00EA7298">
          <w:pPr>
            <w:pStyle w:val="TOC2"/>
            <w:rPr>
              <w:rFonts w:eastAsiaTheme="minorEastAsia"/>
              <w:b w:val="0"/>
              <w:bCs w:val="0"/>
              <w:noProof/>
              <w:sz w:val="24"/>
              <w:szCs w:val="24"/>
            </w:rPr>
          </w:pPr>
          <w:hyperlink w:anchor="_Toc505150527" w:history="1">
            <w:r w:rsidR="006F7A80" w:rsidRPr="00D433BC">
              <w:rPr>
                <w:rStyle w:val="Hyperlink"/>
                <w:noProof/>
              </w:rPr>
              <w:t>Weak Substantive Accounts</w:t>
            </w:r>
            <w:r w:rsidR="006F7A80">
              <w:rPr>
                <w:noProof/>
                <w:webHidden/>
              </w:rPr>
              <w:tab/>
            </w:r>
            <w:r w:rsidR="006F7A80">
              <w:rPr>
                <w:noProof/>
                <w:webHidden/>
              </w:rPr>
              <w:fldChar w:fldCharType="begin"/>
            </w:r>
            <w:r w:rsidR="006F7A80">
              <w:rPr>
                <w:noProof/>
                <w:webHidden/>
              </w:rPr>
              <w:instrText xml:space="preserve"> PAGEREF _Toc505150527 \h </w:instrText>
            </w:r>
            <w:r w:rsidR="006F7A80">
              <w:rPr>
                <w:noProof/>
                <w:webHidden/>
              </w:rPr>
            </w:r>
            <w:r w:rsidR="006F7A80">
              <w:rPr>
                <w:noProof/>
                <w:webHidden/>
              </w:rPr>
              <w:fldChar w:fldCharType="separate"/>
            </w:r>
            <w:r w:rsidR="006F7A80">
              <w:rPr>
                <w:noProof/>
                <w:webHidden/>
              </w:rPr>
              <w:t>49</w:t>
            </w:r>
            <w:r w:rsidR="006F7A80">
              <w:rPr>
                <w:noProof/>
                <w:webHidden/>
              </w:rPr>
              <w:fldChar w:fldCharType="end"/>
            </w:r>
          </w:hyperlink>
        </w:p>
        <w:p w14:paraId="71792C77" w14:textId="0AF22194" w:rsidR="006F7A80" w:rsidRDefault="00EA7298">
          <w:pPr>
            <w:pStyle w:val="TOC2"/>
            <w:rPr>
              <w:rFonts w:eastAsiaTheme="minorEastAsia"/>
              <w:b w:val="0"/>
              <w:bCs w:val="0"/>
              <w:noProof/>
              <w:sz w:val="24"/>
              <w:szCs w:val="24"/>
            </w:rPr>
          </w:pPr>
          <w:hyperlink w:anchor="_Toc505150528" w:history="1">
            <w:r w:rsidR="006F7A80" w:rsidRPr="00D433BC">
              <w:rPr>
                <w:rStyle w:val="Hyperlink"/>
                <w:noProof/>
              </w:rPr>
              <w:t>Proposed Revisions</w:t>
            </w:r>
            <w:r w:rsidR="006F7A80">
              <w:rPr>
                <w:noProof/>
                <w:webHidden/>
              </w:rPr>
              <w:tab/>
            </w:r>
            <w:r w:rsidR="006F7A80">
              <w:rPr>
                <w:noProof/>
                <w:webHidden/>
              </w:rPr>
              <w:fldChar w:fldCharType="begin"/>
            </w:r>
            <w:r w:rsidR="006F7A80">
              <w:rPr>
                <w:noProof/>
                <w:webHidden/>
              </w:rPr>
              <w:instrText xml:space="preserve"> PAGEREF _Toc505150528 \h </w:instrText>
            </w:r>
            <w:r w:rsidR="006F7A80">
              <w:rPr>
                <w:noProof/>
                <w:webHidden/>
              </w:rPr>
            </w:r>
            <w:r w:rsidR="006F7A80">
              <w:rPr>
                <w:noProof/>
                <w:webHidden/>
              </w:rPr>
              <w:fldChar w:fldCharType="separate"/>
            </w:r>
            <w:r w:rsidR="006F7A80">
              <w:rPr>
                <w:noProof/>
                <w:webHidden/>
              </w:rPr>
              <w:t>54</w:t>
            </w:r>
            <w:r w:rsidR="006F7A80">
              <w:rPr>
                <w:noProof/>
                <w:webHidden/>
              </w:rPr>
              <w:fldChar w:fldCharType="end"/>
            </w:r>
          </w:hyperlink>
        </w:p>
        <w:p w14:paraId="50ABCA2A" w14:textId="03F7E56C" w:rsidR="006F7A80" w:rsidRDefault="00EA7298">
          <w:pPr>
            <w:pStyle w:val="TOC1"/>
            <w:rPr>
              <w:rFonts w:eastAsiaTheme="minorEastAsia"/>
              <w:b w:val="0"/>
              <w:bCs w:val="0"/>
              <w:noProof/>
            </w:rPr>
          </w:pPr>
          <w:hyperlink w:anchor="_Toc505150529" w:history="1">
            <w:r w:rsidR="006F7A80" w:rsidRPr="00D433BC">
              <w:rPr>
                <w:rStyle w:val="Hyperlink"/>
                <w:noProof/>
              </w:rPr>
              <w:t>Chapter III: Mental Illness and Autonomy</w:t>
            </w:r>
            <w:r w:rsidR="006F7A80">
              <w:rPr>
                <w:noProof/>
                <w:webHidden/>
              </w:rPr>
              <w:tab/>
            </w:r>
            <w:r w:rsidR="006F7A80">
              <w:rPr>
                <w:noProof/>
                <w:webHidden/>
              </w:rPr>
              <w:fldChar w:fldCharType="begin"/>
            </w:r>
            <w:r w:rsidR="006F7A80">
              <w:rPr>
                <w:noProof/>
                <w:webHidden/>
              </w:rPr>
              <w:instrText xml:space="preserve"> PAGEREF _Toc505150529 \h </w:instrText>
            </w:r>
            <w:r w:rsidR="006F7A80">
              <w:rPr>
                <w:noProof/>
                <w:webHidden/>
              </w:rPr>
            </w:r>
            <w:r w:rsidR="006F7A80">
              <w:rPr>
                <w:noProof/>
                <w:webHidden/>
              </w:rPr>
              <w:fldChar w:fldCharType="separate"/>
            </w:r>
            <w:r w:rsidR="006F7A80">
              <w:rPr>
                <w:noProof/>
                <w:webHidden/>
              </w:rPr>
              <w:t>57</w:t>
            </w:r>
            <w:r w:rsidR="006F7A80">
              <w:rPr>
                <w:noProof/>
                <w:webHidden/>
              </w:rPr>
              <w:fldChar w:fldCharType="end"/>
            </w:r>
          </w:hyperlink>
        </w:p>
        <w:p w14:paraId="69778DB0" w14:textId="32B4B17A" w:rsidR="006F7A80" w:rsidRDefault="00EA7298">
          <w:pPr>
            <w:pStyle w:val="TOC3"/>
            <w:tabs>
              <w:tab w:val="right" w:leader="dot" w:pos="9350"/>
            </w:tabs>
            <w:rPr>
              <w:rFonts w:eastAsiaTheme="minorEastAsia"/>
              <w:noProof/>
              <w:sz w:val="24"/>
              <w:szCs w:val="24"/>
            </w:rPr>
          </w:pPr>
          <w:hyperlink w:anchor="_Toc505150530" w:history="1">
            <w:r w:rsidR="006F7A80" w:rsidRPr="00D433BC">
              <w:rPr>
                <w:rStyle w:val="Hyperlink"/>
                <w:noProof/>
              </w:rPr>
              <w:t>Self-Insight and the Lived Experience</w:t>
            </w:r>
            <w:r w:rsidR="006F7A80">
              <w:rPr>
                <w:noProof/>
                <w:webHidden/>
              </w:rPr>
              <w:tab/>
            </w:r>
            <w:r w:rsidR="006F7A80">
              <w:rPr>
                <w:noProof/>
                <w:webHidden/>
              </w:rPr>
              <w:fldChar w:fldCharType="begin"/>
            </w:r>
            <w:r w:rsidR="006F7A80">
              <w:rPr>
                <w:noProof/>
                <w:webHidden/>
              </w:rPr>
              <w:instrText xml:space="preserve"> PAGEREF _Toc505150530 \h </w:instrText>
            </w:r>
            <w:r w:rsidR="006F7A80">
              <w:rPr>
                <w:noProof/>
                <w:webHidden/>
              </w:rPr>
            </w:r>
            <w:r w:rsidR="006F7A80">
              <w:rPr>
                <w:noProof/>
                <w:webHidden/>
              </w:rPr>
              <w:fldChar w:fldCharType="separate"/>
            </w:r>
            <w:r w:rsidR="006F7A80">
              <w:rPr>
                <w:noProof/>
                <w:webHidden/>
              </w:rPr>
              <w:t>62</w:t>
            </w:r>
            <w:r w:rsidR="006F7A80">
              <w:rPr>
                <w:noProof/>
                <w:webHidden/>
              </w:rPr>
              <w:fldChar w:fldCharType="end"/>
            </w:r>
          </w:hyperlink>
        </w:p>
        <w:p w14:paraId="2A839060" w14:textId="4285CC58" w:rsidR="006F7A80" w:rsidRDefault="00EA7298">
          <w:pPr>
            <w:pStyle w:val="TOC3"/>
            <w:tabs>
              <w:tab w:val="right" w:leader="dot" w:pos="9350"/>
            </w:tabs>
            <w:rPr>
              <w:rFonts w:eastAsiaTheme="minorEastAsia"/>
              <w:noProof/>
              <w:sz w:val="24"/>
              <w:szCs w:val="24"/>
            </w:rPr>
          </w:pPr>
          <w:hyperlink w:anchor="_Toc505150531" w:history="1">
            <w:r w:rsidR="006F7A80" w:rsidRPr="00D433BC">
              <w:rPr>
                <w:rStyle w:val="Hyperlink"/>
                <w:noProof/>
              </w:rPr>
              <w:t>Hyponarrativity: The Symptoms Based Approach</w:t>
            </w:r>
            <w:r w:rsidR="006F7A80">
              <w:rPr>
                <w:noProof/>
                <w:webHidden/>
              </w:rPr>
              <w:tab/>
            </w:r>
            <w:r w:rsidR="006F7A80">
              <w:rPr>
                <w:noProof/>
                <w:webHidden/>
              </w:rPr>
              <w:fldChar w:fldCharType="begin"/>
            </w:r>
            <w:r w:rsidR="006F7A80">
              <w:rPr>
                <w:noProof/>
                <w:webHidden/>
              </w:rPr>
              <w:instrText xml:space="preserve"> PAGEREF _Toc505150531 \h </w:instrText>
            </w:r>
            <w:r w:rsidR="006F7A80">
              <w:rPr>
                <w:noProof/>
                <w:webHidden/>
              </w:rPr>
            </w:r>
            <w:r w:rsidR="006F7A80">
              <w:rPr>
                <w:noProof/>
                <w:webHidden/>
              </w:rPr>
              <w:fldChar w:fldCharType="separate"/>
            </w:r>
            <w:r w:rsidR="006F7A80">
              <w:rPr>
                <w:noProof/>
                <w:webHidden/>
              </w:rPr>
              <w:t>64</w:t>
            </w:r>
            <w:r w:rsidR="006F7A80">
              <w:rPr>
                <w:noProof/>
                <w:webHidden/>
              </w:rPr>
              <w:fldChar w:fldCharType="end"/>
            </w:r>
          </w:hyperlink>
        </w:p>
        <w:p w14:paraId="14467AE2" w14:textId="5B4C2D65" w:rsidR="006F7A80" w:rsidRDefault="00EA7298">
          <w:pPr>
            <w:pStyle w:val="TOC3"/>
            <w:tabs>
              <w:tab w:val="right" w:leader="dot" w:pos="9350"/>
            </w:tabs>
            <w:rPr>
              <w:rFonts w:eastAsiaTheme="minorEastAsia"/>
              <w:noProof/>
              <w:sz w:val="24"/>
              <w:szCs w:val="24"/>
            </w:rPr>
          </w:pPr>
          <w:hyperlink w:anchor="_Toc505150532" w:history="1">
            <w:r w:rsidR="006F7A80" w:rsidRPr="00D433BC">
              <w:rPr>
                <w:rStyle w:val="Hyperlink"/>
                <w:noProof/>
              </w:rPr>
              <w:t>DSM-Culture</w:t>
            </w:r>
            <w:r w:rsidR="006F7A80">
              <w:rPr>
                <w:noProof/>
                <w:webHidden/>
              </w:rPr>
              <w:tab/>
            </w:r>
            <w:r w:rsidR="006F7A80">
              <w:rPr>
                <w:noProof/>
                <w:webHidden/>
              </w:rPr>
              <w:fldChar w:fldCharType="begin"/>
            </w:r>
            <w:r w:rsidR="006F7A80">
              <w:rPr>
                <w:noProof/>
                <w:webHidden/>
              </w:rPr>
              <w:instrText xml:space="preserve"> PAGEREF _Toc505150532 \h </w:instrText>
            </w:r>
            <w:r w:rsidR="006F7A80">
              <w:rPr>
                <w:noProof/>
                <w:webHidden/>
              </w:rPr>
            </w:r>
            <w:r w:rsidR="006F7A80">
              <w:rPr>
                <w:noProof/>
                <w:webHidden/>
              </w:rPr>
              <w:fldChar w:fldCharType="separate"/>
            </w:r>
            <w:r w:rsidR="006F7A80">
              <w:rPr>
                <w:noProof/>
                <w:webHidden/>
              </w:rPr>
              <w:t>66</w:t>
            </w:r>
            <w:r w:rsidR="006F7A80">
              <w:rPr>
                <w:noProof/>
                <w:webHidden/>
              </w:rPr>
              <w:fldChar w:fldCharType="end"/>
            </w:r>
          </w:hyperlink>
        </w:p>
        <w:p w14:paraId="6EE4F8EE" w14:textId="6F6710CE" w:rsidR="006F7A80" w:rsidRDefault="00EA7298">
          <w:pPr>
            <w:pStyle w:val="TOC3"/>
            <w:tabs>
              <w:tab w:val="right" w:leader="dot" w:pos="9350"/>
            </w:tabs>
            <w:rPr>
              <w:rFonts w:eastAsiaTheme="minorEastAsia"/>
              <w:noProof/>
              <w:sz w:val="24"/>
              <w:szCs w:val="24"/>
            </w:rPr>
          </w:pPr>
          <w:hyperlink w:anchor="_Toc505150533" w:history="1">
            <w:r w:rsidR="006F7A80" w:rsidRPr="00D433BC">
              <w:rPr>
                <w:rStyle w:val="Hyperlink"/>
                <w:noProof/>
              </w:rPr>
              <w:t>Cognitive Biases</w:t>
            </w:r>
            <w:r w:rsidR="006F7A80">
              <w:rPr>
                <w:noProof/>
                <w:webHidden/>
              </w:rPr>
              <w:tab/>
            </w:r>
            <w:r w:rsidR="006F7A80">
              <w:rPr>
                <w:noProof/>
                <w:webHidden/>
              </w:rPr>
              <w:fldChar w:fldCharType="begin"/>
            </w:r>
            <w:r w:rsidR="006F7A80">
              <w:rPr>
                <w:noProof/>
                <w:webHidden/>
              </w:rPr>
              <w:instrText xml:space="preserve"> PAGEREF _Toc505150533 \h </w:instrText>
            </w:r>
            <w:r w:rsidR="006F7A80">
              <w:rPr>
                <w:noProof/>
                <w:webHidden/>
              </w:rPr>
            </w:r>
            <w:r w:rsidR="006F7A80">
              <w:rPr>
                <w:noProof/>
                <w:webHidden/>
              </w:rPr>
              <w:fldChar w:fldCharType="separate"/>
            </w:r>
            <w:r w:rsidR="006F7A80">
              <w:rPr>
                <w:noProof/>
                <w:webHidden/>
              </w:rPr>
              <w:t>67</w:t>
            </w:r>
            <w:r w:rsidR="006F7A80">
              <w:rPr>
                <w:noProof/>
                <w:webHidden/>
              </w:rPr>
              <w:fldChar w:fldCharType="end"/>
            </w:r>
          </w:hyperlink>
        </w:p>
        <w:p w14:paraId="612EB194" w14:textId="62E4D06F" w:rsidR="006F7A80" w:rsidRDefault="00EA7298">
          <w:pPr>
            <w:pStyle w:val="TOC3"/>
            <w:tabs>
              <w:tab w:val="right" w:leader="dot" w:pos="9350"/>
            </w:tabs>
            <w:rPr>
              <w:rFonts w:eastAsiaTheme="minorEastAsia"/>
              <w:noProof/>
              <w:sz w:val="24"/>
              <w:szCs w:val="24"/>
            </w:rPr>
          </w:pPr>
          <w:hyperlink w:anchor="_Toc505150534" w:history="1">
            <w:r w:rsidR="006F7A80" w:rsidRPr="00D433BC">
              <w:rPr>
                <w:rStyle w:val="Hyperlink"/>
                <w:noProof/>
              </w:rPr>
              <w:t>Existential Confusion and Authenticity</w:t>
            </w:r>
            <w:r w:rsidR="006F7A80">
              <w:rPr>
                <w:noProof/>
                <w:webHidden/>
              </w:rPr>
              <w:tab/>
            </w:r>
            <w:r w:rsidR="006F7A80">
              <w:rPr>
                <w:noProof/>
                <w:webHidden/>
              </w:rPr>
              <w:fldChar w:fldCharType="begin"/>
            </w:r>
            <w:r w:rsidR="006F7A80">
              <w:rPr>
                <w:noProof/>
                <w:webHidden/>
              </w:rPr>
              <w:instrText xml:space="preserve"> PAGEREF _Toc505150534 \h </w:instrText>
            </w:r>
            <w:r w:rsidR="006F7A80">
              <w:rPr>
                <w:noProof/>
                <w:webHidden/>
              </w:rPr>
            </w:r>
            <w:r w:rsidR="006F7A80">
              <w:rPr>
                <w:noProof/>
                <w:webHidden/>
              </w:rPr>
              <w:fldChar w:fldCharType="separate"/>
            </w:r>
            <w:r w:rsidR="006F7A80">
              <w:rPr>
                <w:noProof/>
                <w:webHidden/>
              </w:rPr>
              <w:t>69</w:t>
            </w:r>
            <w:r w:rsidR="006F7A80">
              <w:rPr>
                <w:noProof/>
                <w:webHidden/>
              </w:rPr>
              <w:fldChar w:fldCharType="end"/>
            </w:r>
          </w:hyperlink>
        </w:p>
        <w:p w14:paraId="575F62FD" w14:textId="06080FBD" w:rsidR="006F7A80" w:rsidRDefault="00EA7298">
          <w:pPr>
            <w:pStyle w:val="TOC3"/>
            <w:tabs>
              <w:tab w:val="right" w:leader="dot" w:pos="9350"/>
            </w:tabs>
            <w:rPr>
              <w:rFonts w:eastAsiaTheme="minorEastAsia"/>
              <w:noProof/>
              <w:sz w:val="24"/>
              <w:szCs w:val="24"/>
            </w:rPr>
          </w:pPr>
          <w:hyperlink w:anchor="_Toc505150535" w:history="1">
            <w:r w:rsidR="006F7A80" w:rsidRPr="00D433BC">
              <w:rPr>
                <w:rStyle w:val="Hyperlink"/>
                <w:noProof/>
              </w:rPr>
              <w:t>In sum</w:t>
            </w:r>
            <w:r w:rsidR="006F7A80">
              <w:rPr>
                <w:noProof/>
                <w:webHidden/>
              </w:rPr>
              <w:tab/>
            </w:r>
            <w:r w:rsidR="006F7A80">
              <w:rPr>
                <w:noProof/>
                <w:webHidden/>
              </w:rPr>
              <w:fldChar w:fldCharType="begin"/>
            </w:r>
            <w:r w:rsidR="006F7A80">
              <w:rPr>
                <w:noProof/>
                <w:webHidden/>
              </w:rPr>
              <w:instrText xml:space="preserve"> PAGEREF _Toc505150535 \h </w:instrText>
            </w:r>
            <w:r w:rsidR="006F7A80">
              <w:rPr>
                <w:noProof/>
                <w:webHidden/>
              </w:rPr>
            </w:r>
            <w:r w:rsidR="006F7A80">
              <w:rPr>
                <w:noProof/>
                <w:webHidden/>
              </w:rPr>
              <w:fldChar w:fldCharType="separate"/>
            </w:r>
            <w:r w:rsidR="006F7A80">
              <w:rPr>
                <w:noProof/>
                <w:webHidden/>
              </w:rPr>
              <w:t>72</w:t>
            </w:r>
            <w:r w:rsidR="006F7A80">
              <w:rPr>
                <w:noProof/>
                <w:webHidden/>
              </w:rPr>
              <w:fldChar w:fldCharType="end"/>
            </w:r>
          </w:hyperlink>
        </w:p>
        <w:p w14:paraId="01657727" w14:textId="4556B42E" w:rsidR="006F7A80" w:rsidRDefault="00EA7298">
          <w:pPr>
            <w:pStyle w:val="TOC2"/>
            <w:rPr>
              <w:rFonts w:eastAsiaTheme="minorEastAsia"/>
              <w:b w:val="0"/>
              <w:bCs w:val="0"/>
              <w:noProof/>
              <w:sz w:val="24"/>
              <w:szCs w:val="24"/>
            </w:rPr>
          </w:pPr>
          <w:hyperlink w:anchor="_Toc505150536" w:history="1">
            <w:r w:rsidR="006F7A80" w:rsidRPr="00D433BC">
              <w:rPr>
                <w:rStyle w:val="Hyperlink"/>
                <w:noProof/>
              </w:rPr>
              <w:t>Detailed Example: The Lived Experience of a Woman Diagnosed with a Mood Disorder</w:t>
            </w:r>
            <w:r w:rsidR="006F7A80">
              <w:rPr>
                <w:noProof/>
                <w:webHidden/>
              </w:rPr>
              <w:tab/>
            </w:r>
            <w:r w:rsidR="006F7A80">
              <w:rPr>
                <w:noProof/>
                <w:webHidden/>
              </w:rPr>
              <w:fldChar w:fldCharType="begin"/>
            </w:r>
            <w:r w:rsidR="006F7A80">
              <w:rPr>
                <w:noProof/>
                <w:webHidden/>
              </w:rPr>
              <w:instrText xml:space="preserve"> PAGEREF _Toc505150536 \h </w:instrText>
            </w:r>
            <w:r w:rsidR="006F7A80">
              <w:rPr>
                <w:noProof/>
                <w:webHidden/>
              </w:rPr>
            </w:r>
            <w:r w:rsidR="006F7A80">
              <w:rPr>
                <w:noProof/>
                <w:webHidden/>
              </w:rPr>
              <w:fldChar w:fldCharType="separate"/>
            </w:r>
            <w:r w:rsidR="006F7A80">
              <w:rPr>
                <w:noProof/>
                <w:webHidden/>
              </w:rPr>
              <w:t>73</w:t>
            </w:r>
            <w:r w:rsidR="006F7A80">
              <w:rPr>
                <w:noProof/>
                <w:webHidden/>
              </w:rPr>
              <w:fldChar w:fldCharType="end"/>
            </w:r>
          </w:hyperlink>
        </w:p>
        <w:p w14:paraId="2C98D495" w14:textId="182EE156" w:rsidR="006F7A80" w:rsidRDefault="00EA7298">
          <w:pPr>
            <w:pStyle w:val="TOC3"/>
            <w:tabs>
              <w:tab w:val="right" w:leader="dot" w:pos="9350"/>
            </w:tabs>
            <w:rPr>
              <w:rFonts w:eastAsiaTheme="minorEastAsia"/>
              <w:noProof/>
              <w:sz w:val="24"/>
              <w:szCs w:val="24"/>
            </w:rPr>
          </w:pPr>
          <w:hyperlink w:anchor="_Toc505150537" w:history="1">
            <w:r w:rsidR="006F7A80" w:rsidRPr="00D433BC">
              <w:rPr>
                <w:rStyle w:val="Hyperlink"/>
                <w:noProof/>
              </w:rPr>
              <w:t>Reflective Impact of Diagnosis</w:t>
            </w:r>
            <w:r w:rsidR="006F7A80">
              <w:rPr>
                <w:noProof/>
                <w:webHidden/>
              </w:rPr>
              <w:tab/>
            </w:r>
            <w:r w:rsidR="006F7A80">
              <w:rPr>
                <w:noProof/>
                <w:webHidden/>
              </w:rPr>
              <w:fldChar w:fldCharType="begin"/>
            </w:r>
            <w:r w:rsidR="006F7A80">
              <w:rPr>
                <w:noProof/>
                <w:webHidden/>
              </w:rPr>
              <w:instrText xml:space="preserve"> PAGEREF _Toc505150537 \h </w:instrText>
            </w:r>
            <w:r w:rsidR="006F7A80">
              <w:rPr>
                <w:noProof/>
                <w:webHidden/>
              </w:rPr>
            </w:r>
            <w:r w:rsidR="006F7A80">
              <w:rPr>
                <w:noProof/>
                <w:webHidden/>
              </w:rPr>
              <w:fldChar w:fldCharType="separate"/>
            </w:r>
            <w:r w:rsidR="006F7A80">
              <w:rPr>
                <w:noProof/>
                <w:webHidden/>
              </w:rPr>
              <w:t>76</w:t>
            </w:r>
            <w:r w:rsidR="006F7A80">
              <w:rPr>
                <w:noProof/>
                <w:webHidden/>
              </w:rPr>
              <w:fldChar w:fldCharType="end"/>
            </w:r>
          </w:hyperlink>
        </w:p>
        <w:p w14:paraId="7E20218E" w14:textId="2CB1B9A0" w:rsidR="006F7A80" w:rsidRDefault="00EA7298">
          <w:pPr>
            <w:pStyle w:val="TOC3"/>
            <w:tabs>
              <w:tab w:val="right" w:leader="dot" w:pos="9350"/>
            </w:tabs>
            <w:rPr>
              <w:rFonts w:eastAsiaTheme="minorEastAsia"/>
              <w:noProof/>
              <w:sz w:val="24"/>
              <w:szCs w:val="24"/>
            </w:rPr>
          </w:pPr>
          <w:hyperlink w:anchor="_Toc505150538" w:history="1">
            <w:r w:rsidR="006F7A80" w:rsidRPr="00D433BC">
              <w:rPr>
                <w:rStyle w:val="Hyperlink"/>
                <w:noProof/>
              </w:rPr>
              <w:t>Personal Identity</w:t>
            </w:r>
            <w:r w:rsidR="006F7A80">
              <w:rPr>
                <w:noProof/>
                <w:webHidden/>
              </w:rPr>
              <w:tab/>
            </w:r>
            <w:r w:rsidR="006F7A80">
              <w:rPr>
                <w:noProof/>
                <w:webHidden/>
              </w:rPr>
              <w:fldChar w:fldCharType="begin"/>
            </w:r>
            <w:r w:rsidR="006F7A80">
              <w:rPr>
                <w:noProof/>
                <w:webHidden/>
              </w:rPr>
              <w:instrText xml:space="preserve"> PAGEREF _Toc505150538 \h </w:instrText>
            </w:r>
            <w:r w:rsidR="006F7A80">
              <w:rPr>
                <w:noProof/>
                <w:webHidden/>
              </w:rPr>
            </w:r>
            <w:r w:rsidR="006F7A80">
              <w:rPr>
                <w:noProof/>
                <w:webHidden/>
              </w:rPr>
              <w:fldChar w:fldCharType="separate"/>
            </w:r>
            <w:r w:rsidR="006F7A80">
              <w:rPr>
                <w:noProof/>
                <w:webHidden/>
              </w:rPr>
              <w:t>76</w:t>
            </w:r>
            <w:r w:rsidR="006F7A80">
              <w:rPr>
                <w:noProof/>
                <w:webHidden/>
              </w:rPr>
              <w:fldChar w:fldCharType="end"/>
            </w:r>
          </w:hyperlink>
        </w:p>
        <w:p w14:paraId="31B45097" w14:textId="0CD25943" w:rsidR="006F7A80" w:rsidRDefault="00EA7298">
          <w:pPr>
            <w:pStyle w:val="TOC3"/>
            <w:tabs>
              <w:tab w:val="right" w:leader="dot" w:pos="9350"/>
            </w:tabs>
            <w:rPr>
              <w:rFonts w:eastAsiaTheme="minorEastAsia"/>
              <w:noProof/>
              <w:sz w:val="24"/>
              <w:szCs w:val="24"/>
            </w:rPr>
          </w:pPr>
          <w:hyperlink w:anchor="_Toc505150539" w:history="1">
            <w:r w:rsidR="006F7A80" w:rsidRPr="00D433BC">
              <w:rPr>
                <w:rStyle w:val="Hyperlink"/>
                <w:noProof/>
              </w:rPr>
              <w:t>Puzzling Mental States</w:t>
            </w:r>
            <w:r w:rsidR="006F7A80">
              <w:rPr>
                <w:noProof/>
                <w:webHidden/>
              </w:rPr>
              <w:tab/>
            </w:r>
            <w:r w:rsidR="006F7A80">
              <w:rPr>
                <w:noProof/>
                <w:webHidden/>
              </w:rPr>
              <w:fldChar w:fldCharType="begin"/>
            </w:r>
            <w:r w:rsidR="006F7A80">
              <w:rPr>
                <w:noProof/>
                <w:webHidden/>
              </w:rPr>
              <w:instrText xml:space="preserve"> PAGEREF _Toc505150539 \h </w:instrText>
            </w:r>
            <w:r w:rsidR="006F7A80">
              <w:rPr>
                <w:noProof/>
                <w:webHidden/>
              </w:rPr>
            </w:r>
            <w:r w:rsidR="006F7A80">
              <w:rPr>
                <w:noProof/>
                <w:webHidden/>
              </w:rPr>
              <w:fldChar w:fldCharType="separate"/>
            </w:r>
            <w:r w:rsidR="006F7A80">
              <w:rPr>
                <w:noProof/>
                <w:webHidden/>
              </w:rPr>
              <w:t>77</w:t>
            </w:r>
            <w:r w:rsidR="006F7A80">
              <w:rPr>
                <w:noProof/>
                <w:webHidden/>
              </w:rPr>
              <w:fldChar w:fldCharType="end"/>
            </w:r>
          </w:hyperlink>
        </w:p>
        <w:p w14:paraId="6D8486CC" w14:textId="32806E44" w:rsidR="006F7A80" w:rsidRDefault="00EA7298">
          <w:pPr>
            <w:pStyle w:val="TOC3"/>
            <w:tabs>
              <w:tab w:val="right" w:leader="dot" w:pos="9350"/>
            </w:tabs>
            <w:rPr>
              <w:rFonts w:eastAsiaTheme="minorEastAsia"/>
              <w:noProof/>
              <w:sz w:val="24"/>
              <w:szCs w:val="24"/>
            </w:rPr>
          </w:pPr>
          <w:hyperlink w:anchor="_Toc505150540" w:history="1">
            <w:r w:rsidR="006F7A80" w:rsidRPr="00D433BC">
              <w:rPr>
                <w:rStyle w:val="Hyperlink"/>
                <w:noProof/>
              </w:rPr>
              <w:t>Interpersonal Relationships</w:t>
            </w:r>
            <w:r w:rsidR="006F7A80">
              <w:rPr>
                <w:noProof/>
                <w:webHidden/>
              </w:rPr>
              <w:tab/>
            </w:r>
            <w:r w:rsidR="006F7A80">
              <w:rPr>
                <w:noProof/>
                <w:webHidden/>
              </w:rPr>
              <w:fldChar w:fldCharType="begin"/>
            </w:r>
            <w:r w:rsidR="006F7A80">
              <w:rPr>
                <w:noProof/>
                <w:webHidden/>
              </w:rPr>
              <w:instrText xml:space="preserve"> PAGEREF _Toc505150540 \h </w:instrText>
            </w:r>
            <w:r w:rsidR="006F7A80">
              <w:rPr>
                <w:noProof/>
                <w:webHidden/>
              </w:rPr>
            </w:r>
            <w:r w:rsidR="006F7A80">
              <w:rPr>
                <w:noProof/>
                <w:webHidden/>
              </w:rPr>
              <w:fldChar w:fldCharType="separate"/>
            </w:r>
            <w:r w:rsidR="006F7A80">
              <w:rPr>
                <w:noProof/>
                <w:webHidden/>
              </w:rPr>
              <w:t>79</w:t>
            </w:r>
            <w:r w:rsidR="006F7A80">
              <w:rPr>
                <w:noProof/>
                <w:webHidden/>
              </w:rPr>
              <w:fldChar w:fldCharType="end"/>
            </w:r>
          </w:hyperlink>
        </w:p>
        <w:p w14:paraId="10342710" w14:textId="63E9320D" w:rsidR="006F7A80" w:rsidRDefault="00EA7298">
          <w:pPr>
            <w:pStyle w:val="TOC3"/>
            <w:tabs>
              <w:tab w:val="right" w:leader="dot" w:pos="9350"/>
            </w:tabs>
            <w:rPr>
              <w:rFonts w:eastAsiaTheme="minorEastAsia"/>
              <w:noProof/>
              <w:sz w:val="24"/>
              <w:szCs w:val="24"/>
            </w:rPr>
          </w:pPr>
          <w:hyperlink w:anchor="_Toc505150541" w:history="1">
            <w:r w:rsidR="006F7A80" w:rsidRPr="00D433BC">
              <w:rPr>
                <w:rStyle w:val="Hyperlink"/>
                <w:noProof/>
              </w:rPr>
              <w:t>Concluding Remarks</w:t>
            </w:r>
            <w:r w:rsidR="006F7A80">
              <w:rPr>
                <w:noProof/>
                <w:webHidden/>
              </w:rPr>
              <w:tab/>
            </w:r>
            <w:r w:rsidR="006F7A80">
              <w:rPr>
                <w:noProof/>
                <w:webHidden/>
              </w:rPr>
              <w:fldChar w:fldCharType="begin"/>
            </w:r>
            <w:r w:rsidR="006F7A80">
              <w:rPr>
                <w:noProof/>
                <w:webHidden/>
              </w:rPr>
              <w:instrText xml:space="preserve"> PAGEREF _Toc505150541 \h </w:instrText>
            </w:r>
            <w:r w:rsidR="006F7A80">
              <w:rPr>
                <w:noProof/>
                <w:webHidden/>
              </w:rPr>
            </w:r>
            <w:r w:rsidR="006F7A80">
              <w:rPr>
                <w:noProof/>
                <w:webHidden/>
              </w:rPr>
              <w:fldChar w:fldCharType="separate"/>
            </w:r>
            <w:r w:rsidR="006F7A80">
              <w:rPr>
                <w:noProof/>
                <w:webHidden/>
              </w:rPr>
              <w:t>82</w:t>
            </w:r>
            <w:r w:rsidR="006F7A80">
              <w:rPr>
                <w:noProof/>
                <w:webHidden/>
              </w:rPr>
              <w:fldChar w:fldCharType="end"/>
            </w:r>
          </w:hyperlink>
        </w:p>
        <w:p w14:paraId="3BCB5A78" w14:textId="210FEC39" w:rsidR="006F7A80" w:rsidRDefault="00EA7298">
          <w:pPr>
            <w:pStyle w:val="TOC1"/>
            <w:rPr>
              <w:rFonts w:eastAsiaTheme="minorEastAsia"/>
              <w:b w:val="0"/>
              <w:bCs w:val="0"/>
              <w:noProof/>
            </w:rPr>
          </w:pPr>
          <w:hyperlink w:anchor="_Toc505150542" w:history="1">
            <w:r w:rsidR="006F7A80" w:rsidRPr="00D433BC">
              <w:rPr>
                <w:rStyle w:val="Hyperlink"/>
                <w:noProof/>
              </w:rPr>
              <w:t>Conclusion</w:t>
            </w:r>
            <w:r w:rsidR="006F7A80">
              <w:rPr>
                <w:noProof/>
                <w:webHidden/>
              </w:rPr>
              <w:tab/>
            </w:r>
            <w:r w:rsidR="006F7A80">
              <w:rPr>
                <w:noProof/>
                <w:webHidden/>
              </w:rPr>
              <w:fldChar w:fldCharType="begin"/>
            </w:r>
            <w:r w:rsidR="006F7A80">
              <w:rPr>
                <w:noProof/>
                <w:webHidden/>
              </w:rPr>
              <w:instrText xml:space="preserve"> PAGEREF _Toc505150542 \h </w:instrText>
            </w:r>
            <w:r w:rsidR="006F7A80">
              <w:rPr>
                <w:noProof/>
                <w:webHidden/>
              </w:rPr>
            </w:r>
            <w:r w:rsidR="006F7A80">
              <w:rPr>
                <w:noProof/>
                <w:webHidden/>
              </w:rPr>
              <w:fldChar w:fldCharType="separate"/>
            </w:r>
            <w:r w:rsidR="006F7A80">
              <w:rPr>
                <w:noProof/>
                <w:webHidden/>
              </w:rPr>
              <w:t>83</w:t>
            </w:r>
            <w:r w:rsidR="006F7A80">
              <w:rPr>
                <w:noProof/>
                <w:webHidden/>
              </w:rPr>
              <w:fldChar w:fldCharType="end"/>
            </w:r>
          </w:hyperlink>
        </w:p>
        <w:p w14:paraId="0DC3ACA2" w14:textId="30A788C2" w:rsidR="00CD2FAB" w:rsidRDefault="00FA64C0">
          <w:pPr>
            <w:sectPr w:rsidR="00CD2FAB" w:rsidSect="00CD2FAB">
              <w:pgSz w:w="12240" w:h="15840"/>
              <w:pgMar w:top="1440" w:right="1440" w:bottom="1440" w:left="1440" w:header="720" w:footer="720" w:gutter="0"/>
              <w:pgNumType w:fmt="lowerRoman" w:start="1"/>
              <w:cols w:space="720"/>
              <w:docGrid w:linePitch="360"/>
            </w:sectPr>
          </w:pPr>
          <w:r w:rsidRPr="009D7FD7">
            <w:rPr>
              <w:b/>
              <w:bCs/>
              <w:noProof/>
            </w:rPr>
            <w:fldChar w:fldCharType="end"/>
          </w:r>
        </w:p>
      </w:sdtContent>
    </w:sdt>
    <w:bookmarkStart w:id="1" w:name="_Toc496622232" w:displacedByCustomXml="prev"/>
    <w:p w14:paraId="74BD42C4" w14:textId="2D14EEF1" w:rsidR="00AB73E0" w:rsidRDefault="00AB73E0" w:rsidP="000C3662">
      <w:pPr>
        <w:pStyle w:val="Heading1"/>
      </w:pPr>
      <w:bookmarkStart w:id="2" w:name="_Toc505150505"/>
      <w:r w:rsidRPr="00A92995">
        <w:lastRenderedPageBreak/>
        <w:t>Introduction</w:t>
      </w:r>
      <w:bookmarkEnd w:id="2"/>
      <w:bookmarkEnd w:id="1"/>
    </w:p>
    <w:p w14:paraId="7BADE17F" w14:textId="77777777" w:rsidR="00CD2FAB" w:rsidRPr="00CD2FAB" w:rsidRDefault="00CD2FAB" w:rsidP="00CD2FAB"/>
    <w:p w14:paraId="1BB75D28" w14:textId="35BAC728" w:rsidR="00AB73E0" w:rsidRPr="00A92995" w:rsidRDefault="00AB73E0" w:rsidP="001B7A6C">
      <w:pPr>
        <w:spacing w:line="360" w:lineRule="auto"/>
      </w:pPr>
      <w:r w:rsidRPr="00A92995">
        <w:t>The vulnerability experienced by an individual facing the symptoms and diagnosis of illness may be understood as a unique experience of undermined personal autonomy. Not only does the presence of illness diminish autonomy by introducing a hostile and alien element into the patient’s body</w:t>
      </w:r>
      <w:r w:rsidR="00576465" w:rsidRPr="00A92995">
        <w:t xml:space="preserve"> or mind</w:t>
      </w:r>
      <w:r w:rsidRPr="00A92995">
        <w:t>, but it forces the patient to face her own ignorance and inability to mend h</w:t>
      </w:r>
      <w:r w:rsidR="00576465" w:rsidRPr="00A92995">
        <w:t>er</w:t>
      </w:r>
      <w:r w:rsidRPr="00A92995">
        <w:t xml:space="preserve"> own body. Thus, the patient is forced to consult a medical expert and enter into a physician-patient relationship that may further undermine autonomy. The individual becomes a patient, a body under attack by an alien force, and finds support in an unknown ally that is the physician. If autonomy is crudely understood as the capacity of self-governance, the patient is clearly lacking. </w:t>
      </w:r>
    </w:p>
    <w:p w14:paraId="3C2715EF" w14:textId="5E08ACBD" w:rsidR="00AB73E0" w:rsidRPr="00A92995" w:rsidRDefault="003467F1" w:rsidP="00AB73E0">
      <w:pPr>
        <w:spacing w:line="360" w:lineRule="auto"/>
      </w:pPr>
      <w:r w:rsidRPr="00A92995">
        <w:tab/>
      </w:r>
      <w:r w:rsidR="00AB73E0" w:rsidRPr="00A92995">
        <w:t xml:space="preserve">Philosophers have covered vast ground concerning the ways that illness might undermine patient autonomy, both by physically undermining a patient’s control over </w:t>
      </w:r>
      <w:r w:rsidR="00255BB2" w:rsidRPr="00A92995">
        <w:t xml:space="preserve">her </w:t>
      </w:r>
      <w:r w:rsidR="00AB73E0" w:rsidRPr="00A92995">
        <w:t xml:space="preserve">body, and by exacerbating a kind of existential confusion. Further, much of bioethics attempts to understand the ways in which physicians might inadvertently undermine patient autonomy in the way they treat the patient. Unfortunately, attempts to understand autonomy in illness often overlook much subtler effects on patient autonomy. I refer here to the combination of influences on patient autonomy not only </w:t>
      </w:r>
      <w:r w:rsidR="00F257D5" w:rsidRPr="00A92995">
        <w:t xml:space="preserve">from </w:t>
      </w:r>
      <w:r w:rsidR="00AB73E0" w:rsidRPr="00A92995">
        <w:t xml:space="preserve">the illness or the physician, but also the conglomeration of problematic social norms that threaten autonomy. Such subtle undermining forces are not accounted for in the basic conception of autonomy that is employed in guidelines for the physician-patient relationship. </w:t>
      </w:r>
    </w:p>
    <w:p w14:paraId="75B38541" w14:textId="31A2E057" w:rsidR="00AB73E0" w:rsidRPr="00A92995" w:rsidRDefault="003467F1" w:rsidP="00AB73E0">
      <w:pPr>
        <w:spacing w:line="360" w:lineRule="auto"/>
      </w:pPr>
      <w:r w:rsidRPr="00A92995">
        <w:tab/>
      </w:r>
      <w:r w:rsidR="00AB73E0" w:rsidRPr="00A92995">
        <w:t>The clinical encounter is that space in which physician and patient meet to discuss symptoms, diagnoses, and possible treatment options regarding the patient’s illness. Both the physician and patient come to the clinical encounter with expectations of the other, as well as responsibilities to each other. The patient is responsible for providing comprehensive and honest testimony of her symptoms as she experiences them</w:t>
      </w:r>
      <w:r w:rsidR="001204F1" w:rsidRPr="00A92995">
        <w:t xml:space="preserve">, as well as </w:t>
      </w:r>
      <w:r w:rsidR="00AB73E0" w:rsidRPr="00A92995">
        <w:t xml:space="preserve">her medical history and any information that would be relevant to the clinical encounter. The physician is responsible for listening to the patient’s concerns; analyzing the patient’s symptoms; conducting physical and psychological examinations where necessary; and providing the patient with relevant information concerning the diagnosis, prognosis, and treatment options of her illness. In this basic form, the clinical encounter resembles a transaction in which both parties enter willingly and agree to maintain their respective responsibilities. When viewing illness as a threat to autonomy (no </w:t>
      </w:r>
      <w:r w:rsidR="00AB73E0" w:rsidRPr="00A92995">
        <w:lastRenderedPageBreak/>
        <w:t xml:space="preserve">matter how subtle), we can conclude that physician-provided medical knowledge and treatment serves as an attempt to restore the patient’s autonomy. Thus, restoring and supporting patient autonomy are a central goal in the clinical encounter, for both the patient and physician. However, it is not clear that physician-patient relationships </w:t>
      </w:r>
      <w:r w:rsidR="00255BB2" w:rsidRPr="00A92995">
        <w:t xml:space="preserve">in these clinical encounters </w:t>
      </w:r>
      <w:r w:rsidR="00AB73E0" w:rsidRPr="00A92995">
        <w:t xml:space="preserve">are successful in the goal of restoring and supporting patient autonomy. Patients commonly continue to experience the feelings of alienation, confusion, and extreme vulnerability that are characteristic of diminished autonomy. </w:t>
      </w:r>
    </w:p>
    <w:p w14:paraId="7EDB0E1A" w14:textId="2DAD86A2" w:rsidR="00AB73E0" w:rsidRPr="00A92995" w:rsidRDefault="003467F1" w:rsidP="00AB73E0">
      <w:pPr>
        <w:spacing w:line="360" w:lineRule="auto"/>
      </w:pPr>
      <w:r w:rsidRPr="00A92995">
        <w:tab/>
      </w:r>
      <w:r w:rsidR="00AB73E0" w:rsidRPr="00A92995">
        <w:t xml:space="preserve">Predominant theories of autonomy hold the necessary and sufficient conditions of autonomy to be the ability of agents to govern their own lives, in accordance with their own beliefs and desires, and to do so free from coercion or interference. Theorists </w:t>
      </w:r>
      <w:r w:rsidR="00B6103D" w:rsidRPr="00A92995">
        <w:t>who</w:t>
      </w:r>
      <w:r w:rsidR="00AB73E0" w:rsidRPr="00A92995">
        <w:t xml:space="preserve"> follow this standard model might argue that the feelings of vulnerability discussed above are not enough to deem a patient non-autonomous</w:t>
      </w:r>
      <w:r w:rsidR="00B6103D" w:rsidRPr="00A92995">
        <w:t xml:space="preserve"> or lacking in a significant degree of autonomy</w:t>
      </w:r>
      <w:r w:rsidR="00AB73E0" w:rsidRPr="00A92995">
        <w:t xml:space="preserve">. Rather, these theories of autonomy would require evidence of coercion, manipulation, or psychological or physiological impairment. In the absence of such obvious threats, a patient is considered autonomous and not only capable of, but responsible for, making informed decisions about her medical treatment. In the clinical encounter, understanding the types and effects of physiological and psychological impairment is especially relevant to assessing patient autonomy. In fact, this assessment is necessary for obtaining informed consent from the patient. </w:t>
      </w:r>
    </w:p>
    <w:p w14:paraId="386CCE9D" w14:textId="42531A3A" w:rsidR="00AB73E0" w:rsidRPr="00A92995" w:rsidRDefault="003467F1" w:rsidP="00AB73E0">
      <w:pPr>
        <w:spacing w:line="360" w:lineRule="auto"/>
      </w:pPr>
      <w:r w:rsidRPr="00A92995">
        <w:tab/>
      </w:r>
      <w:r w:rsidR="00AB73E0" w:rsidRPr="00A92995">
        <w:t xml:space="preserve">On standard accounts of autonomy, an illness may be considered a threat to autonomy if it diminishes an agent’s mobility, motor functions, communication capacities, reasoning skills or their grasp on reality. Some cases which clearly meet these criteria include neurological diseases which cause moderate to severe disability, such as paralysis, Multiple Sclerosis (MS) and Amyotrophic Lateral Sclerosis (ALS) which destroy nerve endings and immobilize patients; and Tourette’s syndrome and Parkinson’s disease, which limit patient’s control of their motor skills. Some examples of cognitive diseases that diminish patient autonomy include dementia, Alzheimer’s, cerebral palsy, Down syndrome, and traumatic brain injury. These involve diminished autonomy in both motor and cognitive operation. A standard account could even be stretched to consider diseases such as diabetes, cancer, asthma, or chronic gastroenteritis as autonomy-undermining illnesses. These diseases undermine autonomy by limiting an agent’s self-governing capacities in specific areas of life, such as one’s ability to play sports, eat specific foods, practice religion, or travel freely. The extent to which illness may prevent agents from </w:t>
      </w:r>
      <w:r w:rsidR="00AB73E0" w:rsidRPr="00A92995">
        <w:lastRenderedPageBreak/>
        <w:t>self-governance varies between complete debilitation, inconvenience, or disappointment because of a patient’s inability to achieve some or other goal. What this indicates is not only that personal autonomy is sensitive to illness, but that patient autonomy can be measured on a sliding scale according to the patient’s ability to fulfil certain desires and goals. This indicates that patients can become more autonomous with treatment, but also that there are cases between the obviously-autonomous and the obviously-non-autonomous that must be accounted for. The</w:t>
      </w:r>
      <w:r w:rsidR="00255BB2" w:rsidRPr="00A92995">
        <w:t xml:space="preserve"> importance of the</w:t>
      </w:r>
      <w:r w:rsidR="00AB73E0" w:rsidRPr="00A92995">
        <w:t xml:space="preserve"> latter point will become </w:t>
      </w:r>
      <w:r w:rsidR="00255BB2" w:rsidRPr="00A92995">
        <w:t xml:space="preserve">evident </w:t>
      </w:r>
      <w:r w:rsidR="00AB73E0" w:rsidRPr="00A92995">
        <w:t xml:space="preserve">later in this research. </w:t>
      </w:r>
    </w:p>
    <w:p w14:paraId="31B01AF8" w14:textId="5B80D342" w:rsidR="00AB73E0" w:rsidRPr="00A92995" w:rsidRDefault="003467F1" w:rsidP="00AB73E0">
      <w:pPr>
        <w:spacing w:line="360" w:lineRule="auto"/>
      </w:pPr>
      <w:r w:rsidRPr="00A92995">
        <w:tab/>
      </w:r>
      <w:r w:rsidR="00AB73E0" w:rsidRPr="00A92995">
        <w:t xml:space="preserve">To whatever extent a patient’s illness undermines autonomy, the clinical encounter is bound to further impact that autonomy. While offering the opportunity to restore patient autonomy by providing relevant medical information and tools, the clinical encounter simultaneously opens the patient to various potential threats. Such threats might be environmental, such as an increased risk of infection, undesirable side effects of medication, or even a hospital-wide power failure. Interpersonal threats in the clinical encounter include physician error, discrimination, breaches of confidentiality, or paternalistic intervention without consent. </w:t>
      </w:r>
    </w:p>
    <w:p w14:paraId="54EB0781" w14:textId="708E7740" w:rsidR="00AB73E0" w:rsidRPr="00A92995" w:rsidRDefault="003467F1" w:rsidP="00AB73E0">
      <w:pPr>
        <w:spacing w:line="360" w:lineRule="auto"/>
      </w:pPr>
      <w:r w:rsidRPr="00A92995">
        <w:tab/>
      </w:r>
      <w:r w:rsidR="00AB73E0" w:rsidRPr="00A92995">
        <w:t xml:space="preserve">Paternalistic intervention is </w:t>
      </w:r>
      <w:r w:rsidR="00255BB2" w:rsidRPr="00A92995">
        <w:t>an exemplary</w:t>
      </w:r>
      <w:r w:rsidR="00AB73E0" w:rsidRPr="00A92995">
        <w:t xml:space="preserve"> illustration of how individual autonomy can be threatened. Of course, we consult physicians precisely because they possess the expertise, medical wisdom, and applicable licensure to treat our illnesses; but those qualifications also confer authority that can be and has historically been abused. There is no doubt that physicians are committed to providing treatment according to the best interests of their patients, but to do so at the cost of patient autonomy is a practice that medicine has outgrown. In the early days of medical ethics, the notion of “doctor knows best” allowed physicians to sidestep patient autonomy in the name of preventing harm, and some medical ethical texts would even encourage physicians to keep the truth from their patients if the doctor deemed it harmful to them. Today, such paternalistic treatment of patients is not only frowned upon by medical ethics boards but is almost unheard of. Even so, remnants of the authoritative relationship occasionally emerge in subtle ways within the clinical encounter. Some argue that a physician’s attempt to encourage his own preferred method of treatment over another might amount to paternalism in disguise. Nevertheless, in order to guard against any pernicious paternalistic interference, it has become a standard requirement for a patient to provide explicit informed consent in the clinical setting, especially for examinations and treatment options that are particularly invasive. </w:t>
      </w:r>
    </w:p>
    <w:p w14:paraId="28348AFC" w14:textId="0BCE9A4F" w:rsidR="00AB73E0" w:rsidRPr="00A92995" w:rsidRDefault="003467F1" w:rsidP="00AB73E0">
      <w:pPr>
        <w:spacing w:line="360" w:lineRule="auto"/>
      </w:pPr>
      <w:r w:rsidRPr="00A92995">
        <w:lastRenderedPageBreak/>
        <w:tab/>
      </w:r>
      <w:r w:rsidR="00AB73E0" w:rsidRPr="00A92995">
        <w:t xml:space="preserve">The doctrine of informed consent emerges as an attempt to protect patient autonomy by contractually capturing evidence that a patient is well appraised of the relevant details associated with her illness and possible treatment options. It simultaneously serves to waive certain rights in order to allow the physician to perform necessary examinations and surgeries. This trend seems to signal a shift in medical ethics, away from paternalistic attitudes, and toward an approach that respects the patient as an autonomous agent with the right to decide between or even to refuse treatment options. Advanced directives such as a living </w:t>
      </w:r>
      <w:r w:rsidR="00852203" w:rsidRPr="00A92995">
        <w:t>will or</w:t>
      </w:r>
      <w:r w:rsidR="00AB73E0" w:rsidRPr="00A92995">
        <w:t xml:space="preserve"> do-not-resuscitate directives follow this trend, providing patients with legal rights to choose how they will be treated even when they are incapable of providing informed consent. This is important in emergency situations wherein patients might be unable to verbally consent to a required life-saving surgery in the moment. As noted earlier, however, there are cases between the obviously autonomous and obviously incapacitated that must be taken into account. For instance, consultation with a private practitioner might not present the same challenges as in emergency rooms. A certain level of autonomy is required for the patient to recognize her need to consult the physician, to decide to visit the doctor’s office, and to engage in the clinical encounter to the best of her ability. She is expected to employ her autonomy by signing the relevant informed consent-form, agreeing to be examined, and eventually deciding whether or not, and how, to proceed with treatment.</w:t>
      </w:r>
    </w:p>
    <w:p w14:paraId="4DEF8D2B" w14:textId="01515A77" w:rsidR="00AB73E0" w:rsidRPr="00A92995" w:rsidRDefault="003467F1" w:rsidP="00AB73E0">
      <w:pPr>
        <w:spacing w:line="360" w:lineRule="auto"/>
      </w:pPr>
      <w:r w:rsidRPr="00A92995">
        <w:tab/>
      </w:r>
      <w:r w:rsidR="00AB73E0" w:rsidRPr="00A92995">
        <w:t>Despite these differences, the contractual nature of informed-consent reveals a close resemblance between clinical encounters and business transactions: patients are consumers who seek services from physicians, for payment. The business model of medicine is apparent within specialties of care, such as internal medicine, obstetrics, and cosmetic surgery. The patient as consumer is also especially apparent within psychiatric medicine. Psychiatric private practice provides a particularly interesting ground for bioethics. As a medical discipline, psychiatry abides by the same medical ethical codes as other medical professionals.</w:t>
      </w:r>
      <w:r w:rsidR="00255BB2" w:rsidRPr="00A92995">
        <w:t xml:space="preserve"> T</w:t>
      </w:r>
      <w:r w:rsidR="00AB73E0" w:rsidRPr="00A92995">
        <w:t xml:space="preserve">he shared goal of providing medical treatment to a patient to remedy the loss of autonomy is somewhat more nuanced in psychiatric practice, and as such requires supplemental ethical guidelines. This is partially due to the difficulty of diagnosing psychological illness, as well as the difficulty of proving that the illness is based in physiological disorder of the brain and requires medical treatment. </w:t>
      </w:r>
    </w:p>
    <w:p w14:paraId="0B8BC167" w14:textId="149F8071" w:rsidR="00AB73E0" w:rsidRPr="00A92995" w:rsidRDefault="003467F1" w:rsidP="00AB73E0">
      <w:pPr>
        <w:spacing w:line="360" w:lineRule="auto"/>
      </w:pPr>
      <w:r w:rsidRPr="00A92995">
        <w:lastRenderedPageBreak/>
        <w:tab/>
      </w:r>
      <w:r w:rsidR="00AB73E0" w:rsidRPr="00A92995">
        <w:t xml:space="preserve">I refer here to psychiatry as that branch of psychotherapeutic intervention which utilizes medical expertise and pharmacological treatment in dealing with disorders of the mind and behavior. I will not be examining psychological therapeutic intervention: the treatment conducted by therapists, counselors, social workers, or other licensed individuals. These two branches of psychotherapeutic treatment are both centrally concerned with restoring patient autonomy by addressing psychological illness, but they differ in approach as well as medical training. Psychiatrists are medical doctors who, upon completion of medical training, go on to specialize in psychiatric practice. Non-medical psychotherapeutic professionals such as psychotherapists and social-workers all require some training, but their treatment is not medical in nature and they are not licensed to prescribe any pharmacological or other medical treatment. It is not uncommon for a patient to be referred to one by the other, reflecting the complementary nature of treatment, but it is not always necessary for a patient to seek treatment from both. The conception of personal autonomy utilized in non-medical psychotherapeutic practice is more complex and specialized than the scope of this research is able to address. In the following research, I address psychiatric practice as it utilizes the same standardized conceptions of autonomy as other medical professions (those defined and outlined in professional medical codes), while remaining sensitive to some of the more abstract elements of </w:t>
      </w:r>
      <w:r w:rsidR="00255BB2" w:rsidRPr="00A92995">
        <w:t xml:space="preserve">personal </w:t>
      </w:r>
      <w:r w:rsidR="00AB73E0" w:rsidRPr="00A92995">
        <w:t>autonomy</w:t>
      </w:r>
      <w:r w:rsidR="00255BB2" w:rsidRPr="00A92995">
        <w:t xml:space="preserve"> as experienced by the patient</w:t>
      </w:r>
      <w:r w:rsidR="00AB73E0" w:rsidRPr="00A92995">
        <w:t>.</w:t>
      </w:r>
    </w:p>
    <w:p w14:paraId="34D8EDEC" w14:textId="42DE0762" w:rsidR="00AB73E0" w:rsidRPr="00A92995" w:rsidRDefault="003467F1" w:rsidP="00AB73E0">
      <w:pPr>
        <w:spacing w:line="360" w:lineRule="auto"/>
      </w:pPr>
      <w:r w:rsidRPr="00A92995">
        <w:tab/>
      </w:r>
      <w:r w:rsidR="00AB73E0" w:rsidRPr="00A92995">
        <w:t xml:space="preserve">I will explore an example of an illness whose symptoms do not prevent the patient from giving autonomous informed consent, but one that does threaten patient autonomy. By using this example, I hope to show that it is not simply the illness itself (be it physically or psychologically debilitating), nor blatant transgressions in the doctor-patient relationship that threaten patient autonomy in the clinical encounter. In fact, even in the absence of these threats, patients may experience undermined autonomy to an extent that prevents autonomous decision-making regarding treatment. Consider a patient experiencing various levels of psychological distress, manifesting in mood-swings, moderate depression, and depleted energy. The patient’s affected thoughts, imaginings, moods, and reasoning capabilities culminate in her experience of diminished autonomy, and that experience is in turn amplified by various social structures, which limit her willingness as well as her opportunities to seek support. When she eventually resolves to consult a psychiatrist, she is prepared for the kind of consultation she has previously experienced in private medical practices. She possesses the same expectations and </w:t>
      </w:r>
      <w:r w:rsidR="00AB73E0" w:rsidRPr="00A92995">
        <w:lastRenderedPageBreak/>
        <w:t xml:space="preserve">responsibilities as discussed earlier: the expectation that the physician will ask her questions about her symptoms, and her own responsibility to provide honest testimony of her experience. She is prepared to meet a physician she may not already know, a stranger with whom she must share the contents of her personal experiences – experiences of her own mind that she is not likely to understand yet -- and who is likely to examine her body in various ways. She might be capable of providing consent here, but the provision of legal and informed consent cannot itself eliminate such experiences of vulnerability. </w:t>
      </w:r>
    </w:p>
    <w:p w14:paraId="012C5958" w14:textId="77777777" w:rsidR="00AB73E0" w:rsidRPr="00A92995" w:rsidRDefault="00AB73E0" w:rsidP="003467F1">
      <w:pPr>
        <w:spacing w:line="360" w:lineRule="auto"/>
        <w:ind w:firstLine="720"/>
      </w:pPr>
      <w:r w:rsidRPr="00A92995">
        <w:t xml:space="preserve">Physicians might make an effort to make patients feel comfortable and safe during consultation. This is especially evident as the doctor-patient relationship evolves toward a conception of autonomy which is primarily influenced by liberal philosophical precepts, that is, one that respects the individual as autonomous consumer and bearer of rights. Despite the physician’s attempts to temper any intimidation the patient might experience, the inherent power differential in the clinical encounter remains a stark reminder to the patient that she is lacking control in some area of her life, evidenced by the fact that she requires the assistance of an expert. Although this scene as I have described it may apply to various clinical encounters, what makes the psychiatric encounter unique is that unlike a case of the flu, the symptoms which bring a patient into the psychiatrist’s office are not verifiable by physical examinations or blood tests. It is primarily the patient’s testimony that would allow the psychiatrist to make a clinical assessment. What makes the situation even more unique is that the patient is in a position where she might need to convince herself that her symptoms are clinically significant; that her testimony is honest; and that she cannot simply fix herself. Here we are uncovering layer upon layer of threats to patient autonomy that are neither attributable to the disease itself, nor to the physician-patient relationship, but which nonetheless affect the patient’s sense of autonomy to the extent that she may not feel capable of making an autonomous decision about treatment. </w:t>
      </w:r>
    </w:p>
    <w:p w14:paraId="5BF7BC80" w14:textId="4FD16E03" w:rsidR="00AB73E0" w:rsidRPr="00A92995" w:rsidRDefault="003467F1" w:rsidP="00AB73E0">
      <w:pPr>
        <w:spacing w:line="360" w:lineRule="auto"/>
      </w:pPr>
      <w:r w:rsidRPr="00A92995">
        <w:tab/>
      </w:r>
      <w:r w:rsidR="00AB73E0" w:rsidRPr="00A92995">
        <w:t xml:space="preserve">In many ways, it is easier to deal with the question of autonomy in psychiatric illness when a patient presents with symptoms such as hallucinations or delusions, which would impede patient autonomy, and arguably justify paternalistic intervention. Things become more difficult when dealing with cases of mental illness which do not present with such observable symptoms, and which rely on patient testimony for diagnosis. It is often judged that individuals with depression or anxiety are more autonomous than those with delusional disorder or paranoid schizophrenia. While it is not my intention to label any mental illness as more debilitating than </w:t>
      </w:r>
      <w:r w:rsidR="00AB73E0" w:rsidRPr="00A92995">
        <w:lastRenderedPageBreak/>
        <w:t xml:space="preserve">another, I do wish to draw attention to an oversight apparent in such judgments. I refer here to the tendency to overlook more subtle autonomy-undermining factors I address in this research, what we might call ‘epistemic lacunae’: the inability of patients to adequately express themselves, to convey accurate descriptions of their experiences, to trust their own testimony, or to trust that their experience is clinically significant. I argue that these autonomy-undermining influences are as significant to individual autonomy as the threat of illness or unwarranted paternalistic intervention. To remedy this, the doctor-patient relationship requires a more comprehensive understanding of the requirements for personal autonomy, and in turn, the theory of autonomy that is employed by medical ethical codes needs to be revised. My recommendation is to move away from the autonomy-contract model, which views autonomy as a feature of individual-as-atomistic-rational-consumer; and toward a more substantive approach of autonomy, which considers various invisible threats to patient autonomy. </w:t>
      </w:r>
    </w:p>
    <w:p w14:paraId="1708E612" w14:textId="136E9669" w:rsidR="00AB73E0" w:rsidRPr="00A92995" w:rsidRDefault="003467F1" w:rsidP="00AB73E0">
      <w:pPr>
        <w:spacing w:line="360" w:lineRule="auto"/>
      </w:pPr>
      <w:r w:rsidRPr="00A92995">
        <w:tab/>
      </w:r>
      <w:r w:rsidR="00255BB2" w:rsidRPr="00A92995">
        <w:t>My argument is organized as follows</w:t>
      </w:r>
      <w:r w:rsidR="00AB73E0" w:rsidRPr="00A92995">
        <w:t xml:space="preserve">. The first chapter will provide a general overview of medical ethics and standards of physician-patient relationships. I discuss the expectations of patients and physicians in the clinical </w:t>
      </w:r>
      <w:r w:rsidR="000F3378" w:rsidRPr="00A92995">
        <w:t>encounter and</w:t>
      </w:r>
      <w:r w:rsidR="00AB73E0" w:rsidRPr="00A92995">
        <w:t xml:space="preserve"> offer a parallel explanation of the </w:t>
      </w:r>
      <w:r w:rsidR="001778EB" w:rsidRPr="00A92995">
        <w:t>physician-patient</w:t>
      </w:r>
      <w:r w:rsidR="00AB73E0" w:rsidRPr="00A92995">
        <w:t xml:space="preserve"> relationship in psychiatric clinical encounters. I show how the standards of physician-patient relationships and the clinical encounter have evolved in response to our developing</w:t>
      </w:r>
      <w:r w:rsidR="00255BB2" w:rsidRPr="00A92995">
        <w:t xml:space="preserve"> conception of autonomy and the individual</w:t>
      </w:r>
      <w:r w:rsidR="00AB73E0" w:rsidRPr="00A92995">
        <w:t>, and how attempts to resolve issues with earlier models</w:t>
      </w:r>
      <w:r w:rsidR="003149EE" w:rsidRPr="00A92995">
        <w:t xml:space="preserve"> that</w:t>
      </w:r>
      <w:r w:rsidR="00AB73E0" w:rsidRPr="00A92995">
        <w:t xml:space="preserve"> have failed. My aim is to demonstrate the centrality of the concept of autonomy within the clinical encounter, including the effects of illness on patient autonomy, as well as the effects of the clinical encounter.</w:t>
      </w:r>
    </w:p>
    <w:p w14:paraId="321AE767" w14:textId="27253E0A" w:rsidR="003467F1" w:rsidRPr="00A92995" w:rsidRDefault="003467F1" w:rsidP="00AB73E0">
      <w:pPr>
        <w:spacing w:line="360" w:lineRule="auto"/>
      </w:pPr>
      <w:r w:rsidRPr="00A92995">
        <w:tab/>
      </w:r>
      <w:r w:rsidR="00AB73E0" w:rsidRPr="00A92995">
        <w:t xml:space="preserve">In the second chapter, I provide a more detailed overview of autonomy as a philosophical concept. I offer a chronological survey in which I demonstrate how later conceptions attempt to solve problems left by their predecessors. I show the divide between procedural and substantive theories of autonomy and how the latter offer a more suitable account of the necessary and sufficient conditions for personal autonomy. I combine elements of various substantive theories of autonomy to define the ideal conditions for patient autonomy. The resulting conception of autonomy, I argue, is most appropriate for agent’s today, and especially patients in the clinical encounter. </w:t>
      </w:r>
      <w:r w:rsidRPr="00A92995">
        <w:tab/>
      </w:r>
    </w:p>
    <w:p w14:paraId="6E17091D" w14:textId="17C66735" w:rsidR="00AB73E0" w:rsidRPr="00A92995" w:rsidRDefault="00AB73E0" w:rsidP="00FA64C0">
      <w:pPr>
        <w:spacing w:line="360" w:lineRule="auto"/>
        <w:ind w:firstLine="720"/>
      </w:pPr>
      <w:r w:rsidRPr="00A92995">
        <w:t xml:space="preserve">The third chapter illustrates my argument by means of a </w:t>
      </w:r>
      <w:r w:rsidR="00255BB2" w:rsidRPr="00A92995">
        <w:t>detailed example</w:t>
      </w:r>
      <w:r w:rsidRPr="00A92995">
        <w:t xml:space="preserve">. I provide an example of a woman diagnosed with Bipolar II, a mental illness which does not present with </w:t>
      </w:r>
      <w:r w:rsidRPr="00A92995">
        <w:lastRenderedPageBreak/>
        <w:t xml:space="preserve">obviously autonomy undermining features. </w:t>
      </w:r>
      <w:r w:rsidR="007E147B" w:rsidRPr="00A92995">
        <w:t>I consider</w:t>
      </w:r>
      <w:r w:rsidRPr="00A92995">
        <w:t xml:space="preserve"> a detailed account of her clinical encounter, including various other aspects of her experience such as self-insight, experience of symptoms within her particular culture and social environment, and the effects of her own self-regarding attitudes. I utilize this example to show that the predominant theories of autonomy, those which are usually procedural in nature, neglect key features that undermine autonomy. I show that if we understand personal autonomy as a relational concept, one that incorporates substantive content into its necessary and sufficient conditions, we will be able to provide patients with the tools to articulate their experience of undermined autonomy, and in turn become better equipped to restore and support patient autonomy. </w:t>
      </w:r>
    </w:p>
    <w:p w14:paraId="04C5A130" w14:textId="77777777" w:rsidR="00AB73E0" w:rsidRPr="00A92995" w:rsidRDefault="00AB73E0" w:rsidP="00AB73E0">
      <w:pPr>
        <w:spacing w:line="360" w:lineRule="auto"/>
      </w:pPr>
    </w:p>
    <w:p w14:paraId="3608CB83" w14:textId="0EA65A49" w:rsidR="00AB73E0" w:rsidRPr="004645C9" w:rsidRDefault="00AB73E0" w:rsidP="000C3662">
      <w:pPr>
        <w:pStyle w:val="Heading1"/>
      </w:pPr>
      <w:r w:rsidRPr="00A92995">
        <w:rPr>
          <w:sz w:val="24"/>
          <w:szCs w:val="24"/>
        </w:rPr>
        <w:br w:type="page"/>
      </w:r>
      <w:bookmarkStart w:id="3" w:name="_Toc505150506"/>
      <w:r w:rsidRPr="004645C9">
        <w:lastRenderedPageBreak/>
        <w:t>Chapter I:  Doctor-Patient Relationships and the Clinical Encounter</w:t>
      </w:r>
      <w:bookmarkEnd w:id="3"/>
    </w:p>
    <w:p w14:paraId="0A74242E" w14:textId="77777777" w:rsidR="00AB73E0" w:rsidRPr="00A92995" w:rsidRDefault="00AB73E0" w:rsidP="00AB73E0">
      <w:pPr>
        <w:spacing w:line="360" w:lineRule="auto"/>
      </w:pPr>
    </w:p>
    <w:p w14:paraId="249CA60B" w14:textId="317209A9" w:rsidR="00AB73E0" w:rsidRPr="00A92995" w:rsidRDefault="00AB73E0" w:rsidP="00275BC5">
      <w:pPr>
        <w:spacing w:line="360" w:lineRule="auto"/>
        <w:jc w:val="both"/>
      </w:pPr>
      <w:r w:rsidRPr="00A92995">
        <w:t>The doctor-patient relationship has had to adapt to increasing privatization and commodification of medical practice. This trend comes at a time in Western culture when the individual is conceived primarily as consumer and bearer of rights. An indirect effect of this is that doctor-patient relationships have come to closely resemble consumer-provider relationships, and clinical encounters begin to look more like business transactions. The resultant adaptations affect clinical encounters by undermining patient autonomy, revealing a problem inherent in the way that physicians understand individual autonomy. This is evident in the patient’s experience of vulnerability in the clinical encounter, which is not entirely accounted for in the standard model of the doctor-patient relationship. I argue that the failure to address patient vulnerability adequately amounts to a failure of respect for autonomy. I argue that this problem can be attributed to an outdated and simplistic account of autonomy that informs standards for doctor-patient relationships. In order to make this argument, I present a broad overview of the physician-patient relationship as it has evolved since medical ethics came to inform the clinical encounter.</w:t>
      </w:r>
    </w:p>
    <w:p w14:paraId="289AC9B7" w14:textId="77777777" w:rsidR="00AB73E0" w:rsidRPr="00A92995" w:rsidRDefault="00AB73E0" w:rsidP="00AB73E0"/>
    <w:p w14:paraId="55394387" w14:textId="2C4E00E3" w:rsidR="00AB73E0" w:rsidRPr="00A92995" w:rsidRDefault="00AB73E0" w:rsidP="00360448">
      <w:pPr>
        <w:pStyle w:val="Heading2"/>
      </w:pPr>
      <w:bookmarkStart w:id="4" w:name="_Toc505150507"/>
      <w:r w:rsidRPr="00A92995">
        <w:t>Medical Paternalism</w:t>
      </w:r>
      <w:bookmarkEnd w:id="4"/>
    </w:p>
    <w:p w14:paraId="10E067EA" w14:textId="77777777" w:rsidR="00AB73E0" w:rsidRPr="00A92995" w:rsidRDefault="00AB73E0" w:rsidP="00AB73E0">
      <w:pPr>
        <w:pStyle w:val="ListParagraph"/>
        <w:spacing w:line="360" w:lineRule="auto"/>
        <w:ind w:left="0" w:right="-340"/>
        <w:rPr>
          <w:rFonts w:ascii="Times New Roman" w:hAnsi="Times New Roman" w:cs="Times New Roman"/>
        </w:rPr>
      </w:pPr>
    </w:p>
    <w:p w14:paraId="58B92F1D" w14:textId="24903EE3" w:rsidR="00AB73E0" w:rsidRPr="00A92995" w:rsidRDefault="00AB73E0" w:rsidP="00275BC5">
      <w:pPr>
        <w:spacing w:line="360" w:lineRule="auto"/>
        <w:ind w:right="-340"/>
      </w:pPr>
      <w:r w:rsidRPr="00A92995">
        <w:t xml:space="preserve">The elements of authority and trust that are fundamental to the physician-patient relationship are especially evident in the historically held attitude toward physician-patient relationship known as medical paternalism. This refers to the tendency of physicians to </w:t>
      </w:r>
      <w:r w:rsidR="007616D3" w:rsidRPr="00A92995">
        <w:t xml:space="preserve">act on a patient’s behalf when </w:t>
      </w:r>
      <w:r w:rsidRPr="00A92995">
        <w:t>administer</w:t>
      </w:r>
      <w:r w:rsidR="007616D3" w:rsidRPr="00A92995">
        <w:t>ing</w:t>
      </w:r>
      <w:r w:rsidRPr="00A92995">
        <w:t xml:space="preserve"> treatment and mak</w:t>
      </w:r>
      <w:r w:rsidR="007616D3" w:rsidRPr="00A92995">
        <w:t>ing</w:t>
      </w:r>
      <w:r w:rsidRPr="00A92995">
        <w:t xml:space="preserve"> medical decisions</w:t>
      </w:r>
      <w:r w:rsidR="007616D3" w:rsidRPr="00A92995">
        <w:t>.</w:t>
      </w:r>
      <w:r w:rsidRPr="00A92995">
        <w:t xml:space="preserve"> Despite potential infringement upon the patient’s autonomy, medical paternalism is often justified as being in the patient’s best interest. This attitude is evident in parts of the Hippocratic oath in which medical professionals vow to “follow that system of regimen which, according to </w:t>
      </w:r>
      <w:r w:rsidRPr="00A92995">
        <w:rPr>
          <w:i/>
        </w:rPr>
        <w:t xml:space="preserve">my </w:t>
      </w:r>
      <w:r w:rsidRPr="00A92995">
        <w:t>ability and judgment,</w:t>
      </w:r>
      <w:r w:rsidRPr="00A92995">
        <w:rPr>
          <w:i/>
        </w:rPr>
        <w:t xml:space="preserve"> I</w:t>
      </w:r>
      <w:r w:rsidRPr="00A92995">
        <w:t xml:space="preserve"> consider for the benefit of my patients…into whatever houses I enter…”</w:t>
      </w:r>
      <w:r w:rsidRPr="00A92995">
        <w:rPr>
          <w:rStyle w:val="FootnoteReference"/>
          <w:sz w:val="24"/>
        </w:rPr>
        <w:footnoteReference w:id="1"/>
      </w:r>
      <w:r w:rsidRPr="00A92995">
        <w:t xml:space="preserve"> </w:t>
      </w:r>
    </w:p>
    <w:p w14:paraId="53514C44" w14:textId="03A837B4" w:rsidR="00AB73E0" w:rsidRPr="00A92995" w:rsidRDefault="00AB73E0" w:rsidP="003467F1">
      <w:pPr>
        <w:spacing w:line="360" w:lineRule="auto"/>
        <w:ind w:right="-340" w:firstLine="720"/>
      </w:pPr>
      <w:r w:rsidRPr="00A92995">
        <w:t>Over the years many philosophers, lawyers</w:t>
      </w:r>
      <w:r w:rsidR="00255BB2" w:rsidRPr="00A92995">
        <w:t>,</w:t>
      </w:r>
      <w:r w:rsidRPr="00A92995">
        <w:t xml:space="preserve"> and physicians have disavowed th</w:t>
      </w:r>
      <w:r w:rsidR="00794B20" w:rsidRPr="00A92995">
        <w:t xml:space="preserve">is </w:t>
      </w:r>
      <w:r w:rsidRPr="00A92995">
        <w:t xml:space="preserve">attitude in favor of the principle of respect for autonomy. Although paternalism is largely frowned upon in modern medical ethics, there are still many who support paternalistic intervention based on </w:t>
      </w:r>
      <w:r w:rsidR="00794B20" w:rsidRPr="00A92995">
        <w:t xml:space="preserve">the </w:t>
      </w:r>
      <w:r w:rsidR="00794B20" w:rsidRPr="00A92995">
        <w:lastRenderedPageBreak/>
        <w:t xml:space="preserve">notions of </w:t>
      </w:r>
      <w:r w:rsidRPr="00A92995">
        <w:t>patient incompetence and so-called ‘best-interests’</w:t>
      </w:r>
      <w:r w:rsidR="00794B20" w:rsidRPr="00A92995">
        <w:t xml:space="preserve"> of the patient</w:t>
      </w:r>
      <w:r w:rsidRPr="00A92995">
        <w:t>. The central difference between supporters and opponents of paternalism is how each party views the issue of competence and capacity to make choices regarding treatment. Advocates of paternalistic intervention employ examples of patients suffering from illnesses which severely limit their autonomy, where patients are deemed incapable of making decisions in their own best interests, and physicians assume the responsibility for making those decisions on their behalf. For example, one might argue that it is a physician’s responsibility to save the life of an individual who has attempted suicide, despite the patient</w:t>
      </w:r>
      <w:r w:rsidR="00BF5CC5" w:rsidRPr="00A92995">
        <w:t>’</w:t>
      </w:r>
      <w:r w:rsidRPr="00A92995">
        <w:t xml:space="preserve">s desire to die. Supporters of paternalism would suggest that this person is not autonomous enough to make a decision in her own best interest. On the other hand, opponents would argue that we should focus on the cases of those patients who are actually capable of acting in their best interests, but who have been previously prevented </w:t>
      </w:r>
      <w:r w:rsidR="00BF5CC5" w:rsidRPr="00A92995">
        <w:t>from</w:t>
      </w:r>
      <w:r w:rsidRPr="00A92995">
        <w:t xml:space="preserve"> doing so because of paternalistic notions of doctor-knowing-best. This is best illustrated by those patients who exercise their right to refuse treatment, often in spite of dangerous or even fatal consequences of doing so. </w:t>
      </w:r>
      <w:r w:rsidRPr="00A92995">
        <w:rPr>
          <w:rStyle w:val="FootnoteReference"/>
          <w:sz w:val="24"/>
        </w:rPr>
        <w:footnoteReference w:id="2"/>
      </w:r>
      <w:r w:rsidRPr="00A92995">
        <w:t xml:space="preserve">  The core issue in the controversy is how to understand and assess the level of patient autonomy, which, in current bioethical standards, refers to the extent to which patients are capable of understanding and reasoning; and their capacity for voluntary action and decision</w:t>
      </w:r>
      <w:r w:rsidR="00255BB2" w:rsidRPr="00A92995">
        <w:t>-</w:t>
      </w:r>
      <w:r w:rsidRPr="00A92995">
        <w:t>making.</w:t>
      </w:r>
      <w:r w:rsidRPr="00A92995">
        <w:rPr>
          <w:rStyle w:val="FootnoteReference"/>
          <w:sz w:val="24"/>
        </w:rPr>
        <w:footnoteReference w:id="3"/>
      </w:r>
      <w:r w:rsidRPr="00A92995">
        <w:t xml:space="preserve"> Opponents </w:t>
      </w:r>
      <w:r w:rsidR="00255BB2" w:rsidRPr="00A92995">
        <w:t xml:space="preserve">of paternalism </w:t>
      </w:r>
      <w:r w:rsidRPr="00A92995">
        <w:t xml:space="preserve">have also shown that </w:t>
      </w:r>
      <w:r w:rsidR="00255BB2" w:rsidRPr="00A92995">
        <w:t xml:space="preserve">paternalistic attitudes do </w:t>
      </w:r>
      <w:r w:rsidRPr="00A92995">
        <w:t>not consist only in the authoritative command of the physician, but that</w:t>
      </w:r>
      <w:r w:rsidR="003B5162" w:rsidRPr="00A92995">
        <w:t xml:space="preserve"> </w:t>
      </w:r>
      <w:r w:rsidR="00255BB2" w:rsidRPr="00A92995">
        <w:t>it</w:t>
      </w:r>
      <w:r w:rsidRPr="00A92995">
        <w:t xml:space="preserve"> persists in some doctor-patient relationships by way of breached confidentiality, invasions of privacy, and various degrees of coercion. Some commentators suggest that physicians tend to shape</w:t>
      </w:r>
      <w:r w:rsidR="00361212" w:rsidRPr="00A92995">
        <w:t xml:space="preserve"> the</w:t>
      </w:r>
      <w:r w:rsidRPr="00A92995">
        <w:t xml:space="preserve"> dialogue with the</w:t>
      </w:r>
      <w:r w:rsidR="00361212" w:rsidRPr="00A92995">
        <w:t>ir</w:t>
      </w:r>
      <w:r w:rsidRPr="00A92995">
        <w:t xml:space="preserve"> patient</w:t>
      </w:r>
      <w:r w:rsidR="00361212" w:rsidRPr="00A92995">
        <w:t>s</w:t>
      </w:r>
      <w:r w:rsidRPr="00A92995">
        <w:t xml:space="preserve"> in a way that frames the physicians’ proposed treatments in a more favorable light, so as to encourage patient</w:t>
      </w:r>
      <w:r w:rsidR="00361212" w:rsidRPr="00A92995">
        <w:t>s</w:t>
      </w:r>
      <w:r w:rsidRPr="00A92995">
        <w:t xml:space="preserve"> to follow the</w:t>
      </w:r>
      <w:r w:rsidR="00361212" w:rsidRPr="00A92995">
        <w:t>ir</w:t>
      </w:r>
      <w:r w:rsidRPr="00A92995">
        <w:t xml:space="preserve"> physicians</w:t>
      </w:r>
      <w:r w:rsidR="000D16AC" w:rsidRPr="00A92995">
        <w:t>’</w:t>
      </w:r>
      <w:r w:rsidRPr="00A92995">
        <w:t xml:space="preserve"> preferred treatment. Jay Katz, in his discussion of doctor-patient communication, </w:t>
      </w:r>
      <w:r w:rsidR="00B00183" w:rsidRPr="00A92995">
        <w:t>and</w:t>
      </w:r>
      <w:r w:rsidRPr="00A92995">
        <w:t xml:space="preserve"> how doctors perceive their communicative responsibilities:</w:t>
      </w:r>
    </w:p>
    <w:p w14:paraId="70E7B9A5" w14:textId="77777777" w:rsidR="00AB73E0" w:rsidRPr="00A92995" w:rsidRDefault="00AB73E0" w:rsidP="00AB73E0">
      <w:pPr>
        <w:ind w:right="-340"/>
      </w:pPr>
    </w:p>
    <w:p w14:paraId="04C9F332" w14:textId="77777777" w:rsidR="00AB73E0" w:rsidRPr="00A92995" w:rsidRDefault="00AB73E0" w:rsidP="00AB73E0">
      <w:pPr>
        <w:ind w:left="720" w:right="-340"/>
        <w:jc w:val="both"/>
      </w:pPr>
      <w:r w:rsidRPr="00A92995">
        <w:t xml:space="preserve">Since the promulgation of the informed consent doctrine in 1957, physicians have of necessity become more aware of their new obligation to talk with patients about recommended treatments. Yet, by and large, any disclosures have been limited to informing patients about the risks and benefits of </w:t>
      </w:r>
      <w:r w:rsidRPr="00A92995">
        <w:rPr>
          <w:i/>
        </w:rPr>
        <w:t xml:space="preserve">proposed </w:t>
      </w:r>
      <w:r w:rsidRPr="00A92995">
        <w:t>treatments, not about alternatives, and surely not about the certainties and uncertainties inherent in most treatment options.</w:t>
      </w:r>
      <w:r w:rsidRPr="00A92995">
        <w:rPr>
          <w:rStyle w:val="FootnoteReference"/>
          <w:sz w:val="24"/>
        </w:rPr>
        <w:footnoteReference w:id="4"/>
      </w:r>
      <w:r w:rsidRPr="00A92995">
        <w:t xml:space="preserve"> </w:t>
      </w:r>
    </w:p>
    <w:p w14:paraId="52836934" w14:textId="77777777" w:rsidR="00AB73E0" w:rsidRPr="00A92995" w:rsidRDefault="00AB73E0" w:rsidP="00AB73E0">
      <w:pPr>
        <w:ind w:right="-340"/>
        <w:jc w:val="both"/>
      </w:pPr>
    </w:p>
    <w:p w14:paraId="1667D7E5" w14:textId="77777777" w:rsidR="00AB73E0" w:rsidRPr="00A92995" w:rsidRDefault="00AB73E0" w:rsidP="00AB73E0">
      <w:pPr>
        <w:ind w:right="-340"/>
      </w:pPr>
    </w:p>
    <w:p w14:paraId="20C22D09" w14:textId="15B89DBE" w:rsidR="00AB73E0" w:rsidRPr="00A92995" w:rsidRDefault="00AB73E0" w:rsidP="009D16B8">
      <w:pPr>
        <w:spacing w:line="360" w:lineRule="auto"/>
        <w:ind w:right="-340" w:firstLine="720"/>
      </w:pPr>
      <w:r w:rsidRPr="00A92995">
        <w:t>This passage reminds us that despite the general dismissal of paternalism in the medical community, physicians’ actions may still follow a trend of paternalistic treatment, especially regarding the process of disclosure. Supporters of paternalistic intervention argue not only that it is ethically permissible but that it is often necessary to withhold relevant medical information from patients. Most of these arguments rely on the concepts of patient capacity, and patient</w:t>
      </w:r>
      <w:r w:rsidR="00C56BCE" w:rsidRPr="00A92995">
        <w:t xml:space="preserve">s’ </w:t>
      </w:r>
      <w:r w:rsidRPr="00A92995">
        <w:t xml:space="preserve">best interests. I elaborate on these concepts below. </w:t>
      </w:r>
    </w:p>
    <w:p w14:paraId="0AFB60A6" w14:textId="73217A41" w:rsidR="00E94321" w:rsidRPr="00A92995" w:rsidRDefault="00AB73E0" w:rsidP="003467F1">
      <w:pPr>
        <w:spacing w:line="360" w:lineRule="auto"/>
        <w:ind w:right="-340" w:firstLine="720"/>
      </w:pPr>
      <w:r w:rsidRPr="00A92995">
        <w:t xml:space="preserve">While the definition of ‘capacity’ is a contentious issue in autonomy debates and especially in medical and psychotherapeutic settings, most commentators advocate for some common elements: the ability to receive and understand information relevant to the decision they face; the ability to rationally reflect on the implications of their decisions; the ability to clearly communicate their choices; and the ability to follow through with whatever decision they might deem a reasonable means to furthering their personal goals and values. The MacArthur Competence Assessment Tool-Treatment (MacCAT- T) is a tool that has been developed to determine patient capacity to make treatment decisions. The MacCat-T examines 4 main elements: </w:t>
      </w:r>
    </w:p>
    <w:p w14:paraId="665C0FD0" w14:textId="77777777" w:rsidR="0079061C" w:rsidRPr="00A92995" w:rsidRDefault="0079061C" w:rsidP="003467F1">
      <w:pPr>
        <w:spacing w:line="360" w:lineRule="auto"/>
        <w:ind w:right="-340" w:firstLine="720"/>
      </w:pPr>
    </w:p>
    <w:p w14:paraId="54467A93" w14:textId="27FE7BBC" w:rsidR="00AB73E0" w:rsidRPr="00A92995" w:rsidRDefault="00AB73E0" w:rsidP="0079061C">
      <w:pPr>
        <w:spacing w:line="360" w:lineRule="auto"/>
        <w:ind w:left="720" w:right="-340"/>
        <w:jc w:val="both"/>
      </w:pPr>
      <w:r w:rsidRPr="00A92995">
        <w:t xml:space="preserve">(1)  ‘Understanding,’  the patient’s ability to understand the nature of the disorder and of the benefits and risks associated with treatment; (2) ‘appreciation’, the ability of the patient to appreciate that the disorder is one that the patient has and that the treatment would be of possible benefit to the patient; (3) the ‘ability to reason’ with the information, to generate consequences of having or not having the treatment and to think about their influence on everyday activities; and (4) the ability to make a choice. These elements parallel the criteria in the </w:t>
      </w:r>
      <w:r w:rsidR="00B00183" w:rsidRPr="00A92995">
        <w:t xml:space="preserve">[UK] </w:t>
      </w:r>
      <w:r w:rsidRPr="00A92995">
        <w:t>Mental Capacity Act (MCA) of 2005.</w:t>
      </w:r>
      <w:r w:rsidRPr="00A92995">
        <w:rPr>
          <w:rStyle w:val="FootnoteReference"/>
          <w:sz w:val="24"/>
        </w:rPr>
        <w:footnoteReference w:id="5"/>
      </w:r>
    </w:p>
    <w:p w14:paraId="2C9A63D6" w14:textId="77777777" w:rsidR="00E94321" w:rsidRPr="00A92995" w:rsidRDefault="00E94321" w:rsidP="00B00183">
      <w:pPr>
        <w:spacing w:line="360" w:lineRule="auto"/>
        <w:ind w:left="720" w:right="-340"/>
      </w:pPr>
    </w:p>
    <w:p w14:paraId="5F307071" w14:textId="7715011F" w:rsidR="00AB73E0" w:rsidRPr="00A92995" w:rsidRDefault="003467F1" w:rsidP="00AB73E0">
      <w:pPr>
        <w:widowControl w:val="0"/>
        <w:autoSpaceDE w:val="0"/>
        <w:autoSpaceDN w:val="0"/>
        <w:adjustRightInd w:val="0"/>
        <w:spacing w:after="240" w:line="360" w:lineRule="auto"/>
        <w:ind w:right="-336"/>
      </w:pPr>
      <w:r w:rsidRPr="00A92995">
        <w:tab/>
      </w:r>
      <w:r w:rsidR="00AB73E0" w:rsidRPr="00A92995">
        <w:t xml:space="preserve">The notion of ‘best interests’ is an extension of the bioethical principle of beneficence which requires physicians to act in ways which promotes the health of their patients. The difficulty here lies not only in ascertaining what is in the best interest of an individual patient, but also who can be trusted to execute their best interests if they lack the competency to make treatment decisions for themselves. In some instances, advanced care directives are drawn up by the patient, which would </w:t>
      </w:r>
      <w:r w:rsidR="00AB73E0" w:rsidRPr="00A92995">
        <w:lastRenderedPageBreak/>
        <w:t>guide decision</w:t>
      </w:r>
      <w:r w:rsidR="00B00183" w:rsidRPr="00A92995">
        <w:t>-</w:t>
      </w:r>
      <w:r w:rsidR="00AB73E0" w:rsidRPr="00A92995">
        <w:t>making. In the absence of such directives, and unless a proxy has been assigned to make such decisions on the patient’s behalf, the responsibility falls upon the attending physician to make necessary treatment decisions. This is especially important in emergency medicine. A good summary of what may be considered in the best interests of a patient can be found in the UK Mental Capacity act, which incorporates a checklist proposed by the Law Commission. Where the physician must determine the best interests of his patient, “h</w:t>
      </w:r>
      <w:r w:rsidR="00AB73E0" w:rsidRPr="00A92995">
        <w:rPr>
          <w:color w:val="000000"/>
        </w:rPr>
        <w:t xml:space="preserve">e must consider, so far as is reasonably ascertainable: </w:t>
      </w:r>
    </w:p>
    <w:p w14:paraId="605688B3" w14:textId="6C52D0E6" w:rsidR="00AB73E0" w:rsidRPr="00A92995" w:rsidRDefault="00AB73E0" w:rsidP="00AB73E0">
      <w:pPr>
        <w:widowControl w:val="0"/>
        <w:autoSpaceDE w:val="0"/>
        <w:autoSpaceDN w:val="0"/>
        <w:adjustRightInd w:val="0"/>
        <w:spacing w:after="240"/>
        <w:ind w:left="720" w:right="-340"/>
        <w:jc w:val="both"/>
      </w:pPr>
      <w:r w:rsidRPr="00A92995">
        <w:rPr>
          <w:color w:val="000000"/>
        </w:rPr>
        <w:t xml:space="preserve">(a)  the person’s past and present wishes and feelings (and, in particular, any relevant written statement made by him when he had capacity), </w:t>
      </w:r>
    </w:p>
    <w:p w14:paraId="72C71936" w14:textId="77777777" w:rsidR="00AB73E0" w:rsidRPr="00A92995" w:rsidRDefault="00AB73E0" w:rsidP="00AB73E0">
      <w:pPr>
        <w:widowControl w:val="0"/>
        <w:autoSpaceDE w:val="0"/>
        <w:autoSpaceDN w:val="0"/>
        <w:adjustRightInd w:val="0"/>
        <w:spacing w:after="240"/>
        <w:ind w:left="720" w:right="-340"/>
        <w:jc w:val="both"/>
        <w:rPr>
          <w:color w:val="000000"/>
        </w:rPr>
      </w:pPr>
      <w:r w:rsidRPr="00A92995">
        <w:rPr>
          <w:color w:val="000000"/>
        </w:rPr>
        <w:t xml:space="preserve">(b)  the beliefs and values that would be likely to influence his decision if he had capacity, and </w:t>
      </w:r>
    </w:p>
    <w:p w14:paraId="5221D2D6" w14:textId="74D796AB" w:rsidR="00AB73E0" w:rsidRPr="00A92995" w:rsidRDefault="00AB73E0" w:rsidP="006561F7">
      <w:pPr>
        <w:widowControl w:val="0"/>
        <w:autoSpaceDE w:val="0"/>
        <w:autoSpaceDN w:val="0"/>
        <w:adjustRightInd w:val="0"/>
        <w:spacing w:after="240"/>
        <w:ind w:left="720" w:right="-340"/>
        <w:jc w:val="both"/>
        <w:rPr>
          <w:color w:val="000000"/>
        </w:rPr>
      </w:pPr>
      <w:r w:rsidRPr="00A92995">
        <w:rPr>
          <w:color w:val="000000"/>
        </w:rPr>
        <w:t>(c)  the other factors that he would be likely to consider if he were able to do so.”</w:t>
      </w:r>
      <w:r w:rsidRPr="00A92995">
        <w:rPr>
          <w:rStyle w:val="FootnoteReference"/>
          <w:color w:val="000000"/>
          <w:sz w:val="24"/>
        </w:rPr>
        <w:footnoteReference w:id="6"/>
      </w:r>
    </w:p>
    <w:p w14:paraId="0DBC24D8" w14:textId="77777777" w:rsidR="0079061C" w:rsidRPr="00A92995" w:rsidRDefault="0079061C" w:rsidP="006561F7">
      <w:pPr>
        <w:widowControl w:val="0"/>
        <w:autoSpaceDE w:val="0"/>
        <w:autoSpaceDN w:val="0"/>
        <w:adjustRightInd w:val="0"/>
        <w:spacing w:after="240"/>
        <w:ind w:left="720" w:right="-340"/>
        <w:jc w:val="both"/>
        <w:rPr>
          <w:color w:val="000000"/>
        </w:rPr>
      </w:pPr>
    </w:p>
    <w:p w14:paraId="5DB603A4" w14:textId="3416F747" w:rsidR="008203B8" w:rsidRPr="00A92995" w:rsidRDefault="00AB73E0" w:rsidP="008203B8">
      <w:pPr>
        <w:widowControl w:val="0"/>
        <w:autoSpaceDE w:val="0"/>
        <w:autoSpaceDN w:val="0"/>
        <w:adjustRightInd w:val="0"/>
        <w:spacing w:after="240" w:line="360" w:lineRule="auto"/>
        <w:ind w:right="-340" w:firstLine="720"/>
        <w:contextualSpacing/>
        <w:rPr>
          <w:color w:val="000000"/>
        </w:rPr>
      </w:pPr>
      <w:r w:rsidRPr="00A92995">
        <w:rPr>
          <w:color w:val="000000"/>
        </w:rPr>
        <w:t xml:space="preserve">The above information is taken directly from active legal and medical ethical codes concerning physician-patient </w:t>
      </w:r>
      <w:r w:rsidR="00C47FBF" w:rsidRPr="00A92995">
        <w:rPr>
          <w:color w:val="000000"/>
        </w:rPr>
        <w:t>relationships and</w:t>
      </w:r>
      <w:r w:rsidRPr="00A92995">
        <w:rPr>
          <w:color w:val="000000"/>
        </w:rPr>
        <w:t xml:space="preserve"> gives us a clear indication of the fact that respect for autonomy remains the primary goal for medical treatment. </w:t>
      </w:r>
    </w:p>
    <w:p w14:paraId="76A23FB2" w14:textId="3B8DE960" w:rsidR="00AB73E0" w:rsidRPr="00A92995" w:rsidRDefault="00AB73E0" w:rsidP="008203B8">
      <w:pPr>
        <w:widowControl w:val="0"/>
        <w:autoSpaceDE w:val="0"/>
        <w:autoSpaceDN w:val="0"/>
        <w:adjustRightInd w:val="0"/>
        <w:spacing w:after="240" w:line="360" w:lineRule="auto"/>
        <w:ind w:right="-340" w:firstLine="720"/>
        <w:contextualSpacing/>
        <w:rPr>
          <w:color w:val="000000"/>
        </w:rPr>
      </w:pPr>
      <w:r w:rsidRPr="00A92995">
        <w:rPr>
          <w:color w:val="000000"/>
        </w:rPr>
        <w:t xml:space="preserve">The criteria for competence and for best-interests give us a clearer idea of the conception of autonomy operative in the medical context. It is a conception which is founded on a liberal ethic, maintaining that individual autonomy consists in an agent’s capacity to make decisions and act according to her rational capacities, and to do so free of interference. Further, it suggests that so long as an agent is employing various rational and deliberative processes, they and their decisions can be counted as autonomous. In chapter 2 I elaborate on this conception of autonomy and others like it, namely, procedural accounts of autonomy. These accounts stress that what counts for autonomy is the process by which an agent arrives at her decisions, and if she acts in accordance with decisions that have been arrived at in the right kind of way. </w:t>
      </w:r>
    </w:p>
    <w:p w14:paraId="49727557" w14:textId="78320305" w:rsidR="00AB73E0" w:rsidRPr="00A92995" w:rsidRDefault="00AB73E0" w:rsidP="00360448">
      <w:pPr>
        <w:pStyle w:val="Heading2"/>
      </w:pPr>
      <w:bookmarkStart w:id="5" w:name="_Toc505150508"/>
      <w:r w:rsidRPr="00A92995">
        <w:t>The Therapeutic Relationship</w:t>
      </w:r>
      <w:bookmarkEnd w:id="5"/>
    </w:p>
    <w:p w14:paraId="470C772D" w14:textId="77777777" w:rsidR="00AB73E0" w:rsidRPr="00A92995" w:rsidRDefault="00AB73E0" w:rsidP="00AB73E0">
      <w:pPr>
        <w:ind w:right="-340"/>
      </w:pPr>
    </w:p>
    <w:p w14:paraId="4444DAC1" w14:textId="57B7DD47" w:rsidR="00AB73E0" w:rsidRPr="00A92995" w:rsidRDefault="00AB73E0" w:rsidP="00AB73E0">
      <w:pPr>
        <w:spacing w:line="360" w:lineRule="auto"/>
        <w:ind w:right="-340"/>
      </w:pPr>
      <w:r w:rsidRPr="00A92995">
        <w:t xml:space="preserve">Problems with paternalism aside, we must acknowledge the authority of the physician not only as characteristic of the doctor-patient relationship but indeed the very reason we ask for their help. </w:t>
      </w:r>
      <w:r w:rsidRPr="00A92995">
        <w:lastRenderedPageBreak/>
        <w:t>When a patient enters the physician’s office, it is always the physician who holds authority. “In its purest sense [authority] refers to an individual who is a specialist in his or her field and is entitled to credit or acceptance on this basis; in another sense, it refers to power that requires submission.”</w:t>
      </w:r>
      <w:r w:rsidRPr="00A92995">
        <w:rPr>
          <w:rStyle w:val="FootnoteReference"/>
          <w:sz w:val="24"/>
        </w:rPr>
        <w:footnoteReference w:id="7"/>
      </w:r>
      <w:r w:rsidRPr="00A92995">
        <w:t xml:space="preserve"> The physician is able to provide the patient with knowledge and skills that the patient would not otherwise have access to. Despite the attempts of philosophers, lawyers, and bioethicists to formulate adequate ethical frameworks in response to medical paternalism, it is not uncommon for patients to enter the medical environment feeling the fear, uncertainty, and need for support that is so characteristic of childhood. It is also, thus, not uncommon for physicians to adopt a parental role of authority in this exchange. However, treating the patient as a child is a key attribute of medical paternalism. </w:t>
      </w:r>
      <w:r w:rsidR="004362E4" w:rsidRPr="00A92995">
        <w:t>As Katz writes,</w:t>
      </w:r>
    </w:p>
    <w:p w14:paraId="2088FD0D" w14:textId="77777777" w:rsidR="00AB73E0" w:rsidRPr="00A92995" w:rsidRDefault="00AB73E0" w:rsidP="00AB73E0">
      <w:pPr>
        <w:ind w:right="-340"/>
      </w:pPr>
    </w:p>
    <w:p w14:paraId="42609485" w14:textId="5D2F578B" w:rsidR="00AB73E0" w:rsidRPr="00A92995" w:rsidRDefault="00AB73E0" w:rsidP="00AB73E0">
      <w:pPr>
        <w:ind w:left="720" w:right="-340"/>
        <w:jc w:val="both"/>
      </w:pPr>
      <w:r w:rsidRPr="00A92995">
        <w:t>…patients bring to their encounters with doctors</w:t>
      </w:r>
      <w:r w:rsidR="00FE3C6E" w:rsidRPr="00A92995">
        <w:t>,</w:t>
      </w:r>
      <w:r w:rsidRPr="00A92995">
        <w:t xml:space="preserve"> expectations derived from subsequent stages of development: to be trusted and to trust themselves, to be allowed to stand on their own feet and not to have their dependence exploited, to be talked to and listened to, to be treated as equals and not to be ruled, to have their life style treated with respect, and to be allowed to live life in their own self-willed ways. These inherent expectations oppose the regressive pull. They often do not surface – particularly in the heady first encounters with physicians, when doctors’ promises can stimulate magical hopes of finally having met the perfect caretaker.</w:t>
      </w:r>
      <w:r w:rsidRPr="00A92995">
        <w:rPr>
          <w:rStyle w:val="FootnoteReference"/>
          <w:sz w:val="24"/>
        </w:rPr>
        <w:footnoteReference w:id="8"/>
      </w:r>
      <w:r w:rsidRPr="00A92995">
        <w:t xml:space="preserve"> </w:t>
      </w:r>
    </w:p>
    <w:p w14:paraId="0E2E8005" w14:textId="77777777" w:rsidR="00AB73E0" w:rsidRPr="00A92995" w:rsidRDefault="00AB73E0" w:rsidP="00AB73E0">
      <w:pPr>
        <w:ind w:right="-340"/>
      </w:pPr>
    </w:p>
    <w:p w14:paraId="28F20128" w14:textId="6A66D20B" w:rsidR="00AB73E0" w:rsidRPr="00A92995" w:rsidRDefault="00AB73E0" w:rsidP="008203B8">
      <w:pPr>
        <w:spacing w:line="360" w:lineRule="auto"/>
        <w:ind w:right="-340" w:firstLine="720"/>
      </w:pPr>
      <w:r w:rsidRPr="00A92995">
        <w:t>One particularly subtle way that physicians exercise their authority, knowingly or not, is by shaping medical recommendations to reflect what the physician believes is most appropriate. Katz observes that “treatment decisions involve a combination of medical, emotional, aesthetic, religious, philosophical, social, interpersonal, and personal value judgments. Just as patients bring different values to bear on their ultimate choice, so do physicians.”</w:t>
      </w:r>
      <w:r w:rsidRPr="00A92995">
        <w:rPr>
          <w:rStyle w:val="FootnoteReference"/>
          <w:sz w:val="24"/>
        </w:rPr>
        <w:footnoteReference w:id="9"/>
      </w:r>
      <w:r w:rsidRPr="00A92995">
        <w:t xml:space="preserve"> These values may consciously or unconsciously affect the physician</w:t>
      </w:r>
      <w:r w:rsidR="0037181D" w:rsidRPr="00A92995">
        <w:t>s</w:t>
      </w:r>
      <w:r w:rsidRPr="00A92995">
        <w:t>’ recommendations and what they deem in the best interests of the patient.</w:t>
      </w:r>
      <w:r w:rsidRPr="00A92995">
        <w:rPr>
          <w:rStyle w:val="FootnoteReference"/>
          <w:sz w:val="24"/>
        </w:rPr>
        <w:footnoteReference w:id="10"/>
      </w:r>
      <w:r w:rsidRPr="00A92995">
        <w:t xml:space="preserve"> Of course, although both parties bring their own values, needs, wishes and priorities to the clinical encounter, the authority of the physician cannot be underestimated. </w:t>
      </w:r>
    </w:p>
    <w:p w14:paraId="49427788" w14:textId="512DDECC" w:rsidR="00AB73E0" w:rsidRPr="00A92995" w:rsidRDefault="003467F1" w:rsidP="00AB73E0">
      <w:pPr>
        <w:spacing w:line="360" w:lineRule="auto"/>
        <w:ind w:right="-340"/>
      </w:pPr>
      <w:r w:rsidRPr="00A92995">
        <w:lastRenderedPageBreak/>
        <w:tab/>
      </w:r>
      <w:r w:rsidR="00AB73E0" w:rsidRPr="00A92995">
        <w:t>Another essential consideration</w:t>
      </w:r>
      <w:r w:rsidR="00D75FB7" w:rsidRPr="00A92995">
        <w:t xml:space="preserve"> </w:t>
      </w:r>
      <w:r w:rsidR="004362E4" w:rsidRPr="00A92995">
        <w:t>for understanding and defining the therapeutic relationship</w:t>
      </w:r>
      <w:r w:rsidR="00AB73E0" w:rsidRPr="00A92995">
        <w:t xml:space="preserve"> is the patient’s personal experience of the therapeutic encounter. As George Szmukler suggests in his discussion of treatment pressures and coercion, the lines between persuasion, coercion and leverage are not particularly clear in the clinical encounter. “‘Interpersonal leverage’ may be exercised through the patient’s emotional dependency…she may want to please someone who has proved helpful. There may be a vague threat of something valuable being lost, for example, the key professional’s support.”</w:t>
      </w:r>
      <w:r w:rsidR="00AB73E0" w:rsidRPr="00A92995">
        <w:rPr>
          <w:rStyle w:val="FootnoteReference"/>
          <w:sz w:val="24"/>
        </w:rPr>
        <w:footnoteReference w:id="11"/>
      </w:r>
      <w:r w:rsidR="00AB73E0" w:rsidRPr="00A92995">
        <w:t xml:space="preserve"> These are not far-fetched consequences of the power imbalances in </w:t>
      </w:r>
      <w:r w:rsidR="007D447C" w:rsidRPr="00A92995">
        <w:t xml:space="preserve">the </w:t>
      </w:r>
      <w:r w:rsidR="00AB73E0" w:rsidRPr="00A92995">
        <w:t>doctor</w:t>
      </w:r>
      <w:r w:rsidR="007D447C" w:rsidRPr="00A92995">
        <w:t>-</w:t>
      </w:r>
      <w:r w:rsidR="00AB73E0" w:rsidRPr="00A92995">
        <w:t xml:space="preserve">patient relationship, and they affect every patient </w:t>
      </w:r>
      <w:r w:rsidR="00932FF0" w:rsidRPr="00A92995">
        <w:t xml:space="preserve">who </w:t>
      </w:r>
      <w:r w:rsidR="00AB73E0" w:rsidRPr="00A92995">
        <w:t xml:space="preserve">enters into a clinical encounter – not only those who are deemed incapable of making autonomous decisions. </w:t>
      </w:r>
    </w:p>
    <w:p w14:paraId="47DABF31" w14:textId="7769FDEB" w:rsidR="00AB73E0" w:rsidRPr="00A92995" w:rsidRDefault="003467F1" w:rsidP="00AB73E0">
      <w:pPr>
        <w:spacing w:line="360" w:lineRule="auto"/>
      </w:pPr>
      <w:r w:rsidRPr="00A92995">
        <w:tab/>
      </w:r>
      <w:r w:rsidR="00AB73E0" w:rsidRPr="00A92995">
        <w:t xml:space="preserve">This authority and the power imbalances that result must be seriously considered when evaluating the strengths and weaknesses of authoritarian and egalitarian models of physician-patient relationships. This evaluation, as discussed by Toksoz. B. Karasu in </w:t>
      </w:r>
      <w:r w:rsidR="00AB73E0" w:rsidRPr="00A92995">
        <w:rPr>
          <w:i/>
        </w:rPr>
        <w:t xml:space="preserve">Applied Ethics in Mental Health Care, </w:t>
      </w:r>
      <w:r w:rsidR="00AB73E0" w:rsidRPr="00A92995">
        <w:t>must be made on the extent to which “the pervasive power of the therapeutic transference relationship, which offers the therapist a unique vehicle for exercising enormous influence over another human being is balanced by a true ‘therapeutic alliance’ or ‘therapeutic partnership’.”</w:t>
      </w:r>
      <w:r w:rsidR="00AB73E0" w:rsidRPr="00A92995">
        <w:rPr>
          <w:rStyle w:val="FootnoteReference"/>
          <w:sz w:val="24"/>
        </w:rPr>
        <w:footnoteReference w:id="12"/>
      </w:r>
      <w:r w:rsidR="00AB73E0" w:rsidRPr="00A92995">
        <w:t xml:space="preserve"> A true therapeutic alliance depends on improved and sustained dialogue between doctor and patient, and mutual trust that will develop in time. It is for this reason that the general fiduciary approach to the therapeutic relationship, wherein a patient puts his life and trust squarely in the hands of the physician, is being replaced by a contractual system, both in somatic medicine and in psychotherapeutic systems. Medical and psychotherapeutic services are both conducted on a contractual basis between patient and physician, and these contracts, which are binding for both parties, must be spelled out from the beginning. </w:t>
      </w:r>
      <w:r w:rsidR="004362E4" w:rsidRPr="00A92995">
        <w:t xml:space="preserve">It is in response to this requirement that </w:t>
      </w:r>
      <w:r w:rsidR="00967FA0" w:rsidRPr="00A92995">
        <w:t xml:space="preserve">the legal </w:t>
      </w:r>
      <w:r w:rsidR="004362E4" w:rsidRPr="00A92995">
        <w:t>doctr</w:t>
      </w:r>
      <w:r w:rsidR="00967FA0" w:rsidRPr="00A92995">
        <w:t xml:space="preserve">ine of informed consent emerged, and why it has come to dominate medical ethics. </w:t>
      </w:r>
    </w:p>
    <w:p w14:paraId="2DE59F22" w14:textId="77777777" w:rsidR="00AB73E0" w:rsidRPr="00A92995" w:rsidRDefault="00AB73E0" w:rsidP="00360448">
      <w:pPr>
        <w:pStyle w:val="Heading2"/>
      </w:pPr>
    </w:p>
    <w:p w14:paraId="5D169725" w14:textId="04F49004" w:rsidR="00AB73E0" w:rsidRPr="00A92995" w:rsidRDefault="00AB73E0" w:rsidP="006F7A80">
      <w:pPr>
        <w:pStyle w:val="Heading2"/>
      </w:pPr>
      <w:bookmarkStart w:id="6" w:name="_Toc505150509"/>
      <w:r w:rsidRPr="00A92995">
        <w:t>Informed Consent</w:t>
      </w:r>
      <w:bookmarkEnd w:id="6"/>
    </w:p>
    <w:p w14:paraId="46B13E55" w14:textId="77777777" w:rsidR="00AB73E0" w:rsidRPr="00A92995" w:rsidRDefault="00AB73E0" w:rsidP="00AB73E0"/>
    <w:p w14:paraId="51440985" w14:textId="3A0BAF18" w:rsidR="008203B8" w:rsidRPr="00A92995" w:rsidRDefault="00AB73E0" w:rsidP="001B7A6C">
      <w:pPr>
        <w:widowControl w:val="0"/>
        <w:autoSpaceDE w:val="0"/>
        <w:autoSpaceDN w:val="0"/>
        <w:adjustRightInd w:val="0"/>
        <w:spacing w:after="240" w:line="360" w:lineRule="auto"/>
        <w:ind w:right="-340"/>
        <w:contextualSpacing/>
        <w:rPr>
          <w:color w:val="000000"/>
        </w:rPr>
      </w:pPr>
      <w:r w:rsidRPr="00A92995">
        <w:t xml:space="preserve">The legal </w:t>
      </w:r>
      <w:r w:rsidR="00635E6D" w:rsidRPr="00A92995">
        <w:t>and ethical</w:t>
      </w:r>
      <w:r w:rsidR="004362E4" w:rsidRPr="00A92995">
        <w:t xml:space="preserve"> </w:t>
      </w:r>
      <w:r w:rsidRPr="00A92995">
        <w:t xml:space="preserve">doctrine of informed consent developed in response to various legal challenges that resulted from paternalistic intervention. Between the late 1950s and early 1970s, it was not uncommon for patients to lay charges against their physicians for inadvertently causing harm by </w:t>
      </w:r>
      <w:r w:rsidRPr="00A92995">
        <w:lastRenderedPageBreak/>
        <w:t>failing to provide adequate information about treatment.</w:t>
      </w:r>
      <w:r w:rsidRPr="00A92995">
        <w:rPr>
          <w:rStyle w:val="FootnoteReference"/>
          <w:sz w:val="24"/>
        </w:rPr>
        <w:footnoteReference w:id="13"/>
      </w:r>
      <w:r w:rsidRPr="00A92995">
        <w:t xml:space="preserve"> It thus became common to invoke informed consent, which requires physicians “</w:t>
      </w:r>
      <w:r w:rsidRPr="00A92995">
        <w:rPr>
          <w:color w:val="000000"/>
        </w:rPr>
        <w:t>to disclose and explain to the patient in a language as simple as necessary the nature of the ailment, the nature of the proposed treatment, the probability of success or alternatives, and perhaps the risks of unfortunate results and unforeseen conditions within the body.”</w:t>
      </w:r>
      <w:r w:rsidRPr="00A92995">
        <w:rPr>
          <w:rStyle w:val="FootnoteReference"/>
          <w:color w:val="000000"/>
          <w:sz w:val="24"/>
        </w:rPr>
        <w:footnoteReference w:id="14"/>
      </w:r>
      <w:r w:rsidRPr="00A92995">
        <w:rPr>
          <w:color w:val="000000"/>
        </w:rPr>
        <w:t xml:space="preserve"> </w:t>
      </w:r>
      <w:r w:rsidRPr="00A92995">
        <w:t>This requirement is founded on the principle of respect for autonomy. Given the physician’s duty to communicate with their patient and make recommendations for treatment, the doctrine of informed consent proposes a method of communication that will not compromise patient autonomy.</w:t>
      </w:r>
      <w:r w:rsidRPr="00A92995">
        <w:rPr>
          <w:rStyle w:val="FootnoteReference"/>
          <w:sz w:val="24"/>
        </w:rPr>
        <w:footnoteReference w:id="15"/>
      </w:r>
      <w:r w:rsidRPr="00A92995">
        <w:t xml:space="preserve"> The doctrine further requires that the patient is competent to give consent, and that their consent is voluntarily given. Competence</w:t>
      </w:r>
      <w:r w:rsidR="00967FA0" w:rsidRPr="00A92995">
        <w:t>, much like the notion of capacity discussed earlier,</w:t>
      </w:r>
      <w:r w:rsidRPr="00A92995">
        <w:t xml:space="preserve"> is a deeply controversial topic in biomedical ethics and philosophy</w:t>
      </w:r>
      <w:r w:rsidR="00967FA0" w:rsidRPr="00A92995">
        <w:t>;</w:t>
      </w:r>
      <w:r w:rsidRPr="00A92995">
        <w:t xml:space="preserve"> but as it currently stands, is defined by the patient’s ability to understand, retain, and reflect on the information received from the physician. Consent is considered voluntary so long as it is genuinely given freely and competently by the patient, who must not in any way be coerced or manipulated into compliance. </w:t>
      </w:r>
    </w:p>
    <w:p w14:paraId="7BBA32AA" w14:textId="257ACA42" w:rsidR="0036367D" w:rsidRPr="00A92995" w:rsidRDefault="00AB73E0" w:rsidP="008203B8">
      <w:pPr>
        <w:widowControl w:val="0"/>
        <w:autoSpaceDE w:val="0"/>
        <w:autoSpaceDN w:val="0"/>
        <w:adjustRightInd w:val="0"/>
        <w:spacing w:after="240" w:line="360" w:lineRule="auto"/>
        <w:ind w:right="-340" w:firstLine="720"/>
        <w:contextualSpacing/>
      </w:pPr>
      <w:r w:rsidRPr="00A92995">
        <w:t xml:space="preserve">Informed consent is a complex </w:t>
      </w:r>
      <w:r w:rsidR="007616D3" w:rsidRPr="00A92995">
        <w:t xml:space="preserve">process </w:t>
      </w:r>
      <w:r w:rsidRPr="00A92995">
        <w:t>which requires physicians to determine not only the patient’s competency and level of autonomy, but also to decide what information is necessary to communicate to the patient. The most important information concerns the risks of treatment, about which – as the expert – the physician will have specialized information. The severity and probability of potential risks and complications in treatment</w:t>
      </w:r>
      <w:r w:rsidR="00896323" w:rsidRPr="00A92995">
        <w:t xml:space="preserve"> will aid in determining which information must necessarily be given to the patient. </w:t>
      </w:r>
      <w:r w:rsidRPr="00A92995">
        <w:t>According to Alastair Campbell, a general rule is to provide the patient with information that any “</w:t>
      </w:r>
      <w:r w:rsidR="008A701D">
        <w:t>‘</w:t>
      </w:r>
      <w:r w:rsidRPr="00A92995">
        <w:t>reasonable’ person would wish to know about [and] that risks which are very significant for that particular person – even if remote – should be mentioned.”</w:t>
      </w:r>
      <w:r w:rsidRPr="00A92995">
        <w:rPr>
          <w:rStyle w:val="FootnoteReference"/>
          <w:color w:val="FF0000"/>
          <w:sz w:val="24"/>
        </w:rPr>
        <w:t xml:space="preserve"> </w:t>
      </w:r>
      <w:r w:rsidRPr="00A92995">
        <w:rPr>
          <w:rStyle w:val="FootnoteReference"/>
          <w:sz w:val="24"/>
        </w:rPr>
        <w:footnoteReference w:id="16"/>
      </w:r>
      <w:r w:rsidR="0036367D" w:rsidRPr="00A92995">
        <w:rPr>
          <w:color w:val="FF0000"/>
        </w:rPr>
        <w:t xml:space="preserve">  </w:t>
      </w:r>
      <w:r w:rsidR="0036367D" w:rsidRPr="00A92995">
        <w:t xml:space="preserve">As we will see in the next section, these requirements begin to resemble business like transactions wherein consumers and service-providers each perform their roles according to the rights and responsibilities that emerge from the contractual nature of the transaction. </w:t>
      </w:r>
    </w:p>
    <w:p w14:paraId="3CC9A1C8" w14:textId="77777777" w:rsidR="009E5F1D" w:rsidRPr="00A92995" w:rsidRDefault="009E5F1D" w:rsidP="0036367D">
      <w:pPr>
        <w:spacing w:line="360" w:lineRule="auto"/>
        <w:ind w:right="-340" w:firstLine="720"/>
        <w:rPr>
          <w:color w:val="FF0000"/>
        </w:rPr>
      </w:pPr>
    </w:p>
    <w:p w14:paraId="6890E1E2" w14:textId="04A511F9" w:rsidR="00AB73E0" w:rsidRPr="00A92995" w:rsidRDefault="00AB73E0" w:rsidP="00360448">
      <w:pPr>
        <w:pStyle w:val="Heading2"/>
      </w:pPr>
      <w:bookmarkStart w:id="7" w:name="_Toc505150510"/>
      <w:r w:rsidRPr="00A92995">
        <w:t>The Autonomy/Contract Model</w:t>
      </w:r>
      <w:bookmarkEnd w:id="7"/>
    </w:p>
    <w:p w14:paraId="19368C19" w14:textId="77777777" w:rsidR="00AB73E0" w:rsidRPr="00A92995" w:rsidRDefault="00AB73E0" w:rsidP="00AB73E0">
      <w:pPr>
        <w:pStyle w:val="ListParagraph"/>
        <w:spacing w:line="360" w:lineRule="auto"/>
        <w:ind w:left="0" w:right="-340"/>
        <w:rPr>
          <w:rFonts w:ascii="Times New Roman" w:hAnsi="Times New Roman" w:cs="Times New Roman"/>
        </w:rPr>
      </w:pPr>
    </w:p>
    <w:p w14:paraId="5CA94B42" w14:textId="34497DE8" w:rsidR="00AB73E0" w:rsidRPr="00A92995" w:rsidRDefault="00AB73E0" w:rsidP="001B7A6C">
      <w:pPr>
        <w:spacing w:line="360" w:lineRule="auto"/>
        <w:ind w:right="-340"/>
      </w:pPr>
      <w:r w:rsidRPr="00A92995">
        <w:t>As</w:t>
      </w:r>
      <w:r w:rsidR="00E3119D" w:rsidRPr="00A92995">
        <w:t xml:space="preserve"> the doctrine of</w:t>
      </w:r>
      <w:r w:rsidRPr="00A92995">
        <w:t xml:space="preserve"> informed consent develops we begin to recognize the similarities between the doctor-patient relationship and any other commercial consumer-provider relationship. Paralleling </w:t>
      </w:r>
      <w:r w:rsidRPr="00A92995">
        <w:lastRenderedPageBreak/>
        <w:t xml:space="preserve">political and economic models, medical ethics has reached the point where we now speak of “the </w:t>
      </w:r>
      <w:r w:rsidRPr="00A92995">
        <w:rPr>
          <w:i/>
        </w:rPr>
        <w:t xml:space="preserve">rights </w:t>
      </w:r>
      <w:r w:rsidRPr="00A92995">
        <w:t xml:space="preserve">of the patient in the healthcare settings, the </w:t>
      </w:r>
      <w:r w:rsidRPr="00A92995">
        <w:rPr>
          <w:i/>
        </w:rPr>
        <w:t xml:space="preserve">rules </w:t>
      </w:r>
      <w:r w:rsidRPr="00A92995">
        <w:t>that govern</w:t>
      </w:r>
      <w:r w:rsidR="00E3119D" w:rsidRPr="00A92995">
        <w:t xml:space="preserve"> the</w:t>
      </w:r>
      <w:r w:rsidRPr="00A92995">
        <w:t xml:space="preserve"> practice that respects these rights, and the ultimate moral </w:t>
      </w:r>
      <w:r w:rsidRPr="00A92995">
        <w:rPr>
          <w:i/>
        </w:rPr>
        <w:t xml:space="preserve">principles </w:t>
      </w:r>
      <w:r w:rsidRPr="00A92995">
        <w:t>from which these rules are derived.”</w:t>
      </w:r>
      <w:r w:rsidRPr="00A92995">
        <w:rPr>
          <w:rStyle w:val="FootnoteReference"/>
          <w:sz w:val="24"/>
        </w:rPr>
        <w:footnoteReference w:id="17"/>
      </w:r>
      <w:r w:rsidRPr="00A92995">
        <w:t xml:space="preserve"> </w:t>
      </w:r>
      <w:r w:rsidR="0036367D" w:rsidRPr="00A92995">
        <w:t>This</w:t>
      </w:r>
      <w:r w:rsidRPr="00A92995">
        <w:t xml:space="preserve"> business-like clinical</w:t>
      </w:r>
      <w:r w:rsidR="0036367D" w:rsidRPr="00A92995">
        <w:t>-</w:t>
      </w:r>
      <w:r w:rsidRPr="00A92995">
        <w:t>encounter</w:t>
      </w:r>
      <w:r w:rsidR="0036367D" w:rsidRPr="00A92995">
        <w:t xml:space="preserve"> is central to what Smith and Newton refer to as the </w:t>
      </w:r>
      <w:r w:rsidRPr="00A92995">
        <w:t>‘the first-generation inquiry’</w:t>
      </w:r>
      <w:r w:rsidR="0036367D" w:rsidRPr="00A92995">
        <w:t xml:space="preserve"> in medical ethics. This inquiry intends to</w:t>
      </w:r>
      <w:r w:rsidRPr="00A92995">
        <w:t xml:space="preserve"> interrogate the empirical assumptions that inform these rights, rules and responsibilities, and the normative constraints derived from them. The second generation of inquiry takes place as we begin to question the very conceptual base upon which those assumptions stand. “A period of experimentation with another conceptual base seems to have begun, focused on concepts of loyalty, social responsibility, community, integrity and the uniqueness of intimate relationships – including professional-client relationships.”</w:t>
      </w:r>
      <w:r w:rsidRPr="00A92995">
        <w:rPr>
          <w:rStyle w:val="FootnoteReference"/>
          <w:sz w:val="24"/>
        </w:rPr>
        <w:footnoteReference w:id="18"/>
      </w:r>
      <w:r w:rsidRPr="00A92995">
        <w:t xml:space="preserve"> The aim of this next level of inquiry is to constructively explore the underpinning notions of autonomy and to fortify those notions with a focus on the mutuality of persons</w:t>
      </w:r>
      <w:r w:rsidRPr="00A92995">
        <w:rPr>
          <w:rStyle w:val="FootnoteReference"/>
          <w:sz w:val="24"/>
        </w:rPr>
        <w:footnoteReference w:id="19"/>
      </w:r>
      <w:r w:rsidRPr="00A92995">
        <w:t xml:space="preserve">. </w:t>
      </w:r>
    </w:p>
    <w:p w14:paraId="09599AF7" w14:textId="346DDB41" w:rsidR="00AB73E0" w:rsidRPr="00A92995" w:rsidRDefault="00563580" w:rsidP="00AB73E0">
      <w:pPr>
        <w:spacing w:line="360" w:lineRule="auto"/>
        <w:ind w:right="-340"/>
      </w:pPr>
      <w:r w:rsidRPr="00A92995">
        <w:tab/>
      </w:r>
      <w:r w:rsidR="00AB73E0" w:rsidRPr="00A92995">
        <w:t xml:space="preserve">Smith and Newton claim that the reason the doctor-patient relationship has, for so long, maintained that the relationship should be fundamentally contractual is because “philosophical ethics is a branch of political philosophy, i.e., the philosophical study of society, the state, and the law that governs them, and Western political philosophy presupposes individual liberty and the inviolability of contract as its very source and moral basis.” </w:t>
      </w:r>
      <w:r w:rsidR="00AB73E0" w:rsidRPr="00A92995">
        <w:rPr>
          <w:rStyle w:val="FootnoteReference"/>
          <w:sz w:val="24"/>
        </w:rPr>
        <w:footnoteReference w:id="20"/>
      </w:r>
      <w:r w:rsidR="00AB73E0" w:rsidRPr="00A92995">
        <w:t xml:space="preserve"> This reliance on the autonomy/contract model can be traced back to many Western philosophers who focus on the rights of the individual first and foremost. Mill, for example, claims that “freedom includes the ability to examine all options within his physical powers, to inform himself thoroughly on the requirements and consequences of each, to decide for himself what course he shall adopt, and to take responsibility for the outcome.”</w:t>
      </w:r>
      <w:r w:rsidR="00AB73E0" w:rsidRPr="00A92995">
        <w:rPr>
          <w:rStyle w:val="FootnoteReference"/>
          <w:sz w:val="24"/>
        </w:rPr>
        <w:footnoteReference w:id="21"/>
      </w:r>
      <w:r w:rsidR="00AB73E0" w:rsidRPr="00A92995">
        <w:t xml:space="preserve"> </w:t>
      </w:r>
    </w:p>
    <w:p w14:paraId="42E3F635" w14:textId="05538B77" w:rsidR="00AB73E0" w:rsidRDefault="003467F1" w:rsidP="00AB73E0">
      <w:pPr>
        <w:spacing w:line="360" w:lineRule="auto"/>
        <w:ind w:right="-340"/>
      </w:pPr>
      <w:r w:rsidRPr="00A92995">
        <w:tab/>
      </w:r>
      <w:r w:rsidR="00AB73E0" w:rsidRPr="00A92995">
        <w:t>The primacy of contract is derived as follows: so long as the individual who makes a free commitment to perform certain actions is thoroughly informed, that individual adopts absolute responsibility for that commitment. This commitment both defines and is derived from individual autonomy. Smith and Newton illustrate this point further:</w:t>
      </w:r>
    </w:p>
    <w:p w14:paraId="711A0861" w14:textId="77777777" w:rsidR="00360448" w:rsidRPr="00A92995" w:rsidRDefault="00360448" w:rsidP="00AB73E0">
      <w:pPr>
        <w:spacing w:line="360" w:lineRule="auto"/>
        <w:ind w:right="-340"/>
      </w:pPr>
    </w:p>
    <w:p w14:paraId="3E693382" w14:textId="77777777" w:rsidR="00AB73E0" w:rsidRPr="00A92995" w:rsidRDefault="00AB73E0" w:rsidP="00AB73E0">
      <w:pPr>
        <w:ind w:left="720" w:right="-340"/>
        <w:jc w:val="both"/>
      </w:pPr>
      <w:r w:rsidRPr="00A92995">
        <w:lastRenderedPageBreak/>
        <w:t>So, the individual may be bound to do something he does not (presently) choose to do – but only because he freely chose to do it in the past and promised others, who relied upon his word to plan their own actions, that he would. Thus, by reneging on his promise now, he would be violating his own autonomy (by failing to honor his freely-given promise), and violating in important ways the autonomy of others, whose real freedom to choose depended on their ability to predict his actions with confidence.</w:t>
      </w:r>
      <w:r w:rsidRPr="00A92995">
        <w:rPr>
          <w:rStyle w:val="FootnoteReference"/>
          <w:sz w:val="24"/>
        </w:rPr>
        <w:footnoteReference w:id="22"/>
      </w:r>
      <w:r w:rsidRPr="00A92995">
        <w:t xml:space="preserve"> </w:t>
      </w:r>
    </w:p>
    <w:p w14:paraId="64E9DD6A" w14:textId="77777777" w:rsidR="00AB73E0" w:rsidRPr="00A92995" w:rsidRDefault="00AB73E0" w:rsidP="00AB73E0">
      <w:pPr>
        <w:spacing w:line="360" w:lineRule="auto"/>
        <w:ind w:right="-340"/>
      </w:pPr>
    </w:p>
    <w:p w14:paraId="7AE00784" w14:textId="73F896DF" w:rsidR="00AB73E0" w:rsidRPr="00A92995" w:rsidRDefault="00AB73E0" w:rsidP="003467F1">
      <w:pPr>
        <w:spacing w:line="360" w:lineRule="auto"/>
        <w:ind w:right="-340" w:firstLine="720"/>
      </w:pPr>
      <w:r w:rsidRPr="00A92995">
        <w:t>A charitable reading of the autonomy/contract model suggests we view the doctor-patient relationship as characterized by fidelity, trust that the physician will act with the best interests of the patient at heart, and to the best of his knowledge and capability; as well as trust on the part of the physician that the patient is forthcoming and will commit to proposed treatment options. Despite the requirements for mutual trust, and the respective rights and responsibilities of both parties, it cannot be forgotten that the patient remains in a more vulnerable position than the physician. This is due not only to the presence of illness, nor simply to their relative ignorance in the clinical encounter. The power differential</w:t>
      </w:r>
      <w:r w:rsidR="00C44AE8" w:rsidRPr="00A92995">
        <w:t xml:space="preserve"> that is inherent in the physician’s medical authority</w:t>
      </w:r>
      <w:r w:rsidRPr="00A92995">
        <w:t xml:space="preserve"> effectively undermines the patient’s standing in the clinical encounter.</w:t>
      </w:r>
    </w:p>
    <w:p w14:paraId="6C0C73A8" w14:textId="3752CF10" w:rsidR="00AB73E0" w:rsidRPr="00A92995" w:rsidRDefault="003467F1" w:rsidP="00AB73E0">
      <w:pPr>
        <w:spacing w:line="360" w:lineRule="auto"/>
        <w:ind w:right="-340"/>
      </w:pPr>
      <w:r w:rsidRPr="00A92995">
        <w:tab/>
      </w:r>
      <w:r w:rsidR="00AB73E0" w:rsidRPr="00A92995">
        <w:t>Smith and Newton initiate the second generation of bioethical scrutiny by rejecting the very premises upon which the autonomy/contract model stands. “Proponents of the autonomy/contract model usually assume that the patient is psychologically capable of actualizing the principle of thoroughgoing self-determination, if permitted by the physicians.”</w:t>
      </w:r>
      <w:r w:rsidR="00AB73E0" w:rsidRPr="00A92995">
        <w:rPr>
          <w:rStyle w:val="FootnoteReference"/>
          <w:sz w:val="24"/>
        </w:rPr>
        <w:footnoteReference w:id="23"/>
      </w:r>
      <w:r w:rsidR="00AB73E0" w:rsidRPr="00A92995">
        <w:t xml:space="preserve"> I agree with Smith and Newton in criticizing the autonomy/contract model for failing to account for actual clinical experience: patients in the throes of illness are not in a position that would otherwise support their rational decision-making capabilities. Edmund Pellegrino, cited by Smith and Newton, argues beautifully that “the uniqueness of illness among human experiences is rooted in its ontological assault on the unity of the being of the one who is ill. One aspect of that assault is to rupture the unity we ordinarily experience between self and body…It impedes choices and actions…the body stands opposite the self…”</w:t>
      </w:r>
      <w:r w:rsidR="00AB73E0" w:rsidRPr="00A92995">
        <w:rPr>
          <w:rStyle w:val="FootnoteReference"/>
          <w:sz w:val="24"/>
        </w:rPr>
        <w:footnoteReference w:id="24"/>
      </w:r>
    </w:p>
    <w:p w14:paraId="035772A7" w14:textId="40D146EF" w:rsidR="00AB73E0" w:rsidRPr="00A92995" w:rsidRDefault="003467F1" w:rsidP="00AB73E0">
      <w:pPr>
        <w:spacing w:line="360" w:lineRule="auto"/>
        <w:ind w:right="-340"/>
      </w:pPr>
      <w:r w:rsidRPr="00A92995">
        <w:tab/>
      </w:r>
      <w:r w:rsidR="00AB73E0" w:rsidRPr="00A92995">
        <w:t xml:space="preserve">Illness presents the patient with true inner conflict: her body </w:t>
      </w:r>
      <w:r w:rsidR="00324DA0" w:rsidRPr="00A92995">
        <w:t xml:space="preserve">and mind </w:t>
      </w:r>
      <w:r w:rsidR="00852203" w:rsidRPr="00A92995">
        <w:t>are</w:t>
      </w:r>
      <w:r w:rsidR="00AB73E0" w:rsidRPr="00A92995">
        <w:t xml:space="preserve"> under attack, and the threat to her physical homeostasis is followed by a threat to her psychological state. She is likely to be left feeling alone, lost, isolated, unsure of who she can trust (even her own body has turned on her), and generally feeling out of control. Regardless of any characterization of </w:t>
      </w:r>
      <w:r w:rsidR="00094105" w:rsidRPr="00A92995">
        <w:t xml:space="preserve">the </w:t>
      </w:r>
      <w:r w:rsidR="00AB73E0" w:rsidRPr="00A92995">
        <w:t xml:space="preserve">doctor-patient </w:t>
      </w:r>
      <w:r w:rsidR="00AB73E0" w:rsidRPr="00A92995">
        <w:lastRenderedPageBreak/>
        <w:t xml:space="preserve">relationship, the doctor remains </w:t>
      </w:r>
      <w:r w:rsidR="0002477D" w:rsidRPr="00A92995">
        <w:t xml:space="preserve">separate from the patient’s struggle. </w:t>
      </w:r>
      <w:r w:rsidR="00AB73E0" w:rsidRPr="00A92995">
        <w:t xml:space="preserve">There is no satisfactory model which can give the physician a true understanding of the person who is ill; the patient whose very existence is shaken, and who is struggling to remain whole in the face of their recently broken reality. In this environment of instability and </w:t>
      </w:r>
      <w:r w:rsidR="00BE1A66" w:rsidRPr="00A92995">
        <w:t>uncertainty and</w:t>
      </w:r>
      <w:r w:rsidR="00AB73E0" w:rsidRPr="00A92995">
        <w:t xml:space="preserve"> given </w:t>
      </w:r>
      <w:r w:rsidR="00615A15" w:rsidRPr="00A92995">
        <w:t>that the goals of patient and physician might be in conflict (i.e. if a patient refuses the course of action prescribed by her physician);</w:t>
      </w:r>
      <w:r w:rsidR="00AB73E0" w:rsidRPr="00A92995">
        <w:t xml:space="preserve"> the autonomy/contract model does not provide us with a firm basis upon which to make ethical decisions. The autonomy/contract model fails to account for the experience of illness, and how that experience may impact the patient’s autonomy. </w:t>
      </w:r>
    </w:p>
    <w:p w14:paraId="4CD63407" w14:textId="003E2802" w:rsidR="00AB73E0" w:rsidRPr="00A92995" w:rsidRDefault="00AB73E0" w:rsidP="003467F1">
      <w:pPr>
        <w:spacing w:line="360" w:lineRule="auto"/>
        <w:ind w:right="-340" w:firstLine="720"/>
      </w:pPr>
      <w:r w:rsidRPr="00A92995">
        <w:t xml:space="preserve">This is especially relevant in cases of individuals diagnosed with mental illness, and even more so </w:t>
      </w:r>
      <w:r w:rsidR="0002477D" w:rsidRPr="00A92995">
        <w:t>with</w:t>
      </w:r>
      <w:r w:rsidRPr="00A92995">
        <w:t xml:space="preserve"> illnesses which do not present with obvious autonomy</w:t>
      </w:r>
      <w:r w:rsidR="004254DF" w:rsidRPr="00A92995">
        <w:t>-</w:t>
      </w:r>
      <w:r w:rsidRPr="00A92995">
        <w:t xml:space="preserve">hindering features, such as delusions or hallucinations. The following example should illustrate how autonomy is undermined in subtler ways than the autonomy/contract model accounts for: When presented with treatment options that include medication, the patient’s fear of side effects, the cost of medication and any stigma attached to the medication could influence her decision. That fear is not an insignificant vulnerability </w:t>
      </w:r>
      <w:r w:rsidR="004254DF" w:rsidRPr="00A92995">
        <w:t xml:space="preserve">for </w:t>
      </w:r>
      <w:r w:rsidRPr="00A92995">
        <w:t xml:space="preserve">the patient. Further, as we will see in the </w:t>
      </w:r>
      <w:r w:rsidR="001778EB" w:rsidRPr="00A92995">
        <w:t>detailed example</w:t>
      </w:r>
      <w:r w:rsidRPr="00A92995">
        <w:t xml:space="preserve"> in Chapter 3, the patient’s </w:t>
      </w:r>
      <w:r w:rsidR="008A701D">
        <w:t>interpersonal relationships and social support</w:t>
      </w:r>
      <w:r w:rsidRPr="00A92995">
        <w:t xml:space="preserve"> play an important role in her decisions to accept or reject treatment. Indeed, it is not uncommon for a patient to reject her diagnosis altogether. Without the space or power to think about the gravity of her diagnosis, the patient might also feel pressured to make a decision that aligns with the attending physician’s opinion. </w:t>
      </w:r>
    </w:p>
    <w:p w14:paraId="4590EFBF" w14:textId="3E318A02" w:rsidR="00AB73E0" w:rsidRPr="00A92995" w:rsidRDefault="003467F1" w:rsidP="00AB73E0">
      <w:pPr>
        <w:spacing w:line="360" w:lineRule="auto"/>
        <w:ind w:right="-340"/>
      </w:pPr>
      <w:r w:rsidRPr="00A92995">
        <w:tab/>
      </w:r>
      <w:r w:rsidR="00AB73E0" w:rsidRPr="00A92995">
        <w:t>Physicians and others who sympathize with the current autonomy/contract model of doctor-patient relationship may object that the doctor’s responsibility is to provide the correct information to the patient so that she has enough to make an adequately autonomous decision. The objection is simply that “it’s up to her to make a decision regarding her mental healthcare”, and that “if she has any questions, she is free to ask”. Be that as it may, the influence of the physician on the patient’s decision is powerful for reasons beyond what a liberal account of autonomy would accept as autonomy</w:t>
      </w:r>
      <w:r w:rsidR="004254DF" w:rsidRPr="00A92995">
        <w:t>-</w:t>
      </w:r>
      <w:r w:rsidR="00AB73E0" w:rsidRPr="00A92995">
        <w:t>hindering. According to Smith and Newton:</w:t>
      </w:r>
    </w:p>
    <w:p w14:paraId="644A434F" w14:textId="77777777" w:rsidR="00AB73E0" w:rsidRPr="00A92995" w:rsidRDefault="00AB73E0" w:rsidP="00AB73E0">
      <w:pPr>
        <w:spacing w:line="360" w:lineRule="auto"/>
        <w:ind w:right="-340"/>
      </w:pPr>
    </w:p>
    <w:p w14:paraId="10050E23" w14:textId="7BCC9949" w:rsidR="00AB73E0" w:rsidRPr="00A92995" w:rsidRDefault="00AB73E0" w:rsidP="0079061C">
      <w:pPr>
        <w:ind w:left="720" w:right="-340"/>
        <w:jc w:val="both"/>
      </w:pPr>
      <w:r w:rsidRPr="00A92995">
        <w:t xml:space="preserve">Working together in a demanding clinical relationship, both doctor and patient have limited capacity to weigh consciously the numerous variables which must be evaluated prior to clinical action. That dialogue should go on is clear; unfortunately, at present, meaningful communication is very rare in the clinical encounter – or anywhere in the society…Preliminary discussion is important for preparing the way, but a therapeutic alliance must </w:t>
      </w:r>
      <w:r w:rsidR="0079061C" w:rsidRPr="00A92995">
        <w:t>occur,</w:t>
      </w:r>
      <w:r w:rsidRPr="00A92995">
        <w:t xml:space="preserve"> and the required clinical distance traveled. Our therapeutic alliance </w:t>
      </w:r>
      <w:r w:rsidRPr="00A92995">
        <w:lastRenderedPageBreak/>
        <w:t>occurs in the context of our personal and social histories, making impossible any complete analytic explanation…</w:t>
      </w:r>
      <w:r w:rsidR="0079061C" w:rsidRPr="00A92995">
        <w:t xml:space="preserve"> </w:t>
      </w:r>
      <w:r w:rsidRPr="00A92995">
        <w:t xml:space="preserve">Each step in diagnosing [the patient’s] </w:t>
      </w:r>
      <w:proofErr w:type="gramStart"/>
      <w:r w:rsidRPr="00A92995">
        <w:t>condition,</w:t>
      </w:r>
      <w:proofErr w:type="gramEnd"/>
      <w:r w:rsidRPr="00A92995">
        <w:t xml:space="preserve"> is taken together. We stumble through too little and too much medication [and] our responsibilities to each other and to others. </w:t>
      </w:r>
      <w:r w:rsidRPr="00A92995">
        <w:rPr>
          <w:rStyle w:val="FootnoteReference"/>
          <w:sz w:val="24"/>
        </w:rPr>
        <w:footnoteReference w:id="25"/>
      </w:r>
    </w:p>
    <w:p w14:paraId="2CFBFF6D" w14:textId="77777777" w:rsidR="00AB73E0" w:rsidRPr="00A92995" w:rsidRDefault="00AB73E0" w:rsidP="0079061C">
      <w:pPr>
        <w:spacing w:line="360" w:lineRule="auto"/>
        <w:ind w:right="-340"/>
        <w:rPr>
          <w:color w:val="FF0000"/>
        </w:rPr>
      </w:pPr>
    </w:p>
    <w:p w14:paraId="5A82C09A" w14:textId="6B919277" w:rsidR="00AB73E0" w:rsidRPr="00A92995" w:rsidRDefault="00AB73E0" w:rsidP="003467F1">
      <w:pPr>
        <w:spacing w:line="360" w:lineRule="auto"/>
        <w:ind w:right="-340" w:firstLine="720"/>
      </w:pPr>
      <w:r w:rsidRPr="00A92995">
        <w:t>The autonomy/contract model, at its core, aims to legitimize clinical distance</w:t>
      </w:r>
      <w:r w:rsidR="004254DF" w:rsidRPr="00A92995">
        <w:t>, which can be understood as the maintenance of professional boundaries b</w:t>
      </w:r>
      <w:r w:rsidRPr="00A92995">
        <w:t>etween patient and physician</w:t>
      </w:r>
      <w:r w:rsidR="004254DF" w:rsidRPr="00A92995">
        <w:t xml:space="preserve"> in order</w:t>
      </w:r>
      <w:r w:rsidRPr="00A92995">
        <w:t xml:space="preserve"> to protect both parties. However, in clinical practice, that distance is impossible to maintain: the clinical encounter is undeniably intimate, and the quality of the therapeutic relationship is affected by the theoretical model employed. Thus, insofar as the end goal of the autonomy/contract model is to enhance dialogue between doctor and patient, the attempt of the model to follow a formula of rights and responsibility might have the unintended effect of reducing that dialogue to a formulaic obedience of stagnant moral rules. </w:t>
      </w:r>
    </w:p>
    <w:p w14:paraId="280204D6" w14:textId="715D54B9" w:rsidR="00AB73E0" w:rsidRPr="00A92995" w:rsidRDefault="003467F1" w:rsidP="00AB73E0">
      <w:pPr>
        <w:spacing w:line="360" w:lineRule="auto"/>
        <w:ind w:right="-340"/>
      </w:pPr>
      <w:r w:rsidRPr="00A92995">
        <w:tab/>
      </w:r>
      <w:r w:rsidR="00AB73E0" w:rsidRPr="00A92995">
        <w:t>The promulgation of informed consent and the autonomy</w:t>
      </w:r>
      <w:r w:rsidR="001778EB" w:rsidRPr="00A92995">
        <w:t>/</w:t>
      </w:r>
      <w:r w:rsidR="00AB73E0" w:rsidRPr="00A92995">
        <w:t>contract model is and has been an attempt to mitigate the effects of authoritarian doctor-patient relationships and hoped to provide a framework for a more egalitarian relationship. The proposed measure purported to encourage disclosure between patient and physician,</w:t>
      </w:r>
      <w:r w:rsidR="00C90F00" w:rsidRPr="00A92995">
        <w:t xml:space="preserve"> because</w:t>
      </w:r>
      <w:r w:rsidR="00AB73E0" w:rsidRPr="00A92995">
        <w:t xml:space="preserve"> both parties engage in a substantial dialogue and exchange information that would be of benefit to the decision-making process. However, this has not been evidently successful in the clinical encounter. Physicians tend to limit their disclosure to their proposals for treatment. Katz comments that “conversations with patients are not conducted in the spirit of inviting patients to share with their physicians the burdens of decisions. Without such a commitment, dialogue is reduced to a monologue.”</w:t>
      </w:r>
      <w:r w:rsidR="00AB73E0" w:rsidRPr="00A92995">
        <w:rPr>
          <w:rStyle w:val="FootnoteReference"/>
          <w:sz w:val="24"/>
        </w:rPr>
        <w:footnoteReference w:id="26"/>
      </w:r>
      <w:r w:rsidR="00AB73E0" w:rsidRPr="00A92995">
        <w:t xml:space="preserve"> The idea of mutual </w:t>
      </w:r>
      <w:r w:rsidR="001778EB" w:rsidRPr="00A92995">
        <w:t>decision-making</w:t>
      </w:r>
      <w:r w:rsidR="00AB73E0" w:rsidRPr="00A92995">
        <w:t xml:space="preserve"> in therapeutic contexts is heavily dependent on sustained dialogue, but the </w:t>
      </w:r>
      <w:r w:rsidR="008A701D">
        <w:t>overbearing</w:t>
      </w:r>
      <w:r w:rsidR="00AB73E0" w:rsidRPr="00A92995">
        <w:t xml:space="preserve"> physician authority prevents meaningful dialogue between physician and patient. For this reason, informed consent and the contractual system that underpins the therapeutic relationship is failing to achieve its aim of supporting and enhancing patient autonomy.</w:t>
      </w:r>
    </w:p>
    <w:p w14:paraId="70804787" w14:textId="77777777" w:rsidR="00AB73E0" w:rsidRPr="00A92995" w:rsidRDefault="00AB73E0" w:rsidP="00AB73E0">
      <w:pPr>
        <w:spacing w:line="360" w:lineRule="auto"/>
        <w:ind w:right="-340"/>
        <w:rPr>
          <w:color w:val="FF0000"/>
        </w:rPr>
      </w:pPr>
    </w:p>
    <w:p w14:paraId="2C12FC15" w14:textId="77777777" w:rsidR="008A701D" w:rsidRDefault="008A701D">
      <w:pPr>
        <w:rPr>
          <w:rFonts w:eastAsiaTheme="majorEastAsia"/>
          <w:sz w:val="28"/>
          <w:szCs w:val="18"/>
        </w:rPr>
      </w:pPr>
      <w:r>
        <w:br w:type="page"/>
      </w:r>
    </w:p>
    <w:p w14:paraId="0444F251" w14:textId="7E700F96" w:rsidR="00AB73E0" w:rsidRPr="00A92995" w:rsidRDefault="00AB73E0" w:rsidP="000C3662">
      <w:pPr>
        <w:pStyle w:val="Heading1"/>
      </w:pPr>
      <w:bookmarkStart w:id="8" w:name="_Toc505150511"/>
      <w:r w:rsidRPr="00A92995">
        <w:lastRenderedPageBreak/>
        <w:t>The Doctor-Patient Relationship in Psychotherapeutic Contexts</w:t>
      </w:r>
      <w:bookmarkEnd w:id="8"/>
    </w:p>
    <w:p w14:paraId="6410D308" w14:textId="77777777" w:rsidR="00AB73E0" w:rsidRPr="00A92995" w:rsidRDefault="00AB73E0" w:rsidP="00AB73E0">
      <w:pPr>
        <w:pStyle w:val="ListParagraph"/>
        <w:spacing w:line="360" w:lineRule="auto"/>
        <w:ind w:left="0" w:right="-340"/>
        <w:rPr>
          <w:rFonts w:ascii="Times New Roman" w:hAnsi="Times New Roman" w:cs="Times New Roman"/>
        </w:rPr>
      </w:pPr>
    </w:p>
    <w:p w14:paraId="747CD04A" w14:textId="0E2B0516" w:rsidR="00AB73E0" w:rsidRPr="00A92995" w:rsidRDefault="00AB73E0" w:rsidP="00360448">
      <w:pPr>
        <w:pStyle w:val="Heading2"/>
      </w:pPr>
      <w:bookmarkStart w:id="9" w:name="_Toc505150512"/>
      <w:r w:rsidRPr="00A92995">
        <w:t>Psychiatric Ethics</w:t>
      </w:r>
      <w:bookmarkEnd w:id="9"/>
    </w:p>
    <w:p w14:paraId="734FA6C8" w14:textId="77777777" w:rsidR="00AB73E0" w:rsidRPr="00A92995" w:rsidRDefault="00AB73E0" w:rsidP="00AB73E0"/>
    <w:p w14:paraId="0C0D3389" w14:textId="1140E36A" w:rsidR="00AB73E0" w:rsidRPr="00A92995" w:rsidRDefault="00AB73E0" w:rsidP="001B7A6C">
      <w:pPr>
        <w:spacing w:line="360" w:lineRule="auto"/>
        <w:ind w:right="-340"/>
      </w:pPr>
      <w:r w:rsidRPr="00A92995">
        <w:t xml:space="preserve">Let us now examine how these bioethical concepts and principles apply in the field of psychotherapeutic intervention. I define such intervention as those treatment options available to patients suffering from mental illness. This type of treatment often includes therapies such as behavioral therapy, psychoanalysis, psychopharmacological methods, or various combinations of these. As mentioned earlier, I aim to assess the role of autonomy only in psychiatric settings. My reason for doing so is because psychiatric ethics complies with medical ethical codes followed by all medical professionals, relying on the same conception of personal autonomy. </w:t>
      </w:r>
    </w:p>
    <w:p w14:paraId="717EB7FA" w14:textId="5418BF71" w:rsidR="00AB73E0" w:rsidRPr="00A92995" w:rsidRDefault="00AB73E0" w:rsidP="003467F1">
      <w:pPr>
        <w:spacing w:line="360" w:lineRule="auto"/>
        <w:ind w:right="-340" w:firstLine="720"/>
      </w:pPr>
      <w:r w:rsidRPr="00A92995">
        <w:t>In response to medical abuses in World War II and aggressive paternalistic stances both in somatic medicine and psychiatry, complementary ethical codes specific to psychiatry were developed. The World Psychiatric Association developed and adopted the code of ethics known as the Declaration of Hawaii in 1977</w:t>
      </w:r>
      <w:r w:rsidR="008A701D">
        <w:t xml:space="preserve"> which</w:t>
      </w:r>
      <w:r w:rsidRPr="00A92995">
        <w:t xml:space="preserve"> has been amended and </w:t>
      </w:r>
      <w:r w:rsidR="00C47FBF" w:rsidRPr="00A92995">
        <w:t>revised and</w:t>
      </w:r>
      <w:r w:rsidRPr="00A92995">
        <w:t xml:space="preserve"> is known today as the Declaration of Madrid. The declaration spells out the central goals and responsibilities of psychiatric physicians:</w:t>
      </w:r>
    </w:p>
    <w:p w14:paraId="39CC5F46" w14:textId="77777777" w:rsidR="0079061C" w:rsidRPr="00A92995" w:rsidRDefault="0079061C" w:rsidP="003467F1">
      <w:pPr>
        <w:spacing w:line="360" w:lineRule="auto"/>
        <w:ind w:right="-340" w:firstLine="720"/>
        <w:rPr>
          <w:color w:val="FF0000"/>
        </w:rPr>
      </w:pPr>
    </w:p>
    <w:p w14:paraId="2564EE47" w14:textId="706FC0A4" w:rsidR="00AB73E0" w:rsidRPr="00A92995" w:rsidRDefault="00AB73E0" w:rsidP="00AB73E0">
      <w:pPr>
        <w:ind w:left="720" w:right="-340"/>
        <w:jc w:val="both"/>
      </w:pPr>
      <w:r w:rsidRPr="00A92995">
        <w:t>Psychiatry is a medical discipline concerned with the prevention of mental disorders in the population, the provision of the best possible treatment for mental disorders, the rehabilitation of individuals suffering from mental illness and the promotion of mental health. Psychiatrists serve patients by providing the best therapy available consistent with accepted scientific knowledge and ethical principles. Psychiatrists should devise therapeutic interventions that are least restrictive to the freedom of the patient and seek advice in areas of their work about which they do not have primary expertise. While doing so, psychiatrists should be aware of and concerned with the equitable allocation of health resources.</w:t>
      </w:r>
      <w:r w:rsidRPr="00A92995">
        <w:rPr>
          <w:rStyle w:val="FootnoteReference"/>
          <w:sz w:val="24"/>
        </w:rPr>
        <w:footnoteReference w:id="27"/>
      </w:r>
    </w:p>
    <w:p w14:paraId="0A3E46F9" w14:textId="77777777" w:rsidR="0079061C" w:rsidRPr="00A92995" w:rsidRDefault="0079061C" w:rsidP="00AB73E0">
      <w:pPr>
        <w:ind w:left="720" w:right="-340"/>
        <w:jc w:val="both"/>
      </w:pPr>
    </w:p>
    <w:p w14:paraId="2C15E865" w14:textId="77777777" w:rsidR="00AB73E0" w:rsidRPr="00A92995" w:rsidRDefault="00AB73E0" w:rsidP="00AB73E0">
      <w:pPr>
        <w:ind w:right="-340"/>
      </w:pPr>
    </w:p>
    <w:p w14:paraId="7A8B6577" w14:textId="47859B6E" w:rsidR="00AB73E0" w:rsidRPr="00A92995" w:rsidRDefault="003467F1" w:rsidP="003467F1">
      <w:pPr>
        <w:spacing w:line="360" w:lineRule="auto"/>
        <w:ind w:right="-340"/>
      </w:pPr>
      <w:r w:rsidRPr="00A92995">
        <w:tab/>
      </w:r>
      <w:r w:rsidR="00AB73E0" w:rsidRPr="00A92995">
        <w:t xml:space="preserve">Although the Declaration of Madrid was developed to serve as a universal guideline, some countries have developed their own codes of ethics for psychiatric practice. The American Psychiatric Association, for example, drew up an annotation to be included in the Principles of Medical Ethics for the American Medical Association. This code differs from the Declaration of Madrid in that it “does not advocate an essentially egalitarian relationship between therapist and </w:t>
      </w:r>
      <w:r w:rsidR="00AB73E0" w:rsidRPr="00A92995">
        <w:lastRenderedPageBreak/>
        <w:t>patient. Rather, its</w:t>
      </w:r>
      <w:r w:rsidR="008A701D">
        <w:t>’</w:t>
      </w:r>
      <w:r w:rsidR="00AB73E0" w:rsidRPr="00A92995">
        <w:t xml:space="preserve"> emphasis – demonstrating its direct descent from Hippocratic tenets – is on the needs for the psychiatrist to merit and maintain the trust of patients and other professionals alike</w:t>
      </w:r>
      <w:r w:rsidR="008A701D">
        <w:t>.</w:t>
      </w:r>
      <w:r w:rsidR="00AB73E0" w:rsidRPr="00A92995">
        <w:t>”</w:t>
      </w:r>
      <w:r w:rsidR="00AB73E0" w:rsidRPr="00A92995">
        <w:rPr>
          <w:rStyle w:val="FootnoteReference"/>
          <w:sz w:val="24"/>
        </w:rPr>
        <w:footnoteReference w:id="28"/>
      </w:r>
      <w:r w:rsidR="00AB73E0" w:rsidRPr="00A92995">
        <w:t xml:space="preserve"> </w:t>
      </w:r>
    </w:p>
    <w:p w14:paraId="50C08F59" w14:textId="3830062A" w:rsidR="00AB73E0" w:rsidRPr="00A92995" w:rsidRDefault="00AB73E0" w:rsidP="003467F1">
      <w:pPr>
        <w:spacing w:line="360" w:lineRule="auto"/>
        <w:ind w:right="-340" w:firstLine="720"/>
      </w:pPr>
      <w:r w:rsidRPr="00A92995">
        <w:t>Nevertheless, the principle of respect for autonomy remains central</w:t>
      </w:r>
      <w:r w:rsidR="00414C7C" w:rsidRPr="00A92995">
        <w:t xml:space="preserve"> in both the Declaration of Madrid and the APA’s annotation</w:t>
      </w:r>
      <w:r w:rsidRPr="00A92995">
        <w:t xml:space="preserve">, as evidenced by the line that psychiatrists should “devise therapeutic interventions that are least restrictive to the freedom of the patient”. As discussed earlier, the principle of respect for autonomy is a central feature of psychotherapeutic interventions for a number of reasons. For one, many symptoms of psychiatric illness often interfere with patients’ capacities for rational deliberation and interfere with various cognitive capacities required for autonomous </w:t>
      </w:r>
      <w:r w:rsidR="001778EB" w:rsidRPr="00A92995">
        <w:t>decision-making</w:t>
      </w:r>
      <w:r w:rsidRPr="00A92995">
        <w:t xml:space="preserve">. Further, some symptoms of psychiatric illness such as delusions and hallucinations are known to actively interfere with the patient’s capacity to appraise her own capacities for autonomous </w:t>
      </w:r>
      <w:r w:rsidR="001778EB" w:rsidRPr="00A92995">
        <w:t>decision-making</w:t>
      </w:r>
      <w:r w:rsidRPr="00A92995">
        <w:t xml:space="preserve">. </w:t>
      </w:r>
      <w:r w:rsidR="0033750E" w:rsidRPr="00A92995">
        <w:t xml:space="preserve">It is obvious then that </w:t>
      </w:r>
      <w:r w:rsidR="00E860A3" w:rsidRPr="00A92995">
        <w:t>the symptoms of a psychiatric illness may undermine the patient’s autonomy in significant ways. It is essential in diagnosis that the psychiatrist evaluates the extent to which the patient’s autonomy is undermined, as well as which symptoms (i.e. mood symptoms, psychotic symptoms, somatic symptoms) are responsible for the patient’s current state of diminished autonomy.</w:t>
      </w:r>
      <w:r w:rsidR="00E860A3" w:rsidRPr="00A92995">
        <w:rPr>
          <w:rStyle w:val="FootnoteReference"/>
          <w:sz w:val="24"/>
        </w:rPr>
        <w:footnoteReference w:id="29"/>
      </w:r>
    </w:p>
    <w:p w14:paraId="1AD005C2" w14:textId="7176DF00" w:rsidR="00AB73E0" w:rsidRPr="00A92995" w:rsidRDefault="003467F1" w:rsidP="00AB73E0">
      <w:pPr>
        <w:spacing w:line="360" w:lineRule="auto"/>
        <w:ind w:right="-340"/>
      </w:pPr>
      <w:r w:rsidRPr="00A92995">
        <w:tab/>
      </w:r>
      <w:r w:rsidR="00AB73E0" w:rsidRPr="00A92995">
        <w:t xml:space="preserve">Besides the role autonomy plays in defining and diagnosing mental illness, the principle serves the additional purpose of determining the responsibilities of psychiatric practice. The psychiatrist is required to judge the extent to which the patient’s autonomy is undermined by her illness, and in turn, to what extent that affects her capacity to make decisions about treatment that is designed to restore and enhance her autonomy. </w:t>
      </w:r>
    </w:p>
    <w:p w14:paraId="0C5575A3" w14:textId="179748E2" w:rsidR="00AB73E0" w:rsidRPr="00A92995" w:rsidRDefault="003467F1" w:rsidP="00AB73E0">
      <w:pPr>
        <w:spacing w:line="360" w:lineRule="auto"/>
        <w:ind w:right="-340"/>
      </w:pPr>
      <w:r w:rsidRPr="00A92995">
        <w:tab/>
      </w:r>
      <w:r w:rsidR="00AB73E0" w:rsidRPr="00A92995">
        <w:t xml:space="preserve">Informed consent </w:t>
      </w:r>
      <w:r w:rsidR="00961FC6" w:rsidRPr="00A92995">
        <w:t xml:space="preserve">also plays a unique role in </w:t>
      </w:r>
      <w:r w:rsidR="00AB73E0" w:rsidRPr="00A92995">
        <w:t xml:space="preserve">psychotherapeutic settings: consent is not only given in order to protect the rights of the patient and </w:t>
      </w:r>
      <w:r w:rsidR="00BE1A66" w:rsidRPr="00A92995">
        <w:t>physician but</w:t>
      </w:r>
      <w:r w:rsidR="00AB73E0" w:rsidRPr="00A92995">
        <w:t xml:space="preserve"> is considered an opportunity to allow the patient to feel some sort of ownership for her treatment; the effect of which would contribute to her own recovery. The principle of respect for autonomy emphasizes that physicians need to be sensitive and account for the patient’s individual considerations and evaluations of the world, and this is especially relevant in psychotherapeutic treatment. Most significantly, the principle of respect for autonomy plays an especially crucial role in psychotherapeutic treatment, because the central aim of treatment is to assist patients in reclaiming and augmenting autonomy.</w:t>
      </w:r>
    </w:p>
    <w:p w14:paraId="21FE2B6F" w14:textId="77777777" w:rsidR="00F950EC" w:rsidRPr="00A92995" w:rsidRDefault="00F950EC" w:rsidP="00AB73E0">
      <w:pPr>
        <w:ind w:right="-340"/>
        <w:rPr>
          <w:color w:val="C00000"/>
        </w:rPr>
      </w:pPr>
    </w:p>
    <w:p w14:paraId="3F722405" w14:textId="2762F304" w:rsidR="00AB73E0" w:rsidRPr="00A92995" w:rsidRDefault="00AB73E0" w:rsidP="00360448">
      <w:pPr>
        <w:pStyle w:val="Heading2"/>
        <w:rPr>
          <w:rStyle w:val="Heading3Char"/>
        </w:rPr>
      </w:pPr>
      <w:bookmarkStart w:id="10" w:name="_Toc505150513"/>
      <w:r w:rsidRPr="00360448">
        <w:rPr>
          <w:rStyle w:val="Heading3Char"/>
        </w:rPr>
        <w:t>The Clinical Encounter: Evaluation and Diagnosis in Psychiatry</w:t>
      </w:r>
      <w:bookmarkEnd w:id="10"/>
    </w:p>
    <w:p w14:paraId="1E00527E" w14:textId="77777777" w:rsidR="00E41141" w:rsidRPr="00A92995" w:rsidRDefault="00E41141" w:rsidP="006F7A80">
      <w:pPr>
        <w:pStyle w:val="Heading2"/>
      </w:pPr>
    </w:p>
    <w:p w14:paraId="6FD0BDF8" w14:textId="44180DD2" w:rsidR="003467F1" w:rsidRPr="00A92995" w:rsidRDefault="00AB73E0" w:rsidP="001B7A6C">
      <w:pPr>
        <w:pStyle w:val="ListParagraph"/>
        <w:spacing w:line="360" w:lineRule="auto"/>
        <w:ind w:left="0" w:right="-340"/>
        <w:outlineLvl w:val="0"/>
        <w:rPr>
          <w:rFonts w:ascii="Times New Roman" w:hAnsi="Times New Roman" w:cs="Times New Roman"/>
        </w:rPr>
      </w:pPr>
      <w:bookmarkStart w:id="11" w:name="_Toc496617528"/>
      <w:bookmarkStart w:id="12" w:name="_Toc496622241"/>
      <w:bookmarkStart w:id="13" w:name="_Toc504905314"/>
      <w:bookmarkStart w:id="14" w:name="_Toc505150514"/>
      <w:r w:rsidRPr="00A92995">
        <w:rPr>
          <w:rFonts w:ascii="Times New Roman" w:hAnsi="Times New Roman" w:cs="Times New Roman"/>
        </w:rPr>
        <w:t xml:space="preserve">Here I refer to a typical clinical encounter in the setting of private practice psychiatry. It is important to note that patient autonomy in this environment does not face all of the same challenges as in emergency medical settings. Patients who bring themselves to the psychiatrist clearly exhibit a greater degree of autonomy than, say, a psychotic delusional patient who requires emergency, life-saving care. Generally, a patient enters the psychiatric clinical encounter with the same expectations she has of any other clinical encounter. The difference here is that the psychological symptoms she experiences might undermine her autonomy in a more evident way than symptoms of a somatic illness. This experience might be further exacerbated upon recognizing that receiving a diagnosis and treatment will depend on the testimony she provides, and whether the psychiatrist deems that testimony true and clinically significant. This is unique to the psychiatric clinical encounter. Unlike in a standard medical appointment, there are no blood tests or x-rays to confirm the patient’s testimony. Psychiatric diagnosis depends on the psychiatrist’s evaluation of the patient’s reported symptoms. The psychiatrist compares the patient’s list of symptoms to the polythetic criteria as outlined in the </w:t>
      </w:r>
      <w:r w:rsidRPr="00A92995">
        <w:rPr>
          <w:rFonts w:ascii="Times New Roman" w:hAnsi="Times New Roman" w:cs="Times New Roman"/>
          <w:i/>
        </w:rPr>
        <w:t>Diagnostic and Statistical Manual of Psychiatric Disorders</w:t>
      </w:r>
      <w:r w:rsidR="002B6031" w:rsidRPr="00A92995">
        <w:rPr>
          <w:rFonts w:ascii="Times New Roman" w:hAnsi="Times New Roman" w:cs="Times New Roman"/>
          <w:i/>
        </w:rPr>
        <w:t xml:space="preserve">, </w:t>
      </w:r>
      <w:r w:rsidR="002B6031" w:rsidRPr="00A92995">
        <w:rPr>
          <w:rFonts w:ascii="Times New Roman" w:hAnsi="Times New Roman" w:cs="Times New Roman"/>
        </w:rPr>
        <w:t>a categorical guide which provides lists of symptoms and criteria which must be met in order for a diagnosis to be made</w:t>
      </w:r>
      <w:r w:rsidR="008A701D">
        <w:rPr>
          <w:rFonts w:cs="Times New Roman"/>
        </w:rPr>
        <w:t>.</w:t>
      </w:r>
      <w:r w:rsidRPr="00A92995">
        <w:rPr>
          <w:rStyle w:val="FootnoteReference"/>
          <w:rFonts w:cs="Times New Roman"/>
          <w:sz w:val="24"/>
        </w:rPr>
        <w:footnoteReference w:id="30"/>
      </w:r>
      <w:r w:rsidRPr="00A92995">
        <w:rPr>
          <w:rFonts w:ascii="Times New Roman" w:hAnsi="Times New Roman" w:cs="Times New Roman"/>
        </w:rPr>
        <w:t xml:space="preserve"> The term ‘polythetic’ refers to the fact that “specific mental disorders are defined by multiple symptoms, and not all listed symptoms are necessary to consider a mental disorder present in a specific individual. Rather, a specific combination and number of symptoms – less than the total number of symptoms of the disorder – must be observed to consider a diagnosis present.”</w:t>
      </w:r>
      <w:r w:rsidRPr="00A92995">
        <w:rPr>
          <w:rStyle w:val="FootnoteReference"/>
          <w:rFonts w:cs="Times New Roman"/>
          <w:sz w:val="24"/>
        </w:rPr>
        <w:footnoteReference w:id="31"/>
      </w:r>
      <w:bookmarkEnd w:id="11"/>
      <w:bookmarkEnd w:id="12"/>
      <w:bookmarkEnd w:id="13"/>
      <w:bookmarkEnd w:id="14"/>
      <w:r w:rsidRPr="00A92995">
        <w:rPr>
          <w:rFonts w:ascii="Times New Roman" w:hAnsi="Times New Roman" w:cs="Times New Roman"/>
        </w:rPr>
        <w:t xml:space="preserve"> </w:t>
      </w:r>
    </w:p>
    <w:p w14:paraId="6EDC8CF0" w14:textId="12356772" w:rsidR="00AB73E0" w:rsidRPr="00A92995" w:rsidRDefault="003467F1" w:rsidP="00AB73E0">
      <w:pPr>
        <w:spacing w:line="360" w:lineRule="auto"/>
        <w:ind w:right="-340"/>
      </w:pPr>
      <w:r w:rsidRPr="00A92995">
        <w:tab/>
      </w:r>
      <w:r w:rsidR="00AB73E0" w:rsidRPr="00A92995">
        <w:t xml:space="preserve">In order to make a diagnosis, a psychiatrist must perform a mental status exam, making observations which are organized across five distinct categories: appearance and behavior (posture, expressions, attire, hygiene), thought processes (rates, continuity, and content of speech), mood and affect (predominant feeling state of the individual), intellectual functioning (vocabulary, metaphorical speaking) and sensorium (general awareness of and orientation in surroundings). These </w:t>
      </w:r>
      <w:r w:rsidR="00AB73E0" w:rsidRPr="00A92995">
        <w:lastRenderedPageBreak/>
        <w:t xml:space="preserve">categories and other diagnostic resources are outlined in </w:t>
      </w:r>
      <w:r w:rsidR="002B6031" w:rsidRPr="00A92995">
        <w:t>the DSM which, i</w:t>
      </w:r>
      <w:r w:rsidR="00AB73E0" w:rsidRPr="00A92995">
        <w:t>n its most recent iteration</w:t>
      </w:r>
      <w:r w:rsidR="002B6031" w:rsidRPr="00A92995">
        <w:t xml:space="preserve">, </w:t>
      </w:r>
      <w:r w:rsidR="00AB73E0" w:rsidRPr="00A92995">
        <w:t>defines mental disorder as follows</w:t>
      </w:r>
      <w:r w:rsidR="00AB73E0" w:rsidRPr="00A92995">
        <w:rPr>
          <w:rStyle w:val="FootnoteReference"/>
          <w:sz w:val="24"/>
        </w:rPr>
        <w:footnoteReference w:id="32"/>
      </w:r>
      <w:r w:rsidR="00AB73E0" w:rsidRPr="00A92995">
        <w:t>:</w:t>
      </w:r>
    </w:p>
    <w:p w14:paraId="25CE419B" w14:textId="77777777" w:rsidR="0079061C" w:rsidRPr="00A92995" w:rsidRDefault="0079061C" w:rsidP="00AB73E0">
      <w:pPr>
        <w:spacing w:line="360" w:lineRule="auto"/>
        <w:ind w:right="-340"/>
      </w:pPr>
    </w:p>
    <w:p w14:paraId="1E17D351" w14:textId="77777777" w:rsidR="00AB73E0" w:rsidRPr="00A92995" w:rsidRDefault="00AB73E0" w:rsidP="00AB73E0">
      <w:pPr>
        <w:ind w:left="720" w:right="-340"/>
        <w:jc w:val="both"/>
      </w:pPr>
      <w:r w:rsidRPr="00A92995">
        <w:t>A mental disorder is a syndrome characterized by clinically significant disturbance in an individual’s cognition, emotional regulation, or behavior that reflects a dysfunction in the psychological, biological, or developmental processes underlying mental functioning. Mental disorders are usually associated with significant distress or disability in social, occupational, or other important activities. An expectable or culturally approved response to a common stressor or loss, such as the death of a loved one, is not a mental disorder. Socially deviant behavior (e.g., political, religious, or sexual) and conflicts that are primarily between the individual and society are not mental disorders unless the deviance or conflict results from a dysfunction in the individual, as described above.</w:t>
      </w:r>
      <w:r w:rsidRPr="00A92995">
        <w:rPr>
          <w:rStyle w:val="FootnoteReference"/>
          <w:sz w:val="24"/>
        </w:rPr>
        <w:footnoteReference w:id="33"/>
      </w:r>
      <w:r w:rsidRPr="00A92995">
        <w:t xml:space="preserve"> </w:t>
      </w:r>
    </w:p>
    <w:p w14:paraId="13129548" w14:textId="77777777" w:rsidR="00AB73E0" w:rsidRPr="00A92995" w:rsidRDefault="00AB73E0" w:rsidP="00AB73E0">
      <w:pPr>
        <w:spacing w:line="360" w:lineRule="auto"/>
        <w:ind w:right="-340"/>
        <w:rPr>
          <w:color w:val="C00000"/>
        </w:rPr>
      </w:pPr>
    </w:p>
    <w:p w14:paraId="4E770022" w14:textId="7F27A45F" w:rsidR="00AB73E0" w:rsidRPr="00A92995" w:rsidRDefault="00AB73E0" w:rsidP="003467F1">
      <w:pPr>
        <w:spacing w:line="360" w:lineRule="auto"/>
        <w:ind w:right="-340" w:firstLine="720"/>
      </w:pPr>
      <w:r w:rsidRPr="00A92995">
        <w:t xml:space="preserve">Psychological </w:t>
      </w:r>
      <w:r w:rsidR="008A701D">
        <w:t>Disorder</w:t>
      </w:r>
      <w:r w:rsidRPr="00A92995">
        <w:t xml:space="preserve">, also called abnormal behavior, is deemed clinically relevant when it meets the following criteria: </w:t>
      </w:r>
      <w:r w:rsidR="008A701D">
        <w:t xml:space="preserve">psychological dysfunction, </w:t>
      </w:r>
      <w:r w:rsidRPr="00A92995">
        <w:t>significant personal distress, and severe deviation from prevalent cultural norms.</w:t>
      </w:r>
      <w:r w:rsidRPr="00A92995">
        <w:rPr>
          <w:rStyle w:val="FootnoteReference"/>
          <w:sz w:val="24"/>
        </w:rPr>
        <w:footnoteReference w:id="34"/>
      </w:r>
      <w:r w:rsidRPr="00A92995">
        <w:t xml:space="preserve"> ‘Psychological dysfunction’ may include cognitive, emotional, or behavioral impairments. As a criterion for classifying abnormal behavior, psychological dysfunction is a necessary but not sufficient component. Personal distress is another necessary criterion for behavior to be considered abnormal. This distress manifests as extreme emotional responses which impair the individual’s ability to respond in an appropriate manner to relevant stressors. The third of the three necessary criteria of abnormal behavior</w:t>
      </w:r>
      <w:r w:rsidR="009E5F1D" w:rsidRPr="00A92995">
        <w:t>,</w:t>
      </w:r>
      <w:r w:rsidRPr="00A92995">
        <w:t xml:space="preserve"> is that the behavior exhibited must be culturally atypical. While this criterion may be much harder to assess, it is essential in the diagnostic moment. The degree of deviation from the cultural norm is what distinguishes behavior of, say, the ‘rebellious’ sort, from what is truly ‘abnormal’. It must be stressed here in particular that deviation on its own cannot be the sole indicator of abnormal behavior. It must be accompanied by both significant personal distress as well as psychological dysfunction. </w:t>
      </w:r>
    </w:p>
    <w:p w14:paraId="464CE860" w14:textId="74B78BD5" w:rsidR="00AB73E0" w:rsidRPr="00A92995" w:rsidRDefault="00AB73E0" w:rsidP="003467F1">
      <w:pPr>
        <w:spacing w:line="360" w:lineRule="auto"/>
        <w:ind w:right="-340" w:firstLine="720"/>
      </w:pPr>
      <w:r w:rsidRPr="00A92995">
        <w:t xml:space="preserve">If the patient meets the criteria of mental illness, the physician may then conclude that the patient should be assessed </w:t>
      </w:r>
      <w:r w:rsidR="00BE1A66" w:rsidRPr="00A92995">
        <w:t>further,</w:t>
      </w:r>
      <w:r w:rsidRPr="00A92995">
        <w:t xml:space="preserve"> or she may hypothesize about the patient’s potential condition. The resulting hypothesis would assist in narrowing further assessment of the patient before coming to a definitive diagnosis. Beyond this, the physician may require a physical examination and </w:t>
      </w:r>
      <w:r w:rsidRPr="00A92995">
        <w:lastRenderedPageBreak/>
        <w:t>perhaps, even further, behavioral assessment of the individual in her ‘natural environment’</w:t>
      </w:r>
      <w:r w:rsidRPr="00A92995">
        <w:rPr>
          <w:rStyle w:val="FootnoteReference"/>
          <w:sz w:val="24"/>
        </w:rPr>
        <w:footnoteReference w:id="35"/>
      </w:r>
      <w:r w:rsidRPr="00A92995">
        <w:t xml:space="preserve">. If physical examinations are required, these serve to rule out any medical conditions that may cause or contribute to the patient’s distressed behavior. Further, physical and imaging examinations such as electroencephalographs (EEGs) and </w:t>
      </w:r>
      <w:r w:rsidR="007B2641" w:rsidRPr="00A92995">
        <w:t>functional magnetic resonance imaging (</w:t>
      </w:r>
      <w:r w:rsidRPr="00A92995">
        <w:t>fMRIs</w:t>
      </w:r>
      <w:r w:rsidR="007B2641" w:rsidRPr="00A92995">
        <w:t>)</w:t>
      </w:r>
      <w:r w:rsidRPr="00A92995">
        <w:t xml:space="preserve"> are useful in determining if a psychological disorder is the result of a brain abnormality or atypical brain structure. Unfortunately, and notably, other than the vague information gathered from neuroimaging, there are very few reliable physical examinations that can accurately identi</w:t>
      </w:r>
      <w:r w:rsidR="008475AA" w:rsidRPr="00A92995">
        <w:t>f</w:t>
      </w:r>
      <w:r w:rsidRPr="00A92995">
        <w:t>y the presence of a psychological disorder. Indeed, the experience of diagnosis would be very different if a blood test could confirm the diagnosis of mental disorder.</w:t>
      </w:r>
      <w:r w:rsidR="002D30B5" w:rsidRPr="00A92995">
        <w:t xml:space="preserve"> </w:t>
      </w:r>
      <w:r w:rsidR="008475AA" w:rsidRPr="00A92995">
        <w:t>The DSM acknowledges the problem in the following passage:</w:t>
      </w:r>
    </w:p>
    <w:p w14:paraId="407C50E2" w14:textId="77777777" w:rsidR="0079061C" w:rsidRPr="00A92995" w:rsidRDefault="0079061C" w:rsidP="003467F1">
      <w:pPr>
        <w:spacing w:line="360" w:lineRule="auto"/>
        <w:ind w:right="-340" w:firstLine="720"/>
      </w:pPr>
    </w:p>
    <w:p w14:paraId="0F7B846B" w14:textId="77777777" w:rsidR="00AB73E0" w:rsidRPr="00A92995" w:rsidRDefault="00AB73E0" w:rsidP="00AB73E0">
      <w:pPr>
        <w:ind w:left="720" w:right="-340"/>
        <w:jc w:val="both"/>
      </w:pPr>
      <w:r w:rsidRPr="00A92995">
        <w:t xml:space="preserve"> …in the absence of clear biological markers or clinically useful measurements of severity for many mental disorders, it has not been possible to completely separate normal and pathological symptom expressions contained in diagnostic criteria. This gap in information is particularly problematic in clinical situations in which the patient’s symptom presentation by itself (particularly in mild forms) is not inherently pathological and may be encountered in individuals for whom a diagnosis of “mental disorder” would be inappropriate. Therefore, a generic diagnostic criterion requiring distress or disability has been used to establish disorder thresholds, usually worded ‘the disturbance causes clinically significant distress or impairment in social, occupational, or other important areas of functioning’.</w:t>
      </w:r>
      <w:r w:rsidRPr="00A92995">
        <w:rPr>
          <w:rStyle w:val="FootnoteReference"/>
          <w:sz w:val="24"/>
        </w:rPr>
        <w:footnoteReference w:id="36"/>
      </w:r>
    </w:p>
    <w:p w14:paraId="1093B2AC" w14:textId="77777777" w:rsidR="00AB73E0" w:rsidRPr="00A92995" w:rsidRDefault="00AB73E0" w:rsidP="00AB73E0">
      <w:pPr>
        <w:spacing w:line="360" w:lineRule="auto"/>
        <w:ind w:right="-340"/>
      </w:pPr>
    </w:p>
    <w:p w14:paraId="0D3A3400" w14:textId="69CFC4FB" w:rsidR="00AB73E0" w:rsidRPr="00A92995" w:rsidRDefault="00AB73E0" w:rsidP="008203B8">
      <w:pPr>
        <w:spacing w:line="360" w:lineRule="auto"/>
        <w:ind w:right="-340" w:firstLine="720"/>
      </w:pPr>
      <w:r w:rsidRPr="00A92995">
        <w:t xml:space="preserve">Once somatic conditions have been ruled out, the physician relies on his discretion to cross reference the symptoms reported by the patient – those that he deems clinically significant – with the criteria in the DSM. </w:t>
      </w:r>
      <w:r w:rsidR="00D058F9" w:rsidRPr="00A92995">
        <w:t xml:space="preserve">While this diagnostic process is used almost universally in psychiatry around the world and continues to develop in response to criticisms, it is not immune to further critique. In the following section I discuss some objections to the current diagnostic model. </w:t>
      </w:r>
    </w:p>
    <w:p w14:paraId="60E80F49" w14:textId="77777777" w:rsidR="00D058F9" w:rsidRPr="00A92995" w:rsidRDefault="00D058F9" w:rsidP="00360448">
      <w:pPr>
        <w:pStyle w:val="Heading2"/>
      </w:pPr>
    </w:p>
    <w:p w14:paraId="766DEB9F" w14:textId="680543E4" w:rsidR="00AB73E0" w:rsidRPr="00A92995" w:rsidRDefault="00AB73E0" w:rsidP="006F7A80">
      <w:pPr>
        <w:pStyle w:val="Heading2"/>
      </w:pPr>
      <w:bookmarkStart w:id="15" w:name="_Toc505150515"/>
      <w:r w:rsidRPr="00A92995">
        <w:t>Criticisms of the current psychiatric diagnostic model</w:t>
      </w:r>
      <w:bookmarkEnd w:id="15"/>
    </w:p>
    <w:p w14:paraId="714FA7BA" w14:textId="77777777" w:rsidR="003467F1" w:rsidRPr="00A92995" w:rsidRDefault="003467F1" w:rsidP="003467F1"/>
    <w:p w14:paraId="6577ADA6" w14:textId="584D105C" w:rsidR="00AB73E0" w:rsidRPr="00A92995" w:rsidRDefault="00AB73E0" w:rsidP="00AB73E0">
      <w:pPr>
        <w:spacing w:line="360" w:lineRule="auto"/>
        <w:ind w:right="-340"/>
        <w:rPr>
          <w:color w:val="1A1718"/>
        </w:rPr>
      </w:pPr>
      <w:r w:rsidRPr="00A92995">
        <w:t xml:space="preserve">In a thorough and technical critique, Josef Parnas attacks the method of differential diagnosis that is currently operational in psychiatry. In particular, he criticizes the ‘polythetic’ nature of diagnostic categories in the fourth and fifth editions of the DSM. Polythetic categories are </w:t>
      </w:r>
      <w:r w:rsidRPr="00A92995">
        <w:rPr>
          <w:color w:val="1A1718"/>
        </w:rPr>
        <w:t xml:space="preserve">based on a list of symptoms and signs believed to be characteristic for the diagnosis in question. Typically, “a certain </w:t>
      </w:r>
      <w:r w:rsidRPr="00A92995">
        <w:rPr>
          <w:color w:val="1A1718"/>
        </w:rPr>
        <w:lastRenderedPageBreak/>
        <w:t>number of diagnostically equivalent symptoms or signs from a given list is sufficient to arrive at a diagnosis.”</w:t>
      </w:r>
      <w:r w:rsidRPr="00A92995">
        <w:rPr>
          <w:rStyle w:val="FootnoteReference"/>
          <w:color w:val="1A1718"/>
          <w:sz w:val="24"/>
        </w:rPr>
        <w:footnoteReference w:id="37"/>
      </w:r>
      <w:r w:rsidRPr="00A92995">
        <w:rPr>
          <w:color w:val="1A1718"/>
        </w:rPr>
        <w:t xml:space="preserve"> He compares the current polythetic diagnostic method to the earlier prototypical/gestalt method advocated in the first three editions of the DSM. Prototypical/gestalt diagnostic criteria relied on narrative, conceptual and phenomenological descriptions of mental illness; in turn allowing for considerations of “the phenomenological structure of the individual symptoms and signs, their relations of implication or entailment, and their context dependence</w:t>
      </w:r>
      <w:r w:rsidR="008A701D">
        <w:rPr>
          <w:color w:val="1A1718"/>
        </w:rPr>
        <w:t>.</w:t>
      </w:r>
      <w:r w:rsidRPr="00A92995">
        <w:rPr>
          <w:color w:val="1A1718"/>
        </w:rPr>
        <w:t>”</w:t>
      </w:r>
      <w:r w:rsidRPr="00A92995">
        <w:rPr>
          <w:rStyle w:val="FootnoteReference"/>
          <w:color w:val="1A1718"/>
          <w:sz w:val="24"/>
        </w:rPr>
        <w:footnoteReference w:id="38"/>
      </w:r>
      <w:r w:rsidRPr="00A92995">
        <w:rPr>
          <w:color w:val="1A1718"/>
        </w:rPr>
        <w:t xml:space="preserve"> By contrast, the current polythetic diagnostic system seeks to identify various symptoms which correlate to inclusion and exclusion criteria. He argues that this system is overly reductive and oversimplifies the context-dependency and phenomenological features of patient experience. The current, polythetic diagnostic method reduces differential diagnosis to something like a “digitalized decision tree”, and glosses over various components of the patient’s experience that contribute important diagnostic information.</w:t>
      </w:r>
      <w:r w:rsidRPr="00A92995">
        <w:rPr>
          <w:rStyle w:val="FootnoteReference"/>
          <w:color w:val="1A1718"/>
          <w:sz w:val="24"/>
        </w:rPr>
        <w:footnoteReference w:id="39"/>
      </w:r>
    </w:p>
    <w:p w14:paraId="75C7A26C" w14:textId="19EFFFEB" w:rsidR="00AB73E0" w:rsidRPr="00A92995" w:rsidRDefault="003467F1" w:rsidP="00AB73E0">
      <w:pPr>
        <w:spacing w:line="360" w:lineRule="auto"/>
        <w:ind w:right="-340"/>
        <w:rPr>
          <w:color w:val="1A1718"/>
        </w:rPr>
      </w:pPr>
      <w:r w:rsidRPr="00A92995">
        <w:rPr>
          <w:color w:val="1A1718"/>
        </w:rPr>
        <w:tab/>
      </w:r>
      <w:r w:rsidR="00AB73E0" w:rsidRPr="00A92995">
        <w:rPr>
          <w:color w:val="1A1718"/>
        </w:rPr>
        <w:t>Serife Tekin lays a similar charge against the current diagnostic process in psychiatry. The symptom-based approach, she explains, describes mental illness “according to the psychological experiences of the patient that correspond to a list of observables.”</w:t>
      </w:r>
      <w:r w:rsidR="00AB73E0" w:rsidRPr="00A92995">
        <w:rPr>
          <w:rStyle w:val="FootnoteReference"/>
          <w:color w:val="1A1718"/>
          <w:sz w:val="24"/>
        </w:rPr>
        <w:footnoteReference w:id="40"/>
      </w:r>
      <w:r w:rsidR="00AB73E0" w:rsidRPr="00A92995">
        <w:rPr>
          <w:color w:val="1A1718"/>
        </w:rPr>
        <w:t xml:space="preserve"> Her concern is that this type of focus has the undesirable effect of eliminating important </w:t>
      </w:r>
      <w:r w:rsidR="001B5894">
        <w:rPr>
          <w:color w:val="1A1718"/>
        </w:rPr>
        <w:t xml:space="preserve">personal </w:t>
      </w:r>
      <w:r w:rsidR="00AB73E0" w:rsidRPr="00A92995">
        <w:rPr>
          <w:color w:val="1A1718"/>
        </w:rPr>
        <w:t>contingencies which are relevant to the patient’s experience. Various phenomena, such as the patient’s environment, her individual personality and responses, her unique sensitivity to various social and interpersonal contexts</w:t>
      </w:r>
      <w:r w:rsidR="00E129E1" w:rsidRPr="00A92995">
        <w:rPr>
          <w:color w:val="1A1718"/>
        </w:rPr>
        <w:t>,</w:t>
      </w:r>
      <w:r w:rsidR="00AB73E0" w:rsidRPr="00A92995">
        <w:rPr>
          <w:color w:val="1A1718"/>
        </w:rPr>
        <w:t xml:space="preserve"> all inform the development and experience of her mental illness.</w:t>
      </w:r>
      <w:r w:rsidR="00AB73E0" w:rsidRPr="00A92995">
        <w:rPr>
          <w:rStyle w:val="FootnoteReference"/>
          <w:color w:val="1A1718"/>
          <w:sz w:val="24"/>
        </w:rPr>
        <w:footnoteReference w:id="41"/>
      </w:r>
      <w:r w:rsidR="00AB73E0" w:rsidRPr="00A92995">
        <w:rPr>
          <w:color w:val="1A1718"/>
        </w:rPr>
        <w:t xml:space="preserve"> Tekin makes reference to another critic of this approach, whose introduction of a new descriptive term, ‘hyponarrativity’, will be useful here.</w:t>
      </w:r>
    </w:p>
    <w:p w14:paraId="00075C5E" w14:textId="77777777" w:rsidR="0079061C" w:rsidRPr="00A92995" w:rsidRDefault="0079061C" w:rsidP="00AB73E0">
      <w:pPr>
        <w:spacing w:line="360" w:lineRule="auto"/>
        <w:ind w:right="-340"/>
        <w:rPr>
          <w:color w:val="1A1718"/>
        </w:rPr>
      </w:pPr>
    </w:p>
    <w:p w14:paraId="06AF09D1" w14:textId="77777777" w:rsidR="00AB73E0" w:rsidRPr="00A92995" w:rsidRDefault="00AB73E0" w:rsidP="00AB73E0">
      <w:pPr>
        <w:ind w:left="720" w:right="-340"/>
        <w:jc w:val="both"/>
        <w:rPr>
          <w:color w:val="1A1718"/>
        </w:rPr>
      </w:pPr>
      <w:r w:rsidRPr="00A92995">
        <w:rPr>
          <w:color w:val="1A1718"/>
        </w:rPr>
        <w:t xml:space="preserve">According to John Sadler, the omission of subjectivity exhibits an ontological assumption about mental disorders, namely, that the signs, symptoms, and pathophysiological correlates of a mental disorder unfold autonomously… Sadler calls this assumption the hyponarrativity of the DSMs: there is little room, he says, for the unique life narratives that contribute to the nature and course of a patient’s mental disorder….The emphasis is on the symptoms, and these symptoms are not elucidated in relation to a patient’s life but are considered </w:t>
      </w:r>
      <w:r w:rsidRPr="00A92995">
        <w:rPr>
          <w:color w:val="1A1718"/>
        </w:rPr>
        <w:lastRenderedPageBreak/>
        <w:t>independently, as if the patient, who is the subject of the illness, is irrelevant to the course of the illness.</w:t>
      </w:r>
      <w:r w:rsidRPr="00A92995">
        <w:rPr>
          <w:rStyle w:val="FootnoteReference"/>
          <w:color w:val="1A1718"/>
          <w:sz w:val="24"/>
        </w:rPr>
        <w:footnoteReference w:id="42"/>
      </w:r>
      <w:r w:rsidRPr="00A92995">
        <w:rPr>
          <w:color w:val="1A1718"/>
        </w:rPr>
        <w:t xml:space="preserve"> </w:t>
      </w:r>
    </w:p>
    <w:p w14:paraId="04183EB7" w14:textId="77777777" w:rsidR="00AB73E0" w:rsidRPr="00A92995" w:rsidRDefault="00AB73E0" w:rsidP="00AB73E0">
      <w:pPr>
        <w:spacing w:line="360" w:lineRule="auto"/>
        <w:ind w:right="-340"/>
        <w:jc w:val="both"/>
        <w:rPr>
          <w:color w:val="1A1718"/>
        </w:rPr>
      </w:pPr>
    </w:p>
    <w:p w14:paraId="312AB744" w14:textId="220C4845" w:rsidR="00AB73E0" w:rsidRPr="00A92995" w:rsidRDefault="00AB73E0" w:rsidP="003467F1">
      <w:pPr>
        <w:spacing w:line="360" w:lineRule="auto"/>
        <w:ind w:right="-340" w:firstLine="720"/>
        <w:rPr>
          <w:color w:val="1A1718"/>
        </w:rPr>
      </w:pPr>
      <w:r w:rsidRPr="00A92995">
        <w:rPr>
          <w:color w:val="1A1718"/>
        </w:rPr>
        <w:t xml:space="preserve">All three of these criticisms suggest that the symptom-based, polythetic, decision-tree method of diagnosis </w:t>
      </w:r>
      <w:r w:rsidR="001B5894">
        <w:rPr>
          <w:color w:val="1A1718"/>
        </w:rPr>
        <w:t>omits</w:t>
      </w:r>
      <w:r w:rsidRPr="00A92995">
        <w:rPr>
          <w:color w:val="1A1718"/>
        </w:rPr>
        <w:t xml:space="preserve"> important features of patient experience. The very same criticism can be held against procedural accounts of autonomy, as we will see in the next chapter. </w:t>
      </w:r>
    </w:p>
    <w:p w14:paraId="092B47FC" w14:textId="062751E2" w:rsidR="00AB73E0" w:rsidRPr="00A92995" w:rsidRDefault="003467F1" w:rsidP="00AB73E0">
      <w:pPr>
        <w:spacing w:line="360" w:lineRule="auto"/>
        <w:ind w:right="-340"/>
      </w:pPr>
      <w:r w:rsidRPr="00A92995">
        <w:tab/>
      </w:r>
      <w:r w:rsidR="00AB73E0" w:rsidRPr="00A92995">
        <w:t xml:space="preserve">Of course, there is obvious clinical utility in this polythetic, symptom-based diagnostic method. Various observable behaviors are necessary components of some mental illnesses. For example, various sleep and appetite disturbances are observable features </w:t>
      </w:r>
      <w:r w:rsidR="009E4464" w:rsidRPr="00A92995">
        <w:t xml:space="preserve">that </w:t>
      </w:r>
      <w:r w:rsidR="00AB73E0" w:rsidRPr="00A92995">
        <w:t>match the diagnostic criteria of depression. It is by this correspondence that a psychiatrist may make an appropriate diagnosis and offer treatment. It is therefore important to note that the DSM is not designed to intentionally ignore the various contingencies we have highlighted</w:t>
      </w:r>
      <w:r w:rsidR="00626756" w:rsidRPr="00A92995">
        <w:t xml:space="preserve">. </w:t>
      </w:r>
      <w:r w:rsidR="00AB73E0" w:rsidRPr="00A92995">
        <w:t xml:space="preserve">It is noted in the DSM that its limited categorical approach should not be taken as advice to ignore the patient’s personal experience of her symptoms, as its purpose is to serve as a diagnostic framework only. It also suggests caution when symptoms would be better accounted for by other circumstances, such as the recent loss of a loved one, or the presence of another medical condition. The intention, I think, is for the unique contingencies and personal experience of the patient to be reintroduced in the clinical setting once a clinical diagnosis has been made. However, clinical experience does not reflect this intention, and it becomes clear that the trend in psychiatric clinical settings is to proceed with the symptoms-based approach. As Tekin points out, while the DSM “does not advise the clinician to ‘ignore the patient’s story’…it guides clinical practice by directing the clinician’s interest to symptoms, not to the patient as a whole </w:t>
      </w:r>
      <w:r w:rsidR="00AB73E0" w:rsidRPr="00A92995">
        <w:rPr>
          <w:i/>
        </w:rPr>
        <w:t xml:space="preserve">person </w:t>
      </w:r>
      <w:r w:rsidR="00AB73E0" w:rsidRPr="00A92995">
        <w:t xml:space="preserve">encountering mental disorder.” </w:t>
      </w:r>
      <w:r w:rsidR="00AB73E0" w:rsidRPr="00A92995">
        <w:rPr>
          <w:rStyle w:val="FootnoteReference"/>
          <w:sz w:val="24"/>
        </w:rPr>
        <w:footnoteReference w:id="43"/>
      </w:r>
      <w:r w:rsidR="00AB73E0" w:rsidRPr="00A92995">
        <w:t xml:space="preserve"> </w:t>
      </w:r>
    </w:p>
    <w:p w14:paraId="5C754039" w14:textId="77777777" w:rsidR="00AB73E0" w:rsidRPr="00A92995" w:rsidRDefault="00AB73E0" w:rsidP="00AB73E0">
      <w:pPr>
        <w:spacing w:line="360" w:lineRule="auto"/>
        <w:ind w:right="-340"/>
      </w:pPr>
    </w:p>
    <w:p w14:paraId="192DB4F5" w14:textId="6DBCBE7B" w:rsidR="00AB73E0" w:rsidRPr="00A92995" w:rsidRDefault="00AB73E0" w:rsidP="00360448">
      <w:pPr>
        <w:pStyle w:val="Heading2"/>
      </w:pPr>
      <w:bookmarkStart w:id="16" w:name="_Toc505150516"/>
      <w:r w:rsidRPr="00A92995">
        <w:lastRenderedPageBreak/>
        <w:t>Concluding Remarks</w:t>
      </w:r>
      <w:bookmarkEnd w:id="16"/>
    </w:p>
    <w:p w14:paraId="0983E436" w14:textId="77777777" w:rsidR="00AB73E0" w:rsidRPr="00A92995" w:rsidRDefault="00AB73E0" w:rsidP="006F7A80">
      <w:pPr>
        <w:pStyle w:val="Heading2"/>
      </w:pPr>
    </w:p>
    <w:p w14:paraId="6FAD56E1" w14:textId="77777777" w:rsidR="007C18F2" w:rsidRDefault="00AB73E0" w:rsidP="001B7A6C">
      <w:pPr>
        <w:spacing w:line="360" w:lineRule="auto"/>
        <w:ind w:right="-340"/>
      </w:pPr>
      <w:r w:rsidRPr="00A92995">
        <w:t xml:space="preserve">The </w:t>
      </w:r>
      <w:r w:rsidR="001778EB" w:rsidRPr="00A92995">
        <w:t>physician-patient</w:t>
      </w:r>
      <w:r w:rsidRPr="00A92995">
        <w:t xml:space="preserve"> relationship has undergone several revisions throughout the history and development of medical ethics. Modern medical ethics has rejected the paternalistic model of physician-patient relationship in favor of the principle of respect for autonomy. In the Western world, the concept of autonomy is </w:t>
      </w:r>
      <w:r w:rsidR="009E4464" w:rsidRPr="00A92995">
        <w:t>often associated with</w:t>
      </w:r>
      <w:r w:rsidRPr="00A92995">
        <w:t xml:space="preserve"> notions of individual liberty. As a result, legal and medical ethics take as their foundation a particular view of the individual which relies on notions of rights and responsibilities to guide transactions with others. From this emerges the primacy of contractual agreement between individuals as consumers and service providers such as physicians. This is evident in medical ethics which depends on the principle of informed consent to guide physician-patient transactions, which enumerate the rights and responsibilities of each party as though it were a business type transaction. Smith and Newton dubbed this the ‘autonomy</w:t>
      </w:r>
      <w:r w:rsidR="001B5894">
        <w:t>/</w:t>
      </w:r>
      <w:r w:rsidRPr="00A92995">
        <w:t xml:space="preserve">contract’ model of autonomy, and I have argued that the physician-patient relationship that is grounded on this model does not adequately serve the patient. Informed consent is not enough to ensure patient autonomy before treatment, and the clinical encounter itself does little to support patient autonomy. This is especially relevant to psychotherapeutic clinical encounters, especially in those cases where patients </w:t>
      </w:r>
      <w:r w:rsidR="00C92692" w:rsidRPr="00A92995">
        <w:t xml:space="preserve">who </w:t>
      </w:r>
      <w:r w:rsidRPr="00A92995">
        <w:t xml:space="preserve">meet the minimal conditions of competency still seem to lack sufficient autonomy to make sound medical treatment decision. </w:t>
      </w:r>
    </w:p>
    <w:p w14:paraId="23D6B0DA" w14:textId="4064A226" w:rsidR="00AB73E0" w:rsidRPr="00A92995" w:rsidRDefault="00AB73E0" w:rsidP="007C18F2">
      <w:pPr>
        <w:spacing w:line="360" w:lineRule="auto"/>
        <w:ind w:right="-340" w:firstLine="720"/>
      </w:pPr>
      <w:r w:rsidRPr="00A92995">
        <w:t xml:space="preserve">In the next chapter, I </w:t>
      </w:r>
      <w:r w:rsidR="0058704A" w:rsidRPr="00A92995">
        <w:t xml:space="preserve">explore how philosophical conceptions of autonomy attempt to define the conditions of autonomy beyond simply defining minimal conditions of competency. </w:t>
      </w:r>
      <w:r w:rsidRPr="00A92995">
        <w:t xml:space="preserve">I </w:t>
      </w:r>
      <w:r w:rsidR="0058704A" w:rsidRPr="00A92995">
        <w:t xml:space="preserve">also </w:t>
      </w:r>
      <w:r w:rsidRPr="00A92995">
        <w:t xml:space="preserve">show that the dominant philosophical conception of autonomy, which informs modern medical ethics and the physician-patient relationship, is </w:t>
      </w:r>
      <w:r w:rsidR="0079061C" w:rsidRPr="00A92995">
        <w:t>oversimplified,</w:t>
      </w:r>
      <w:r w:rsidRPr="00A92995">
        <w:t xml:space="preserve"> and fails to address significant threats to patient autonomy. </w:t>
      </w:r>
    </w:p>
    <w:p w14:paraId="7E4B6EBD" w14:textId="77777777" w:rsidR="00AB73E0" w:rsidRPr="00A92995" w:rsidRDefault="00AB73E0">
      <w:r w:rsidRPr="00A92995">
        <w:br w:type="page"/>
      </w:r>
    </w:p>
    <w:p w14:paraId="2EE436CE" w14:textId="288E308A" w:rsidR="00AB73E0" w:rsidRPr="00A92995" w:rsidRDefault="00AB73E0" w:rsidP="000C3662">
      <w:pPr>
        <w:pStyle w:val="Heading1"/>
      </w:pPr>
      <w:bookmarkStart w:id="17" w:name="_Toc505150517"/>
      <w:r w:rsidRPr="00A92995">
        <w:lastRenderedPageBreak/>
        <w:t>Chapter II: Personal Autonomy and Individual Liberty</w:t>
      </w:r>
      <w:bookmarkEnd w:id="17"/>
    </w:p>
    <w:p w14:paraId="04175747" w14:textId="77777777" w:rsidR="00AB73E0" w:rsidRPr="00A92995" w:rsidRDefault="00AB73E0" w:rsidP="00AB73E0"/>
    <w:p w14:paraId="0E7BFB7D" w14:textId="0D6CC2C3" w:rsidR="00AB73E0" w:rsidRPr="00A92995" w:rsidRDefault="00AB73E0" w:rsidP="00360448">
      <w:pPr>
        <w:pStyle w:val="Heading2"/>
      </w:pPr>
      <w:bookmarkStart w:id="18" w:name="_Toc505150518"/>
      <w:r w:rsidRPr="00360448">
        <w:t>Personal Autonomy and Individual Liberty</w:t>
      </w:r>
      <w:bookmarkEnd w:id="18"/>
      <w:r w:rsidRPr="00360448">
        <w:t xml:space="preserve"> </w:t>
      </w:r>
    </w:p>
    <w:p w14:paraId="456BA2D5" w14:textId="77777777" w:rsidR="00AB73E0" w:rsidRPr="00A92995" w:rsidRDefault="00AB73E0" w:rsidP="00AB73E0">
      <w:pPr>
        <w:spacing w:line="360" w:lineRule="auto"/>
      </w:pPr>
    </w:p>
    <w:p w14:paraId="4D52969A" w14:textId="3D551AAA" w:rsidR="00AB73E0" w:rsidRPr="00A92995" w:rsidRDefault="00AB73E0" w:rsidP="001B7A6C">
      <w:pPr>
        <w:spacing w:line="360" w:lineRule="auto"/>
      </w:pPr>
      <w:r w:rsidRPr="00A92995">
        <w:t xml:space="preserve">In this section I provide an overview of influential theories of autonomy that have dominated philosophical literature. While I will discuss these theories in order of development, I emphasize the division of these theories into those classified as procedural and those that are substantive. Procedural accounts are further divided into structural, </w:t>
      </w:r>
      <w:r w:rsidR="0079061C" w:rsidRPr="00A92995">
        <w:t>historical,</w:t>
      </w:r>
      <w:r w:rsidRPr="00A92995">
        <w:t xml:space="preserve"> and competency</w:t>
      </w:r>
      <w:r w:rsidR="00BE1A66" w:rsidRPr="00A92995">
        <w:t>-</w:t>
      </w:r>
      <w:r w:rsidRPr="00A92995">
        <w:t>based accounts; and substantive accounts are further divided into strong and weak substantive accounts. This categorical distinction will be important when we evaluate if their theoretical conceptions of autonomy translate successfully into practical applications.</w:t>
      </w:r>
    </w:p>
    <w:p w14:paraId="6466566A" w14:textId="6A8CBD17" w:rsidR="00AB73E0" w:rsidRPr="00A92995" w:rsidRDefault="009D4901" w:rsidP="00AB73E0">
      <w:pPr>
        <w:spacing w:line="360" w:lineRule="auto"/>
      </w:pPr>
      <w:r w:rsidRPr="00A92995">
        <w:tab/>
      </w:r>
      <w:r w:rsidR="00AB73E0" w:rsidRPr="00A92995">
        <w:t xml:space="preserve">We might generally define personal autonomy by description: an agent is autonomous so long as she has the capacity to act according to her own preferences and desires, and to do so free from interference and coercion. From this definition we can ask two central questions: What is required for an agent to be capable or competent enough to act autonomously? And what do we mean when we say that an agent’s desires, motivations, and preferences are her ‘own’? These two questions form the basis of philosophical investigation into the nature of personal autonomy. Most philosophers agree on the conditions of competence required for an agent to decide and act autonomously. For instance, various critical and rational skills are required for an agent to make decisions. These decisions also require a certain soundness of reason, cognitive capacity that allows for individual deliberation, and if the decision will issue in action, various physical abilities are also required. I will refer to this as the ‘condition of competence’. However, there is much less consensus on what is required for an agent’s decisions, preferences, and motivations to be ‘her own’. I will refer to this as the ‘condition of authenticity’. </w:t>
      </w:r>
    </w:p>
    <w:p w14:paraId="479CD3B9" w14:textId="1D7DC4E5" w:rsidR="00AB73E0" w:rsidRPr="00A92995" w:rsidRDefault="009D4901" w:rsidP="00AB73E0">
      <w:pPr>
        <w:spacing w:line="360" w:lineRule="auto"/>
      </w:pPr>
      <w:r w:rsidRPr="00A92995">
        <w:tab/>
      </w:r>
      <w:r w:rsidR="00AB73E0" w:rsidRPr="00A92995">
        <w:t xml:space="preserve">The categorical distinction noted above emerge as a result of disagreement among theorists as to what is required for an agent’s desires and motivations to be her own. Procedural theories of autonomy suggest that determining that an agent’s desires and motivations are ‘her own’ requires an examination of the </w:t>
      </w:r>
      <w:r w:rsidR="00AB73E0" w:rsidRPr="00A92995">
        <w:rPr>
          <w:i/>
        </w:rPr>
        <w:t>process</w:t>
      </w:r>
      <w:r w:rsidR="00AB73E0" w:rsidRPr="00A92995">
        <w:t xml:space="preserve"> by which she arrived at those desires and motivations. In particular, procedural theories of autonomy require that an agent subject her desires and motivations to critical reflection, endorsing some while rejecting others. Throughout this research I will use the term ‘reflective endorsement’ to signify that condition that is shared by all procedural theories of autonomy. Substantive theories of autonomy argue that this </w:t>
      </w:r>
      <w:r w:rsidR="00AB73E0" w:rsidRPr="00A92995">
        <w:lastRenderedPageBreak/>
        <w:t xml:space="preserve">formation process could be corrupted by external forces, and that it is essential to examine the substance of the agent’s desires to determine if they are truly </w:t>
      </w:r>
      <w:r w:rsidR="00E04818" w:rsidRPr="00A92995">
        <w:t xml:space="preserve">her </w:t>
      </w:r>
      <w:r w:rsidR="00AB73E0" w:rsidRPr="00A92995">
        <w:t xml:space="preserve">own. It is plausible, according to most substantive autonomy theorists, for an agent to reflectively endorse desires and motivations that are not her own, as in the case of internalized oppression, self-abnegation and adaptive preference formation, concepts which will all be discussed in detail later. Each philosophical theory of autonomy attempts to propose necessary and sufficient conditions to meet this requirement of authenticity. I discuss these mostly chronologically to demonstrate how each succeeding theory attempts to address any failures of the preceding dominant theory. As we track the development of these theories, we gather information regarding commonly occurring problems as well as various tools that help us conceptualize the type of autonomy theory we are looking for. </w:t>
      </w:r>
    </w:p>
    <w:p w14:paraId="7428C529" w14:textId="77777777" w:rsidR="000320FC" w:rsidRDefault="009D4901" w:rsidP="00AB73E0">
      <w:pPr>
        <w:spacing w:line="360" w:lineRule="auto"/>
      </w:pPr>
      <w:r w:rsidRPr="00A92995">
        <w:tab/>
      </w:r>
      <w:r w:rsidR="00AB73E0" w:rsidRPr="00A92995">
        <w:t xml:space="preserve">As we saw in the previous chapter, the conception of autonomy which dominates </w:t>
      </w:r>
      <w:r w:rsidR="0058704A" w:rsidRPr="00A92995">
        <w:t xml:space="preserve">social and civic operations </w:t>
      </w:r>
      <w:r w:rsidR="00AB73E0" w:rsidRPr="00A92995">
        <w:t xml:space="preserve">has significant effects on individuals. To understand why this is the case, it is necessary to understand the conception of the individual to which the conception of autonomy is applied. I briefly discuss here how that conception develops, and how it both informs and is informed by the predominant theory of autonomy. </w:t>
      </w:r>
    </w:p>
    <w:p w14:paraId="6EA0635B" w14:textId="3D44116C" w:rsidR="00AB73E0" w:rsidRPr="00A92995" w:rsidRDefault="00AB73E0" w:rsidP="000320FC">
      <w:pPr>
        <w:spacing w:line="360" w:lineRule="auto"/>
        <w:ind w:firstLine="720"/>
      </w:pPr>
      <w:r w:rsidRPr="00A92995">
        <w:t>What I and many other philosophers refer to as the ‘liberal view’ of the individual elicits a particular caricature of the agent, derived from various principles common to philosophies of human liberty</w:t>
      </w:r>
      <w:r w:rsidR="00700CA2" w:rsidRPr="00A92995">
        <w:t xml:space="preserve">. </w:t>
      </w:r>
      <w:r w:rsidRPr="00A92995">
        <w:t>The agent is entitled to various rights by virtue of being an individual.</w:t>
      </w:r>
      <w:r w:rsidR="00700CA2" w:rsidRPr="00A92995">
        <w:t xml:space="preserve"> Those rights of course reflect the times and society in which that agent lives, and since the liberal view of the individual emerges in a heavily patriarchal society during a time when women </w:t>
      </w:r>
      <w:r w:rsidR="00916803" w:rsidRPr="00A92995">
        <w:t>and people of colo</w:t>
      </w:r>
      <w:r w:rsidR="00700CA2" w:rsidRPr="00A92995">
        <w:t xml:space="preserve">r are not considered entirely ‘equal’. The caricature of the free and equal individual, then is almost always one of a </w:t>
      </w:r>
      <w:r w:rsidR="000320FC">
        <w:t xml:space="preserve">cis-gendered, heterosexual, </w:t>
      </w:r>
      <w:r w:rsidR="00700CA2" w:rsidRPr="00A92995">
        <w:t xml:space="preserve">white male. </w:t>
      </w:r>
      <w:r w:rsidRPr="00A92995">
        <w:t xml:space="preserve">He is considered an individual by virtue of his being competent and free of interference. </w:t>
      </w:r>
      <w:r w:rsidR="00916803" w:rsidRPr="00A92995">
        <w:t>Underlying the notion of the individual’s competence is</w:t>
      </w:r>
      <w:r w:rsidRPr="00A92995">
        <w:t xml:space="preserve"> the assumption that he is free and equal, as well as by the assumption that he has the capacity for rational deliberation. His status as an individual with individual liberty affords the agent various rights, but also implies moral responsibility. This is because a man who is free, equal to other men, who is rational, competent, and is free from interference, acts according to his own will. Therefore, whatever actions he takes, wielding this status as autonomous individual, have been performed knowingly and freely. It follows, then, at least according to this caricature, that in whatever circumstances an agent finds himself in, he is able </w:t>
      </w:r>
      <w:r w:rsidRPr="00A92995">
        <w:lastRenderedPageBreak/>
        <w:t xml:space="preserve">to accept or reject </w:t>
      </w:r>
      <w:r w:rsidR="00700CA2" w:rsidRPr="00A92995">
        <w:t>those circumstances</w:t>
      </w:r>
      <w:r w:rsidR="00514193" w:rsidRPr="00A92995">
        <w:t xml:space="preserve"> </w:t>
      </w:r>
      <w:r w:rsidRPr="00A92995">
        <w:t xml:space="preserve">on his </w:t>
      </w:r>
      <w:r w:rsidR="0079061C" w:rsidRPr="00A92995">
        <w:t>own and</w:t>
      </w:r>
      <w:r w:rsidRPr="00A92995">
        <w:t xml:space="preserve"> will be held responsible for any results of those circumstances.</w:t>
      </w:r>
      <w:r w:rsidR="0058704A" w:rsidRPr="00A92995">
        <w:t xml:space="preserve"> </w:t>
      </w:r>
    </w:p>
    <w:p w14:paraId="06E171C9" w14:textId="29E5A318" w:rsidR="00AB73E0" w:rsidRPr="00A92995" w:rsidRDefault="009D4901" w:rsidP="00AB73E0">
      <w:pPr>
        <w:spacing w:line="360" w:lineRule="auto"/>
      </w:pPr>
      <w:r w:rsidRPr="00A92995">
        <w:tab/>
      </w:r>
      <w:r w:rsidR="00AB73E0" w:rsidRPr="00A92995">
        <w:t>This caricature has emerged from principles of human liberty that dominated the 19</w:t>
      </w:r>
      <w:r w:rsidR="00AB73E0" w:rsidRPr="00A92995">
        <w:rPr>
          <w:vertAlign w:val="superscript"/>
        </w:rPr>
        <w:t>th</w:t>
      </w:r>
      <w:r w:rsidR="00AB73E0" w:rsidRPr="00A92995">
        <w:t xml:space="preserve"> and 20</w:t>
      </w:r>
      <w:r w:rsidR="00AB73E0" w:rsidRPr="00A92995">
        <w:rPr>
          <w:vertAlign w:val="superscript"/>
        </w:rPr>
        <w:t>th</w:t>
      </w:r>
      <w:r w:rsidR="00AB73E0" w:rsidRPr="00A92995">
        <w:t xml:space="preserve"> centuries. Influential principles include J.S. Mill’s principle of non-interference from his treatise </w:t>
      </w:r>
      <w:r w:rsidR="00AB73E0" w:rsidRPr="00A92995">
        <w:rPr>
          <w:i/>
        </w:rPr>
        <w:t>On Liberty</w:t>
      </w:r>
      <w:r w:rsidR="00AB73E0" w:rsidRPr="00A92995">
        <w:t>, a principle that has dominated political and economic thought for much of the 20</w:t>
      </w:r>
      <w:r w:rsidR="00AB73E0" w:rsidRPr="00A92995">
        <w:rPr>
          <w:vertAlign w:val="superscript"/>
        </w:rPr>
        <w:t>th</w:t>
      </w:r>
      <w:r w:rsidR="00AB73E0" w:rsidRPr="00A92995">
        <w:t xml:space="preserve"> century. Isaiah Berlin responded to this notion of ‘liberty’ by suggesting that perhaps ‘freedom from interference’ is not enough to confer individual liberty. Berlin suggests a further condition that he calls ‘positive freedom’. Free action </w:t>
      </w:r>
      <w:r w:rsidR="00837C20" w:rsidRPr="00A92995">
        <w:t>on</w:t>
      </w:r>
      <w:r w:rsidR="00AB73E0" w:rsidRPr="00A92995">
        <w:t xml:space="preserve"> Berlin’s account requires that an individual is not only free of interference (negative liberty), but that he is presented with the means and options by which he might realize the full potential of individual liberty. Immanuel Kant contributes to the liberal conception of the individual by positing that within every man is the capacity for rationality, and each man has the duty to act according to the imperatives dictated by such faculties</w:t>
      </w:r>
      <w:r w:rsidR="00CA27FF" w:rsidRPr="00A92995">
        <w:t>.</w:t>
      </w:r>
      <w:r w:rsidR="00CA27FF" w:rsidRPr="00A92995">
        <w:rPr>
          <w:rStyle w:val="FootnoteReference"/>
          <w:sz w:val="24"/>
        </w:rPr>
        <w:footnoteReference w:id="44"/>
      </w:r>
      <w:r w:rsidR="00AB73E0" w:rsidRPr="00A92995">
        <w:t xml:space="preserve"> Another famous contribution to the liberal view of the individual is John Rawls, whose ‘original position’ states that “persons can choose principles to impose on themselves in a way which is independent of contingencies of social position, race, sex, or conception of the good.”</w:t>
      </w:r>
      <w:r w:rsidR="00AB73E0" w:rsidRPr="00A92995">
        <w:rPr>
          <w:rStyle w:val="FootnoteReference"/>
          <w:sz w:val="24"/>
        </w:rPr>
        <w:footnoteReference w:id="45"/>
      </w:r>
      <w:r w:rsidR="00AB73E0" w:rsidRPr="00A92995">
        <w:t xml:space="preserve"> The value of self-sufficiency that emerges from these philosophies comes to influence all aspects of Western society, from law to politics, economics, education, and family values; right down to an individual’s self-concept and motivational structures.</w:t>
      </w:r>
    </w:p>
    <w:p w14:paraId="7A3D88D5" w14:textId="772DFB1B" w:rsidR="00AB73E0" w:rsidRPr="00A92995" w:rsidRDefault="009D4901" w:rsidP="00AB73E0">
      <w:pPr>
        <w:spacing w:line="360" w:lineRule="auto"/>
      </w:pPr>
      <w:r w:rsidRPr="00A92995">
        <w:tab/>
      </w:r>
      <w:r w:rsidR="00AB73E0" w:rsidRPr="00A92995">
        <w:t xml:space="preserve">This conception of the individual is a wildly exaggerated caricature, </w:t>
      </w:r>
      <w:r w:rsidR="00C65D5D" w:rsidRPr="00A92995">
        <w:t xml:space="preserve">since, </w:t>
      </w:r>
      <w:r w:rsidR="00297253" w:rsidRPr="00A92995">
        <w:t xml:space="preserve">as the old adage says, ‘no man is an island’. It is an obvious fact of life that we as individuals </w:t>
      </w:r>
      <w:r w:rsidR="009818C2" w:rsidRPr="00A92995">
        <w:t xml:space="preserve">do not and </w:t>
      </w:r>
      <w:r w:rsidR="00297253" w:rsidRPr="00A92995">
        <w:t xml:space="preserve">cannot exist and perhaps would not survive as completely isolated, let alone free from the influence of other persons. </w:t>
      </w:r>
      <w:r w:rsidR="004B4232" w:rsidRPr="00A92995">
        <w:t>It is a caricature nonetheless, one</w:t>
      </w:r>
      <w:r w:rsidR="00AB73E0" w:rsidRPr="00A92995">
        <w:t xml:space="preserve"> that is accepted and proliferated by large portions of the world, across generations and cultures; and one which promises to dominate at least Western worldviews for the foreseeable future. It is from here that platitudes such as ‘the self-made man’ and ‘every man for himself’ emerge. While the caricature of the individual and the platitudes that follow might not stand up to rigorous criticism, they remain cherished by </w:t>
      </w:r>
      <w:r w:rsidR="00AB73E0" w:rsidRPr="00A92995">
        <w:lastRenderedPageBreak/>
        <w:t>citizens of a society and culture which systematically perpetuates the ideals of individualism and self-sufficiency, socially, politically, and economically.</w:t>
      </w:r>
    </w:p>
    <w:p w14:paraId="04EEAE3A" w14:textId="22A8EDC2" w:rsidR="00AB73E0" w:rsidRPr="00A92995" w:rsidRDefault="009D4901" w:rsidP="00AB73E0">
      <w:pPr>
        <w:spacing w:line="360" w:lineRule="auto"/>
      </w:pPr>
      <w:r w:rsidRPr="00A92995">
        <w:tab/>
      </w:r>
      <w:r w:rsidR="00AB73E0" w:rsidRPr="00A92995">
        <w:t xml:space="preserve">As we turn to philosophical conceptions of autonomy, we find that this condition of self-sufficiency, with its emphasis on rationality and non-interference, closely resembles procedural accounts of autonomy. Such accounts argue that individuals are autonomous as long as they are acting in accordance with desires which they have reflectively endorsed. What procedural theories of autonomy share with the liberal view of the individual is this assumption that individuals are capable of reflecting on their desires and motivations, and capable of rejecting or accepting them at will. In the next section I discuss three types of procedural accounts, namely structural, historical and competency approaches to autonomy. </w:t>
      </w:r>
    </w:p>
    <w:p w14:paraId="0795D349" w14:textId="44ED9C29" w:rsidR="00AB73E0" w:rsidRPr="00A92995" w:rsidRDefault="009D4901" w:rsidP="00AB73E0">
      <w:pPr>
        <w:spacing w:line="360" w:lineRule="auto"/>
      </w:pPr>
      <w:r w:rsidRPr="00A92995">
        <w:tab/>
      </w:r>
      <w:r w:rsidR="00AB73E0" w:rsidRPr="00A92995">
        <w:t xml:space="preserve">Before examining the various accounts of autonomy, </w:t>
      </w:r>
      <w:r w:rsidR="0057058E" w:rsidRPr="00A92995">
        <w:t xml:space="preserve">recall </w:t>
      </w:r>
      <w:r w:rsidR="00AB73E0" w:rsidRPr="00A92995">
        <w:t>the two requirements for an adequate theory of autonomy</w:t>
      </w:r>
      <w:r w:rsidR="0057058E" w:rsidRPr="00A92995">
        <w:t xml:space="preserve"> mentioned earlier</w:t>
      </w:r>
      <w:r w:rsidR="00AB73E0" w:rsidRPr="00A92995">
        <w:t>: first, the condition of competency, and second, the condition of authenticity. Most accounts, whether procedural or substantive, generally agree on the requirements for competency. Usually these include sound rational capabilities exhibited by an agent’s capacity for critical evaluation and other cognitive skills. Such competencies are explored thoroughly in legal and medical ethics, with special regard on rights and responsibilities. The condition of authenticity, what is required for an agent’s motivational structures to be ‘her own’, seems to be the most difficult to adequately capture. This is because of the effects of socialization. One reason for this is the obvious effects of social influence on the development of our motivational structure</w:t>
      </w:r>
      <w:r w:rsidR="00D17999" w:rsidRPr="00A92995">
        <w:t xml:space="preserve">, which I explore in the following section. </w:t>
      </w:r>
    </w:p>
    <w:p w14:paraId="19D73D49" w14:textId="77777777" w:rsidR="00AB73E0" w:rsidRPr="00A92995" w:rsidRDefault="00AB73E0" w:rsidP="00AB73E0">
      <w:pPr>
        <w:spacing w:line="360" w:lineRule="auto"/>
      </w:pPr>
    </w:p>
    <w:p w14:paraId="7156E1F9" w14:textId="34DA5A1A" w:rsidR="00AB73E0" w:rsidRPr="00A92995" w:rsidRDefault="00AB73E0" w:rsidP="00360448">
      <w:pPr>
        <w:pStyle w:val="Heading2"/>
      </w:pPr>
      <w:bookmarkStart w:id="19" w:name="_Toc505150519"/>
      <w:r w:rsidRPr="00A92995">
        <w:t>The Problem of Socialization</w:t>
      </w:r>
      <w:bookmarkEnd w:id="19"/>
    </w:p>
    <w:p w14:paraId="2D280019" w14:textId="77777777" w:rsidR="00AB73E0" w:rsidRPr="00A92995" w:rsidRDefault="00AB73E0" w:rsidP="00AB73E0">
      <w:pPr>
        <w:spacing w:line="360" w:lineRule="auto"/>
      </w:pPr>
    </w:p>
    <w:p w14:paraId="7298959F" w14:textId="77777777" w:rsidR="00AB73E0" w:rsidRPr="00A92995" w:rsidRDefault="00AB73E0" w:rsidP="001B7A6C">
      <w:pPr>
        <w:spacing w:line="360" w:lineRule="auto"/>
      </w:pPr>
      <w:r w:rsidRPr="00A92995">
        <w:t xml:space="preserve">With its emphasis on the values of self-sufficiency, independence and rationality, the liberal view of the individual creates an image of an agent whose motivational structures are entirely his own, immune to any external influences. This image is reflected in and reinforced by some of those platitudes mentioned earlier: ‘the self-made man’, ‘every man for himself’, and even ‘if you want something done properly, do it yourself’. This attitude of atomistic individualism and self-creation reflects an implicit assumption that individuals are all equally capable of overcoming any obstacles and creating their own success. In response to this view of the individual, some autonomy theorists argue that no agent exists in a vacuum, and nor do her </w:t>
      </w:r>
      <w:r w:rsidRPr="00A92995">
        <w:lastRenderedPageBreak/>
        <w:t xml:space="preserve">beliefs, desires, and motivations. This signals a shift toward a view of autonomy which takes individuals and their motivational structures to be either caused by or constituted by their relations with others and the world in which they engage. Factors such as being raised in a society governed by laws spoken and unspoken, customs and cultures, and familial norms and expectations, all contribute to the development of an agent’s beliefs, desires, motivations, and emotional attitudes. </w:t>
      </w:r>
    </w:p>
    <w:p w14:paraId="3884A722" w14:textId="05A7E325" w:rsidR="00AB73E0" w:rsidRPr="00A92995" w:rsidRDefault="009D4901" w:rsidP="00AB73E0">
      <w:pPr>
        <w:spacing w:line="360" w:lineRule="auto"/>
      </w:pPr>
      <w:r w:rsidRPr="00A92995">
        <w:tab/>
      </w:r>
      <w:r w:rsidR="00AB73E0" w:rsidRPr="00A92995">
        <w:t>One particularly problematic feature of the liberal view and accounts of autonomy which hold that autonomy consists in the capacity for reflective endorsement, is that they inadvertently hold members of oppressed groups responsible for their own oppressive circumstances. For ease of reference I invoke two examples of oppressive socialization, as explicated by Natalie Stoljar’s “hard cases”: self-abnegation and deference, and adaptive preference formation</w:t>
      </w:r>
      <w:r w:rsidR="00AB73E0" w:rsidRPr="00A92995">
        <w:rPr>
          <w:rStyle w:val="FootnoteReference"/>
          <w:sz w:val="24"/>
        </w:rPr>
        <w:footnoteReference w:id="46"/>
      </w:r>
      <w:r w:rsidR="00AB73E0" w:rsidRPr="00A92995">
        <w:t xml:space="preserve">. Although these problems are considered </w:t>
      </w:r>
      <w:r w:rsidR="0079061C" w:rsidRPr="00A92995">
        <w:t>controversial and</w:t>
      </w:r>
      <w:r w:rsidR="00AB73E0" w:rsidRPr="00A92995">
        <w:t xml:space="preserve"> are addressed in widely differing ways by feminist theorists, they provide an indispensable picture of the effects of socialization on autonomy. </w:t>
      </w:r>
    </w:p>
    <w:p w14:paraId="540C8F07" w14:textId="04E68E40" w:rsidR="00AB73E0" w:rsidRPr="00A92995" w:rsidRDefault="00AB73E0" w:rsidP="005069EB">
      <w:pPr>
        <w:spacing w:line="360" w:lineRule="auto"/>
        <w:ind w:firstLine="720"/>
      </w:pPr>
      <w:r w:rsidRPr="00A92995">
        <w:t xml:space="preserve">Self-abnegation refers to the tendency of members of subordinate or oppressed groups </w:t>
      </w:r>
      <w:r w:rsidR="00EF1501" w:rsidRPr="00A92995">
        <w:t xml:space="preserve">to </w:t>
      </w:r>
      <w:r w:rsidRPr="00A92995">
        <w:t>adopt the preferences of dominant groups or oppressors as a means of accommodation in oppressive environments. This attitude of servility and deference to dominant norms is famously illustrated by Thomas Hill’s description of the Deferential Wife:</w:t>
      </w:r>
    </w:p>
    <w:p w14:paraId="00D7EAEB" w14:textId="77777777" w:rsidR="00AB73E0" w:rsidRPr="00A92995" w:rsidRDefault="00AB73E0" w:rsidP="00AB73E0">
      <w:pPr>
        <w:spacing w:line="360" w:lineRule="auto"/>
      </w:pPr>
    </w:p>
    <w:p w14:paraId="765BF802" w14:textId="72252F03" w:rsidR="00AB73E0" w:rsidRPr="00A92995" w:rsidRDefault="00AB73E0" w:rsidP="0079061C">
      <w:pPr>
        <w:ind w:left="851" w:right="-138"/>
        <w:jc w:val="both"/>
      </w:pPr>
      <w:r w:rsidRPr="00A92995">
        <w:t xml:space="preserve">This is a woman who is utterly devoted to serving her husband. She buys the clothes </w:t>
      </w:r>
      <w:r w:rsidRPr="00A92995">
        <w:rPr>
          <w:i/>
        </w:rPr>
        <w:t xml:space="preserve">he </w:t>
      </w:r>
      <w:r w:rsidRPr="00A92995">
        <w:t xml:space="preserve">prefers, invites the guests </w:t>
      </w:r>
      <w:r w:rsidRPr="00A92995">
        <w:rPr>
          <w:i/>
        </w:rPr>
        <w:t xml:space="preserve">he </w:t>
      </w:r>
      <w:r w:rsidRPr="00A92995">
        <w:t xml:space="preserve">wants to entertain, and makes love whenever </w:t>
      </w:r>
      <w:r w:rsidRPr="00A92995">
        <w:rPr>
          <w:i/>
        </w:rPr>
        <w:t xml:space="preserve">he </w:t>
      </w:r>
      <w:r w:rsidRPr="00A92995">
        <w:t>is in the mood … She loves her husband, but her conduct is not simply an expression of love. She is happy, but she does not subordinate herself as a means of happiness. She does not simply defer to her husband in certain spheres as a trade-off for his deference in other spheres. On the contrary, she tends not to form her own interests, values, and ideals; and, when she does, she counts them as less important than her husband’s. She readily responds to appeals from Women’s Liberation that she agrees that women are mentally and physically equal, if not superior to, men. She just believes that the proper role for a woman is to serve her family. As a matter of fact, much of her happiness derives from her belief that she fulfills this role very well. No one is trampling on her rights, she says; for she is quite glad, and proud, to server her husband as she does.</w:t>
      </w:r>
      <w:r w:rsidRPr="00A92995">
        <w:rPr>
          <w:rStyle w:val="FootnoteReference"/>
          <w:sz w:val="24"/>
        </w:rPr>
        <w:footnoteReference w:id="47"/>
      </w:r>
    </w:p>
    <w:p w14:paraId="178981F3" w14:textId="77777777" w:rsidR="0079061C" w:rsidRPr="00A92995" w:rsidRDefault="0079061C" w:rsidP="0079061C">
      <w:pPr>
        <w:ind w:left="851" w:right="-138"/>
        <w:jc w:val="both"/>
      </w:pPr>
    </w:p>
    <w:p w14:paraId="41465F3C" w14:textId="77777777" w:rsidR="00AB73E0" w:rsidRPr="00A92995" w:rsidRDefault="00AB73E0" w:rsidP="00AB73E0">
      <w:pPr>
        <w:ind w:right="1223"/>
        <w:jc w:val="both"/>
      </w:pPr>
    </w:p>
    <w:p w14:paraId="43C06593" w14:textId="620F6D72" w:rsidR="00AB73E0" w:rsidRPr="00A92995" w:rsidRDefault="00AB73E0" w:rsidP="005069EB">
      <w:pPr>
        <w:spacing w:line="360" w:lineRule="auto"/>
        <w:ind w:right="373" w:firstLine="720"/>
      </w:pPr>
      <w:r w:rsidRPr="00A92995">
        <w:lastRenderedPageBreak/>
        <w:t xml:space="preserve">This case raises what Stoljar refers to as the </w:t>
      </w:r>
      <w:r w:rsidRPr="00A92995">
        <w:rPr>
          <w:i/>
        </w:rPr>
        <w:t>feminist intuition</w:t>
      </w:r>
      <w:r w:rsidRPr="00A92995">
        <w:t xml:space="preserve">, wherein we are presented with a case which seems to be harmless </w:t>
      </w:r>
      <w:r w:rsidRPr="00A92995">
        <w:rPr>
          <w:i/>
        </w:rPr>
        <w:t>prima facie</w:t>
      </w:r>
      <w:r w:rsidRPr="00A92995">
        <w:t>, especially with the agent’s self-proclaimed belief in equality and ‘free-choice’ to serve her family. But most feminists would recognize the case as a classic example of internalized oppression. This is the idea that while the wife claims to be motivated by her beliefs about the proper role of women, it is evident that her motivations (such as the central motivating belief) have been heavily influenced by oppressive socialization and gender norms (i.e. supposed norms of femininity) which are the result of systemic gender oppression (i.e. social expectations of women to fulfil gender norms).</w:t>
      </w:r>
    </w:p>
    <w:p w14:paraId="3D8B71E4" w14:textId="138E188B" w:rsidR="00AB73E0" w:rsidRPr="00A92995" w:rsidRDefault="009D4901" w:rsidP="00AB73E0">
      <w:pPr>
        <w:spacing w:line="360" w:lineRule="auto"/>
      </w:pPr>
      <w:r w:rsidRPr="00A92995">
        <w:tab/>
      </w:r>
      <w:r w:rsidR="00AB73E0" w:rsidRPr="00A92995">
        <w:t xml:space="preserve">Second, the problem of adaptive-preference formation. This, as the name suggests, refers to the way in which an agent develops those preferences which align with the oppressive norms she is subject to, in order to adapt to a hostile environment. Psychologically this is related to the idea of cognitive dissonance, wherein an agent recognizes that her desires are not compatible with what is expected of her. </w:t>
      </w:r>
      <w:r w:rsidR="004B4232" w:rsidRPr="00A92995">
        <w:t>Unlike cognitive dissonance, however</w:t>
      </w:r>
      <w:r w:rsidR="00AB73E0" w:rsidRPr="00A92995">
        <w:t>, adaptive preference formation is not considered a conscious or rational process, but rather the result of subordination. Reconciling this dissonance, be it conscious or not, commonly results in members of marginalized groups adopting preferences which are informed by the norms of the dominant culture or society in which they find themselves.</w:t>
      </w:r>
      <w:r w:rsidR="00AB73E0" w:rsidRPr="00A92995">
        <w:rPr>
          <w:rStyle w:val="FootnoteReference"/>
          <w:sz w:val="24"/>
        </w:rPr>
        <w:footnoteReference w:id="48"/>
      </w:r>
      <w:r w:rsidR="00AB73E0" w:rsidRPr="00A92995">
        <w:t xml:space="preserve"> Simply put, adaptive preference formation is “resigned habituation to oppressive circumstances.”</w:t>
      </w:r>
      <w:r w:rsidR="00AB73E0" w:rsidRPr="00A92995">
        <w:rPr>
          <w:rStyle w:val="FootnoteReference"/>
          <w:sz w:val="24"/>
        </w:rPr>
        <w:footnoteReference w:id="49"/>
      </w:r>
      <w:r w:rsidR="00AB73E0" w:rsidRPr="00A92995">
        <w:t xml:space="preserve"> Martha Nussbaum suggests that it is the result of “life-long habituation.”</w:t>
      </w:r>
      <w:r w:rsidR="00AB73E0" w:rsidRPr="00A92995">
        <w:rPr>
          <w:rStyle w:val="FootnoteReference"/>
          <w:sz w:val="24"/>
        </w:rPr>
        <w:footnoteReference w:id="50"/>
      </w:r>
      <w:r w:rsidR="00AB73E0" w:rsidRPr="00A92995">
        <w:t xml:space="preserve"> Together, these statements evoke imagery of exhaustion: a woman who becomes weary at trying to assert her own preferences may resign</w:t>
      </w:r>
      <w:r w:rsidR="00982D07" w:rsidRPr="00A92995">
        <w:t xml:space="preserve"> herself</w:t>
      </w:r>
      <w:r w:rsidR="00AB73E0" w:rsidRPr="00A92995">
        <w:t xml:space="preserve"> to conform to the norms of her oppressor. Adaptive preference formation affects members of various oppressed groups: a homosexual male might marry a woman and father children to meet the conservative norms he was raised to respect. He might come to love his wife and children and convince himself that this is the life plan he ultimately wanted. A quadriplegic woman who has ambitions to become a theatre actress is unable to attend several auditions for the lack of access to the stage, leading her to deny her ambitions altogether. The deferential wife tends not to formulate her own interests and values, believing that her sole purpose in life is to serve her </w:t>
      </w:r>
      <w:r w:rsidR="00AB73E0" w:rsidRPr="00A92995">
        <w:lastRenderedPageBreak/>
        <w:t xml:space="preserve">husband and children. These examples show how individuals may eventually come to believe that the decisions they have made (or, have been forced to make under explicit or implicit pressures from their social environment) reflect their own desires. </w:t>
      </w:r>
    </w:p>
    <w:p w14:paraId="0A70B6A6" w14:textId="3A707186" w:rsidR="00AB73E0" w:rsidRPr="00A92995" w:rsidRDefault="009D4901" w:rsidP="00AB73E0">
      <w:pPr>
        <w:spacing w:line="360" w:lineRule="auto"/>
      </w:pPr>
      <w:r w:rsidRPr="00A92995">
        <w:tab/>
      </w:r>
      <w:r w:rsidR="00AB73E0" w:rsidRPr="00A92995">
        <w:t>Paul Benson utilizes the example of oppressive beauty norms to illustrate that, although we cannot escape socialization altogether, we can distinguish between benign and pernicious socialization. According to Benson, “feminine socialization gains much of its power by operating to deceive many women about the significance that cultivating an appearance which is pleasing to men has for women’s worth as persons.”</w:t>
      </w:r>
      <w:r w:rsidR="00AB73E0" w:rsidRPr="00A92995">
        <w:rPr>
          <w:rStyle w:val="FootnoteReference"/>
          <w:sz w:val="24"/>
        </w:rPr>
        <w:footnoteReference w:id="51"/>
      </w:r>
      <w:r w:rsidR="00AB73E0" w:rsidRPr="00A92995">
        <w:t xml:space="preserve"> In other words, these norms undermine autonomy by causing women to internalize </w:t>
      </w:r>
      <w:r w:rsidR="00AB73E0" w:rsidRPr="00A92995">
        <w:rPr>
          <w:i/>
        </w:rPr>
        <w:t>false beliefs</w:t>
      </w:r>
      <w:r w:rsidR="00AB73E0" w:rsidRPr="00A92995">
        <w:t xml:space="preserve">. In the case of the Deferential Wife she maintains the false belief that it is a woman’s proper role to serve her husband, to defer to him and to prioritize his needs over her own. Another important example of this is the apparent “white-washing” of beauty standards, which has led many women of color to abhor their own natural appearance if it fails to meet the ‘standards’ set by the dominant culture. This results in attempts to change their appearance to look more like the ‘beautiful’ women represented in the media. When the majority of models and actresses in the media are white women with a particular ‘look’ or body-type, the impression is created that this is how women </w:t>
      </w:r>
      <w:r w:rsidR="00AB73E0" w:rsidRPr="00A92995">
        <w:rPr>
          <w:i/>
        </w:rPr>
        <w:t xml:space="preserve">should </w:t>
      </w:r>
      <w:r w:rsidR="00AB73E0" w:rsidRPr="00A92995">
        <w:t>look to live the ‘normal’ life being portrayed. Consequently, these women will go to painstaking lengths to change their bodies to meet this ‘norm’. What occurs is the development of a ‘deformed desire’, for lighter skin, straighter hair, thinner thighs, bigger lips, and a flatter stomach to achieve the ‘perfect’ look. If this continues for generations, which it does in large parts of the world, mothers who have internalized white-washed beauty norms may communicate to their children that meeting those norms confers value and esteem, further encouraging the false belief that the ultimate standard of value-conferring-beauty is the model of a thin white woman.</w:t>
      </w:r>
      <w:r w:rsidR="00AB73E0" w:rsidRPr="00A92995">
        <w:rPr>
          <w:rStyle w:val="FootnoteReference"/>
          <w:sz w:val="24"/>
        </w:rPr>
        <w:footnoteReference w:id="52"/>
      </w:r>
      <w:r w:rsidR="00AB73E0" w:rsidRPr="00A92995">
        <w:t xml:space="preserve"> Oppressive norms may develop into or at least encourage various harmful behaviors that reflect self-hatred and other negative self-regarding attitudes, often at a deep, unconscious level. Further harm is caused when agents perpetuate false beliefs by encouraging peers to internalize the same norms. Sonya Charles aptly comments that “what is truly harmful about internalized oppression is the </w:t>
      </w:r>
      <w:r w:rsidR="00AB73E0" w:rsidRPr="00A92995">
        <w:lastRenderedPageBreak/>
        <w:t>way it undermines a person’s sense of self-worth, and thereby makes her complicit in her own oppression.”</w:t>
      </w:r>
      <w:r w:rsidR="00AB73E0" w:rsidRPr="00A92995">
        <w:rPr>
          <w:rStyle w:val="FootnoteReference"/>
          <w:sz w:val="24"/>
        </w:rPr>
        <w:footnoteReference w:id="53"/>
      </w:r>
    </w:p>
    <w:p w14:paraId="0020888E" w14:textId="114B047F" w:rsidR="00AB73E0" w:rsidRPr="00A92995" w:rsidRDefault="009D4901" w:rsidP="0079061C">
      <w:pPr>
        <w:spacing w:line="360" w:lineRule="auto"/>
      </w:pPr>
      <w:r w:rsidRPr="00A92995">
        <w:tab/>
      </w:r>
      <w:r w:rsidR="00AB73E0" w:rsidRPr="00A92995">
        <w:t xml:space="preserve">Self-abnegation and adaptive preference formation are two of the countless insidious effects of socialization. Oppressive socialization is the unfortunate effect of power differentials in a society, wherein dominant groups dictate the norms of that society while marginalized groups </w:t>
      </w:r>
      <w:r w:rsidR="008E0526" w:rsidRPr="00A92995">
        <w:t>have little choice but</w:t>
      </w:r>
      <w:r w:rsidR="00AB73E0" w:rsidRPr="00A92995">
        <w:t xml:space="preserve"> to adopt those norms whether or not they are representative of their own desires or beliefs. It is clear then that socialization has significant effects on autonomy, and this must be accounted for in whatever theory of autonomy we adopt. To test this, we can hold up an account’s authenticity condition against the problem of socialization. In the remainder of this research I will refer back to the case of the deferential wife as a litmus test for any account of autonomy. I agree with the feminist intuition that the deferential wife is not clearly autonomous, on the grounds that she is servile and self-abnegating. Further, she is acting on false-beliefs and she does not make decisions in accord with her own values – if she even formulates her own </w:t>
      </w:r>
      <w:r w:rsidR="00F61726" w:rsidRPr="00A92995">
        <w:t xml:space="preserve">– because </w:t>
      </w:r>
      <w:r w:rsidR="00AB73E0" w:rsidRPr="00A92995">
        <w:t xml:space="preserve">she takes them to be less valuable than her husband’s, indicating a lack of self-worth. Thus, by determining if an account would deem the deferential wife autonomous, I will be able to accept or reject its conditions of autonomy. If the deferential wife’s desires and actions are deemed autonomous, then that account will have failed to provide us with the necessary and sufficient conditions for autonomy. </w:t>
      </w:r>
    </w:p>
    <w:p w14:paraId="7B235B6A" w14:textId="2032FF2D" w:rsidR="00AB73E0" w:rsidRPr="00A92995" w:rsidRDefault="00AB73E0" w:rsidP="000C3662">
      <w:pPr>
        <w:pStyle w:val="Heading1"/>
      </w:pPr>
      <w:bookmarkStart w:id="20" w:name="_Toc505150520"/>
      <w:r w:rsidRPr="00A92995">
        <w:t>Procedural Theories of Autonomy</w:t>
      </w:r>
      <w:bookmarkEnd w:id="20"/>
    </w:p>
    <w:p w14:paraId="1676FBAE" w14:textId="77777777" w:rsidR="00AB73E0" w:rsidRPr="00A92995" w:rsidRDefault="00AB73E0" w:rsidP="00AB73E0"/>
    <w:p w14:paraId="5FCD3A47" w14:textId="06686F74" w:rsidR="00AB73E0" w:rsidRPr="00A92995" w:rsidRDefault="00AB73E0" w:rsidP="00275BC5">
      <w:pPr>
        <w:spacing w:line="360" w:lineRule="auto"/>
      </w:pPr>
      <w:r w:rsidRPr="00A92995">
        <w:t xml:space="preserve">All procedural accounts depend on the requirement of </w:t>
      </w:r>
      <w:r w:rsidR="008E0526" w:rsidRPr="00A92995">
        <w:t xml:space="preserve">agents </w:t>
      </w:r>
      <w:r w:rsidRPr="00A92995">
        <w:t>reflective</w:t>
      </w:r>
      <w:r w:rsidR="008E0526" w:rsidRPr="00A92995">
        <w:t>ly</w:t>
      </w:r>
      <w:r w:rsidRPr="00A92995">
        <w:t xml:space="preserve"> endors</w:t>
      </w:r>
      <w:r w:rsidR="008E0526" w:rsidRPr="00A92995">
        <w:t>ing their relevant motivational structures prior to acting on them</w:t>
      </w:r>
      <w:r w:rsidRPr="00A92995">
        <w:t>. The content or outcome of</w:t>
      </w:r>
      <w:r w:rsidR="00402BE0" w:rsidRPr="00A92995">
        <w:t xml:space="preserve"> </w:t>
      </w:r>
      <w:r w:rsidR="008E0526" w:rsidRPr="00A92995">
        <w:t xml:space="preserve">the </w:t>
      </w:r>
      <w:r w:rsidR="00402BE0" w:rsidRPr="00A92995">
        <w:t xml:space="preserve">motivation or </w:t>
      </w:r>
      <w:r w:rsidRPr="00A92995">
        <w:t xml:space="preserve">resulting action does not matter in determining whether an agent is autonomous – all that counts is whether </w:t>
      </w:r>
      <w:r w:rsidR="00691AA9" w:rsidRPr="00A92995">
        <w:t>those</w:t>
      </w:r>
      <w:r w:rsidRPr="00A92995">
        <w:t xml:space="preserve"> motivations</w:t>
      </w:r>
      <w:r w:rsidR="00691AA9" w:rsidRPr="00A92995">
        <w:t xml:space="preserve"> had been endorsed prior to action</w:t>
      </w:r>
      <w:r w:rsidRPr="00A92995">
        <w:t xml:space="preserve">. </w:t>
      </w:r>
      <w:r w:rsidR="00740A77" w:rsidRPr="00A92995">
        <w:t xml:space="preserve">Particular versions of </w:t>
      </w:r>
      <w:r w:rsidRPr="00A92995">
        <w:t xml:space="preserve">procedural accounts differ only in their specifications for what is required to reflectively endorse those motivations. In determining an agent’s autonomy, procedural accounts argue that the contents of her desires, preferences and motivations are irrelevant. Rather, a procedural account requires that certain processes of critical reflection be followed correctly in order to confer autonomy. Three types of procedural accounts dominate the philosophical literature, each one attempting to </w:t>
      </w:r>
      <w:r w:rsidRPr="00A92995">
        <w:lastRenderedPageBreak/>
        <w:t>address the problems of the account it succeeds.</w:t>
      </w:r>
      <w:r w:rsidRPr="00A92995">
        <w:rPr>
          <w:rStyle w:val="FootnoteReference"/>
          <w:sz w:val="24"/>
        </w:rPr>
        <w:footnoteReference w:id="54"/>
      </w:r>
      <w:r w:rsidRPr="00A92995">
        <w:t xml:space="preserve"> These are structural, historical, and competency</w:t>
      </w:r>
      <w:r w:rsidR="00BE1A66" w:rsidRPr="00A92995">
        <w:t>-</w:t>
      </w:r>
      <w:r w:rsidRPr="00A92995">
        <w:t xml:space="preserve">based conceptions of autonomy which attempt to provide the necessary and sufficient conditions for autonomy and, as mentioned earlier, to account for the authenticity requirement of autonomy. </w:t>
      </w:r>
    </w:p>
    <w:p w14:paraId="5F41A91B" w14:textId="77777777" w:rsidR="00AB73E0" w:rsidRPr="00A92995" w:rsidRDefault="00AB73E0" w:rsidP="00AB73E0"/>
    <w:p w14:paraId="75015F8D" w14:textId="6D3477E2" w:rsidR="00AB73E0" w:rsidRPr="00A92995" w:rsidRDefault="00AB73E0" w:rsidP="00360448">
      <w:pPr>
        <w:pStyle w:val="Heading2"/>
        <w:rPr>
          <w:rFonts w:eastAsiaTheme="minorHAnsi"/>
        </w:rPr>
      </w:pPr>
      <w:bookmarkStart w:id="21" w:name="_Toc505150521"/>
      <w:r w:rsidRPr="00A92995">
        <w:t>Structural Account of Autonomy</w:t>
      </w:r>
      <w:bookmarkEnd w:id="21"/>
    </w:p>
    <w:p w14:paraId="50BB8FE5" w14:textId="77777777" w:rsidR="00AB73E0" w:rsidRPr="00A92995" w:rsidRDefault="00AB73E0" w:rsidP="00AB73E0"/>
    <w:p w14:paraId="468C1EC8" w14:textId="437AB667" w:rsidR="00AB73E0" w:rsidRPr="00A92995" w:rsidRDefault="008E0526" w:rsidP="001B7A6C">
      <w:pPr>
        <w:spacing w:line="360" w:lineRule="auto"/>
      </w:pPr>
      <w:r w:rsidRPr="00A92995">
        <w:t>Structural accounts of autonomy, a type of procedural account, fo</w:t>
      </w:r>
      <w:r w:rsidR="005C52BB" w:rsidRPr="00A92995">
        <w:t xml:space="preserve">cuses on </w:t>
      </w:r>
      <w:r w:rsidR="00750E52" w:rsidRPr="00A92995">
        <w:t>an agent’s presently held motivations and if the agent has subjected that motivation to the right kinds of critical reflection.</w:t>
      </w:r>
      <w:r w:rsidRPr="00A92995">
        <w:t xml:space="preserve"> </w:t>
      </w:r>
      <w:r w:rsidR="00AB73E0" w:rsidRPr="00A92995">
        <w:t>One predominant structural model is Harry Frankfurt’s hierarchical theory of desire, an account of personal autonomy which emerges out of his account of free-will.</w:t>
      </w:r>
      <w:r w:rsidR="00AB73E0" w:rsidRPr="00A92995">
        <w:rPr>
          <w:rStyle w:val="FootnoteReference"/>
          <w:sz w:val="24"/>
        </w:rPr>
        <w:footnoteReference w:id="55"/>
      </w:r>
      <w:r w:rsidR="00AB73E0" w:rsidRPr="00A92995">
        <w:t xml:space="preserve"> According to Frankfurt, an agent is acting autonomously so long as there is alignment between her first-order desires and second-order volitions. A first-order desire is simply a desire to act in a particular way (I want to X). A second-order desire is a desire about one’s first order desire (I [want to] want to X). The ‘will’ is the result of a first-order desire moving the agent to action (I do X). According to Frankfurt, an agent’s will </w:t>
      </w:r>
      <w:r w:rsidR="00BE1A66" w:rsidRPr="00A92995">
        <w:t xml:space="preserve">counts as </w:t>
      </w:r>
      <w:r w:rsidR="00AB73E0" w:rsidRPr="00A92995">
        <w:t xml:space="preserve">‘free’ when their second-order desire is for their first-order desire to become their will (I want my [want to X] to issue in action). The latter </w:t>
      </w:r>
      <w:r w:rsidR="00D77852" w:rsidRPr="00A92995">
        <w:t xml:space="preserve">second-order desire </w:t>
      </w:r>
      <w:r w:rsidR="00AB73E0" w:rsidRPr="00A92995">
        <w:t>is referred to as a second-order volition, and the capacity to have such volitions is what Frankfurt considers the essential feature of personhood. While this is not explicit in his seminal work</w:t>
      </w:r>
      <w:r w:rsidR="00620751" w:rsidRPr="00A92995">
        <w:t>,</w:t>
      </w:r>
      <w:r w:rsidR="00AB73E0" w:rsidRPr="00A92995">
        <w:t xml:space="preserve"> </w:t>
      </w:r>
      <w:r w:rsidR="00620751" w:rsidRPr="00A92995">
        <w:t>“</w:t>
      </w:r>
      <w:r w:rsidR="00AB73E0" w:rsidRPr="00A92995">
        <w:t>Free Will and the Concept of a Person</w:t>
      </w:r>
      <w:r w:rsidR="00620751" w:rsidRPr="00A92995">
        <w:t>”</w:t>
      </w:r>
      <w:r w:rsidR="00AB73E0" w:rsidRPr="00A92995">
        <w:t>,</w:t>
      </w:r>
      <w:r w:rsidR="00AB73E0" w:rsidRPr="00A92995">
        <w:rPr>
          <w:i/>
        </w:rPr>
        <w:t xml:space="preserve"> </w:t>
      </w:r>
      <w:r w:rsidR="00AB73E0" w:rsidRPr="00A92995">
        <w:t>we can take Frankfurt’s hierarchical account of desire as condition of authenticity for a theory of personal autonomy</w:t>
      </w:r>
      <w:r w:rsidR="002B74F6" w:rsidRPr="00A92995">
        <w:t>, as many working in autonomy after h</w:t>
      </w:r>
      <w:r w:rsidR="00750E52" w:rsidRPr="00A92995">
        <w:t>e</w:t>
      </w:r>
      <w:r w:rsidR="002B74F6" w:rsidRPr="00A92995">
        <w:t xml:space="preserve"> have done</w:t>
      </w:r>
      <w:r w:rsidR="00AB73E0" w:rsidRPr="00A92995">
        <w:t xml:space="preserve">. </w:t>
      </w:r>
      <w:r w:rsidR="00750E52" w:rsidRPr="00A92995">
        <w:t>What is important in Frankfurt’s theory is the notion of identification, which is succinctly defined in the following quote:</w:t>
      </w:r>
    </w:p>
    <w:p w14:paraId="0885A94A" w14:textId="77777777" w:rsidR="00AB73E0" w:rsidRPr="00A92995" w:rsidRDefault="00AB73E0" w:rsidP="00AB73E0">
      <w:pPr>
        <w:ind w:left="720"/>
        <w:jc w:val="both"/>
      </w:pPr>
      <w:r w:rsidRPr="00A92995">
        <w:t xml:space="preserve"> </w:t>
      </w:r>
    </w:p>
    <w:p w14:paraId="0ABC2C11" w14:textId="7A35E46D" w:rsidR="00AB73E0" w:rsidRPr="00A92995" w:rsidRDefault="00AB73E0" w:rsidP="00AB73E0">
      <w:pPr>
        <w:ind w:left="720"/>
        <w:jc w:val="both"/>
      </w:pPr>
      <w:r w:rsidRPr="00A92995">
        <w:t xml:space="preserve">Frankfurt identifies an agent’s will with an effective first-order desire and claims that autonomy, or freedom of the will, requires both that the agent exercise control over her will and that she identify, at the level of her second-order volitions, with her will. Identification is the outcome of a process of reflection in which the agent distinguishes </w:t>
      </w:r>
      <w:r w:rsidRPr="00A92995">
        <w:lastRenderedPageBreak/>
        <w:t>those desires that she endorses or regards as “her own” from those desires that she merely finds herself with an</w:t>
      </w:r>
      <w:r w:rsidR="002B74F6" w:rsidRPr="00A92995">
        <w:t>d</w:t>
      </w:r>
      <w:r w:rsidRPr="00A92995">
        <w:t xml:space="preserve"> is either indifferent to or regards external from herself.</w:t>
      </w:r>
      <w:r w:rsidRPr="00A92995">
        <w:rPr>
          <w:rStyle w:val="FootnoteReference"/>
          <w:sz w:val="24"/>
        </w:rPr>
        <w:footnoteReference w:id="56"/>
      </w:r>
    </w:p>
    <w:p w14:paraId="6FF333C8" w14:textId="77777777" w:rsidR="00AB73E0" w:rsidRPr="00A92995" w:rsidRDefault="00AB73E0" w:rsidP="00AB73E0"/>
    <w:p w14:paraId="1FD5B638" w14:textId="2E1E4B60" w:rsidR="00097380" w:rsidRPr="00A92995" w:rsidRDefault="00AB73E0" w:rsidP="005069EB">
      <w:pPr>
        <w:spacing w:line="360" w:lineRule="auto"/>
        <w:ind w:firstLine="720"/>
      </w:pPr>
      <w:r w:rsidRPr="00A92995">
        <w:t>Contemporary autonomy theorists have raised various objections to Frankfurt’s hierarchical account of desire</w:t>
      </w:r>
      <w:r w:rsidR="00EC425B" w:rsidRPr="00A92995">
        <w:t xml:space="preserve">. The </w:t>
      </w:r>
      <w:r w:rsidR="004553E5" w:rsidRPr="00A92995">
        <w:t>objection</w:t>
      </w:r>
      <w:r w:rsidRPr="00A92995">
        <w:t xml:space="preserve"> most relevant to this research is the fact that his notion of hierarchical ordering of desires does not adequately account for the influence of oppressive socialization on the formation of agents’ motivational structures. Returning to the example of the Deferential Wife, we note that </w:t>
      </w:r>
      <w:r w:rsidR="009D4901" w:rsidRPr="00A92995">
        <w:t>she has</w:t>
      </w:r>
      <w:r w:rsidRPr="00A92995">
        <w:t xml:space="preserve"> indeed critically evaluated and reflectively endorsed her desires and actions. On Frankfurt’s account, the Deferential Wife is considered autonomous because upon critical reflection, she identifies with her will. The core of this objection is that we have no reason to believe that higher-order desires are not just as vulnerable to the effects of socialization as first-order desires might be. It is plausible that each of the Deferential Wife’s higher-order desires could have resulted from oppressive socialization, making it impossible to determine the authenticity of her motivational structures.</w:t>
      </w:r>
      <w:r w:rsidR="00097380" w:rsidRPr="00A92995">
        <w:t xml:space="preserve"> The deferential wife’s first order desire is to serve her husband. If she reflects on her first order desire, she will probably justify this desire by claiming that she believes that it is her duty and the proper role of a woman. Thus, upon reflection, she endorses and identifies with her first order desire, and she then has a second order desire which is for her first order desire to issue in action. For Frankfurt, this is what makes her free and autonomous. But, the “belief” (her second order desire) is not obviously immune to the influences of oppressive socialization, self-abnegation, or adaptive preference formation. It is not clear how a higher order belief authorizes the motivational structure below it. If there were an even higher higher-order-desire by which to judge that second order desire, we would have no reason to believe that it – and any other higher order desire above that – would be immune to oppressive socialization. With there being no theoretical upper limit to the number higher-order-desires, this process of reflective endorsement seems to suffer from the problem of infinite regress. Frankfurt’s proposed solution and next suggestion for the authenticity requirement of autonomy is to suggest that agents must whole-heartedly identify with their motivational structures upon reflection. Here he simply qualifies the intensity and certainty required for an agent to claim that any desire or belief is really her own.</w:t>
      </w:r>
      <w:r w:rsidR="0015757A" w:rsidRPr="00A92995">
        <w:rPr>
          <w:rStyle w:val="FootnoteReference"/>
          <w:sz w:val="24"/>
        </w:rPr>
        <w:footnoteReference w:id="57"/>
      </w:r>
      <w:r w:rsidR="00097380" w:rsidRPr="00A92995">
        <w:t xml:space="preserve"> This attempt is meant to suggest that an agent must be able to recognize whether her second-order-desires has </w:t>
      </w:r>
      <w:r w:rsidR="00097380" w:rsidRPr="00A92995">
        <w:lastRenderedPageBreak/>
        <w:t xml:space="preserve">been formed as the result of illegitimate influences such as oppressive socialization, self-abnegation, or adaptive preference formation. If the agent can conclude with absolute certainty that the second-order desire is her own then she can identify wholeheartedly with that desire, and where that issues in action, she has fulfilled the minimal conditions for authenticity and thus, for Frankfurt, autonomy. Note, however, that even this amendment remains content-neutral: it does not consider the outcomes of an agent’s reflective endorsement or the contents of her motivational structures as relevant to their authenticity. What counts for Frankfurt is only that the desires have been hierarchically ranked, and that the agent has wholeheartedly identified with them before acting. This condition leaves no room for ambivalence, which we will see is problematic in practical applications. </w:t>
      </w:r>
    </w:p>
    <w:p w14:paraId="601674EB" w14:textId="24A2DCDE" w:rsidR="00AB73E0" w:rsidRPr="00A92995" w:rsidRDefault="00097380" w:rsidP="005069EB">
      <w:pPr>
        <w:spacing w:line="360" w:lineRule="auto"/>
        <w:ind w:firstLine="720"/>
      </w:pPr>
      <w:r w:rsidRPr="00A92995">
        <w:t xml:space="preserve">If Frankfurt cannot give us the practical tools to define the authenticity of an agent’s motivational structures, then he fails to provide us with an account of autonomy that can be practically implemented in social operations which require agents to act autonomously. The theorists discussed below attempt to address Frankfurt’s errors by providing further conditions for authenticity, added to the requirement of reflective endorsement. </w:t>
      </w:r>
    </w:p>
    <w:p w14:paraId="0D0D887F" w14:textId="77777777" w:rsidR="00315868" w:rsidRPr="00A92995" w:rsidRDefault="00315868" w:rsidP="00AB73E0"/>
    <w:p w14:paraId="09964730" w14:textId="436A6882" w:rsidR="00AB73E0" w:rsidRPr="00A92995" w:rsidRDefault="00AB73E0" w:rsidP="00360448">
      <w:pPr>
        <w:pStyle w:val="Heading2"/>
      </w:pPr>
      <w:bookmarkStart w:id="22" w:name="_Toc505150522"/>
      <w:r w:rsidRPr="00A92995">
        <w:t>Historical Accounts of Autonomy</w:t>
      </w:r>
      <w:bookmarkEnd w:id="22"/>
    </w:p>
    <w:p w14:paraId="6535B1A2" w14:textId="77777777" w:rsidR="00AB73E0" w:rsidRPr="00A92995" w:rsidRDefault="00AB73E0" w:rsidP="00AB73E0"/>
    <w:p w14:paraId="57EC92B4" w14:textId="0C766E63" w:rsidR="00AB73E0" w:rsidRPr="00A92995" w:rsidRDefault="00AB73E0" w:rsidP="001B7A6C">
      <w:pPr>
        <w:spacing w:line="360" w:lineRule="auto"/>
      </w:pPr>
      <w:r w:rsidRPr="00A92995">
        <w:t xml:space="preserve">Responding to the problem of socialization and objections to Frankfurt’s hierarchical account, historical models shift the focus of critical evaluation on to </w:t>
      </w:r>
      <w:r w:rsidRPr="00A92995">
        <w:rPr>
          <w:i/>
        </w:rPr>
        <w:t xml:space="preserve">how </w:t>
      </w:r>
      <w:r w:rsidRPr="00A92995">
        <w:t>an agent’s desires come to be formed. John Christman goes a step further than Frankfurt by acknowledging that some processes of critical reflection can be influenced by what he calls ‘illegitimate external influences’. Christman’s account of autonomy introduces us to the notion of ‘constitutive relational autonomy’, arguing that social and interpersonal relationships, as well as external influences must be taken as essential defining conditions for autonomy.</w:t>
      </w:r>
      <w:r w:rsidRPr="00A92995">
        <w:rPr>
          <w:rStyle w:val="FootnoteReference"/>
          <w:sz w:val="24"/>
        </w:rPr>
        <w:footnoteReference w:id="58"/>
      </w:r>
      <w:r w:rsidRPr="00A92995">
        <w:t xml:space="preserve">  Christman acknowledges the problem of internalized oppression, and suggests that an agent must not only critically evaluate and endorse her desires synchronically, as Frankfurt argues</w:t>
      </w:r>
      <w:r w:rsidR="00B30FF8" w:rsidRPr="00A92995">
        <w:t xml:space="preserve">, </w:t>
      </w:r>
      <w:r w:rsidRPr="00A92995">
        <w:t xml:space="preserve"> but that she </w:t>
      </w:r>
      <w:r w:rsidR="00B30FF8" w:rsidRPr="00A92995">
        <w:t xml:space="preserve">must </w:t>
      </w:r>
      <w:r w:rsidRPr="00A92995">
        <w:t>critically evaluate the historical development of those desires</w:t>
      </w:r>
      <w:r w:rsidR="005706E6" w:rsidRPr="00A92995">
        <w:t>, and endorse or reject that development</w:t>
      </w:r>
      <w:r w:rsidRPr="00A92995">
        <w:t xml:space="preserve">. She might find that some motivational structures have developed in response to oppressive socialization. So, for Christman, the agent is counted as autonomous if and only if, </w:t>
      </w:r>
      <w:r w:rsidRPr="00A92995">
        <w:lastRenderedPageBreak/>
        <w:t>upon critical reflection “on the historical process leading to the desire, she would not be alienated from the desire, where alienation is understood as either a negative judgment about or a negative emotional reaction to the desire.”</w:t>
      </w:r>
      <w:r w:rsidRPr="00A92995">
        <w:rPr>
          <w:rStyle w:val="FootnoteReference"/>
          <w:sz w:val="24"/>
        </w:rPr>
        <w:footnoteReference w:id="59"/>
      </w:r>
      <w:r w:rsidRPr="00A92995">
        <w:t xml:space="preserve"> This requires an ability to honestly, objectively, and accurately appraise </w:t>
      </w:r>
      <w:r w:rsidR="00105F88" w:rsidRPr="00A92995">
        <w:t xml:space="preserve">the formation or origin of </w:t>
      </w:r>
      <w:r w:rsidRPr="00A92995">
        <w:t xml:space="preserve">every one of an agent’s own motivational structures. Each desire, belief and preference is to be examined with the utmost transparency before an agent can say with certainty that it is her authentic desire, belief, or preference. But it is unreasonable to expect any person to arrive at such complete certainty about anything at all, let alone the complex network of influences that result in an agent’s particular desire or belief. This requirement for such extreme self-transparency is too demanding, considering that the effects of socialization can and often are so entrenched that even stringent self-reflection could fail to expose external influences as </w:t>
      </w:r>
      <w:r w:rsidR="00DC4EEF" w:rsidRPr="00A92995">
        <w:t>‘</w:t>
      </w:r>
      <w:r w:rsidRPr="00A92995">
        <w:t>illegitimate</w:t>
      </w:r>
      <w:r w:rsidR="00DC4EEF" w:rsidRPr="00A92995">
        <w:t>’</w:t>
      </w:r>
      <w:r w:rsidRPr="00A92995">
        <w:t xml:space="preserve">. Imagine we approached the Deferential Wife with the news that her motivational structures have likely emerged out of strongly directive socialization, and in order for us to deem her life choice as autonomous she must prove that each of her desires is a pure and true representation of her authentic self. She must first examine the development of each of her desires, and then reject or endorse them accordingly. Even if she were willing to expend the time on this project, there is no limit to the number of </w:t>
      </w:r>
      <w:r w:rsidR="00DC4EEF" w:rsidRPr="00A92995">
        <w:t>‘</w:t>
      </w:r>
      <w:r w:rsidRPr="00A92995">
        <w:t>illegitimate influences</w:t>
      </w:r>
      <w:r w:rsidR="00DC4EEF" w:rsidRPr="00A92995">
        <w:t>’</w:t>
      </w:r>
      <w:r w:rsidRPr="00A92995">
        <w:t xml:space="preserve"> that may contribute to the development of any single desire, making it impossible to determine if any of those desires are her own at all. Moreover, some elements of socialization are so deeply and historically entrenched that it is almost impossible to recognize them as ‘illegitimate influences’ at all, regardless of the agent’s self-transparency and critical reflection skills. </w:t>
      </w:r>
      <w:r w:rsidR="00DC4EEF" w:rsidRPr="00A92995">
        <w:t xml:space="preserve">Thus, despite the valuable suggestion of examining the historical formation of an agent’s motivational desires, Christman’s historical procedural account also fails to provide us with a condition of autonomy that might be realistically and practically implemented. </w:t>
      </w:r>
      <w:r w:rsidR="00A64315" w:rsidRPr="00A92995">
        <w:t xml:space="preserve">Next, I will consider one more procedural account of autonomy. </w:t>
      </w:r>
    </w:p>
    <w:p w14:paraId="4131B753" w14:textId="77777777" w:rsidR="00A64315" w:rsidRPr="00A92995" w:rsidRDefault="00A64315" w:rsidP="00360448">
      <w:pPr>
        <w:pStyle w:val="Heading2"/>
      </w:pPr>
    </w:p>
    <w:p w14:paraId="0361AFD7" w14:textId="7C84E483" w:rsidR="00AB73E0" w:rsidRPr="00A92995" w:rsidRDefault="00AB73E0" w:rsidP="006F7A80">
      <w:pPr>
        <w:pStyle w:val="Heading2"/>
      </w:pPr>
      <w:bookmarkStart w:id="23" w:name="_Toc505150523"/>
      <w:r w:rsidRPr="00A92995">
        <w:t>Competency Approach to Autonomy</w:t>
      </w:r>
      <w:bookmarkEnd w:id="23"/>
      <w:r w:rsidRPr="00A92995">
        <w:t xml:space="preserve"> </w:t>
      </w:r>
    </w:p>
    <w:p w14:paraId="55A36C39" w14:textId="77777777" w:rsidR="00AB73E0" w:rsidRPr="00A92995" w:rsidRDefault="00AB73E0" w:rsidP="00AB73E0">
      <w:pPr>
        <w:spacing w:line="360" w:lineRule="auto"/>
        <w:rPr>
          <w:color w:val="000000" w:themeColor="text1"/>
        </w:rPr>
      </w:pPr>
    </w:p>
    <w:p w14:paraId="66095AD5" w14:textId="265EA3BB" w:rsidR="00AB73E0" w:rsidRPr="00A92995" w:rsidRDefault="00AB73E0" w:rsidP="001B7A6C">
      <w:pPr>
        <w:spacing w:line="360" w:lineRule="auto"/>
        <w:rPr>
          <w:color w:val="000000" w:themeColor="text1"/>
        </w:rPr>
      </w:pPr>
      <w:r w:rsidRPr="00A92995">
        <w:rPr>
          <w:color w:val="000000" w:themeColor="text1"/>
        </w:rPr>
        <w:t xml:space="preserve">The final procedural account of autonomy I will discuss is posited by Diana Meyers. Meyers agrees with Frankfurt and Christman that reflective endorsement is a necessary condition for </w:t>
      </w:r>
      <w:r w:rsidR="0079061C" w:rsidRPr="00A92995">
        <w:rPr>
          <w:color w:val="000000" w:themeColor="text1"/>
        </w:rPr>
        <w:lastRenderedPageBreak/>
        <w:t>autonomy but</w:t>
      </w:r>
      <w:r w:rsidRPr="00A92995">
        <w:rPr>
          <w:color w:val="000000" w:themeColor="text1"/>
        </w:rPr>
        <w:t xml:space="preserve"> </w:t>
      </w:r>
      <w:r w:rsidR="00DC4EEF" w:rsidRPr="00A92995">
        <w:rPr>
          <w:color w:val="000000" w:themeColor="text1"/>
        </w:rPr>
        <w:t xml:space="preserve">advances </w:t>
      </w:r>
      <w:r w:rsidRPr="00A92995">
        <w:rPr>
          <w:color w:val="000000" w:themeColor="text1"/>
        </w:rPr>
        <w:t xml:space="preserve">her own account of the authenticity condition. She </w:t>
      </w:r>
      <w:r w:rsidR="00DC4EEF" w:rsidRPr="00A92995">
        <w:rPr>
          <w:color w:val="000000" w:themeColor="text1"/>
        </w:rPr>
        <w:t xml:space="preserve">argues for </w:t>
      </w:r>
      <w:r w:rsidRPr="00A92995">
        <w:rPr>
          <w:color w:val="000000" w:themeColor="text1"/>
        </w:rPr>
        <w:t>a theory of ‘autonomy competency’ in which processes of self-discovery and self-definition allow agents to develop the authenticity required for autonomous action. One important distinguishing feature of Meyers’ account of autonomy is that it explicitly suggests a relational view of the individual, one that necessarily requires that an agent recognize her intersectionality. This will, according to Meyers, lend itself more readily to the dynamic and ongoing process of self-definition. Thus, we must abandon the liberal view of the individual if we are to understand the conditions for autonomy.</w:t>
      </w:r>
      <w:r w:rsidR="009D4901" w:rsidRPr="00A92995">
        <w:t xml:space="preserve"> </w:t>
      </w:r>
      <w:r w:rsidRPr="00A92995">
        <w:t xml:space="preserve">To begin, let us consider </w:t>
      </w:r>
      <w:r w:rsidRPr="00A92995">
        <w:rPr>
          <w:color w:val="000000" w:themeColor="text1"/>
        </w:rPr>
        <w:t>Meyers’ synopsis of Frankfurt’s proposed condition of authenticity:</w:t>
      </w:r>
    </w:p>
    <w:p w14:paraId="0FEE7BF1" w14:textId="77777777" w:rsidR="00AB73E0" w:rsidRPr="00A92995" w:rsidRDefault="00AB73E0" w:rsidP="00AB73E0">
      <w:pPr>
        <w:rPr>
          <w:color w:val="000000" w:themeColor="text1"/>
        </w:rPr>
      </w:pPr>
      <w:r w:rsidRPr="00A92995">
        <w:rPr>
          <w:color w:val="000000" w:themeColor="text1"/>
        </w:rPr>
        <w:t xml:space="preserve"> </w:t>
      </w:r>
    </w:p>
    <w:p w14:paraId="4B1588DE" w14:textId="2D2D9594" w:rsidR="00AB73E0" w:rsidRPr="00A92995" w:rsidRDefault="00AB73E0" w:rsidP="00AB73E0">
      <w:pPr>
        <w:ind w:left="720"/>
        <w:jc w:val="both"/>
      </w:pPr>
      <w:r w:rsidRPr="00A92995">
        <w:t>On Frankfurt’s view, an authentic self is integrated in two respects: (1) one’s endorsed first-order desires have been rank ordered so that one knows what is most important, and (2) one does not feel ambivalent about any of these desires or about the priorities one has set for oneself. Integration eliminates conflict, and wholeheartedness complements and completes integration.</w:t>
      </w:r>
      <w:r w:rsidR="00A64315" w:rsidRPr="00A92995">
        <w:rPr>
          <w:rStyle w:val="FootnoteReference"/>
          <w:sz w:val="24"/>
        </w:rPr>
        <w:footnoteReference w:id="60"/>
      </w:r>
    </w:p>
    <w:p w14:paraId="14308EF5" w14:textId="77777777" w:rsidR="00AB73E0" w:rsidRPr="00A92995" w:rsidRDefault="00AB73E0" w:rsidP="00AB73E0">
      <w:pPr>
        <w:rPr>
          <w:color w:val="000000" w:themeColor="text1"/>
        </w:rPr>
      </w:pPr>
    </w:p>
    <w:p w14:paraId="25E90C78" w14:textId="77777777" w:rsidR="00AB73E0" w:rsidRPr="00A92995" w:rsidRDefault="00AB73E0" w:rsidP="00AB73E0">
      <w:pPr>
        <w:rPr>
          <w:color w:val="000000" w:themeColor="text1"/>
        </w:rPr>
      </w:pPr>
    </w:p>
    <w:p w14:paraId="78902BA9" w14:textId="2AD3CA8B" w:rsidR="00AB73E0" w:rsidRPr="00A92995" w:rsidRDefault="00AB73E0" w:rsidP="00015FD0">
      <w:pPr>
        <w:spacing w:line="360" w:lineRule="auto"/>
        <w:ind w:firstLine="720"/>
        <w:rPr>
          <w:color w:val="000000" w:themeColor="text1"/>
        </w:rPr>
      </w:pPr>
      <w:r w:rsidRPr="00A92995">
        <w:rPr>
          <w:color w:val="000000" w:themeColor="text1"/>
        </w:rPr>
        <w:t xml:space="preserve">Meyers takes aim at Frankfurt’s condition of wholehearted identification. </w:t>
      </w:r>
      <w:r w:rsidR="009E5F1D" w:rsidRPr="00A92995">
        <w:rPr>
          <w:color w:val="000000" w:themeColor="text1"/>
        </w:rPr>
        <w:t>She argues that t</w:t>
      </w:r>
      <w:r w:rsidRPr="00A92995">
        <w:rPr>
          <w:color w:val="000000" w:themeColor="text1"/>
        </w:rPr>
        <w:t>his criterion is flawed</w:t>
      </w:r>
      <w:r w:rsidR="009E5F1D" w:rsidRPr="00A92995">
        <w:rPr>
          <w:color w:val="000000" w:themeColor="text1"/>
        </w:rPr>
        <w:t xml:space="preserve"> </w:t>
      </w:r>
      <w:r w:rsidRPr="00A92995">
        <w:rPr>
          <w:color w:val="000000" w:themeColor="text1"/>
        </w:rPr>
        <w:t xml:space="preserve">because </w:t>
      </w:r>
      <w:r w:rsidR="0014241E" w:rsidRPr="00A92995">
        <w:rPr>
          <w:color w:val="000000" w:themeColor="text1"/>
        </w:rPr>
        <w:t xml:space="preserve">its corollary </w:t>
      </w:r>
      <w:r w:rsidRPr="00A92995">
        <w:rPr>
          <w:color w:val="000000" w:themeColor="text1"/>
        </w:rPr>
        <w:t>seems to allow, and perhaps even require</w:t>
      </w:r>
      <w:r w:rsidR="00C479A6" w:rsidRPr="00A92995">
        <w:rPr>
          <w:color w:val="000000" w:themeColor="text1"/>
        </w:rPr>
        <w:t>s,</w:t>
      </w:r>
      <w:r w:rsidRPr="00A92995">
        <w:rPr>
          <w:color w:val="000000" w:themeColor="text1"/>
        </w:rPr>
        <w:t xml:space="preserve"> that agents are able to wholeheartedly </w:t>
      </w:r>
      <w:r w:rsidRPr="00A92995">
        <w:rPr>
          <w:i/>
          <w:color w:val="000000" w:themeColor="text1"/>
        </w:rPr>
        <w:t>dissociate</w:t>
      </w:r>
      <w:r w:rsidRPr="00A92995">
        <w:rPr>
          <w:color w:val="000000" w:themeColor="text1"/>
        </w:rPr>
        <w:t xml:space="preserve"> from any harmful norms or attributes they may have internalized, including attitudes of self-doubt, servility, and submissiveness.</w:t>
      </w:r>
      <w:r w:rsidRPr="00A92995">
        <w:rPr>
          <w:rStyle w:val="FootnoteReference"/>
          <w:color w:val="000000" w:themeColor="text1"/>
          <w:sz w:val="24"/>
        </w:rPr>
        <w:footnoteReference w:id="61"/>
      </w:r>
      <w:r w:rsidRPr="00A92995">
        <w:rPr>
          <w:color w:val="000000" w:themeColor="text1"/>
        </w:rPr>
        <w:t xml:space="preserve"> This is problematic in two ways: Firstly, it is often the case that internalized oppression is so deeply entrenched that its existence or effects cannot easily, if ever, be brought to the consciousness of the agent. It is incredibly difficult and perhaps even impossible to dissociate from such motivations at all, let alone ‘wholeheartedly’. Secondly, even if the agent is able to recognize these oppressive norms for what they are, disidentifying with them – rejecting them as motivational structures – might amount to ignoring the reality of the social injustices which create them. Meyers</w:t>
      </w:r>
      <w:r w:rsidR="00290C8B" w:rsidRPr="00A92995">
        <w:rPr>
          <w:color w:val="000000" w:themeColor="text1"/>
        </w:rPr>
        <w:t>’</w:t>
      </w:r>
      <w:r w:rsidRPr="00A92995">
        <w:rPr>
          <w:color w:val="000000" w:themeColor="text1"/>
        </w:rPr>
        <w:t xml:space="preserve"> condition of intersectional identity poses a further problem to Frankfurt’s wholeheartedness condition, namely, the problem of ambivalence. By virtue of our intersectional identities – our memberships to various, often opposing groups - we are bound to </w:t>
      </w:r>
      <w:r w:rsidR="001A03AB" w:rsidRPr="00A92995">
        <w:rPr>
          <w:color w:val="000000" w:themeColor="text1"/>
        </w:rPr>
        <w:t xml:space="preserve">experience </w:t>
      </w:r>
      <w:r w:rsidRPr="00A92995">
        <w:rPr>
          <w:color w:val="000000" w:themeColor="text1"/>
        </w:rPr>
        <w:t xml:space="preserve">some conflicting desires which are equally valuable to us. The act of prioritizing one desire of </w:t>
      </w:r>
      <w:r w:rsidRPr="00A92995">
        <w:rPr>
          <w:color w:val="000000" w:themeColor="text1"/>
        </w:rPr>
        <w:lastRenderedPageBreak/>
        <w:t>the other, as Frankfurt’s hierarchical ranking requires from us, is not as easy as Frankfurt’s account would suggest; especially not if we are to seriously consider the intersectionality of our identities.</w:t>
      </w:r>
    </w:p>
    <w:p w14:paraId="0D0B126C" w14:textId="77777777" w:rsidR="008D1776" w:rsidRDefault="009D4901" w:rsidP="00015FD0">
      <w:pPr>
        <w:spacing w:line="360" w:lineRule="auto"/>
      </w:pPr>
      <w:r w:rsidRPr="00A92995">
        <w:rPr>
          <w:color w:val="000000" w:themeColor="text1"/>
        </w:rPr>
        <w:tab/>
      </w:r>
      <w:r w:rsidR="00AB73E0" w:rsidRPr="00A92995">
        <w:rPr>
          <w:color w:val="000000" w:themeColor="text1"/>
        </w:rPr>
        <w:t xml:space="preserve">For </w:t>
      </w:r>
      <w:r w:rsidR="00AB73E0" w:rsidRPr="00A92995">
        <w:rPr>
          <w:rFonts w:eastAsia="Times New Roman"/>
        </w:rPr>
        <w:t xml:space="preserve">Meyers, authenticity is something that an agent develops as she engages in processes of self-discovery and self-definition, </w:t>
      </w:r>
      <w:r w:rsidR="008557F3" w:rsidRPr="00A92995">
        <w:rPr>
          <w:rFonts w:eastAsia="Times New Roman"/>
        </w:rPr>
        <w:t xml:space="preserve">and she </w:t>
      </w:r>
      <w:r w:rsidR="00AB73E0" w:rsidRPr="00A92995">
        <w:rPr>
          <w:rFonts w:eastAsia="Times New Roman"/>
        </w:rPr>
        <w:t>claim</w:t>
      </w:r>
      <w:r w:rsidR="008557F3" w:rsidRPr="00A92995">
        <w:rPr>
          <w:rFonts w:eastAsia="Times New Roman"/>
        </w:rPr>
        <w:t xml:space="preserve">s </w:t>
      </w:r>
      <w:r w:rsidR="00AB73E0" w:rsidRPr="00A92995">
        <w:rPr>
          <w:rFonts w:eastAsia="Times New Roman"/>
        </w:rPr>
        <w:t xml:space="preserve"> that “the authentic self is the evolving collocation of attributes that emerges in [an] ongoing process of reflection, deliberation and action</w:t>
      </w:r>
      <w:r w:rsidR="00AB73E0" w:rsidRPr="00A92995">
        <w:rPr>
          <w:rFonts w:eastAsia="Times New Roman"/>
          <w:color w:val="000000" w:themeColor="text1"/>
        </w:rPr>
        <w:t>.”</w:t>
      </w:r>
      <w:r w:rsidR="00AB73E0" w:rsidRPr="00A92995">
        <w:rPr>
          <w:rStyle w:val="FootnoteReference"/>
          <w:rFonts w:eastAsia="Times New Roman"/>
          <w:color w:val="000000" w:themeColor="text1"/>
          <w:sz w:val="24"/>
        </w:rPr>
        <w:footnoteReference w:id="62"/>
      </w:r>
      <w:r w:rsidR="00AB73E0" w:rsidRPr="00A92995">
        <w:rPr>
          <w:rFonts w:eastAsia="Times New Roman"/>
          <w:color w:val="000000" w:themeColor="text1"/>
        </w:rPr>
        <w:t xml:space="preserve"> We can understand Meyers’ conception of </w:t>
      </w:r>
      <w:r w:rsidR="00AB73E0" w:rsidRPr="00A92995">
        <w:t xml:space="preserve">authenticity as an emergent quality of an individual as she comes closer to defining herself, her own desires and motivational structures, and those life plans which she takes to be her own. An agent </w:t>
      </w:r>
      <w:r w:rsidR="00AB73E0" w:rsidRPr="00A92995">
        <w:rPr>
          <w:i/>
        </w:rPr>
        <w:t xml:space="preserve">is </w:t>
      </w:r>
      <w:r w:rsidR="00AB73E0" w:rsidRPr="00A92995">
        <w:t xml:space="preserve">authentic when her desires, motivations, beliefs, and preferences are </w:t>
      </w:r>
      <w:r w:rsidR="00AB73E0" w:rsidRPr="00A92995">
        <w:rPr>
          <w:i/>
        </w:rPr>
        <w:t xml:space="preserve">authentically </w:t>
      </w:r>
      <w:r w:rsidR="00AB73E0" w:rsidRPr="00A92995">
        <w:t xml:space="preserve">her own. She develops this authenticity by engaging in processes of self-definition and self-discovery, constantly enquiring about the nature and historical origin of those motivational </w:t>
      </w:r>
      <w:r w:rsidR="00852203" w:rsidRPr="00A92995">
        <w:t>structures</w:t>
      </w:r>
      <w:r w:rsidR="008D1776">
        <w:t>,</w:t>
      </w:r>
      <w:r w:rsidR="00852203" w:rsidRPr="00A92995">
        <w:t xml:space="preserve"> and</w:t>
      </w:r>
      <w:r w:rsidR="00AB73E0" w:rsidRPr="00A92995">
        <w:t xml:space="preserve"> endorsing or rejecting them accordingly. Like Frankfurt and Christman, Meyers supports the reflective-endorsement condition of authenticity. However, she adds to Christman’s historical evaluation in a much more complex way. Not only must agents acknowledge their own intersectionality, she argues, but they must have the competency skills necessary to make the actual endorsement. </w:t>
      </w:r>
    </w:p>
    <w:p w14:paraId="552D7685" w14:textId="4D428C3E" w:rsidR="00AB73E0" w:rsidRPr="00A92995" w:rsidRDefault="00AB73E0" w:rsidP="008D1776">
      <w:pPr>
        <w:spacing w:line="360" w:lineRule="auto"/>
        <w:ind w:firstLine="720"/>
      </w:pPr>
      <w:r w:rsidRPr="00A92995">
        <w:rPr>
          <w:rFonts w:eastAsia="Times New Roman"/>
          <w:color w:val="000000" w:themeColor="text1"/>
        </w:rPr>
        <w:t xml:space="preserve">The skills required to engage in the processes above include </w:t>
      </w:r>
      <w:r w:rsidR="005039C6" w:rsidRPr="00A92995">
        <w:rPr>
          <w:rFonts w:eastAsia="Times New Roman"/>
          <w:color w:val="000000" w:themeColor="text1"/>
        </w:rPr>
        <w:t xml:space="preserve">analytic skills that “enable individuals to compare different self-concepts and to assess the relative merits of these alternatives”; </w:t>
      </w:r>
      <w:r w:rsidRPr="00A92995">
        <w:t>imagination</w:t>
      </w:r>
      <w:r w:rsidR="00512C0F" w:rsidRPr="00A92995">
        <w:t xml:space="preserve"> skills </w:t>
      </w:r>
      <w:r w:rsidR="00361224" w:rsidRPr="00A92995">
        <w:t xml:space="preserve">that </w:t>
      </w:r>
      <w:r w:rsidR="005039C6" w:rsidRPr="00A92995">
        <w:t xml:space="preserve">“enable individuals to envisage a range of self-concepts they might adopt”; communication </w:t>
      </w:r>
      <w:r w:rsidRPr="00A92995">
        <w:t xml:space="preserve">and </w:t>
      </w:r>
      <w:r w:rsidR="00361224" w:rsidRPr="00A92995">
        <w:t xml:space="preserve">interpersonal </w:t>
      </w:r>
      <w:r w:rsidR="005039C6" w:rsidRPr="00A92995">
        <w:t>skills that “enable individuals to get the benefit of others’ perceptions, background knowledge, insights, advice and support”; as well as introspective skills that “sensitize individuals to their own feelings and desires, than enable them to interpret their subjective experience”.</w:t>
      </w:r>
      <w:r w:rsidR="005039C6" w:rsidRPr="00A92995">
        <w:rPr>
          <w:rStyle w:val="FootnoteReference"/>
          <w:sz w:val="24"/>
        </w:rPr>
        <w:footnoteReference w:id="63"/>
      </w:r>
      <w:r w:rsidRPr="00A92995">
        <w:t xml:space="preserve"> the ability to recognize a failure to be transparent with </w:t>
      </w:r>
      <w:r w:rsidR="00361224" w:rsidRPr="00A92995">
        <w:t>themselves</w:t>
      </w:r>
      <w:r w:rsidRPr="00A92995">
        <w:t xml:space="preserve">, and the ability to recognize any changes of </w:t>
      </w:r>
      <w:r w:rsidR="00361224" w:rsidRPr="00A92995">
        <w:t xml:space="preserve">their </w:t>
      </w:r>
      <w:r w:rsidRPr="00A92995">
        <w:t xml:space="preserve">values and beliefs and adjust </w:t>
      </w:r>
      <w:r w:rsidR="00361224" w:rsidRPr="00A92995">
        <w:t xml:space="preserve">their </w:t>
      </w:r>
      <w:r w:rsidRPr="00A92995">
        <w:t xml:space="preserve">actions accordingly. Further, </w:t>
      </w:r>
      <w:r w:rsidR="00361224" w:rsidRPr="00A92995">
        <w:t xml:space="preserve">agents </w:t>
      </w:r>
      <w:r w:rsidRPr="00A92995">
        <w:t xml:space="preserve">must have </w:t>
      </w:r>
      <w:r w:rsidR="005039C6" w:rsidRPr="00A92995">
        <w:t xml:space="preserve">volitional skills to resist pressure and expectations of others who might pressure </w:t>
      </w:r>
      <w:r w:rsidR="00361224" w:rsidRPr="00A92995">
        <w:t>them</w:t>
      </w:r>
      <w:r w:rsidR="005039C6" w:rsidRPr="00A92995">
        <w:t xml:space="preserve"> to adopt a </w:t>
      </w:r>
      <w:r w:rsidR="00361224" w:rsidRPr="00A92995">
        <w:t xml:space="preserve">conventional self-concept. All of these skills must enable the individual to </w:t>
      </w:r>
      <w:r w:rsidR="005039C6" w:rsidRPr="00A92995">
        <w:t xml:space="preserve">commit to the self-concept that </w:t>
      </w:r>
      <w:r w:rsidR="00361224" w:rsidRPr="00A92995">
        <w:t>they consider</w:t>
      </w:r>
      <w:r w:rsidR="005039C6" w:rsidRPr="00A92995">
        <w:t xml:space="preserve"> authentically </w:t>
      </w:r>
      <w:r w:rsidR="00361224" w:rsidRPr="00A92995">
        <w:t>their</w:t>
      </w:r>
      <w:r w:rsidR="005039C6" w:rsidRPr="00A92995">
        <w:t xml:space="preserve"> own</w:t>
      </w:r>
      <w:r w:rsidR="00361224" w:rsidRPr="00A92995">
        <w:t>.</w:t>
      </w:r>
    </w:p>
    <w:p w14:paraId="64236D2C" w14:textId="416AA601" w:rsidR="00AB73E0" w:rsidRPr="00A92995" w:rsidRDefault="009D4901" w:rsidP="00015FD0">
      <w:pPr>
        <w:spacing w:line="360" w:lineRule="auto"/>
        <w:ind w:right="-138"/>
      </w:pPr>
      <w:r w:rsidRPr="00A92995">
        <w:tab/>
      </w:r>
      <w:r w:rsidR="00AB73E0" w:rsidRPr="00A92995">
        <w:t xml:space="preserve">Where Christman highlighted the constitutive relationality of agents, Meyers suggests that agents are also causally relational: that the skills necessary for self-definition and self-discovery </w:t>
      </w:r>
      <w:r w:rsidR="00AB73E0" w:rsidRPr="00A92995">
        <w:lastRenderedPageBreak/>
        <w:t>are by necessity developed in and by the agent’s contact with her social environment. Agents require access to both diverse social environment, as well as interpersonal interactions in order to activate and develop their autonomy competency skills. It is also important to recognize that just as some environments and social situations encourage and foster autonomy competency, so others might undermine and prevent the development of autonomy competency.</w:t>
      </w:r>
      <w:r w:rsidR="00780FD9" w:rsidRPr="00A92995">
        <w:t xml:space="preserve"> </w:t>
      </w:r>
      <w:r w:rsidR="00A3744A" w:rsidRPr="00A92995">
        <w:t xml:space="preserve">For instance, Meyers writes that since </w:t>
      </w:r>
      <w:r w:rsidR="00AB73E0" w:rsidRPr="00A92995">
        <w:t xml:space="preserve"> “ the agents are more likely to develop or emphasize those aspects of themselves (character traits, potentialities, and talents) that are socially reinforced and to incorporate these aspects into their self-concepts, the quest for authenticity may be undermined by conventionality.”</w:t>
      </w:r>
      <w:r w:rsidR="00AB73E0" w:rsidRPr="00A92995">
        <w:rPr>
          <w:rStyle w:val="FootnoteReference"/>
          <w:sz w:val="24"/>
        </w:rPr>
        <w:footnoteReference w:id="64"/>
      </w:r>
      <w:r w:rsidR="00AB73E0" w:rsidRPr="00A92995">
        <w:t xml:space="preserve"> </w:t>
      </w:r>
      <w:r w:rsidR="00780FD9" w:rsidRPr="00A92995">
        <w:t>For example, in a community with strict gender norms, women are often encouraged to develop skills according to conventional expectations, such as those associated with childcare and home economics. By focusing on these skills</w:t>
      </w:r>
      <w:r w:rsidR="00447C7F" w:rsidRPr="00A92995">
        <w:t>,</w:t>
      </w:r>
      <w:r w:rsidR="00780FD9" w:rsidRPr="00A92995">
        <w:t xml:space="preserve"> they might have little or no opportunity to develop or explore any other character traits or potentialities that they might be better suited for, they might enjoy more, or that serves them better in the world. Conventionality and oppressive norms encourages the development of skills necessary to fulfil conventional expectations, and limits opportunities to develop skills or characteristics that are not aligned with convention.</w:t>
      </w:r>
    </w:p>
    <w:p w14:paraId="3E201790" w14:textId="59C62C67" w:rsidR="00AB73E0" w:rsidRPr="00A92995" w:rsidRDefault="00AB73E0" w:rsidP="005069EB">
      <w:pPr>
        <w:spacing w:line="360" w:lineRule="auto"/>
        <w:ind w:right="-138" w:firstLine="720"/>
      </w:pPr>
      <w:r w:rsidRPr="00A92995">
        <w:t>It is here that we begin to see how the liberal view of the individual can and should be replaced by one which takes an agent’s social, historical, and relational context into account. Besides the social context being necessary for the development of competency skills, it is also essential for agents to accept their identities as intersectional: that is, agents must recognize themselves as one member of several social groups simultaneously. This way, agents can be members of dominant and oppressed social groups simultaneously. For Meyers, accepting intersectional identity as a feature of one’s authentic self is an exercise of self-transparency and examination of the embedded social norms which affect the agent’s motivational structures. When an agent is able to identify her various group identities and locate conflicting or oppressive norms which are replicated in those groups, the agent is making room “for autonomous self-definition – thoughtful clarification or reshaping of one’s desires, personal traits, values, interests, and goals – and thus for autonomous self-direction – plotting a course of action that enacts those attributes as fully as possible.”</w:t>
      </w:r>
      <w:r w:rsidRPr="00A92995">
        <w:rPr>
          <w:rStyle w:val="FootnoteReference"/>
          <w:sz w:val="24"/>
        </w:rPr>
        <w:footnoteReference w:id="65"/>
      </w:r>
      <w:r w:rsidRPr="00A92995">
        <w:t xml:space="preserve"> To accept one</w:t>
      </w:r>
      <w:r w:rsidR="00C659C8" w:rsidRPr="00A92995">
        <w:t>’</w:t>
      </w:r>
      <w:r w:rsidRPr="00A92995">
        <w:t xml:space="preserve">s identity as intersectional is to face the problem of </w:t>
      </w:r>
      <w:r w:rsidRPr="00A92995">
        <w:lastRenderedPageBreak/>
        <w:t xml:space="preserve">socialization head on, and to do so with the recognition that one might be more autonomous in some areas of life, and less autonomous in others. Notably, this is something that the deferential wife is not obviously capable of or inclined to do. </w:t>
      </w:r>
    </w:p>
    <w:p w14:paraId="15D88C45" w14:textId="7B74ED8C" w:rsidR="00AB73E0" w:rsidRPr="00A92995" w:rsidRDefault="009D4901" w:rsidP="00015FD0">
      <w:pPr>
        <w:spacing w:line="360" w:lineRule="auto"/>
      </w:pPr>
      <w:r w:rsidRPr="00A92995">
        <w:tab/>
      </w:r>
      <w:r w:rsidR="00AB73E0" w:rsidRPr="00A92995">
        <w:t xml:space="preserve">The latter point is demonstrated in Meyers’ distinction between three forms of autonomy. ‘Programmatic autonomy’ refers to an agent’s capacity to exercise autonomy over her entire life by posing and answering the question “How do I want to live my life?” and </w:t>
      </w:r>
      <w:r w:rsidR="004B6703" w:rsidRPr="00A92995">
        <w:t xml:space="preserve">carrying </w:t>
      </w:r>
      <w:r w:rsidR="00AB73E0" w:rsidRPr="00A92995">
        <w:t>out a life plan that embodies the answer to that question and its subsidiaries. ‘Episodic autonomy’ is confined rather to a single action, as opposed to the entire life of the agent as in programmatic autonomy. Further, she suggests that women who have internalized oppressive norms, and I assume</w:t>
      </w:r>
      <w:r w:rsidR="00B502C9" w:rsidRPr="00A92995">
        <w:t>,</w:t>
      </w:r>
      <w:r w:rsidR="00AB73E0" w:rsidRPr="00A92995">
        <w:t xml:space="preserve"> members of other oppressed groups, may exhibit partial access autonomy, or “narrowly programmatic autonomy, the capacity to make autonomous decisions in particular aspects of one’s life, for example, choice of partner”.</w:t>
      </w:r>
      <w:r w:rsidR="00AB73E0" w:rsidRPr="00A92995">
        <w:rPr>
          <w:rStyle w:val="FootnoteReference"/>
          <w:sz w:val="24"/>
        </w:rPr>
        <w:footnoteReference w:id="66"/>
      </w:r>
    </w:p>
    <w:p w14:paraId="5991C654" w14:textId="3A126D67" w:rsidR="00AB73E0" w:rsidRPr="00A92995" w:rsidRDefault="009D4901" w:rsidP="00AB73E0">
      <w:pPr>
        <w:spacing w:line="360" w:lineRule="auto"/>
        <w:rPr>
          <w:rFonts w:eastAsia="Times New Roman"/>
          <w:color w:val="000000" w:themeColor="text1"/>
        </w:rPr>
      </w:pPr>
      <w:r w:rsidRPr="00A92995">
        <w:rPr>
          <w:rFonts w:eastAsia="Times New Roman"/>
          <w:color w:val="000000" w:themeColor="text1"/>
        </w:rPr>
        <w:tab/>
      </w:r>
      <w:r w:rsidR="00AB73E0" w:rsidRPr="00A92995">
        <w:rPr>
          <w:rFonts w:eastAsia="Times New Roman"/>
          <w:color w:val="000000" w:themeColor="text1"/>
        </w:rPr>
        <w:t xml:space="preserve">To recap, Meyers argues that the procedural authenticity condition of autonomy (i.e. reflective endorsement) is only meaningful if the agent who arrives at her endorsement does so by exercising various autonomy competency skills. Agents develop authenticity by using these skills to define themselves. This account takes very seriously the effects of internalized oppression and its effects on the authenticity of an agent’s motivational structures. To answer for this, Meyers claims that autonomy must be viewed as a matter of degree, so that an agent may exhibit ‘pockets’ of autonomy even in the face of extreme oppressive circumstances. She argues that: </w:t>
      </w:r>
    </w:p>
    <w:p w14:paraId="48727150" w14:textId="77777777" w:rsidR="00AB73E0" w:rsidRPr="00A92995" w:rsidRDefault="00AB73E0" w:rsidP="00AB73E0">
      <w:pPr>
        <w:ind w:left="720"/>
        <w:jc w:val="both"/>
        <w:rPr>
          <w:color w:val="FF0000"/>
        </w:rPr>
      </w:pPr>
      <w:r w:rsidRPr="00A92995">
        <w:t>To leave room for personal autonomy despite pervasive childhood role preparation coupled with compelling incentives to accede to social norms, it must be possible for people to act autonomously in isolated situations, and to adopt some projects and policies autonomously without having control over the basic direction of their lives.</w:t>
      </w:r>
      <w:r w:rsidRPr="00A92995">
        <w:rPr>
          <w:rStyle w:val="FootnoteReference"/>
          <w:sz w:val="24"/>
        </w:rPr>
        <w:footnoteReference w:id="67"/>
      </w:r>
    </w:p>
    <w:p w14:paraId="6971DA02" w14:textId="77777777" w:rsidR="00AB73E0" w:rsidRPr="00A92995" w:rsidRDefault="00AB73E0" w:rsidP="00AB73E0">
      <w:pPr>
        <w:spacing w:line="360" w:lineRule="auto"/>
      </w:pPr>
    </w:p>
    <w:p w14:paraId="4FC577A9" w14:textId="3C7AA7FC" w:rsidR="00AB73E0" w:rsidRPr="00A92995" w:rsidRDefault="00AB73E0" w:rsidP="005069EB">
      <w:pPr>
        <w:spacing w:line="360" w:lineRule="auto"/>
        <w:ind w:firstLine="720"/>
      </w:pPr>
      <w:r w:rsidRPr="00A92995">
        <w:t xml:space="preserve">The Deferential Wife, then, does not altogether lack autonomy, according to Meyers. While she suggests that it is in principle possible to autonomously adopt such a life plan, she also acknowledges that strongly directive feminine socialization often prevents women from completely or adequately developing their autonomy competency skills. As a result, many such </w:t>
      </w:r>
      <w:r w:rsidRPr="00A92995">
        <w:lastRenderedPageBreak/>
        <w:t>women are prevented from achieving anything more than sporadic moments of</w:t>
      </w:r>
      <w:r w:rsidR="00B502C9" w:rsidRPr="00A92995">
        <w:t xml:space="preserve"> (narrow)</w:t>
      </w:r>
      <w:r w:rsidRPr="00A92995">
        <w:t xml:space="preserve"> episodic autonomy over the span of </w:t>
      </w:r>
      <w:r w:rsidR="00076508" w:rsidRPr="00A92995">
        <w:t>their life</w:t>
      </w:r>
      <w:r w:rsidRPr="00A92995">
        <w:t xml:space="preserve">. </w:t>
      </w:r>
    </w:p>
    <w:p w14:paraId="42638355" w14:textId="349A1089" w:rsidR="0094595E" w:rsidRPr="00A92995" w:rsidRDefault="009D4901" w:rsidP="00AB73E0">
      <w:pPr>
        <w:spacing w:line="360" w:lineRule="auto"/>
        <w:ind w:right="-52"/>
      </w:pPr>
      <w:r w:rsidRPr="00A92995">
        <w:tab/>
      </w:r>
      <w:r w:rsidR="00AB73E0" w:rsidRPr="00A92995">
        <w:t>Meyers’ competency approach makes huge strides forward in accounting for the autonomy of those members of oppressed groups</w:t>
      </w:r>
      <w:r w:rsidR="009A295B" w:rsidRPr="00A92995">
        <w:t xml:space="preserve">. </w:t>
      </w:r>
      <w:r w:rsidR="0094595E" w:rsidRPr="00A92995">
        <w:t>With the provision of competency skills, Meyers’ account encourages us to be more discerning about which of an agent’s motivational structures we consider authentic</w:t>
      </w:r>
      <w:r w:rsidR="0020671D" w:rsidRPr="00A92995">
        <w:t>ally her own</w:t>
      </w:r>
      <w:r w:rsidR="0094595E" w:rsidRPr="00A92995">
        <w:t xml:space="preserve">. This allows us to </w:t>
      </w:r>
      <w:r w:rsidR="004016ED" w:rsidRPr="00A92995">
        <w:t>identify and interrogate the authenticity of</w:t>
      </w:r>
      <w:r w:rsidR="0094595E" w:rsidRPr="00A92995">
        <w:t xml:space="preserve"> those actions and motivations that result from oppressive socialization, self-abnegation, and adaptive preference formation</w:t>
      </w:r>
      <w:r w:rsidR="0020671D" w:rsidRPr="00A92995">
        <w:t>. Put another way</w:t>
      </w:r>
      <w:r w:rsidR="0094595E" w:rsidRPr="00A92995">
        <w:t xml:space="preserve">, Meyers’ competency </w:t>
      </w:r>
      <w:r w:rsidR="0020671D" w:rsidRPr="00A92995">
        <w:t xml:space="preserve">approach </w:t>
      </w:r>
      <w:r w:rsidR="0094595E" w:rsidRPr="00A92995">
        <w:t>lends itself to the feminist intuition that members of oppressed groups</w:t>
      </w:r>
      <w:r w:rsidR="004016ED" w:rsidRPr="00A92995">
        <w:t>,</w:t>
      </w:r>
      <w:r w:rsidR="0020671D" w:rsidRPr="00A92995">
        <w:t xml:space="preserve"> and individuals acting subservient or deferent to dominant groups,</w:t>
      </w:r>
      <w:r w:rsidR="0094595E" w:rsidRPr="00A92995">
        <w:t xml:space="preserve"> are not as autonomous as the liberal view would </w:t>
      </w:r>
      <w:r w:rsidR="0020671D" w:rsidRPr="00A92995">
        <w:t>have us believe.</w:t>
      </w:r>
      <w:r w:rsidR="0094595E" w:rsidRPr="00A92995">
        <w:t xml:space="preserve"> </w:t>
      </w:r>
      <w:r w:rsidR="00452E63" w:rsidRPr="00A92995">
        <w:t xml:space="preserve">Indeed, </w:t>
      </w:r>
      <w:r w:rsidR="004016ED" w:rsidRPr="00A92995">
        <w:t xml:space="preserve">despite suggesting that the Deferential Wife does not altogether lack autonomy, </w:t>
      </w:r>
      <w:r w:rsidR="00452E63" w:rsidRPr="00A92995">
        <w:t>Meyers herself says that “if anything can, strongly directive socialization seems to controvert personal autonomy. Since the traditional woman has been assiduously groomed for the feminine role from the moment she was first wrapped in a pink blanket, her fulfilling her duties as a housewife and mother seems a paradigmatic case of someone’s doing what others want and expect one to do, regardless of one’s own desires.”</w:t>
      </w:r>
      <w:r w:rsidR="00452E63" w:rsidRPr="00A92995">
        <w:rPr>
          <w:rStyle w:val="FootnoteReference"/>
          <w:sz w:val="24"/>
        </w:rPr>
        <w:footnoteReference w:id="68"/>
      </w:r>
    </w:p>
    <w:p w14:paraId="36724295" w14:textId="52764F25" w:rsidR="00AB73E0" w:rsidRPr="00A92995" w:rsidRDefault="0094595E" w:rsidP="00015FD0">
      <w:pPr>
        <w:spacing w:line="360" w:lineRule="auto"/>
        <w:ind w:right="-52" w:firstLine="720"/>
      </w:pPr>
      <w:r w:rsidRPr="00A92995">
        <w:t>Unfortunately, since Meyers’ competency approach falls into the category of procedural</w:t>
      </w:r>
      <w:r w:rsidR="0020671D" w:rsidRPr="00A92995">
        <w:t xml:space="preserve"> theories of autonomy,</w:t>
      </w:r>
      <w:r w:rsidRPr="00A92995">
        <w:t xml:space="preserve"> </w:t>
      </w:r>
      <w:r w:rsidR="00AB73E0" w:rsidRPr="00A92995">
        <w:t xml:space="preserve">it susceptible to some of the same critiques. Her account, like others in the category of procedural approaches to autonomy, maintains that the outcomes of the process of critical reflection – albeit embellished with various autonomy competency skills – will be autonomous regardless of the content of those desires or outcomes. Like Christman’s condition of historical endorsement, I believe Meyers’ condition for autonomy is necessary. However, </w:t>
      </w:r>
      <w:r w:rsidR="00361224" w:rsidRPr="00A92995">
        <w:t xml:space="preserve">as I discuss below, </w:t>
      </w:r>
      <w:r w:rsidR="00AB73E0" w:rsidRPr="00A92995">
        <w:t>I do not believe that any of these procedural theories adequately captures the kind of autonomy that we want.</w:t>
      </w:r>
      <w:r w:rsidR="00BF3909" w:rsidRPr="00A92995">
        <w:t xml:space="preserve"> </w:t>
      </w:r>
    </w:p>
    <w:p w14:paraId="1FC72D6A" w14:textId="77777777" w:rsidR="00015FD0" w:rsidRPr="00A92995" w:rsidRDefault="00015FD0" w:rsidP="00015FD0">
      <w:pPr>
        <w:spacing w:line="360" w:lineRule="auto"/>
        <w:ind w:right="-52" w:firstLine="720"/>
      </w:pPr>
    </w:p>
    <w:p w14:paraId="056DE56B" w14:textId="3027414F" w:rsidR="00AB73E0" w:rsidRPr="00A92995" w:rsidRDefault="00AB73E0" w:rsidP="00360448">
      <w:pPr>
        <w:pStyle w:val="Heading2"/>
      </w:pPr>
      <w:bookmarkStart w:id="24" w:name="_Toc505150524"/>
      <w:r w:rsidRPr="00A92995">
        <w:t>Concluding Remarks</w:t>
      </w:r>
      <w:bookmarkEnd w:id="24"/>
      <w:r w:rsidRPr="00A92995">
        <w:t xml:space="preserve"> </w:t>
      </w:r>
    </w:p>
    <w:p w14:paraId="74EAE9AF" w14:textId="77777777" w:rsidR="00F7635A" w:rsidRPr="00A92995" w:rsidRDefault="00F7635A" w:rsidP="00F7635A"/>
    <w:p w14:paraId="6406FE81" w14:textId="65CF0522" w:rsidR="00AB73E0" w:rsidRPr="00A92995" w:rsidRDefault="008C448C" w:rsidP="009C73B2">
      <w:pPr>
        <w:spacing w:line="360" w:lineRule="auto"/>
        <w:ind w:right="-52"/>
      </w:pPr>
      <w:r w:rsidRPr="00A92995">
        <w:t>P</w:t>
      </w:r>
      <w:r w:rsidR="00AB73E0" w:rsidRPr="00A92995">
        <w:t xml:space="preserve">rocedural theories of autonomy argue that reflective endorsement is sufficient for an agent’s actions to be authentic. Frankfurt’s hierarchical account specified that this reflective endorsement should be done via a process of ranking one’s motivational structures, and upon examination, wholeheartedly identifying with those she takes to be her own. Christman adds a strong </w:t>
      </w:r>
      <w:r w:rsidR="00AB73E0" w:rsidRPr="00A92995">
        <w:lastRenderedPageBreak/>
        <w:t xml:space="preserve">requirement for self-transparency, urging that </w:t>
      </w:r>
      <w:r w:rsidR="00626756" w:rsidRPr="00A92995">
        <w:t>agents</w:t>
      </w:r>
      <w:r w:rsidR="00AB73E0" w:rsidRPr="00A92995">
        <w:t xml:space="preserve"> examine the historical formation of their motivational structures in order to protect them from illegitimate influences. Diana Meyers builds on the reflective endorsement condition by arguing that motivations are authentic as long as the agent has exercised various autonomy competency skills to arrive at the positon of endorsement. All procedural theories of autonomy argue that as long as the process of reflective endorsement has ensued in the right way, the agent’s actions and motivations are autonomous. They also all hold that the content of the outcomes of reflective processes is irrelevant to determining the autonomy status of the ultimate motivation or action. In the next section, I demonstrate that substantive accounts of autonomy take issue with this content-neutrality and I introduce some substantive accounts of autonomy that attempt to provide their own sufficient conditions </w:t>
      </w:r>
      <w:r w:rsidR="007042C4" w:rsidRPr="00A92995">
        <w:t xml:space="preserve">for </w:t>
      </w:r>
      <w:r w:rsidR="00AB73E0" w:rsidRPr="00A92995">
        <w:t>authenticity.</w:t>
      </w:r>
    </w:p>
    <w:p w14:paraId="7B5E8363" w14:textId="77777777" w:rsidR="00AB73E0" w:rsidRPr="00A92995" w:rsidRDefault="00AB73E0" w:rsidP="000C3662">
      <w:pPr>
        <w:pStyle w:val="Heading1"/>
      </w:pPr>
      <w:bookmarkStart w:id="25" w:name="_Toc505150525"/>
      <w:r w:rsidRPr="00A92995">
        <w:t>Substantive Accounts</w:t>
      </w:r>
      <w:bookmarkEnd w:id="25"/>
      <w:r w:rsidRPr="00A92995">
        <w:t xml:space="preserve"> </w:t>
      </w:r>
    </w:p>
    <w:p w14:paraId="73E355B6" w14:textId="77777777" w:rsidR="00AB73E0" w:rsidRPr="00A92995" w:rsidRDefault="00AB73E0" w:rsidP="00AB73E0"/>
    <w:p w14:paraId="735C24EB" w14:textId="5F4E27F9" w:rsidR="00AB73E0" w:rsidRPr="00A92995" w:rsidRDefault="00AB73E0" w:rsidP="001B7A6C">
      <w:pPr>
        <w:spacing w:line="360" w:lineRule="auto"/>
      </w:pPr>
      <w:r w:rsidRPr="00A92995">
        <w:t xml:space="preserve">Let us imagine that arriving at an adequate theory of autonomy is similar to cooking a soup. Procedural theorists are the types of cooks who swear by the recipe, holding that as long as the instructions are followed to the letter (under the appropriate circumstances and temperature) the resulting meal will be soup. </w:t>
      </w:r>
      <w:r w:rsidR="00780FD9" w:rsidRPr="00A92995">
        <w:t>The</w:t>
      </w:r>
      <w:r w:rsidRPr="00A92995">
        <w:t xml:space="preserve"> procedural theorist is likely to claim that as long as we examine the processes and endorse them, we are making soup. Whether the soup is edible, nutritious, or even </w:t>
      </w:r>
      <w:r w:rsidR="00FA7AD3" w:rsidRPr="00A92995">
        <w:t xml:space="preserve">whether </w:t>
      </w:r>
      <w:r w:rsidRPr="00A92995">
        <w:t>it looks like soup</w:t>
      </w:r>
      <w:r w:rsidR="00FA7AD3" w:rsidRPr="00A92995">
        <w:t xml:space="preserve">, is </w:t>
      </w:r>
      <w:r w:rsidRPr="00A92995">
        <w:t>all irrelevant to its status as ‘soup’.</w:t>
      </w:r>
    </w:p>
    <w:p w14:paraId="199A99B4" w14:textId="2924D9A0" w:rsidR="00AB73E0" w:rsidRPr="00A92995" w:rsidRDefault="009D4901" w:rsidP="00AB73E0">
      <w:pPr>
        <w:spacing w:line="360" w:lineRule="auto"/>
      </w:pPr>
      <w:r w:rsidRPr="00A92995">
        <w:tab/>
      </w:r>
      <w:r w:rsidR="00AB73E0" w:rsidRPr="00A92995">
        <w:t xml:space="preserve">Substantive theorists point out that it is possible to follow the recipe and use toxic ingredients, leaving us with an inedible soup. Some, then, suggest that we continue to follow the recipe and instructions as the procedural theorists did, but in addition, we must ensure that only decent, fresh ingredients are used. This requires that we have some criteria with which we can judge what is an appropriate ingredient and what is not. This is the model </w:t>
      </w:r>
      <w:r w:rsidR="00CA2300">
        <w:t>proffered by</w:t>
      </w:r>
      <w:r w:rsidR="00AB73E0" w:rsidRPr="00A92995">
        <w:t xml:space="preserve"> a weak substantive theorist. Alternatively, the strong substantive theorist argues that the recipe we use to make this soup is so irrelevant to the </w:t>
      </w:r>
      <w:r w:rsidR="00120075" w:rsidRPr="00A92995">
        <w:t>healthiness</w:t>
      </w:r>
      <w:r w:rsidR="00AB73E0" w:rsidRPr="00A92995">
        <w:t xml:space="preserve"> of the soup that we should only concern ourselves with the ingredients, claiming that some ingredients are always toxic regardless of their freshness. All three utilize the same or similar tools – a pot, heat, water, a wooden spoon. These tools represent the competency conditions of autonomy. What differs between the three is their idea of worthy ingredients, what makes an ingredient toxic, and how we decide which ingredients are acceptable to use. In what follows, I will survey the details of strong and weak </w:t>
      </w:r>
      <w:r w:rsidR="00AB73E0" w:rsidRPr="00A92995">
        <w:lastRenderedPageBreak/>
        <w:t xml:space="preserve">substantive accounts of autonomy and their respective attempts to provide an account of autonomy that adequately deals with the problem of internalized oppression. </w:t>
      </w:r>
    </w:p>
    <w:p w14:paraId="5B075379" w14:textId="77777777" w:rsidR="00AB73E0" w:rsidRPr="00A92995" w:rsidRDefault="00AB73E0" w:rsidP="00AB73E0">
      <w:pPr>
        <w:spacing w:line="360" w:lineRule="auto"/>
        <w:ind w:right="-194"/>
      </w:pPr>
    </w:p>
    <w:p w14:paraId="431A34EE" w14:textId="1F66AC94" w:rsidR="00AB73E0" w:rsidRPr="00A92995" w:rsidRDefault="00AB73E0" w:rsidP="00360448">
      <w:pPr>
        <w:pStyle w:val="Heading2"/>
      </w:pPr>
      <w:bookmarkStart w:id="26" w:name="_Toc505150526"/>
      <w:r w:rsidRPr="00A92995">
        <w:t>Strong Substantive Accounts</w:t>
      </w:r>
      <w:bookmarkEnd w:id="26"/>
    </w:p>
    <w:p w14:paraId="5F6D5E7C" w14:textId="77777777" w:rsidR="00AB73E0" w:rsidRPr="00A92995" w:rsidRDefault="00AB73E0" w:rsidP="00AB73E0"/>
    <w:p w14:paraId="2C1BEDAD" w14:textId="0BA9DC72" w:rsidR="000C2747" w:rsidRPr="00A92995" w:rsidRDefault="00AB73E0" w:rsidP="00942B39">
      <w:pPr>
        <w:spacing w:line="360" w:lineRule="auto"/>
        <w:ind w:right="-194"/>
      </w:pPr>
      <w:r w:rsidRPr="00A92995">
        <w:t xml:space="preserve">Introducing the notion of strong substantive accounts to the project of feminist rehabilitation of theories of autonomy, Carolyn McKenzie, and Natalie Stoljar state the following: </w:t>
      </w:r>
    </w:p>
    <w:p w14:paraId="0E7ABF75" w14:textId="77777777" w:rsidR="00015FD0" w:rsidRPr="00A92995" w:rsidRDefault="00015FD0" w:rsidP="00942B39">
      <w:pPr>
        <w:spacing w:line="360" w:lineRule="auto"/>
        <w:ind w:right="-194"/>
      </w:pPr>
    </w:p>
    <w:p w14:paraId="6D271AA7" w14:textId="77777777" w:rsidR="00AB73E0" w:rsidRPr="00A92995" w:rsidRDefault="00AB73E0" w:rsidP="00015FD0">
      <w:pPr>
        <w:ind w:left="709" w:right="-279"/>
        <w:jc w:val="both"/>
      </w:pPr>
      <w:r w:rsidRPr="00A92995">
        <w:t>The central idea of these strong substantive accounts is that of normative competence: to be autonomous, agents must be competent, or have the capacity, to identify the difference between right and wrong. Since certain kinds of socialization, including socialization due to oppression, interfere with this capacity, agents subject to this kind of socialization are not autonomous.</w:t>
      </w:r>
      <w:r w:rsidRPr="00A92995">
        <w:rPr>
          <w:rStyle w:val="FootnoteReference"/>
          <w:sz w:val="24"/>
        </w:rPr>
        <w:footnoteReference w:id="69"/>
      </w:r>
    </w:p>
    <w:p w14:paraId="1036628C" w14:textId="77777777" w:rsidR="00AB73E0" w:rsidRPr="00A92995" w:rsidRDefault="00AB73E0" w:rsidP="00AB73E0">
      <w:pPr>
        <w:ind w:right="-194"/>
      </w:pPr>
    </w:p>
    <w:p w14:paraId="116F523B" w14:textId="77777777" w:rsidR="00AB73E0" w:rsidRPr="00A92995" w:rsidRDefault="00AB73E0" w:rsidP="005069EB">
      <w:pPr>
        <w:spacing w:line="360" w:lineRule="auto"/>
        <w:ind w:firstLine="709"/>
      </w:pPr>
      <w:r w:rsidRPr="00A92995">
        <w:t xml:space="preserve">Accounts of autonomy which are regarded as strongly substantive can be read as incredibly demanding, proposing strict requirements for autonomy that are, for the most part, heavily content-laden. This means that for an agent’s preferences, desires, motivations, and actions to count as autonomous on a strong substantive account, they must meet direct normative constraints. We will find it useful to notice three separate kinds of strong substantive accounts, each of which is developed around a particular way in which autonomy is undermined. Let us call these ‘morally-constraining’, ‘objective-interest constraining,’ and ‘socio-relationally constraining’ versions of strong substantive accounts. </w:t>
      </w:r>
    </w:p>
    <w:p w14:paraId="31146FF7" w14:textId="2A3E79A0" w:rsidR="00AB73E0" w:rsidRPr="00A92995" w:rsidRDefault="009D4901" w:rsidP="00AB73E0">
      <w:pPr>
        <w:spacing w:line="360" w:lineRule="auto"/>
        <w:ind w:right="-194"/>
      </w:pPr>
      <w:r w:rsidRPr="00A92995">
        <w:tab/>
      </w:r>
      <w:r w:rsidR="00AB73E0" w:rsidRPr="00A92995">
        <w:t>Thomas Hill best captures the morally-constraining version in his discussion of self-respect as a necessary condition for autonomy. Hill argues that autonomy is a moral notion and that autonomy-conferring features are to be evaluated by their moral content. While most feminist and many substantive theorists would argue that the Deferential Wife is non-autonomous, their reasons for deeming her so are all different. For Hill, the Deferential Wife exhibits a failure of self-respect by failing to acknowledge and treat herself as a moral equal.</w:t>
      </w:r>
      <w:r w:rsidR="00AB73E0" w:rsidRPr="00A92995">
        <w:rPr>
          <w:rStyle w:val="FootnoteReference"/>
          <w:sz w:val="24"/>
        </w:rPr>
        <w:footnoteReference w:id="70"/>
      </w:r>
      <w:r w:rsidR="00AB73E0" w:rsidRPr="00A92995">
        <w:t xml:space="preserve"> Her inability to respect herself as an agent of equal moral value amounts to a lack of self-respect, which for Hill, makes her non-autonomous.</w:t>
      </w:r>
    </w:p>
    <w:p w14:paraId="52FAE37C" w14:textId="77E24305" w:rsidR="00AB73E0" w:rsidRPr="00A92995" w:rsidRDefault="00563580" w:rsidP="00AB73E0">
      <w:pPr>
        <w:spacing w:line="360" w:lineRule="auto"/>
        <w:ind w:right="-194"/>
      </w:pPr>
      <w:r w:rsidRPr="00A92995">
        <w:tab/>
      </w:r>
      <w:r w:rsidR="00AB73E0" w:rsidRPr="00A92995">
        <w:t xml:space="preserve">Constraints guided by ‘objective-interests’ are articulated by Susan Babbitt’s strong-substantive account of autonomy wherein she argues that “the effects of oppression may be such </w:t>
      </w:r>
      <w:r w:rsidR="00AB73E0" w:rsidRPr="00A92995">
        <w:lastRenderedPageBreak/>
        <w:t>that people are psychologically damaged, possessing interests and desires that reflect their subservient status.”</w:t>
      </w:r>
      <w:r w:rsidR="00AB73E0" w:rsidRPr="00A92995">
        <w:rPr>
          <w:rStyle w:val="FootnoteReference"/>
          <w:sz w:val="24"/>
        </w:rPr>
        <w:footnoteReference w:id="71"/>
      </w:r>
      <w:r w:rsidR="00AB73E0" w:rsidRPr="00A92995">
        <w:t xml:space="preserve"> In the case of the Deferential Wife, Babbitt would say that the reason she is non-autonomous is because she mistakenly chooses a life of deference and servility, despite it being in her objective-interests to choose an autonomous life where she develops her own values and desires. Babbitt suggest that the Deferential Wife’s decision is informed by her identity, which has been historically defined by the false notion of female inferiority, a social constraint clearly beyond her control and objectively </w:t>
      </w:r>
      <w:r w:rsidR="00AB73E0" w:rsidRPr="00A92995">
        <w:rPr>
          <w:i/>
        </w:rPr>
        <w:t xml:space="preserve">not </w:t>
      </w:r>
      <w:r w:rsidR="00AB73E0" w:rsidRPr="00A92995">
        <w:t xml:space="preserve">in her interests. </w:t>
      </w:r>
    </w:p>
    <w:p w14:paraId="2A37A53B" w14:textId="2E2E385B" w:rsidR="009C73B2" w:rsidRPr="00A92995" w:rsidRDefault="009D4901" w:rsidP="009C73B2">
      <w:pPr>
        <w:spacing w:after="150" w:line="360" w:lineRule="auto"/>
        <w:contextualSpacing/>
      </w:pPr>
      <w:r w:rsidRPr="00A92995">
        <w:tab/>
      </w:r>
      <w:r w:rsidR="00AB73E0" w:rsidRPr="00A92995">
        <w:t xml:space="preserve">Marina Oshana posits a ‘socio-relationally constraining’ account of autonomy. She is critical of the ‘reflective endorsement’ condition of autonomy utilized by most theories we have considered. Oshana argues that there are situations beyond internalized oppression and directive socialization in which an agent might meet the conditions for reflective endorsement, and yet remain non-autonomous due to her external circumstances. Such external circumstances may have the effect of diminishing her </w:t>
      </w:r>
      <w:r w:rsidR="00AB73E0" w:rsidRPr="00A92995">
        <w:rPr>
          <w:i/>
        </w:rPr>
        <w:t xml:space="preserve">de facto </w:t>
      </w:r>
      <w:r w:rsidR="00AB73E0" w:rsidRPr="00A92995">
        <w:t>control over elements of her life, limiting her autonomy despite her level of psychological competency and ability to reflectively endorse her motivations. Oshana thus defines autonomy as something we can only attribute to a person who has “de facto power and authority to direct affairs of elemental importance to her life within a framework of rules (or values, principles, beliefs, pro-attitudes) that she has set for herself”.</w:t>
      </w:r>
      <w:r w:rsidR="00AB73E0" w:rsidRPr="00A92995">
        <w:rPr>
          <w:rStyle w:val="FootnoteReference"/>
          <w:sz w:val="24"/>
        </w:rPr>
        <w:footnoteReference w:id="72"/>
      </w:r>
      <w:r w:rsidR="00AB73E0" w:rsidRPr="00A92995">
        <w:t xml:space="preserve"> When applied to the case of the Deferential Wife, Oshana’s approach suggests that she is not autonomous precisely because she </w:t>
      </w:r>
      <w:r w:rsidR="00AB73E0" w:rsidRPr="00A92995">
        <w:rPr>
          <w:i/>
        </w:rPr>
        <w:t xml:space="preserve">is </w:t>
      </w:r>
      <w:r w:rsidR="00AB73E0" w:rsidRPr="00A92995">
        <w:t>subservient in her social position. Whether the Deferential Wife has endorsed her position or ‘chosen’ to be subservient seems irrelevant to Oshana because, even if her actions align with her life plan, and even despite the illusion of autonomy this might create, her “life-plan remains in force because of the will of another”.</w:t>
      </w:r>
      <w:r w:rsidR="00AB73E0" w:rsidRPr="00A92995">
        <w:rPr>
          <w:rStyle w:val="FootnoteReference"/>
          <w:sz w:val="24"/>
        </w:rPr>
        <w:footnoteReference w:id="73"/>
      </w:r>
      <w:r w:rsidR="00AB73E0" w:rsidRPr="00A92995">
        <w:t xml:space="preserve"> Oshana’s approach to autonomy introduces an interesting and necessary tool into the discussion of autonomy, namely, the </w:t>
      </w:r>
      <w:r w:rsidR="00AF127A" w:rsidRPr="00A92995">
        <w:t>terms</w:t>
      </w:r>
      <w:r w:rsidR="00C42394" w:rsidRPr="00A92995">
        <w:t xml:space="preserve"> </w:t>
      </w:r>
      <w:r w:rsidR="00AB73E0" w:rsidRPr="00A92995">
        <w:t xml:space="preserve">‘global’ and ‘local’ autonomy. In the case of the Deferential Wife, Oshana deems her non-autonomous because she lacks </w:t>
      </w:r>
      <w:r w:rsidR="00AB73E0" w:rsidRPr="00A92995">
        <w:rPr>
          <w:i/>
        </w:rPr>
        <w:t xml:space="preserve">global </w:t>
      </w:r>
      <w:r w:rsidR="00AB73E0" w:rsidRPr="00A92995">
        <w:t xml:space="preserve">autonomy over the direction of her life. She may exhibit local autonomy in her immediate preferences and desires, say, to use lavender oil in her bath; but for Oshana this does not </w:t>
      </w:r>
      <w:r w:rsidR="00B7660A" w:rsidRPr="00A92995">
        <w:t xml:space="preserve">significantly count </w:t>
      </w:r>
      <w:r w:rsidR="00AB73E0" w:rsidRPr="00A92995">
        <w:t xml:space="preserve">toward </w:t>
      </w:r>
      <w:r w:rsidR="00B7660A" w:rsidRPr="00A92995">
        <w:t xml:space="preserve">what it is that is valuable about an </w:t>
      </w:r>
      <w:r w:rsidR="00B7660A" w:rsidRPr="00A92995">
        <w:lastRenderedPageBreak/>
        <w:t xml:space="preserve">autonomous life. She argues that autonomy is worth having precisely because it amounts to </w:t>
      </w:r>
      <w:r w:rsidR="00AB73E0" w:rsidRPr="00A92995">
        <w:t>having de facto power over one’s life plans, and the preferences and desires that guide them</w:t>
      </w:r>
      <w:r w:rsidR="00C91303" w:rsidRPr="00A92995">
        <w:t xml:space="preserve">. </w:t>
      </w:r>
      <w:r w:rsidR="00B7660A" w:rsidRPr="00A92995">
        <w:t>With limited de facto power, Oshana concludes, the Deferential Wife cannot be counted as autonomous in any meaningful way.</w:t>
      </w:r>
    </w:p>
    <w:p w14:paraId="59F5782F" w14:textId="39107725" w:rsidR="009C73B2" w:rsidRPr="00A92995" w:rsidRDefault="00AB73E0" w:rsidP="009C73B2">
      <w:pPr>
        <w:spacing w:after="150" w:line="360" w:lineRule="auto"/>
        <w:ind w:firstLine="720"/>
        <w:contextualSpacing/>
      </w:pPr>
      <w:r w:rsidRPr="00A92995">
        <w:t>Another socio-relationally constraining account of autonomy is posited by feminist autonomy theorist Susan Brison, who argues for further external constraints on autonomy. Brison argues that autonomy is impossible to achieve in an environment that does not provide a range of significant options to agents.</w:t>
      </w:r>
      <w:r w:rsidRPr="00A92995">
        <w:rPr>
          <w:rStyle w:val="FootnoteReference"/>
          <w:sz w:val="24"/>
        </w:rPr>
        <w:footnoteReference w:id="74"/>
      </w:r>
      <w:r w:rsidRPr="00A92995">
        <w:t xml:space="preserve"> This is reminiscent of Isaiah Berlin’s concept of ‘positive liberty’, which stipulates that an absence of interference or coercion is not enough to allow for autonomous choice;</w:t>
      </w:r>
      <w:r w:rsidR="00B7660A" w:rsidRPr="00A92995">
        <w:t xml:space="preserve"> rather, agents must have access to a variety of opportunities and the means by which to successfully act according to their autonomous motivational structures. Brison argues, similarly, that</w:t>
      </w:r>
      <w:r w:rsidRPr="00A92995">
        <w:t xml:space="preserve"> for an agent to make a truly autonomous choice she must be able to choose between various meaningful options. It is essential to note that we are not simply calling for a </w:t>
      </w:r>
      <w:r w:rsidRPr="00A92995">
        <w:rPr>
          <w:i/>
        </w:rPr>
        <w:t xml:space="preserve">large </w:t>
      </w:r>
      <w:r w:rsidRPr="00A92995">
        <w:t xml:space="preserve">range of options from which to choose, but that within the range there are </w:t>
      </w:r>
      <w:r w:rsidRPr="00A92995">
        <w:rPr>
          <w:i/>
        </w:rPr>
        <w:t xml:space="preserve">significant </w:t>
      </w:r>
      <w:r w:rsidRPr="00A92995">
        <w:t xml:space="preserve">options from which to choose. A warehouse full of men’s clothes offers a large range of options, but none particularly significant to a woman. In the context of medical ethics this becomes extremely important, since it is not uncommon for research to be heavily male-biased, conducted by male researchers with a sample population with little female representation. Therefore, treatments that have been developed with men in mind might be more widely available, but they are not necessarily options that lend to autonomous </w:t>
      </w:r>
      <w:r w:rsidR="001778EB" w:rsidRPr="00A92995">
        <w:t>decision-making</w:t>
      </w:r>
      <w:r w:rsidRPr="00A92995">
        <w:t xml:space="preserve"> for women in health-care settings. </w:t>
      </w:r>
    </w:p>
    <w:p w14:paraId="543B2DE7" w14:textId="11599E5B" w:rsidR="009D4901" w:rsidRPr="00A92995" w:rsidRDefault="00AB73E0" w:rsidP="009C73B2">
      <w:pPr>
        <w:spacing w:after="150" w:line="360" w:lineRule="auto"/>
        <w:ind w:firstLine="720"/>
        <w:contextualSpacing/>
      </w:pPr>
      <w:r w:rsidRPr="00A92995">
        <w:t xml:space="preserve">Overall, strong substantive theories of autonomy are incredibly demanding, and some may argue they should be. After all, as we see with the problem of socialization, weak conditions for autonomy often neglect factors of oppression that undermine autonomy, especially for members of oppressed groups. However, such strict requirements have drawn various objections. One of the most urgent, I think, is that imposing such strong external constraints may have the effect of undermining any genuine motivations of agents which conflict with the strict set of external autonomy conferring factors laid out by a strong account. This effect is dangerously </w:t>
      </w:r>
      <w:r w:rsidRPr="00A92995">
        <w:lastRenderedPageBreak/>
        <w:t>resonant with paternalistic interference, as evidenced in medical ethics where, for example, a patient might refuse a life-saving treatment on religious grounds. Oshana’s strong socio-relational constraining account would deem the decision to refuse treatment as non-autonomous, since the decision is motivated by an oppressive external force, i.e. religion.</w:t>
      </w:r>
      <w:r w:rsidR="00B7660A" w:rsidRPr="00A92995">
        <w:t xml:space="preserve"> While religion itself is not necessarily oppressive, insofar as it limits </w:t>
      </w:r>
      <w:r w:rsidR="008503AC" w:rsidRPr="00A92995">
        <w:t>an agent’s</w:t>
      </w:r>
      <w:r w:rsidR="00B7660A" w:rsidRPr="00A92995">
        <w:t xml:space="preserve"> de facto power over her actions</w:t>
      </w:r>
      <w:r w:rsidR="008503AC" w:rsidRPr="00A92995">
        <w:t xml:space="preserve"> – regardless of the patient’s reflective endorsement or rejection – its influence constitutes an oppressive external force</w:t>
      </w:r>
      <w:r w:rsidR="00B7660A" w:rsidRPr="00A92995">
        <w:t xml:space="preserve">. </w:t>
      </w:r>
    </w:p>
    <w:p w14:paraId="1A23CA40" w14:textId="22FB2BCE" w:rsidR="00AB73E0" w:rsidRPr="00A92995" w:rsidRDefault="00AB73E0" w:rsidP="005069EB">
      <w:pPr>
        <w:spacing w:after="150" w:line="360" w:lineRule="auto"/>
        <w:ind w:firstLine="720"/>
      </w:pPr>
      <w:r w:rsidRPr="00A92995">
        <w:t>I am inclined to disagree with an account of autonomy which claims some objective truth about which external conditions are oppressive and which are not. It seems perfectly reasonable for an agent, who is cognitively competent and stable enough to critically evaluate her desires, to refuse medical treatment on religious grounds. In fact, I would suggest that upon closer examination, her decision may even be evidence of autonomy</w:t>
      </w:r>
      <w:r w:rsidR="008503AC" w:rsidRPr="00A92995">
        <w:t xml:space="preserve">, inasmuch as her decision to act according to the principles of her religion </w:t>
      </w:r>
      <w:r w:rsidR="009E5F1D" w:rsidRPr="00A92995">
        <w:t>might itself be</w:t>
      </w:r>
      <w:r w:rsidR="008503AC" w:rsidRPr="00A92995">
        <w:t xml:space="preserve"> reflective of her authentic motivations</w:t>
      </w:r>
      <w:r w:rsidRPr="00A92995">
        <w:t xml:space="preserve">. Of course, we do want an account of autonomy which seriously considers the possibility of motivations which might be mistakenly considered to be one’s own as a result of long entrenched socialization. However, Oshana’s strong external constraints seem as though they may inadvertently undermine the autonomy of agents whose motivations align with systems that are supposedly ‘objectively oppressive’. In attempting to provide an account of the conditions of autonomy, we must be careful not to homogenize agents by imposing any particular ideals in the name of autonomy. Below, I examine weak substantive accounts of autonomy, which might provide us with </w:t>
      </w:r>
      <w:r w:rsidR="00783980" w:rsidRPr="00A92995">
        <w:t>a more flexible</w:t>
      </w:r>
      <w:r w:rsidRPr="00A92995">
        <w:t xml:space="preserve"> alternative. </w:t>
      </w:r>
    </w:p>
    <w:p w14:paraId="6A12CC32" w14:textId="77777777" w:rsidR="00AB73E0" w:rsidRPr="00A92995" w:rsidRDefault="00AB73E0" w:rsidP="00AB73E0">
      <w:pPr>
        <w:spacing w:line="360" w:lineRule="auto"/>
        <w:ind w:right="-194"/>
      </w:pPr>
    </w:p>
    <w:p w14:paraId="6E3076EC" w14:textId="040FEACC" w:rsidR="00AB73E0" w:rsidRPr="00A92995" w:rsidRDefault="00AB73E0" w:rsidP="00360448">
      <w:pPr>
        <w:pStyle w:val="Heading2"/>
      </w:pPr>
      <w:bookmarkStart w:id="27" w:name="_Toc505150527"/>
      <w:r w:rsidRPr="00A92995">
        <w:t>Weak Substantive Accounts</w:t>
      </w:r>
      <w:bookmarkEnd w:id="27"/>
    </w:p>
    <w:p w14:paraId="544F36FE" w14:textId="77777777" w:rsidR="00AB73E0" w:rsidRPr="00A92995" w:rsidRDefault="00AB73E0" w:rsidP="00AB73E0">
      <w:pPr>
        <w:spacing w:line="360" w:lineRule="auto"/>
        <w:ind w:right="-194"/>
      </w:pPr>
    </w:p>
    <w:p w14:paraId="70A5D7A0" w14:textId="70806E36" w:rsidR="009D4901" w:rsidRPr="00A92995" w:rsidRDefault="00AB73E0" w:rsidP="001B7A6C">
      <w:pPr>
        <w:spacing w:line="360" w:lineRule="auto"/>
        <w:ind w:right="-194"/>
      </w:pPr>
      <w:r w:rsidRPr="00A92995">
        <w:t>Sonya Charles describes weak substantive accounts of autonomy as ‘supplemental’, suggesting that while they agree that reflective endorsement i</w:t>
      </w:r>
      <w:r w:rsidR="007A65A7" w:rsidRPr="00A92995">
        <w:t>s</w:t>
      </w:r>
      <w:r w:rsidRPr="00A92995">
        <w:t xml:space="preserve"> indeed a necessary condition for autonomy, it alone cannot establish the authenticity of an agent’s motivational structures, and </w:t>
      </w:r>
      <w:r w:rsidR="001A57DA" w:rsidRPr="00A92995">
        <w:t>not sufficient to confer autonomy.</w:t>
      </w:r>
      <w:r w:rsidRPr="00A92995">
        <w:t xml:space="preserve"> They argue that we need to incorporate some normative substance into the criteria for autonomy. Just as the second soup-cook slowed down to inspect the ingredients before cooking with them, so the weak</w:t>
      </w:r>
      <w:r w:rsidR="00F72BBA" w:rsidRPr="00A92995">
        <w:t xml:space="preserve"> </w:t>
      </w:r>
      <w:r w:rsidRPr="00A92995">
        <w:t xml:space="preserve">substantive accounts of autonomy urge us to consider the content of the motivational structures and the outcomes of the process of reflective endorsement. </w:t>
      </w:r>
      <w:r w:rsidR="001A57DA" w:rsidRPr="00A92995">
        <w:t xml:space="preserve">Many </w:t>
      </w:r>
      <w:r w:rsidR="001A57DA" w:rsidRPr="00A92995">
        <w:lastRenderedPageBreak/>
        <w:t xml:space="preserve">weak substantive accounts incorporate emotional and self-regarding attitudes such as self-respect, self-esteem, or self-trust into the requirements for autonomy. Their hope is to address the problem with procedural accounts of autonomy, namely, the lack of concern for those members of oppressed groups who meet requirements for autonomy under procedural standards, but who strike us intuitively as non-autonomous for reasons such as internalized oppression. Further, weak substantive theories emphasize their rejection of the conception of individuals as atomistic, self-serving, self-sufficient, and hyper-rational. Such individualist theories might recognize that autonomy-conferring procedural processes </w:t>
      </w:r>
      <w:r w:rsidR="001A57DA" w:rsidRPr="00A92995">
        <w:rPr>
          <w:i/>
        </w:rPr>
        <w:t xml:space="preserve">may </w:t>
      </w:r>
      <w:r w:rsidR="001A57DA" w:rsidRPr="00A92995">
        <w:t xml:space="preserve">be affected by emotions and self-regarding attitudes, but weak-substantive theories want to place these effects at the core of their project. That is, some weak-substantive accounts argue that certain emotions are necessary conditions of autonomy, and that an agent who lacks certain emotions or self-regarding attitudes is non-autonomous in some regards. </w:t>
      </w:r>
    </w:p>
    <w:p w14:paraId="7BAB75C9" w14:textId="62594B8F" w:rsidR="009D4901" w:rsidRPr="00A92995" w:rsidRDefault="00AB73E0" w:rsidP="005069EB">
      <w:pPr>
        <w:spacing w:line="360" w:lineRule="auto"/>
        <w:ind w:right="-194" w:firstLine="720"/>
      </w:pPr>
      <w:r w:rsidRPr="00A92995">
        <w:t>Weak</w:t>
      </w:r>
      <w:r w:rsidR="00F72BBA" w:rsidRPr="00A92995">
        <w:t xml:space="preserve"> </w:t>
      </w:r>
      <w:r w:rsidRPr="00A92995">
        <w:t xml:space="preserve">substantive theories stress that some emotions and self-regarding attitudes may impede autonomy and those rational processes necessary for autonomy. They argue that autonomy can be and often is undermined by an agent’s sense of self-doubt, diminished self-confidence or self-esteem, lack of self-respect, feelings of shame, inferiority, or worthlessness The required rational capacities, critical reflection, and competencies necessary for autonomy on procedural accounts depend on an agent’s sense of self and her sense of self-competence; in particular, on the belief that she is capable, entitled, and otherwise intellectually and emotionally equipped to act autonomously. Without these attitudes, it is unlikely that her actions, desires, or preferences could be considered autonomous. I will focus on two weak substantive accounts of autonomy which both lend themselves to the project of reimagining autonomy in health-care settings. First, I discuss Carolyn McLeod’s argument for self-trust as a necessary requirement for autonomy, and then I will discuss Paul Benson’s assertion that without a sense of self-worth, an agent cannot make autonomous decisions. I focus on these accounts because they encapsulate a feature of autonomy that I regard as essential to any workable account of </w:t>
      </w:r>
      <w:r w:rsidR="00BE1A66" w:rsidRPr="00A92995">
        <w:t>autonomy and</w:t>
      </w:r>
      <w:r w:rsidRPr="00A92995">
        <w:t xml:space="preserve"> should serve as a practical consideration in the implementation of medical ethics. That feature is the effects of interpersonal conditions on the agent’s autonomy, specifically on the agent’s sense of self and her competence to make adequate and autonomous decisions.</w:t>
      </w:r>
    </w:p>
    <w:p w14:paraId="7BD28E63" w14:textId="760AC2C4" w:rsidR="009D4901" w:rsidRPr="00A92995" w:rsidRDefault="00AB73E0" w:rsidP="005069EB">
      <w:pPr>
        <w:spacing w:line="360" w:lineRule="auto"/>
        <w:ind w:right="-194" w:firstLine="720"/>
      </w:pPr>
      <w:r w:rsidRPr="00A92995">
        <w:t xml:space="preserve">Carolyn McLeod argues that self-trust is a necessary component of autonomy and illustrates this through various case studies, particularly of women in medical contexts. The </w:t>
      </w:r>
      <w:r w:rsidRPr="00A92995">
        <w:lastRenderedPageBreak/>
        <w:t xml:space="preserve">medical context is almost always intimidating to the extent that it leaves patients feeling vulnerable and incapable of articulating their thoughts, feelings, preferences, and desires. It is important to recognize elements of relational theory, here, too, since a patient’s feelings and sense of competence can be influenced by her relationships. A friend’s lack of understanding, a parent’s denial, or a partner’s dismissal of a patient’s experience of vulnerability – physical and emotional – further undermines the patient’s sense of competence and self-regard, thus undermining her autonomy. For example, her capacity to make a truly autonomous decision about her treatment will be influenced not only by practical considerations, but also by her relationships and </w:t>
      </w:r>
      <w:r w:rsidR="001A57DA" w:rsidRPr="00A92995">
        <w:t>the</w:t>
      </w:r>
      <w:r w:rsidR="00036465" w:rsidRPr="00A92995">
        <w:t xml:space="preserve"> </w:t>
      </w:r>
      <w:r w:rsidRPr="00A92995">
        <w:t>attitudes</w:t>
      </w:r>
      <w:r w:rsidR="001A57DA" w:rsidRPr="00A92995">
        <w:t xml:space="preserve"> of other parties in those relationships</w:t>
      </w:r>
      <w:r w:rsidRPr="00A92995">
        <w:t>, as well as the emotions and self-regarding attitudes caused by both of those factors. McLeod argues that what is really undermined in these cases is the patient’s sense of ‘self-trust’, which she defines as an “attitude of optimism about our own competence and moral integrity”</w:t>
      </w:r>
      <w:r w:rsidRPr="00A92995">
        <w:rPr>
          <w:rStyle w:val="FootnoteReference"/>
          <w:sz w:val="24"/>
        </w:rPr>
        <w:footnoteReference w:id="75"/>
      </w:r>
      <w:r w:rsidRPr="00A92995">
        <w:t>. She argues that diminished self-trust leads to diminished autonomy because the agent does not see herself as capable, entitled, or morally worthy of making an autonomous decision.</w:t>
      </w:r>
      <w:r w:rsidRPr="00A92995">
        <w:rPr>
          <w:rStyle w:val="FootnoteReference"/>
          <w:sz w:val="24"/>
        </w:rPr>
        <w:footnoteReference w:id="76"/>
      </w:r>
      <w:r w:rsidRPr="00A92995">
        <w:t xml:space="preserve"> Of course there may be justified reasons for diminished self-trust, such as in cases of internal compulsions resulting from addiction or other mental illnesses or even a history of making bad decisions, but the effects are amplified when the patient’s circumstances and relationships cause her to further underestimate her competence.</w:t>
      </w:r>
      <w:r w:rsidRPr="00A92995">
        <w:rPr>
          <w:rStyle w:val="FootnoteReference"/>
          <w:sz w:val="24"/>
        </w:rPr>
        <w:footnoteReference w:id="77"/>
      </w:r>
      <w:r w:rsidRPr="00A92995">
        <w:t xml:space="preserve"> In this way, McLeod has introduced a substantive requirement which is both moral and epistemic in nature. </w:t>
      </w:r>
    </w:p>
    <w:p w14:paraId="63D742D7" w14:textId="15DEC507" w:rsidR="009D4901" w:rsidRPr="00A92995" w:rsidRDefault="00AB73E0" w:rsidP="005069EB">
      <w:pPr>
        <w:spacing w:line="360" w:lineRule="auto"/>
        <w:ind w:right="-194" w:firstLine="720"/>
      </w:pPr>
      <w:r w:rsidRPr="00A92995">
        <w:t xml:space="preserve">McLeod partners with Susan Sherwin to further explore how the requirement of self-trust is essential to autonomy, especially in health-care settings. They select elements of relational and feminist theorists, some of whom I discussed earlier, and develop a substantive account of autonomy enriched with requirements of self-regarding attitudes. These elements include Diana Meyers’ requirements for autonomy competency (self-definition, self-realization, moral imagination, etc.), Brison’s requirements for an adequate range of significant options, and the general requirement that agents have been exposed to opportunities to develop and exercise their competencies. </w:t>
      </w:r>
      <w:r w:rsidR="008A546F" w:rsidRPr="00A92995">
        <w:t xml:space="preserve">Shared by </w:t>
      </w:r>
      <w:r w:rsidRPr="00A92995">
        <w:t xml:space="preserve">these feminist and relational autonomy theorists is the </w:t>
      </w:r>
      <w:r w:rsidR="00664D4C" w:rsidRPr="00A92995">
        <w:t>view</w:t>
      </w:r>
      <w:r w:rsidRPr="00A92995">
        <w:t xml:space="preserve"> that autonomy exists as a matter of degree; that agents are never entirely lacking or entirely possessing autonomy. What emerges from the combination of these elements is the notion of autonomy as a </w:t>
      </w:r>
      <w:r w:rsidRPr="00A92995">
        <w:lastRenderedPageBreak/>
        <w:t xml:space="preserve">set of dynamic and evolving skills, affected by factors beyond one’s control, including various relational conditions. </w:t>
      </w:r>
    </w:p>
    <w:p w14:paraId="2ED9DA5D" w14:textId="7BC291CA" w:rsidR="00AB73E0" w:rsidRPr="00A92995" w:rsidRDefault="00AB73E0" w:rsidP="005069EB">
      <w:pPr>
        <w:spacing w:line="360" w:lineRule="auto"/>
        <w:ind w:right="-194" w:firstLine="720"/>
      </w:pPr>
      <w:r w:rsidRPr="00A92995">
        <w:t xml:space="preserve">In brief, McLeod and Sherwin assert that the presence of three types of self-trust are necessary conditions of autonomy alongside those conditions mentioned above, as well as standard procedural requirements. </w:t>
      </w:r>
      <w:r w:rsidRPr="00A92995">
        <w:rPr>
          <w:color w:val="000000" w:themeColor="text1"/>
        </w:rPr>
        <w:t>They define self-trust as an agent’s attitude about her own trustworthiness, which is shaped by her beliefs and values. Self-trust concerns “the competence of the self and expectations about how one will be motivated to act in the future”</w:t>
      </w:r>
      <w:r w:rsidRPr="00A92995">
        <w:rPr>
          <w:rStyle w:val="FootnoteReference"/>
          <w:color w:val="000000" w:themeColor="text1"/>
          <w:sz w:val="24"/>
        </w:rPr>
        <w:footnoteReference w:id="78"/>
      </w:r>
      <w:r w:rsidRPr="00A92995">
        <w:rPr>
          <w:color w:val="000000" w:themeColor="text1"/>
        </w:rPr>
        <w:t xml:space="preserve">. </w:t>
      </w:r>
      <w:r w:rsidRPr="00A92995">
        <w:t>The three types of self-trust include: trust in one’s own motivation to choose effectively, which requires that the agent be informed about her options and that she is in a position to choose well. Type 1 self-trust relies on the agent trusting her competency and those skills outlined in Meyers’ competency approach, as well as</w:t>
      </w:r>
      <w:r w:rsidR="00E6528F" w:rsidRPr="00A92995">
        <w:t xml:space="preserve"> her</w:t>
      </w:r>
      <w:r w:rsidRPr="00A92995">
        <w:t xml:space="preserve"> having access to significant and adequate information. The second type of self-trust regards the agent’s courage to act on her decisions, as well as her ability to take relevant action. The third and final type of self-trust regards those judgments which underlie the agent’s ultimate decision, those so called higher-order evaluations and beliefs about the world that support and inform her decision-making capacity. An example I have used elsewhere to demonstrate this type of self-trust is the following: </w:t>
      </w:r>
    </w:p>
    <w:p w14:paraId="769ADD80" w14:textId="77777777" w:rsidR="00AB73E0" w:rsidRPr="00A92995" w:rsidRDefault="00AB73E0" w:rsidP="00AB73E0">
      <w:pPr>
        <w:ind w:right="-194"/>
      </w:pPr>
    </w:p>
    <w:p w14:paraId="2E306ECA" w14:textId="77777777" w:rsidR="00AB73E0" w:rsidRPr="00A92995" w:rsidRDefault="00AB73E0" w:rsidP="00015FD0">
      <w:pPr>
        <w:ind w:left="567" w:right="-279"/>
        <w:jc w:val="both"/>
      </w:pPr>
      <w:r w:rsidRPr="00A92995">
        <w:t xml:space="preserve">An agent in this case might think, “I have made decision X, but how can I trust that I made it correctly? What if my justification for making decision X is faulty?” This is a case of Type 3 self-distrust. In order to have valid and sturdy Type 3 self-trust, the agent must trust the appropriateness of her underlying beliefs and values that will inform her judgments, decisions and ultimately her actions. Without this, she may always question her decisions. </w:t>
      </w:r>
      <w:r w:rsidRPr="00A92995">
        <w:rPr>
          <w:rStyle w:val="FootnoteReference"/>
          <w:sz w:val="24"/>
        </w:rPr>
        <w:footnoteReference w:id="79"/>
      </w:r>
    </w:p>
    <w:p w14:paraId="1316F575" w14:textId="77777777" w:rsidR="00AB73E0" w:rsidRPr="00A92995" w:rsidRDefault="00AB73E0" w:rsidP="00AB73E0">
      <w:pPr>
        <w:ind w:right="798"/>
        <w:jc w:val="both"/>
      </w:pPr>
    </w:p>
    <w:p w14:paraId="72D33436" w14:textId="77777777" w:rsidR="00AB73E0" w:rsidRPr="00A92995" w:rsidRDefault="00AB73E0" w:rsidP="005069EB">
      <w:pPr>
        <w:spacing w:after="150" w:line="360" w:lineRule="auto"/>
        <w:ind w:firstLine="567"/>
      </w:pPr>
      <w:r w:rsidRPr="00A92995">
        <w:t>Paul Benson operates along similar lines in his development of a weak substantive account of autonomy, relying on the notions of self-concept and self-worth while considering why an agent might be acting without autonomy:</w:t>
      </w:r>
    </w:p>
    <w:p w14:paraId="2B86E9FD" w14:textId="77777777" w:rsidR="00AB73E0" w:rsidRPr="00A92995" w:rsidRDefault="00AB73E0" w:rsidP="00AB73E0">
      <w:pPr>
        <w:spacing w:after="150"/>
        <w:ind w:left="567" w:right="713"/>
        <w:jc w:val="both"/>
        <w:rPr>
          <w:color w:val="000000" w:themeColor="text1"/>
        </w:rPr>
      </w:pPr>
      <w:r w:rsidRPr="00A92995">
        <w:rPr>
          <w:color w:val="000000" w:themeColor="text1"/>
        </w:rPr>
        <w:t xml:space="preserve">The sense of worthiness to act that is necessary for free agency involves regarding oneself as being competent to answer for one's conduct in the light of normative </w:t>
      </w:r>
      <w:r w:rsidRPr="00A92995">
        <w:rPr>
          <w:color w:val="000000" w:themeColor="text1"/>
        </w:rPr>
        <w:lastRenderedPageBreak/>
        <w:t>demands that, from one's point of view, others might appropriately apply to one's actions.</w:t>
      </w:r>
      <w:r w:rsidRPr="00A92995">
        <w:rPr>
          <w:rStyle w:val="FootnoteReference"/>
          <w:color w:val="000000" w:themeColor="text1"/>
          <w:sz w:val="24"/>
        </w:rPr>
        <w:footnoteReference w:id="80"/>
      </w:r>
      <w:r w:rsidRPr="00A92995">
        <w:rPr>
          <w:color w:val="000000" w:themeColor="text1"/>
        </w:rPr>
        <w:t xml:space="preserve"> </w:t>
      </w:r>
    </w:p>
    <w:p w14:paraId="71CB57D0" w14:textId="77777777" w:rsidR="00AB73E0" w:rsidRPr="00A92995" w:rsidRDefault="00AB73E0" w:rsidP="00AB73E0">
      <w:pPr>
        <w:ind w:right="-194"/>
      </w:pPr>
    </w:p>
    <w:p w14:paraId="33D5FD50" w14:textId="6ABE572D" w:rsidR="009D4901" w:rsidRPr="00A92995" w:rsidRDefault="00AB73E0" w:rsidP="005069EB">
      <w:pPr>
        <w:spacing w:line="360" w:lineRule="auto"/>
        <w:ind w:right="-194" w:firstLine="567"/>
      </w:pPr>
      <w:r w:rsidRPr="00A92995">
        <w:t>He illustrates this view with the following example: a young woman who is characteristically enthusiastic about life and often described by her friends as creative and passionate, has a tendency to express her emotions quite “passionately” in public.</w:t>
      </w:r>
      <w:r w:rsidRPr="00A92995">
        <w:rPr>
          <w:rStyle w:val="FootnoteReference"/>
          <w:sz w:val="24"/>
        </w:rPr>
        <w:footnoteReference w:id="81"/>
      </w:r>
      <w:r w:rsidRPr="00A92995">
        <w:t xml:space="preserve"> Her husband, whom she loves and trusts to have her best interests at heart, becomes concerned and proceeds to consider that she may be psychologically unwell. He, a psychiatrist himself, labels his wife “hysterical” and begins to treat her as though she were psychotic. While the woman is not experiencing any disconnection from reality and may feel that her emotional outbursts were justified and do not warrant such concern, she trusts her husband and begins to believe that she is indeed unstable and unwell. The conflict between her own experience and her husband’s evaluation cause her confusion and she begins to feel helpless, which Benson suggests ‘destabilizes’ her self-concept, eroding her sense of self-worth. She believes, though, that she is justified in internalizing this evaluation of her behavior because it has been made by a trusted source, and so on reflection, she has no reason </w:t>
      </w:r>
      <w:r w:rsidRPr="00A92995">
        <w:rPr>
          <w:i/>
        </w:rPr>
        <w:t xml:space="preserve">not </w:t>
      </w:r>
      <w:r w:rsidRPr="00A92995">
        <w:t xml:space="preserve">to endorse the process by which her sense of self-worth is being undermined. In other words, she possesses all of the necessary reasoning capacities, and she reflectively endorses this evaluation. Benson, however, concludes that she lacks autonomy because her self-worth has been diminished. </w:t>
      </w:r>
    </w:p>
    <w:p w14:paraId="65DD7986" w14:textId="1E395FB5" w:rsidR="00AB73E0" w:rsidRPr="00A92995" w:rsidRDefault="00AB73E0" w:rsidP="005069EB">
      <w:pPr>
        <w:spacing w:line="360" w:lineRule="auto"/>
        <w:ind w:right="-194" w:firstLine="567"/>
      </w:pPr>
      <w:r w:rsidRPr="00A92995">
        <w:t xml:space="preserve">What makes these accounts valuable is that both McLeod and Sherwin, and Benson introduce new ways to consider autonomy, and in particular, how autonomy can be undermined in ways that were not considered – at least not with much seriousness </w:t>
      </w:r>
      <w:r w:rsidR="00E6528F" w:rsidRPr="00A92995">
        <w:t xml:space="preserve">– in </w:t>
      </w:r>
      <w:r w:rsidRPr="00A92995">
        <w:t>previous accounts of autonomy. These tools help us makes sense of the intuition that the Deferential Wife and agents who make decisions motivated by internalized oppression are not autonomous, despite their apparent critical competence. Unfortunately, critical reasoning skills are rarely enough to dismantle the oppressive norms, such as the feminine socialization, that motivate agents’ decisions to assume subservient roles. Those agents, according to Benson, do not treat themselves as worthy of autonomy, which in turn renders them non-autonomous.</w:t>
      </w:r>
      <w:r w:rsidRPr="00A92995">
        <w:rPr>
          <w:rStyle w:val="FootnoteReference"/>
          <w:sz w:val="24"/>
        </w:rPr>
        <w:footnoteReference w:id="82"/>
      </w:r>
      <w:r w:rsidRPr="00A92995">
        <w:t xml:space="preserve"> Members of oppressed groups who lack autonomy are not all necessarily incapable of critical reasoning and self-reflection; their diminished autonomy is a result of systemic injustices which keep these agents in subservient roles wherein they are considered unworthy to participate as fully autonomous agent</w:t>
      </w:r>
      <w:r w:rsidR="00E6528F" w:rsidRPr="00A92995">
        <w:t>s</w:t>
      </w:r>
      <w:r w:rsidRPr="00A92995">
        <w:t xml:space="preserve"> in society. Such </w:t>
      </w:r>
      <w:r w:rsidRPr="00A92995">
        <w:lastRenderedPageBreak/>
        <w:t>oppressive circumstances undermine agents’ autonomy by removing their sense of self-trust, self-esteem, and self-worth.</w:t>
      </w:r>
    </w:p>
    <w:p w14:paraId="7C8BF20D" w14:textId="77777777" w:rsidR="00AB73E0" w:rsidRPr="00A92995" w:rsidRDefault="00AB73E0" w:rsidP="00AB73E0"/>
    <w:p w14:paraId="1FD1DDE7" w14:textId="0FD9BBE1" w:rsidR="00AB73E0" w:rsidRPr="00A92995" w:rsidRDefault="00AB73E0" w:rsidP="00360448">
      <w:pPr>
        <w:pStyle w:val="Heading2"/>
      </w:pPr>
      <w:bookmarkStart w:id="28" w:name="_Toc505150528"/>
      <w:r w:rsidRPr="00A92995">
        <w:t>Proposed Revisions</w:t>
      </w:r>
      <w:bookmarkEnd w:id="28"/>
      <w:r w:rsidRPr="00A92995">
        <w:t xml:space="preserve"> </w:t>
      </w:r>
    </w:p>
    <w:p w14:paraId="513AA016" w14:textId="77777777" w:rsidR="00AB73E0" w:rsidRPr="00A92995" w:rsidRDefault="00AB73E0" w:rsidP="00AB73E0"/>
    <w:p w14:paraId="5C7CDF2F" w14:textId="5E739775" w:rsidR="009D4901" w:rsidRPr="00A92995" w:rsidRDefault="00AB73E0" w:rsidP="00156FD1">
      <w:pPr>
        <w:spacing w:line="360" w:lineRule="auto"/>
      </w:pPr>
      <w:r w:rsidRPr="00A92995">
        <w:t xml:space="preserve">The autonomy-contract model utilized in medical ethics, as discussed in the previous chapter, fails to furnish physicians and patients with the tools necessary to address undermined autonomy. Because medical ethics utilizes the contract model of doctor-patient relationship and relies on the procedures of informed consent, the rules and regulations of medical practice are grounded on the idea that reflective endorsement is both necessary and sufficient for autonomous </w:t>
      </w:r>
      <w:r w:rsidR="001778EB" w:rsidRPr="00A92995">
        <w:t>decision-making</w:t>
      </w:r>
      <w:r w:rsidRPr="00A92995">
        <w:t xml:space="preserve">. Medical ethics thus considers patients to be autonomous so long as they are able to reflectively endorse their decisions and actions. A patient is considered autonomous under those circumstances regardless of the content of her motivational structures. This content-neutral position purports to defend patients against paternalistic intervention, instances wherein a physician might impose their own beliefs and desires onto the patient. However, remaining content-neutral also effectively turns a blind eye to the realities of oppressive socialization and internalized oppression, and their significant effects on a patient’s abilities to make autonomous medical decisions. This might result in a patient’s undermined self-worth, self-concept, and self-trust – all of which I have shown to be essential elements for autonomy. For this reason, I argue that medical ethics should re-examine the conception of autonomy and the view of the individual which dominates medical ethics and informs the doctor-patient relationship. My hope is that fostering a physician-patient relationship which takes seriously the intersectional and relational identities of the patients, threats to personal autonomy might be more readily identified as undue influences on a patient’s expectations and decisions regarding her diagnosis and treatment options. Further, providing patients with the tools to examine the effects of oppressive socialization and internalized oppression would better serve the clinical goal of restoring patient autonomy. By considering undermined self-trust and addressing damaged self-worth, patients may be better equipped to develop and engage autonomy competencies, and to work toward self-definition and self-discovery, bolstering the authenticity of their motivational structures. </w:t>
      </w:r>
    </w:p>
    <w:p w14:paraId="2CD7F6FC" w14:textId="361CB438" w:rsidR="00AB73E0" w:rsidRPr="00A92995" w:rsidRDefault="00AB73E0" w:rsidP="005069EB">
      <w:pPr>
        <w:spacing w:line="360" w:lineRule="auto"/>
        <w:ind w:firstLine="720"/>
      </w:pPr>
      <w:r w:rsidRPr="00A92995">
        <w:t xml:space="preserve">I argue, then, that we move forward with an account of autonomy which incorporates various compatible features of autonomy theories discussed in this chapter. Diana Meyers’ competency approach provides us with valuable insights into the skills required for reflective </w:t>
      </w:r>
      <w:r w:rsidRPr="00A92995">
        <w:lastRenderedPageBreak/>
        <w:t xml:space="preserve">endorsement of one’s own motivational structures. In particular, the autonomy competency skills such as imagination, transparency, the ability to change </w:t>
      </w:r>
      <w:r w:rsidR="00C73C18" w:rsidRPr="00A92995">
        <w:t xml:space="preserve">one’s </w:t>
      </w:r>
      <w:r w:rsidRPr="00A92995">
        <w:t>mind and adjust</w:t>
      </w:r>
      <w:r w:rsidR="00C73C18" w:rsidRPr="00A92995">
        <w:t xml:space="preserve"> one’s</w:t>
      </w:r>
      <w:r w:rsidRPr="00A92995">
        <w:t xml:space="preserve"> actions accordingly. </w:t>
      </w:r>
      <w:r w:rsidR="00C73C18" w:rsidRPr="00A92995">
        <w:t xml:space="preserve">Furthermore, </w:t>
      </w:r>
      <w:r w:rsidRPr="00A92995">
        <w:t xml:space="preserve">the </w:t>
      </w:r>
      <w:r w:rsidR="00D91275" w:rsidRPr="00A92995">
        <w:t>view</w:t>
      </w:r>
      <w:r w:rsidRPr="00A92995">
        <w:t xml:space="preserve"> that autonomy be taken as a matter of degree is an especially important tool when dealing with patient autonomy. Thomas Hill’s idea that self-respect is necessary for autonomy is crucial, as is the suggestion by Susan Brison and Thomas Raz that a range of significant options is necessary for autonomy. Maria Oshana urges us to recognize the importance of de facto power. Paul Benson, Susan Sherwin, and Carolyn McLeod all argue for a range of self-regarding attitudes which are required in order for an agent to make autonomous decisions. These include self-esteem, self-worth, and self-trust. These self-regarding attitudes, as well as the autonomy competency skills posited by Meyers, develop in relational contexts. Failure to develop these skills and these self-regarding attitudes is a significant threat to autonomy which must be regarded as such. Thus, in order for a patient to make autonomous decisions about her medical treatment, she must exhibit all of the above skills, capacities, and self-regarding attitudes; she must have access to the opportunities to develop these skills and attitudes; and she must have access to a range of significant options. Further, as it is the goal of medical treatment to enhance patient autonomy, I would argue that physicians have the responsibility to open up a dialogue with their patient</w:t>
      </w:r>
      <w:r w:rsidR="004107B6" w:rsidRPr="00A92995">
        <w:t>s</w:t>
      </w:r>
      <w:r w:rsidRPr="00A92995">
        <w:t xml:space="preserve">’ in which they would be enabled to explore these ideas: to examine the intersectional nature of identity, to consider various levels of undermined self-trust, to evaluate the extent to which one’s motivations regarding treatment have been formed in response to oppressive socialization. With the guidance of medical professionals who are knowledgeable about the symptoms of illness as well as the threats to autonomy and the complexities of medical ethics, patients would have the opportunity to become more autonomous in their decisions about treatment. </w:t>
      </w:r>
    </w:p>
    <w:p w14:paraId="0B23BAE8" w14:textId="487574C3" w:rsidR="006E0111" w:rsidRPr="00A92995" w:rsidRDefault="00FC1C03" w:rsidP="005069EB">
      <w:pPr>
        <w:spacing w:line="360" w:lineRule="auto"/>
        <w:ind w:firstLine="720"/>
      </w:pPr>
      <w:r w:rsidRPr="00A92995">
        <w:t xml:space="preserve">The objection may arise that my proposed revision </w:t>
      </w:r>
      <w:r w:rsidR="006E0111" w:rsidRPr="00A92995">
        <w:t xml:space="preserve">simply </w:t>
      </w:r>
      <w:r w:rsidRPr="00A92995">
        <w:t>asks far too much of physicians, that it places a</w:t>
      </w:r>
      <w:r w:rsidR="009E5F1D" w:rsidRPr="00A92995">
        <w:t>n unreasonable</w:t>
      </w:r>
      <w:r w:rsidRPr="00A92995">
        <w:t xml:space="preserve"> burden of duty upon the physician that</w:t>
      </w:r>
      <w:r w:rsidR="009E5F1D" w:rsidRPr="00A92995">
        <w:t>. T</w:t>
      </w:r>
      <w:r w:rsidRPr="00A92995">
        <w:t xml:space="preserve">his objection </w:t>
      </w:r>
      <w:r w:rsidR="00EB648A" w:rsidRPr="00A92995">
        <w:t xml:space="preserve">rests on the assumption that the physician’s duty goes no further than tending to the patient’s somatic symptoms. </w:t>
      </w:r>
      <w:r w:rsidR="006E0111" w:rsidRPr="00A92995">
        <w:t>I would respond to this in the following way</w:t>
      </w:r>
      <w:r w:rsidR="00AB64BC" w:rsidRPr="00A92995">
        <w:t>s</w:t>
      </w:r>
      <w:r w:rsidR="006E0111" w:rsidRPr="00A92995">
        <w:t xml:space="preserve">: </w:t>
      </w:r>
    </w:p>
    <w:p w14:paraId="1191AD60" w14:textId="2313ABFD" w:rsidR="006E0111" w:rsidRPr="00A92995" w:rsidRDefault="006E0111" w:rsidP="005069EB">
      <w:pPr>
        <w:spacing w:line="360" w:lineRule="auto"/>
        <w:ind w:firstLine="720"/>
      </w:pPr>
      <w:r w:rsidRPr="00A92995">
        <w:t>First, my proposal does not require a complete overhaul of the clinical encounter or the physician-patient relationship. Rather, I am urging physician’s an</w:t>
      </w:r>
      <w:r w:rsidR="00CF4777" w:rsidRPr="00A92995">
        <w:t>d</w:t>
      </w:r>
      <w:r w:rsidRPr="00A92995">
        <w:t xml:space="preserve"> medical ethical authorities to consider that the decisions patients make may often present as autonomous while not at all representing the patient’s authentic motivations. </w:t>
      </w:r>
      <w:r w:rsidR="002F29AE" w:rsidRPr="00A92995">
        <w:t xml:space="preserve">I do not expect the clinical encounter to change </w:t>
      </w:r>
      <w:r w:rsidR="002F29AE" w:rsidRPr="00A92995">
        <w:lastRenderedPageBreak/>
        <w:t>the world-view of the patient or to provide her with a complete encyclopedic kn</w:t>
      </w:r>
      <w:r w:rsidR="003E1772" w:rsidRPr="00A92995">
        <w:t xml:space="preserve">owledge of </w:t>
      </w:r>
      <w:r w:rsidR="002F29AE" w:rsidRPr="00A92995">
        <w:t xml:space="preserve">systemic oppression and how it affects </w:t>
      </w:r>
      <w:r w:rsidR="002F29AE" w:rsidRPr="00A92995">
        <w:rPr>
          <w:i/>
        </w:rPr>
        <w:t>her</w:t>
      </w:r>
      <w:r w:rsidR="003E1772" w:rsidRPr="00A92995">
        <w:t xml:space="preserve">, nor would I </w:t>
      </w:r>
      <w:r w:rsidR="009E5F1D" w:rsidRPr="00A92995">
        <w:t>suggest that</w:t>
      </w:r>
      <w:r w:rsidR="003E1772" w:rsidRPr="00A92995">
        <w:t xml:space="preserve"> physicians encourage patients to cast doubt on all of their motivational structures. I believe it is necessary, however, to ensure that physicians take the time to inquire about the patient’s motivations and to </w:t>
      </w:r>
      <w:r w:rsidR="009E5F1D" w:rsidRPr="00A92995">
        <w:t xml:space="preserve">accordingly </w:t>
      </w:r>
      <w:r w:rsidR="003E1772" w:rsidRPr="00A92995">
        <w:t xml:space="preserve">prescribe treatment with more discretion. </w:t>
      </w:r>
    </w:p>
    <w:p w14:paraId="474290C2" w14:textId="548F650A" w:rsidR="00CF4777" w:rsidRPr="00A92995" w:rsidRDefault="006E0111" w:rsidP="003E1772">
      <w:pPr>
        <w:spacing w:line="360" w:lineRule="auto"/>
        <w:ind w:firstLine="720"/>
      </w:pPr>
      <w:r w:rsidRPr="00A92995">
        <w:t xml:space="preserve">Second, if the concern is that it is not the </w:t>
      </w:r>
      <w:r w:rsidR="00CF4777" w:rsidRPr="00A92995">
        <w:t xml:space="preserve">physician’s </w:t>
      </w:r>
      <w:r w:rsidRPr="00A92995">
        <w:t>duty</w:t>
      </w:r>
      <w:r w:rsidR="003E1772" w:rsidRPr="00A92995">
        <w:t>, but rather the duty of say a social worker or a therapist,</w:t>
      </w:r>
      <w:r w:rsidRPr="00A92995">
        <w:t xml:space="preserve"> to inquire into the origin</w:t>
      </w:r>
      <w:r w:rsidR="00CF4777" w:rsidRPr="00A92995">
        <w:t>s</w:t>
      </w:r>
      <w:r w:rsidRPr="00A92995">
        <w:t xml:space="preserve"> and authenticity of patient’s </w:t>
      </w:r>
      <w:r w:rsidR="00CF4777" w:rsidRPr="00A92995">
        <w:t>motivational structures</w:t>
      </w:r>
      <w:r w:rsidRPr="00A92995">
        <w:t xml:space="preserve">, I would </w:t>
      </w:r>
      <w:r w:rsidR="00CF4777" w:rsidRPr="00A92995">
        <w:t xml:space="preserve">respond with </w:t>
      </w:r>
      <w:r w:rsidR="003E1772" w:rsidRPr="00A92995">
        <w:t xml:space="preserve">the following </w:t>
      </w:r>
      <w:r w:rsidR="00CF4777" w:rsidRPr="00A92995">
        <w:t>two points. For one thing, it seems to me that this signals</w:t>
      </w:r>
      <w:r w:rsidRPr="00A92995">
        <w:t xml:space="preserve"> a problematic return to a paternalistic </w:t>
      </w:r>
      <w:r w:rsidR="00CF4777" w:rsidRPr="00A92995">
        <w:t xml:space="preserve">attitude. </w:t>
      </w:r>
      <w:r w:rsidR="002F29AE" w:rsidRPr="00A92995">
        <w:t xml:space="preserve">The suggestion that the physician’s duty is limited </w:t>
      </w:r>
      <w:r w:rsidR="003E1772" w:rsidRPr="00A92995">
        <w:t xml:space="preserve">to treating the </w:t>
      </w:r>
      <w:r w:rsidR="00A852D4" w:rsidRPr="00A92995">
        <w:t>physical body</w:t>
      </w:r>
      <w:r w:rsidR="003E1772" w:rsidRPr="00A92995">
        <w:t xml:space="preserve"> as something abstracted from the patient’s experience </w:t>
      </w:r>
      <w:r w:rsidR="00A852D4" w:rsidRPr="00A92995">
        <w:t xml:space="preserve">undermines the primacy of the patient’s autonomy. It is this very suggestion that allowed physicians to act on behalf of their patients, often deceiving them about the nature of treatment and administering treatment that the patient may otherwise have refused. </w:t>
      </w:r>
    </w:p>
    <w:p w14:paraId="41911897" w14:textId="21C76C34" w:rsidR="00AB73E0" w:rsidRPr="00A92995" w:rsidRDefault="00063C51" w:rsidP="00015FD0">
      <w:pPr>
        <w:spacing w:line="360" w:lineRule="auto"/>
        <w:ind w:firstLine="720"/>
      </w:pPr>
      <w:r w:rsidRPr="00A92995">
        <w:t>Furthermore</w:t>
      </w:r>
      <w:r w:rsidR="003E1772" w:rsidRPr="00A92995">
        <w:t xml:space="preserve">, </w:t>
      </w:r>
      <w:r w:rsidR="00A852D4" w:rsidRPr="00A92995">
        <w:t xml:space="preserve">it </w:t>
      </w:r>
      <w:r w:rsidR="003E1772" w:rsidRPr="00A92995">
        <w:t>simply untrue</w:t>
      </w:r>
      <w:r w:rsidR="00A852D4" w:rsidRPr="00A92995">
        <w:t xml:space="preserve"> that the physician’s duty is so limited</w:t>
      </w:r>
      <w:r w:rsidR="003E1772" w:rsidRPr="00A92995">
        <w:t xml:space="preserve">. </w:t>
      </w:r>
      <w:r w:rsidR="006E0111" w:rsidRPr="00A92995">
        <w:t xml:space="preserve">It is, in fact, not uncommon for a general practitioner to interview patients about their motivations for </w:t>
      </w:r>
      <w:r w:rsidR="00A852D4" w:rsidRPr="00A92995">
        <w:t xml:space="preserve">medical treatment and </w:t>
      </w:r>
      <w:r w:rsidR="006E0111" w:rsidRPr="00A92995">
        <w:t>procedures in order to ensure not only that the patient is aware of all potential risks, but to ensure that the patient’s motivational</w:t>
      </w:r>
      <w:r w:rsidR="00CF4777" w:rsidRPr="00A92995">
        <w:t xml:space="preserve"> structures are her own and not the result</w:t>
      </w:r>
      <w:r w:rsidR="006E0111" w:rsidRPr="00A92995">
        <w:t xml:space="preserve"> of a coercive partner</w:t>
      </w:r>
      <w:r w:rsidRPr="00A92995">
        <w:t xml:space="preserve"> or parent. When a patient requests contraceptive medication</w:t>
      </w:r>
      <w:r w:rsidR="009E5F1D" w:rsidRPr="00A92995">
        <w:t xml:space="preserve"> or treatment</w:t>
      </w:r>
      <w:r w:rsidRPr="00A92995">
        <w:t xml:space="preserve">, for example, her physician would usually inquire into the patient’s motivations not only for medical reasons, but to ensure that her decision is authentically her own and not the result of coercion. It is not rare that women seek contraceptive measures as a result of adaptive preference formation, self-abnegation, or even limited de facto power in their relationships. It is reasonable, then, </w:t>
      </w:r>
      <w:r w:rsidR="00AB64BC" w:rsidRPr="00A92995">
        <w:t xml:space="preserve">for the physician to adopt the so-called role of a social worker or therapist in order to ensure – or at the very least encourage - the patient’s acting according to her own authentic motivations. </w:t>
      </w:r>
      <w:r w:rsidR="009E5F1D" w:rsidRPr="00A92995">
        <w:t xml:space="preserve">This practice of physician-patient dialogue reflects a respect for autonomy which considers the realities of subtle threats to personal autonomy via undermined authenticity. </w:t>
      </w:r>
      <w:r w:rsidR="00DB49B4" w:rsidRPr="00A92995">
        <w:t xml:space="preserve">I propose that this practice become a mandatory rather than an optional ethical guideline, and that physicians should be trained to guide the clinical encounter accordingly. </w:t>
      </w:r>
      <w:r w:rsidR="009E5F1D" w:rsidRPr="00A92995">
        <w:t>My argument is</w:t>
      </w:r>
      <w:r w:rsidR="00DB49B4" w:rsidRPr="00A92995">
        <w:t xml:space="preserve"> simply this</w:t>
      </w:r>
      <w:r w:rsidR="009E5F1D" w:rsidRPr="00A92995">
        <w:t xml:space="preserve">: If it is the physician’s duty to respect patient autonomy, </w:t>
      </w:r>
      <w:r w:rsidR="00DB49B4" w:rsidRPr="00A92995">
        <w:t>it is as much their duty to appraise the authenticity of patients’ medical decisions as it is to appraise their competence in making those decisions.</w:t>
      </w:r>
    </w:p>
    <w:p w14:paraId="76692282" w14:textId="0F6564E9" w:rsidR="00AB73E0" w:rsidRPr="00A92995" w:rsidRDefault="00AB73E0" w:rsidP="000C3662">
      <w:pPr>
        <w:pStyle w:val="Heading1"/>
      </w:pPr>
      <w:bookmarkStart w:id="29" w:name="_Toc505150529"/>
      <w:r w:rsidRPr="00A92995">
        <w:lastRenderedPageBreak/>
        <w:t xml:space="preserve">Chapter </w:t>
      </w:r>
      <w:r w:rsidR="009D7FD7">
        <w:t>III</w:t>
      </w:r>
      <w:r w:rsidRPr="00A92995">
        <w:t>: Mental Illness and Autonomy</w:t>
      </w:r>
      <w:bookmarkEnd w:id="29"/>
    </w:p>
    <w:p w14:paraId="3DFEBE1D" w14:textId="77777777" w:rsidR="00AB73E0" w:rsidRPr="00A92995" w:rsidRDefault="00AB73E0" w:rsidP="008E63AB"/>
    <w:p w14:paraId="70D0397F" w14:textId="77777777" w:rsidR="00AB73E0" w:rsidRPr="00A92995" w:rsidRDefault="00AB73E0" w:rsidP="00AB73E0">
      <w:pPr>
        <w:pStyle w:val="ListParagraph"/>
        <w:ind w:left="1440"/>
        <w:rPr>
          <w:rFonts w:ascii="Times New Roman" w:hAnsi="Times New Roman" w:cs="Times New Roman"/>
        </w:rPr>
      </w:pPr>
    </w:p>
    <w:p w14:paraId="7327CB34" w14:textId="1E9600CE" w:rsidR="00941CC2" w:rsidRPr="00A92995" w:rsidRDefault="00AB73E0" w:rsidP="001B70C7">
      <w:pPr>
        <w:spacing w:line="360" w:lineRule="auto"/>
      </w:pPr>
      <w:r w:rsidRPr="00A92995">
        <w:t>In th</w:t>
      </w:r>
      <w:r w:rsidR="005C620B" w:rsidRPr="00A92995">
        <w:t xml:space="preserve">is </w:t>
      </w:r>
      <w:r w:rsidRPr="00A92995">
        <w:t xml:space="preserve">chapter, I explore the practical implications of </w:t>
      </w:r>
      <w:r w:rsidR="005C620B" w:rsidRPr="00A92995">
        <w:t xml:space="preserve">a </w:t>
      </w:r>
      <w:r w:rsidRPr="00A92995">
        <w:t xml:space="preserve">conception of autonomy in medical contexts. I refer specifically to cases of mental illness, with particular focus on </w:t>
      </w:r>
      <w:r w:rsidR="0097091B" w:rsidRPr="00A92995">
        <w:t xml:space="preserve">the </w:t>
      </w:r>
      <w:r w:rsidRPr="00A92995">
        <w:t>mood disorder</w:t>
      </w:r>
      <w:r w:rsidR="005E2779" w:rsidRPr="00A92995">
        <w:t xml:space="preserve"> </w:t>
      </w:r>
      <w:r w:rsidR="0097091B" w:rsidRPr="00A92995">
        <w:t>Bipolar II</w:t>
      </w:r>
      <w:r w:rsidRPr="00A92995">
        <w:t xml:space="preserve">. </w:t>
      </w:r>
      <w:r w:rsidR="00941CC2" w:rsidRPr="00A92995">
        <w:t xml:space="preserve">My aim is to draw attention to the fact that the current doctor-patient relationship utilizes a conception of autonomy which emphasizes competency conditions and fails to capture the authenticity conditions of autonomy. It consequently fails to provide adequate assessment, evaluation, and support of patient autonomy in the clinical context. I use examples of patients diagnosed with mood disorders to show that even those patients who meet required competency conditions, as well as the authenticity condition as proffered by procedural accounts of autonomy (i.e. the requirement of reflective endorsement), may not be quite as autonomous as we would like them to </w:t>
      </w:r>
      <w:r w:rsidR="0097091B" w:rsidRPr="00A92995">
        <w:t xml:space="preserve">be to provide </w:t>
      </w:r>
      <w:r w:rsidR="00941CC2" w:rsidRPr="00A92995">
        <w:t xml:space="preserve">informed consent and make sound decisions regarding treatment. </w:t>
      </w:r>
    </w:p>
    <w:p w14:paraId="092E742B" w14:textId="2D92D8C4" w:rsidR="00941CC2" w:rsidRPr="00A92995" w:rsidRDefault="00465900" w:rsidP="00941CC2">
      <w:pPr>
        <w:spacing w:line="360" w:lineRule="auto"/>
      </w:pPr>
      <w:r w:rsidRPr="00A92995">
        <w:tab/>
      </w:r>
      <w:r w:rsidR="00941CC2" w:rsidRPr="00A92995">
        <w:t xml:space="preserve">A few preliminary comments must be made on the nature of mood disorders. </w:t>
      </w:r>
    </w:p>
    <w:p w14:paraId="2AD170E0" w14:textId="609C856C" w:rsidR="00941CC2" w:rsidRPr="00A92995" w:rsidRDefault="00941CC2" w:rsidP="00941CC2">
      <w:pPr>
        <w:spacing w:line="360" w:lineRule="auto"/>
      </w:pPr>
      <w:r w:rsidRPr="00A92995">
        <w:t xml:space="preserve">The category ‘mood disorders’ refers to a group of psychological disorders which share the common feature of mood disturbance. While this is the predominant feature of mood disorders, individuals diagnosed as such often present with co-morbid disorders such as substance abuse, eating disorders and sometimes personality disorders. Mood disorders are essentially episodic, meaning that the individual cycles through distinct periods of time characterized </w:t>
      </w:r>
      <w:r w:rsidR="00081755" w:rsidRPr="00A92995">
        <w:t>by</w:t>
      </w:r>
      <w:r w:rsidRPr="00A92995">
        <w:t xml:space="preserve"> a pattern of disturbed mood, such as a depressive episode or manic episode. In this section I focus on depressive, manic, hypomanic, and mixed </w:t>
      </w:r>
      <w:r w:rsidR="004002B6" w:rsidRPr="00A92995">
        <w:t xml:space="preserve">mood </w:t>
      </w:r>
      <w:r w:rsidRPr="00A92995">
        <w:t xml:space="preserve">episodes; all of which are relevant to </w:t>
      </w:r>
      <w:r w:rsidR="004002B6" w:rsidRPr="00A92995">
        <w:t xml:space="preserve">mood disorders. Of these, </w:t>
      </w:r>
      <w:r w:rsidR="001C22F6" w:rsidRPr="00A92995">
        <w:t xml:space="preserve">both depressive and hypomanic episodes are required for a diagnosis of </w:t>
      </w:r>
      <w:r w:rsidRPr="00A92995">
        <w:t>Bipolar II Disorder</w:t>
      </w:r>
      <w:r w:rsidR="001C22F6" w:rsidRPr="00A92995">
        <w:t>.</w:t>
      </w:r>
    </w:p>
    <w:p w14:paraId="3FE415F8" w14:textId="63346AC3" w:rsidR="00941CC2" w:rsidRPr="00A92995" w:rsidRDefault="00941CC2" w:rsidP="00941CC2">
      <w:pPr>
        <w:spacing w:line="360" w:lineRule="auto"/>
        <w:ind w:firstLine="720"/>
      </w:pPr>
      <w:r w:rsidRPr="00A92995">
        <w:t xml:space="preserve">A major depressive episode is characterized by a depressed mood and/or a loss of pleasure in nearly all activities, every day for a period of at least two weeks. Further, in order to be diagnosed as having a major depressive episode, the patient must also exhibit at least four of the following symptoms: severe </w:t>
      </w:r>
      <w:r w:rsidR="0097091B" w:rsidRPr="00A92995">
        <w:t xml:space="preserve">disturbances in both </w:t>
      </w:r>
      <w:r w:rsidRPr="00A92995">
        <w:t>appetite and sleep</w:t>
      </w:r>
      <w:r w:rsidR="00081755" w:rsidRPr="00A92995">
        <w:t>;</w:t>
      </w:r>
      <w:r w:rsidRPr="00A92995">
        <w:t xml:space="preserve"> changes in psychomotor activity</w:t>
      </w:r>
      <w:r w:rsidR="00081755" w:rsidRPr="00A92995">
        <w:t>;</w:t>
      </w:r>
      <w:r w:rsidRPr="00A92995">
        <w:t xml:space="preserve"> fatigue</w:t>
      </w:r>
      <w:r w:rsidR="00081755" w:rsidRPr="00A92995">
        <w:t>;</w:t>
      </w:r>
      <w:r w:rsidRPr="00A92995">
        <w:t xml:space="preserve"> preoccupations with guilt</w:t>
      </w:r>
      <w:r w:rsidR="00081755" w:rsidRPr="00A92995">
        <w:t>;</w:t>
      </w:r>
      <w:r w:rsidRPr="00A92995">
        <w:t xml:space="preserve"> ruminations over past failings</w:t>
      </w:r>
      <w:r w:rsidR="00081755" w:rsidRPr="00A92995">
        <w:t>;</w:t>
      </w:r>
      <w:r w:rsidRPr="00A92995">
        <w:t xml:space="preserve"> and feelings of worthlessness – often exaggerated negative eval</w:t>
      </w:r>
      <w:r w:rsidR="0097091B" w:rsidRPr="00A92995">
        <w:t>uations of self-worth.</w:t>
      </w:r>
      <w:r w:rsidRPr="00A92995">
        <w:t xml:space="preserve"> </w:t>
      </w:r>
      <w:r w:rsidR="0097091B" w:rsidRPr="00A92995">
        <w:t>O</w:t>
      </w:r>
      <w:r w:rsidRPr="00A92995">
        <w:t xml:space="preserve">ther common </w:t>
      </w:r>
      <w:r w:rsidR="00863D2B" w:rsidRPr="00A92995">
        <w:t>symptoms include</w:t>
      </w:r>
      <w:r w:rsidRPr="00A92995">
        <w:t xml:space="preserve"> </w:t>
      </w:r>
      <w:r w:rsidR="0097091B" w:rsidRPr="00A92995">
        <w:t xml:space="preserve">a </w:t>
      </w:r>
      <w:r w:rsidRPr="00A92995">
        <w:t>reduced ability to concentrate</w:t>
      </w:r>
      <w:r w:rsidR="00D15CBF" w:rsidRPr="00A92995">
        <w:t xml:space="preserve">, </w:t>
      </w:r>
      <w:r w:rsidRPr="00A92995">
        <w:t xml:space="preserve">make decisions or think clearly; and persistent thoughts of suicide or death. Some individuals may also exhibit increased irritability and exaggerated </w:t>
      </w:r>
      <w:r w:rsidRPr="00A92995">
        <w:lastRenderedPageBreak/>
        <w:t>frustration over minor matters</w:t>
      </w:r>
      <w:r w:rsidR="007E2812" w:rsidRPr="00A92995">
        <w:t>.</w:t>
      </w:r>
      <w:r w:rsidRPr="00A92995">
        <w:rPr>
          <w:rStyle w:val="FootnoteReference"/>
          <w:sz w:val="24"/>
        </w:rPr>
        <w:footnoteReference w:id="83"/>
      </w:r>
      <w:r w:rsidRPr="00A92995">
        <w:t xml:space="preserve"> Almost all major depressive episodes present with a distinct and persistent period of dysphoria, feeling as though one doesn’t care about things </w:t>
      </w:r>
      <w:r w:rsidR="005B5CBF" w:rsidRPr="00A92995">
        <w:t>that were once important to them.</w:t>
      </w:r>
    </w:p>
    <w:p w14:paraId="0D9DDD39" w14:textId="6453CB14" w:rsidR="00275BC5" w:rsidRPr="00A92995" w:rsidRDefault="00941CC2" w:rsidP="00941CC2">
      <w:pPr>
        <w:spacing w:line="360" w:lineRule="auto"/>
        <w:ind w:firstLine="720"/>
      </w:pPr>
      <w:r w:rsidRPr="00A92995">
        <w:t xml:space="preserve">A diagnosis for a manic episode requires severe impairment in social and occupational functioning due to a persistently elevated, expansive, or irritable mood. At least three of the following symptoms must also be present in order for mania to be diagnosed: </w:t>
      </w:r>
      <w:r w:rsidR="005B5CBF" w:rsidRPr="00A92995">
        <w:t xml:space="preserve">a marked </w:t>
      </w:r>
      <w:r w:rsidRPr="00A92995">
        <w:t>increase in goal</w:t>
      </w:r>
      <w:r w:rsidR="00081755" w:rsidRPr="00A92995">
        <w:t>-</w:t>
      </w:r>
      <w:r w:rsidRPr="00A92995">
        <w:t>directed activities</w:t>
      </w:r>
      <w:r w:rsidR="00081755" w:rsidRPr="00A92995">
        <w:t>;</w:t>
      </w:r>
      <w:r w:rsidRPr="00A92995">
        <w:t xml:space="preserve"> disturbances in </w:t>
      </w:r>
      <w:r w:rsidR="005B5CBF" w:rsidRPr="00A92995">
        <w:t xml:space="preserve"> both </w:t>
      </w:r>
      <w:r w:rsidRPr="00A92995">
        <w:t>sleep and appetite (</w:t>
      </w:r>
      <w:r w:rsidR="005B5CBF" w:rsidRPr="00A92995">
        <w:t xml:space="preserve">typically </w:t>
      </w:r>
      <w:r w:rsidRPr="00A92995">
        <w:t>a decrease in both)</w:t>
      </w:r>
      <w:r w:rsidR="00081755" w:rsidRPr="00A92995">
        <w:t>;</w:t>
      </w:r>
      <w:r w:rsidRPr="00A92995">
        <w:t xml:space="preserve"> psychomotor agitation</w:t>
      </w:r>
      <w:r w:rsidR="00081755" w:rsidRPr="00A92995">
        <w:t>;</w:t>
      </w:r>
      <w:r w:rsidRPr="00A92995">
        <w:t xml:space="preserve"> pressure of speech and flight of ideas</w:t>
      </w:r>
      <w:r w:rsidR="00081755" w:rsidRPr="00A92995">
        <w:t>;</w:t>
      </w:r>
      <w:r w:rsidRPr="00A92995">
        <w:t xml:space="preserve"> distractibility</w:t>
      </w:r>
      <w:r w:rsidR="00081755" w:rsidRPr="00A92995">
        <w:t>;</w:t>
      </w:r>
      <w:r w:rsidRPr="00A92995">
        <w:t xml:space="preserve"> excessive involvement in “pleasurable activities with a high potential for painful consequences” such as reckless sexual activity (unusual for the person)</w:t>
      </w:r>
      <w:r w:rsidR="00081755" w:rsidRPr="00A92995">
        <w:t>;</w:t>
      </w:r>
      <w:r w:rsidRPr="00A92995">
        <w:t xml:space="preserve"> buying sprees</w:t>
      </w:r>
      <w:r w:rsidR="00081755" w:rsidRPr="00A92995">
        <w:t>;</w:t>
      </w:r>
      <w:r w:rsidRPr="00A92995">
        <w:t xml:space="preserve"> grandiose overestimation of one’s abilities (i.e. believing one has the ability to fly).</w:t>
      </w:r>
      <w:r w:rsidRPr="00A92995">
        <w:rPr>
          <w:rStyle w:val="FootnoteReference"/>
          <w:sz w:val="24"/>
        </w:rPr>
        <w:t xml:space="preserve"> </w:t>
      </w:r>
      <w:r w:rsidRPr="00A92995">
        <w:rPr>
          <w:rStyle w:val="FootnoteReference"/>
          <w:sz w:val="24"/>
        </w:rPr>
        <w:footnoteReference w:id="84"/>
      </w:r>
      <w:r w:rsidRPr="00A92995">
        <w:t xml:space="preserve"> Further, a manic episode </w:t>
      </w:r>
      <w:r w:rsidR="005B5CBF" w:rsidRPr="00A92995">
        <w:t>may be</w:t>
      </w:r>
      <w:r w:rsidRPr="00A92995">
        <w:t xml:space="preserve"> accompanied by psychotic symptoms such as delusions of grandeur, </w:t>
      </w:r>
      <w:r w:rsidR="005B5CBF" w:rsidRPr="00A92995">
        <w:t xml:space="preserve">paranoia, or </w:t>
      </w:r>
      <w:r w:rsidRPr="00A92995">
        <w:t>auditory or visual hallucinations. All of these symptoms must be severe enough to cause marked impairment in functioning</w:t>
      </w:r>
      <w:r w:rsidR="00081755" w:rsidRPr="00A92995">
        <w:t>,</w:t>
      </w:r>
      <w:r w:rsidRPr="00A92995">
        <w:t xml:space="preserve"> and they must persist for a period of at least one week for the episode to be considered a full manic episode. Such episodes typically precede a depressive episode, but some patients may become manic or hypomanic as they emerge from a depressive episode. Occasionally, such episodes may be triggered by the use of antidepressant medication. It is thus essential for the attending physician to ensure that the episode is not simply a highly positive return to a symptom</w:t>
      </w:r>
      <w:r w:rsidR="00081755" w:rsidRPr="00A92995">
        <w:t>-</w:t>
      </w:r>
      <w:r w:rsidRPr="00A92995">
        <w:t>free (</w:t>
      </w:r>
      <w:r w:rsidR="005B5CBF" w:rsidRPr="00A92995">
        <w:t>what is known as ‘</w:t>
      </w:r>
      <w:r w:rsidRPr="00A92995">
        <w:t>euthymic</w:t>
      </w:r>
      <w:r w:rsidR="005B5CBF" w:rsidRPr="00A92995">
        <w:t>’</w:t>
      </w:r>
      <w:r w:rsidRPr="00A92995">
        <w:t xml:space="preserve">) </w:t>
      </w:r>
      <w:r w:rsidR="005B5CBF" w:rsidRPr="00A92995">
        <w:t xml:space="preserve">mood </w:t>
      </w:r>
      <w:r w:rsidRPr="00A92995">
        <w:t xml:space="preserve">state. </w:t>
      </w:r>
    </w:p>
    <w:p w14:paraId="49A3587E" w14:textId="59F46174" w:rsidR="00941CC2" w:rsidRPr="00A92995" w:rsidRDefault="00941CC2" w:rsidP="00275BC5">
      <w:pPr>
        <w:spacing w:line="360" w:lineRule="auto"/>
        <w:ind w:firstLine="720"/>
      </w:pPr>
      <w:r w:rsidRPr="00A92995">
        <w:t xml:space="preserve">As </w:t>
      </w:r>
      <w:r w:rsidR="00081755" w:rsidRPr="00A92995">
        <w:t>in</w:t>
      </w:r>
      <w:r w:rsidRPr="00A92995">
        <w:t xml:space="preserve"> the manic episode, </w:t>
      </w:r>
      <w:r w:rsidR="00081755" w:rsidRPr="00A92995">
        <w:t xml:space="preserve">a </w:t>
      </w:r>
      <w:r w:rsidRPr="00A92995">
        <w:t>hypomanic episode is defined as “a distinct period of abnormally and persistently increased activity or energy, lasting at least 4 consecutive days and present most of the day, nearly every day.”</w:t>
      </w:r>
      <w:r w:rsidRPr="00A92995">
        <w:rPr>
          <w:rStyle w:val="FootnoteReference"/>
          <w:sz w:val="24"/>
        </w:rPr>
        <w:footnoteReference w:id="85"/>
      </w:r>
      <w:r w:rsidRPr="00A92995">
        <w:t xml:space="preserve"> To differentiate between manic and hypomanic episodes, the DSM strictly notes that hypomanic episodes necessarily lack delusions and hallucinations. While there must be a clear difference in behavior from the patient’s usual state, a hypomanic episode does not cause severe enough impairment in the patient’s life to warrant hospitalization. Further, the patient does</w:t>
      </w:r>
      <w:r w:rsidR="005B5CBF" w:rsidRPr="00A92995">
        <w:t xml:space="preserve"> not </w:t>
      </w:r>
      <w:r w:rsidRPr="00A92995">
        <w:t xml:space="preserve">present marked impairment in social, occupational, or domestic functioning. During a hypomanic episode, patients may present with increased creativity, efficiency, and goal accomplishments. These features of Bipolar II are especially </w:t>
      </w:r>
      <w:r w:rsidRPr="00A92995">
        <w:lastRenderedPageBreak/>
        <w:t xml:space="preserve">important since they may go unnoticed by the patient’s friends or family, or even by the patient herself. </w:t>
      </w:r>
      <w:r w:rsidR="005B5CBF" w:rsidRPr="00A92995">
        <w:t xml:space="preserve">Four consecutive days of </w:t>
      </w:r>
      <w:r w:rsidRPr="00A92995">
        <w:t xml:space="preserve">increased productivity might not seem particularly problematic to the patient or her friends and family, especially if it follows a depressive episode. Of course, not all patients experience these ‘positive’ effects of hypomania. Some patients' hypomania presents as severe agitation and irritability </w:t>
      </w:r>
      <w:r w:rsidR="005B5CBF" w:rsidRPr="00A92995">
        <w:t xml:space="preserve">rather than </w:t>
      </w:r>
      <w:r w:rsidRPr="00A92995">
        <w:t xml:space="preserve">mood elevation, making it difficult to maintain functional lives socially, occupationally, and domestically. Whichever way the symptoms present, whether obviously impairing functionality or not, the experience of those symptoms inevitably interfere with social, occupational, or domestic functioning to the extent that the behavior could be considered abnormal. </w:t>
      </w:r>
    </w:p>
    <w:p w14:paraId="508B6639" w14:textId="77777777" w:rsidR="005B5CBF" w:rsidRPr="00A92995" w:rsidRDefault="00136E58" w:rsidP="00465900">
      <w:pPr>
        <w:spacing w:line="360" w:lineRule="auto"/>
        <w:ind w:firstLine="720"/>
      </w:pPr>
      <w:r w:rsidRPr="00A92995">
        <w:t>For a diagnosis of Bipolar II, the patient must have experienced at least one major depressive episode, and at least one hypomanic episode</w:t>
      </w:r>
      <w:r w:rsidR="00337456" w:rsidRPr="00A92995">
        <w:t xml:space="preserve"> </w:t>
      </w:r>
      <w:r w:rsidR="005B5CBF" w:rsidRPr="00A92995">
        <w:t>(</w:t>
      </w:r>
      <w:r w:rsidR="00337456" w:rsidRPr="00A92995">
        <w:t>as opposed to a full manic episode as is required for a diagnosis of Bipolar I</w:t>
      </w:r>
      <w:r w:rsidR="005B5CBF" w:rsidRPr="00A92995">
        <w:t>)</w:t>
      </w:r>
      <w:r w:rsidRPr="00A92995">
        <w:t xml:space="preserve">. </w:t>
      </w:r>
    </w:p>
    <w:p w14:paraId="2BC0D290" w14:textId="0A804EC1" w:rsidR="005B5CBF" w:rsidRPr="00A92995" w:rsidRDefault="00136E58" w:rsidP="00465900">
      <w:pPr>
        <w:spacing w:line="360" w:lineRule="auto"/>
        <w:ind w:firstLine="720"/>
      </w:pPr>
      <w:r w:rsidRPr="00A92995">
        <w:t xml:space="preserve">Bipolar II is </w:t>
      </w:r>
      <w:r w:rsidR="005B5CBF" w:rsidRPr="00A92995">
        <w:t xml:space="preserve">a </w:t>
      </w:r>
      <w:r w:rsidR="00AB73E0" w:rsidRPr="00A92995">
        <w:t xml:space="preserve">particularly interesting </w:t>
      </w:r>
      <w:r w:rsidR="005B5CBF" w:rsidRPr="00A92995">
        <w:t xml:space="preserve">illness </w:t>
      </w:r>
      <w:r w:rsidR="00AB73E0" w:rsidRPr="00A92995">
        <w:t xml:space="preserve">when considering personal autonomy in medical contexts, because </w:t>
      </w:r>
      <w:r w:rsidRPr="00A92995">
        <w:t>it</w:t>
      </w:r>
      <w:r w:rsidR="00AB73E0" w:rsidRPr="00A92995">
        <w:t xml:space="preserve"> incorporate</w:t>
      </w:r>
      <w:r w:rsidRPr="00A92995">
        <w:t>s</w:t>
      </w:r>
      <w:r w:rsidR="00AB73E0" w:rsidRPr="00A92995">
        <w:t xml:space="preserve"> symptoms such as feelings of helplessness</w:t>
      </w:r>
      <w:r w:rsidRPr="00A92995">
        <w:t xml:space="preserve">, </w:t>
      </w:r>
      <w:r w:rsidR="00AB73E0" w:rsidRPr="00A92995">
        <w:t>hopelessness</w:t>
      </w:r>
      <w:r w:rsidRPr="00A92995">
        <w:t xml:space="preserve"> and guilt</w:t>
      </w:r>
      <w:r w:rsidR="00AB73E0" w:rsidRPr="00A92995">
        <w:t xml:space="preserve"> in major depression, </w:t>
      </w:r>
      <w:r w:rsidRPr="00A92995">
        <w:t xml:space="preserve">the </w:t>
      </w:r>
      <w:r w:rsidR="00AB73E0" w:rsidRPr="00A92995">
        <w:t xml:space="preserve">failed impulse control </w:t>
      </w:r>
      <w:r w:rsidRPr="00A92995">
        <w:t xml:space="preserve">and erratic moods and behavior </w:t>
      </w:r>
      <w:r w:rsidR="00AB73E0" w:rsidRPr="00A92995">
        <w:t>present in hypomania</w:t>
      </w:r>
      <w:r w:rsidRPr="00A92995">
        <w:t>; as well as</w:t>
      </w:r>
      <w:r w:rsidR="00C740CD" w:rsidRPr="00A92995">
        <w:t xml:space="preserve"> high incidence of substance abuse and addiction</w:t>
      </w:r>
      <w:r w:rsidR="00AB73E0" w:rsidRPr="00A92995">
        <w:t>. These symptoms are not as obviously autonomy-hindering as psychotic symptoms of hallucination, delusion, and other psychotic breaks from reality</w:t>
      </w:r>
      <w:r w:rsidR="008828AB" w:rsidRPr="00A92995">
        <w:t xml:space="preserve">. </w:t>
      </w:r>
      <w:r w:rsidR="00354D54" w:rsidRPr="00A92995">
        <w:t>While</w:t>
      </w:r>
      <w:r w:rsidR="00815B2C" w:rsidRPr="00A92995">
        <w:t xml:space="preserve"> </w:t>
      </w:r>
      <w:r w:rsidR="00F87157" w:rsidRPr="00A92995">
        <w:t xml:space="preserve">a </w:t>
      </w:r>
      <w:r w:rsidR="00AB73E0" w:rsidRPr="00A92995">
        <w:t xml:space="preserve">patient </w:t>
      </w:r>
      <w:r w:rsidR="00F87157" w:rsidRPr="00A92995">
        <w:t>exhibiting</w:t>
      </w:r>
      <w:r w:rsidR="00AB73E0" w:rsidRPr="00A92995">
        <w:t xml:space="preserve"> psychotic features</w:t>
      </w:r>
      <w:r w:rsidR="00F87157" w:rsidRPr="00A92995">
        <w:t xml:space="preserve"> </w:t>
      </w:r>
      <w:r w:rsidR="00AB73E0" w:rsidRPr="00A92995">
        <w:t xml:space="preserve">would </w:t>
      </w:r>
      <w:r w:rsidR="00F87157" w:rsidRPr="00A92995">
        <w:t xml:space="preserve">almost certainly fail to </w:t>
      </w:r>
      <w:r w:rsidR="00AB73E0" w:rsidRPr="00A92995">
        <w:t>meet standard competency requirements of autonomy</w:t>
      </w:r>
      <w:r w:rsidR="00815B2C" w:rsidRPr="00A92995">
        <w:t xml:space="preserve">, </w:t>
      </w:r>
      <w:r w:rsidR="00AB73E0" w:rsidRPr="00A92995">
        <w:t>patients experiencing mood disorders</w:t>
      </w:r>
      <w:r w:rsidR="004F134B" w:rsidRPr="00A92995">
        <w:t xml:space="preserve"> </w:t>
      </w:r>
      <w:r w:rsidR="000504E5" w:rsidRPr="00A92995">
        <w:t xml:space="preserve">without psychosis </w:t>
      </w:r>
      <w:r w:rsidR="00AB73E0" w:rsidRPr="00A92995">
        <w:t>meet the competency requirements of autonomy</w:t>
      </w:r>
      <w:r w:rsidR="00F87157" w:rsidRPr="00A92995">
        <w:t xml:space="preserve"> even during episodes of psychological disturbance:</w:t>
      </w:r>
      <w:r w:rsidR="00AB73E0" w:rsidRPr="00A92995">
        <w:t xml:space="preserve"> they maintain executive functioning and critical mental capacities, and </w:t>
      </w:r>
      <w:r w:rsidR="00354D54" w:rsidRPr="00A92995">
        <w:t xml:space="preserve">often </w:t>
      </w:r>
      <w:r w:rsidR="00AB73E0" w:rsidRPr="00A92995">
        <w:t xml:space="preserve">sustain </w:t>
      </w:r>
      <w:r w:rsidR="005B5CBF" w:rsidRPr="00A92995">
        <w:t xml:space="preserve">reasonably </w:t>
      </w:r>
      <w:r w:rsidR="00AB73E0" w:rsidRPr="00A92995">
        <w:t>functional lives despite considerable internal distress</w:t>
      </w:r>
      <w:r w:rsidR="00F87157" w:rsidRPr="00A92995">
        <w:t xml:space="preserve"> and abnormal behavior</w:t>
      </w:r>
      <w:r w:rsidR="00AB73E0" w:rsidRPr="00A92995">
        <w:t xml:space="preserve">. </w:t>
      </w:r>
    </w:p>
    <w:p w14:paraId="1C3448A6" w14:textId="775A0B3E" w:rsidR="00815B2C" w:rsidRPr="00A92995" w:rsidRDefault="00815B2C" w:rsidP="00465900">
      <w:pPr>
        <w:spacing w:line="360" w:lineRule="auto"/>
        <w:ind w:firstLine="720"/>
      </w:pPr>
      <w:r w:rsidRPr="00A92995">
        <w:t xml:space="preserve">Patients presenting with symptoms </w:t>
      </w:r>
      <w:r w:rsidR="00354D54" w:rsidRPr="00A92995">
        <w:t xml:space="preserve">of mood disorders </w:t>
      </w:r>
      <w:r w:rsidRPr="00A92995">
        <w:t>also tend to exhibit strong insight during their episodes</w:t>
      </w:r>
      <w:r w:rsidR="005B5CBF" w:rsidRPr="00A92995">
        <w:t>. Patient insight is recognized in psychiatry as the patient’s own</w:t>
      </w:r>
      <w:r w:rsidRPr="00A92995">
        <w:t xml:space="preserve"> recognition that their “troubles” are at least amenable to medical treatment or psychotherapeutic intervention.</w:t>
      </w:r>
      <w:r w:rsidRPr="00A92995">
        <w:rPr>
          <w:rStyle w:val="FootnoteReference"/>
          <w:sz w:val="24"/>
        </w:rPr>
        <w:footnoteReference w:id="86"/>
      </w:r>
      <w:r w:rsidRPr="00A92995">
        <w:t xml:space="preserve"> </w:t>
      </w:r>
    </w:p>
    <w:p w14:paraId="03BD8E4E" w14:textId="21ED65E9" w:rsidR="005B5CBF" w:rsidRPr="00A92995" w:rsidRDefault="00815B2C" w:rsidP="003D1F59">
      <w:pPr>
        <w:spacing w:line="360" w:lineRule="auto"/>
      </w:pPr>
      <w:r w:rsidRPr="00A92995">
        <w:lastRenderedPageBreak/>
        <w:tab/>
      </w:r>
      <w:r w:rsidR="005B5CBF" w:rsidRPr="00A92995">
        <w:t>W</w:t>
      </w:r>
      <w:r w:rsidRPr="00A92995">
        <w:t xml:space="preserve">here a patient </w:t>
      </w:r>
      <w:r w:rsidR="005B5CBF" w:rsidRPr="00A92995">
        <w:t xml:space="preserve">exhibits </w:t>
      </w:r>
      <w:r w:rsidRPr="00A92995">
        <w:t xml:space="preserve">such strong insight and reasonable functionality, it becomes difficult for both patient and physician to determine whether the symptoms of the mood-disorder </w:t>
      </w:r>
      <w:r w:rsidR="005B5CBF" w:rsidRPr="00A92995">
        <w:t xml:space="preserve">are </w:t>
      </w:r>
      <w:r w:rsidRPr="00A92995">
        <w:t xml:space="preserve">undermining autonomy. </w:t>
      </w:r>
    </w:p>
    <w:p w14:paraId="48793141" w14:textId="52CF1B81" w:rsidR="00354D54" w:rsidRPr="00A92995" w:rsidRDefault="00AB73E0" w:rsidP="00BE1A66">
      <w:pPr>
        <w:spacing w:line="360" w:lineRule="auto"/>
        <w:ind w:firstLine="720"/>
      </w:pPr>
      <w:r w:rsidRPr="00A92995">
        <w:t xml:space="preserve">I believe that this is due to the </w:t>
      </w:r>
      <w:r w:rsidR="00F87157" w:rsidRPr="00A92995">
        <w:t>fact that the dominant conception of autonomy focuses so heavily on the competency conditions of autonomy</w:t>
      </w:r>
      <w:r w:rsidR="005B5CBF" w:rsidRPr="00A92995">
        <w:t xml:space="preserve"> </w:t>
      </w:r>
      <w:r w:rsidR="00F87157" w:rsidRPr="00A92995">
        <w:t xml:space="preserve">and neglects the complex network of requirements that a patient must exhibit in order to meet the authenticity conditions of autonomy. </w:t>
      </w:r>
      <w:r w:rsidR="00815B2C" w:rsidRPr="00A92995">
        <w:t xml:space="preserve">It seems as though ‘insight’ as an observable feature of a patient diagnosed with mood disorder is somehow connected to the overall evaluation of the patient’s autonomy. My concern is that insight is </w:t>
      </w:r>
      <w:r w:rsidR="00081755" w:rsidRPr="00A92995">
        <w:t>mis</w:t>
      </w:r>
      <w:r w:rsidR="00815B2C" w:rsidRPr="00A92995">
        <w:t xml:space="preserve">understood as sufficient evidence for </w:t>
      </w:r>
      <w:r w:rsidR="00354D54" w:rsidRPr="00A92995">
        <w:t>authenticity, and thus patient autonomy. P</w:t>
      </w:r>
      <w:r w:rsidR="004F134B" w:rsidRPr="00A92995">
        <w:t>atients</w:t>
      </w:r>
      <w:r w:rsidR="00354D54" w:rsidRPr="00A92995">
        <w:t xml:space="preserve"> with Bipolar II</w:t>
      </w:r>
      <w:r w:rsidR="004F134B" w:rsidRPr="00A92995">
        <w:t xml:space="preserve"> </w:t>
      </w:r>
      <w:r w:rsidR="00354D54" w:rsidRPr="00A92995">
        <w:t>often</w:t>
      </w:r>
      <w:r w:rsidR="004F134B" w:rsidRPr="00A92995">
        <w:t xml:space="preserve"> meet the minimal co</w:t>
      </w:r>
      <w:r w:rsidR="00354D54" w:rsidRPr="00A92995">
        <w:t xml:space="preserve">mpetency conditions of autonomy, exhibit strong insight, and maintain reasonably functional lives. However, they often </w:t>
      </w:r>
      <w:r w:rsidR="005B5CBF" w:rsidRPr="00A92995">
        <w:t xml:space="preserve">also </w:t>
      </w:r>
      <w:r w:rsidR="00354D54" w:rsidRPr="00A92995">
        <w:t xml:space="preserve">report feelings of confusion, vulnerability, ambivalence, and uncertainty regarding the authenticity of their motivational structures. </w:t>
      </w:r>
      <w:r w:rsidR="00653DEF" w:rsidRPr="00A92995">
        <w:t>It is not always clear to the patient herself which of her moods, behaviors, desires</w:t>
      </w:r>
      <w:r w:rsidR="00F41A8D" w:rsidRPr="00A92995">
        <w:t>,</w:t>
      </w:r>
      <w:r w:rsidR="00653DEF" w:rsidRPr="00A92995">
        <w:t xml:space="preserve"> or actions originate from herself or </w:t>
      </w:r>
      <w:r w:rsidR="005070EB" w:rsidRPr="00A92995">
        <w:t xml:space="preserve">whether </w:t>
      </w:r>
      <w:r w:rsidR="00653DEF" w:rsidRPr="00A92995">
        <w:t xml:space="preserve">they are encouraged or hampered by the symptoms of her disorder. Indeed, the fact that she has the competence to reflect on this quandary confuses the situation even further. </w:t>
      </w:r>
    </w:p>
    <w:p w14:paraId="2E440AD8" w14:textId="53F00B8B" w:rsidR="000029BF" w:rsidRPr="00A92995" w:rsidRDefault="00354D54" w:rsidP="003D1F59">
      <w:pPr>
        <w:spacing w:line="360" w:lineRule="auto"/>
      </w:pPr>
      <w:r w:rsidRPr="00A92995">
        <w:tab/>
      </w:r>
      <w:r w:rsidR="00AB73E0" w:rsidRPr="00A92995">
        <w:t xml:space="preserve">In </w:t>
      </w:r>
      <w:r w:rsidR="00941CC2" w:rsidRPr="00A92995">
        <w:t>what follows</w:t>
      </w:r>
      <w:r w:rsidR="00AB73E0" w:rsidRPr="00A92995">
        <w:t xml:space="preserve"> I address Serife Tekin</w:t>
      </w:r>
      <w:r w:rsidR="00081755" w:rsidRPr="00A92995">
        <w:t>’s work</w:t>
      </w:r>
      <w:r w:rsidR="005B5CBF" w:rsidRPr="00A92995">
        <w:t xml:space="preserve"> on</w:t>
      </w:r>
      <w:r w:rsidR="00AB73E0" w:rsidRPr="00A92995">
        <w:t xml:space="preserve"> the notion of self-insight in mood disorders and its relationship to autonomy. </w:t>
      </w:r>
      <w:r w:rsidR="000029BF" w:rsidRPr="00A92995">
        <w:t>I proceed with the assumption that patient</w:t>
      </w:r>
      <w:r w:rsidR="00941CC2" w:rsidRPr="00A92995">
        <w:t xml:space="preserve">s who meet the competency conditions of autonomy </w:t>
      </w:r>
      <w:r w:rsidR="000029BF" w:rsidRPr="00A92995">
        <w:t>must necessarily exhibit insight in or</w:t>
      </w:r>
      <w:r w:rsidR="00941CC2" w:rsidRPr="00A92995">
        <w:t>der to be considered autonomous</w:t>
      </w:r>
      <w:r w:rsidR="008328E0" w:rsidRPr="00A92995">
        <w:t xml:space="preserve">, </w:t>
      </w:r>
      <w:r w:rsidR="000029BF" w:rsidRPr="00A92995">
        <w:t xml:space="preserve">but </w:t>
      </w:r>
      <w:r w:rsidR="00941CC2" w:rsidRPr="00A92995">
        <w:t xml:space="preserve">that </w:t>
      </w:r>
      <w:r w:rsidR="000029BF" w:rsidRPr="00A92995">
        <w:t xml:space="preserve">insight in and of itself is not sufficient to </w:t>
      </w:r>
      <w:r w:rsidR="00941CC2" w:rsidRPr="00A92995">
        <w:t>satisfy the authenticity condition of autonomy</w:t>
      </w:r>
      <w:r w:rsidR="000029BF" w:rsidRPr="00A92995">
        <w:t xml:space="preserve">. </w:t>
      </w:r>
      <w:r w:rsidR="00941CC2" w:rsidRPr="00A92995">
        <w:t xml:space="preserve">Nevertheless, the concept of insight is essential in psychotherapeutic intervention and Tekin’s work provides us with an excellent analysis thereof. </w:t>
      </w:r>
    </w:p>
    <w:p w14:paraId="26BF4C73" w14:textId="4EB56064" w:rsidR="004F134B" w:rsidRPr="00A92995" w:rsidRDefault="000029BF" w:rsidP="00AB73E0">
      <w:pPr>
        <w:spacing w:line="360" w:lineRule="auto"/>
      </w:pPr>
      <w:r w:rsidRPr="00A92995">
        <w:tab/>
      </w:r>
      <w:r w:rsidR="00AB73E0" w:rsidRPr="00A92995">
        <w:t>I also refer to the work of Alexandre Erler and Tony Hope</w:t>
      </w:r>
      <w:r w:rsidR="00430956" w:rsidRPr="00A92995">
        <w:t>,</w:t>
      </w:r>
      <w:r w:rsidR="00AB73E0" w:rsidRPr="00A92995">
        <w:t xml:space="preserve"> who investigate the </w:t>
      </w:r>
      <w:r w:rsidR="008828AB" w:rsidRPr="00A92995">
        <w:t xml:space="preserve">relevance of the </w:t>
      </w:r>
      <w:r w:rsidR="00AB73E0" w:rsidRPr="00A92995">
        <w:t xml:space="preserve">concept of authenticity </w:t>
      </w:r>
      <w:r w:rsidR="008828AB" w:rsidRPr="00A92995">
        <w:t xml:space="preserve">to </w:t>
      </w:r>
      <w:r w:rsidR="00AB73E0" w:rsidRPr="00A92995">
        <w:t xml:space="preserve">patients </w:t>
      </w:r>
      <w:r w:rsidR="008828AB" w:rsidRPr="00A92995">
        <w:t xml:space="preserve">diagnosed </w:t>
      </w:r>
      <w:r w:rsidR="00AB73E0" w:rsidRPr="00A92995">
        <w:t>with mood disorders.</w:t>
      </w:r>
      <w:r w:rsidR="000A2C29" w:rsidRPr="00A92995">
        <w:rPr>
          <w:rStyle w:val="FootnoteReference"/>
          <w:sz w:val="24"/>
        </w:rPr>
        <w:footnoteReference w:id="87"/>
      </w:r>
      <w:r w:rsidR="004F134B" w:rsidRPr="00A92995">
        <w:t xml:space="preserve"> </w:t>
      </w:r>
      <w:r w:rsidRPr="00A92995">
        <w:t xml:space="preserve">Their discussion provides valuable insight into patients’ own experiences of authenticity, and how these experiences </w:t>
      </w:r>
      <w:r w:rsidR="005B5CBF" w:rsidRPr="00A92995">
        <w:t xml:space="preserve">might </w:t>
      </w:r>
      <w:r w:rsidRPr="00A92995">
        <w:t xml:space="preserve">support or undermine </w:t>
      </w:r>
      <w:r w:rsidR="005B5CBF" w:rsidRPr="00A92995">
        <w:t xml:space="preserve">patients’ </w:t>
      </w:r>
      <w:r w:rsidRPr="00A92995">
        <w:t xml:space="preserve">experiences of personal autonomy. </w:t>
      </w:r>
    </w:p>
    <w:p w14:paraId="69DCF2A6" w14:textId="77777777" w:rsidR="00A11652" w:rsidRPr="00A92995" w:rsidRDefault="00A11652" w:rsidP="00F52AB8"/>
    <w:p w14:paraId="5EDCC4C5" w14:textId="77777777" w:rsidR="006F7A80" w:rsidRDefault="006F7A80">
      <w:r>
        <w:br w:type="page"/>
      </w:r>
    </w:p>
    <w:p w14:paraId="302F59E9" w14:textId="2D4F8637" w:rsidR="000C3662" w:rsidRPr="000C3662" w:rsidRDefault="00AB73E0" w:rsidP="00E84003">
      <w:r w:rsidRPr="00A92995">
        <w:lastRenderedPageBreak/>
        <w:t xml:space="preserve">Insight </w:t>
      </w:r>
    </w:p>
    <w:p w14:paraId="67FAF382" w14:textId="77777777" w:rsidR="00AB73E0" w:rsidRPr="00A92995" w:rsidRDefault="00AB73E0" w:rsidP="00360448">
      <w:pPr>
        <w:pStyle w:val="Heading2"/>
      </w:pPr>
    </w:p>
    <w:p w14:paraId="371F52C0" w14:textId="6B3F15A7" w:rsidR="008E63AB" w:rsidRPr="00A92995" w:rsidRDefault="00AB73E0" w:rsidP="001B70C7">
      <w:pPr>
        <w:spacing w:line="360" w:lineRule="auto"/>
      </w:pPr>
      <w:r w:rsidRPr="00A92995">
        <w:t>Serife Tekin, in her paper</w:t>
      </w:r>
      <w:r w:rsidR="00E7431E" w:rsidRPr="00A92995">
        <w:t>, “</w:t>
      </w:r>
      <w:r w:rsidRPr="00A92995">
        <w:t>Self-Insight in the Time of Mood Disorders: After the Diagnosis, Beyond the Treatment</w:t>
      </w:r>
      <w:r w:rsidR="00E7431E" w:rsidRPr="00A92995">
        <w:t>”</w:t>
      </w:r>
      <w:r w:rsidRPr="00A92995">
        <w:rPr>
          <w:i/>
        </w:rPr>
        <w:t xml:space="preserve">, </w:t>
      </w:r>
      <w:r w:rsidRPr="00A92995">
        <w:t xml:space="preserve">provides </w:t>
      </w:r>
      <w:r w:rsidR="00391800" w:rsidRPr="00A92995">
        <w:t xml:space="preserve">helpful </w:t>
      </w:r>
      <w:r w:rsidRPr="00A92995">
        <w:t>conceptual tools</w:t>
      </w:r>
      <w:r w:rsidR="00391800" w:rsidRPr="00A92995">
        <w:t xml:space="preserve"> </w:t>
      </w:r>
      <w:r w:rsidR="005B5CBF" w:rsidRPr="00A92995">
        <w:t xml:space="preserve">for </w:t>
      </w:r>
      <w:r w:rsidR="00391800" w:rsidRPr="00A92995">
        <w:t>understandin</w:t>
      </w:r>
      <w:r w:rsidR="00E05C9D" w:rsidRPr="00A92995">
        <w:t>g patient autonomy and insight, with special regard to patients diagnosed with mood disorders.</w:t>
      </w:r>
      <w:r w:rsidR="00391800" w:rsidRPr="00A92995">
        <w:t xml:space="preserve"> Her analysis of how insight is impoverished in the clinical encounter allows us to see how </w:t>
      </w:r>
      <w:r w:rsidR="005B5CBF" w:rsidRPr="00A92995">
        <w:t xml:space="preserve">the effects of </w:t>
      </w:r>
      <w:r w:rsidR="00391800" w:rsidRPr="00A92995">
        <w:t xml:space="preserve">socialization and internalized oppression </w:t>
      </w:r>
      <w:r w:rsidR="005B5CBF" w:rsidRPr="00A92995">
        <w:t xml:space="preserve">might </w:t>
      </w:r>
      <w:r w:rsidR="00391800" w:rsidRPr="00A92995">
        <w:t xml:space="preserve">pose significant threats to patients who </w:t>
      </w:r>
      <w:r w:rsidR="005B5CBF" w:rsidRPr="00A92995">
        <w:t>otherwise</w:t>
      </w:r>
      <w:r w:rsidR="00391800" w:rsidRPr="00A92995">
        <w:t xml:space="preserve"> meet the minimal competency conditions of autonomy.</w:t>
      </w:r>
      <w:r w:rsidR="000A2C29" w:rsidRPr="00A92995">
        <w:rPr>
          <w:rStyle w:val="FootnoteReference"/>
          <w:sz w:val="24"/>
        </w:rPr>
        <w:footnoteReference w:id="88"/>
      </w:r>
    </w:p>
    <w:p w14:paraId="47B65163" w14:textId="7D11EBF5" w:rsidR="008E63AB" w:rsidRPr="00A92995" w:rsidRDefault="00AB73E0" w:rsidP="005069EB">
      <w:pPr>
        <w:spacing w:line="360" w:lineRule="auto"/>
        <w:ind w:firstLine="720"/>
      </w:pPr>
      <w:r w:rsidRPr="00A92995">
        <w:t xml:space="preserve">While Tekin does not explicitly provide an account of or conditions for an account of autonomy, her explication of self-insight leads me to believe that it is in fact a further necessary component of autonomy, </w:t>
      </w:r>
      <w:r w:rsidR="00B613D2" w:rsidRPr="00A92995">
        <w:t xml:space="preserve">and </w:t>
      </w:r>
      <w:r w:rsidR="005B5CBF" w:rsidRPr="00A92995">
        <w:t>that this is highlighted</w:t>
      </w:r>
      <w:r w:rsidR="00B613D2" w:rsidRPr="00A92995">
        <w:t xml:space="preserve"> </w:t>
      </w:r>
      <w:r w:rsidRPr="00A92995">
        <w:t>in the clinical setting. Further, Tekin does not directly address the problem of socialization as laid out by autonomy theorists generally. Rather, she problematizes elements of the diagnostic settings which demonstrate some of the negative influence of socialization on patients</w:t>
      </w:r>
      <w:r w:rsidR="005B5CBF" w:rsidRPr="00A92995">
        <w:t>’</w:t>
      </w:r>
      <w:r w:rsidRPr="00A92995">
        <w:t xml:space="preserve"> self-insight</w:t>
      </w:r>
      <w:r w:rsidR="005B5CBF" w:rsidRPr="00A92995">
        <w:t>,</w:t>
      </w:r>
      <w:r w:rsidRPr="00A92995">
        <w:t xml:space="preserve"> and in turn their ability to make autonomous decisions regarding treatment. </w:t>
      </w:r>
    </w:p>
    <w:p w14:paraId="5E332F21" w14:textId="3395FE28" w:rsidR="00AB73E0" w:rsidRPr="00A92995" w:rsidRDefault="00AB73E0" w:rsidP="005069EB">
      <w:pPr>
        <w:spacing w:line="360" w:lineRule="auto"/>
        <w:ind w:firstLine="720"/>
      </w:pPr>
      <w:r w:rsidRPr="00A92995">
        <w:t xml:space="preserve">Her critique of the current model of diagnosis and doctor-patient relationships in the psychotherapeutic setting parallels the feminist critiques of procedural accounts of autonomy, as well as critiques of bioethical theories which treat autonomy as a feature of atomistic individuals. It could be said, then, that Tekin’s conditions for self-insight could be incorporated into a substantive, relational account of autonomy, which would better serve the clinical goal of enhancing patient autonomy. Here, I will outline her argument and </w:t>
      </w:r>
      <w:r w:rsidR="00B46553" w:rsidRPr="00A92995">
        <w:t xml:space="preserve">demonstrate </w:t>
      </w:r>
      <w:r w:rsidRPr="00A92995">
        <w:t xml:space="preserve">how her conceptual analysis </w:t>
      </w:r>
      <w:r w:rsidR="00B46553" w:rsidRPr="00A92995">
        <w:t xml:space="preserve">helps to articulate </w:t>
      </w:r>
      <w:r w:rsidRPr="00A92995">
        <w:t>ways in which autonomy is undermined in psychotherapeutic clinical settings</w:t>
      </w:r>
      <w:r w:rsidR="00B46553" w:rsidRPr="00A92995">
        <w:t xml:space="preserve">, </w:t>
      </w:r>
      <w:r w:rsidR="005B5CBF" w:rsidRPr="00A92995">
        <w:t xml:space="preserve">providing </w:t>
      </w:r>
      <w:r w:rsidR="00B46553" w:rsidRPr="00A92995">
        <w:t>an invaluable tool for this research report</w:t>
      </w:r>
      <w:r w:rsidRPr="00A92995">
        <w:t xml:space="preserve">. I </w:t>
      </w:r>
      <w:r w:rsidR="005B5CBF" w:rsidRPr="00A92995">
        <w:t xml:space="preserve">go on to </w:t>
      </w:r>
      <w:r w:rsidRPr="00A92995">
        <w:t>illustrate the practical failures of a procedural account of autonomy</w:t>
      </w:r>
      <w:r w:rsidR="00653DEF" w:rsidRPr="00A92995">
        <w:t xml:space="preserve"> – one which neglects the authenticity conditions of autonomy</w:t>
      </w:r>
      <w:r w:rsidR="00740D88" w:rsidRPr="00A92995">
        <w:t xml:space="preserve"> – and </w:t>
      </w:r>
      <w:r w:rsidRPr="00A92995">
        <w:t xml:space="preserve">show how a feminist inspired, relational, substantive account of autonomy </w:t>
      </w:r>
      <w:r w:rsidR="00653DEF" w:rsidRPr="00A92995">
        <w:t>pays due attention to the authenticity conditions required to</w:t>
      </w:r>
      <w:r w:rsidRPr="00A92995">
        <w:t xml:space="preserve"> furnish the patient with the resources she needs to make autonomous decisions. </w:t>
      </w:r>
    </w:p>
    <w:p w14:paraId="6CA3DBFA" w14:textId="77777777" w:rsidR="00AB73E0" w:rsidRPr="00A92995" w:rsidRDefault="00AB73E0" w:rsidP="006F7A80">
      <w:pPr>
        <w:pStyle w:val="Heading3"/>
      </w:pPr>
    </w:p>
    <w:p w14:paraId="0FA14B60" w14:textId="77777777" w:rsidR="006F7A80" w:rsidRDefault="006F7A80">
      <w:pPr>
        <w:rPr>
          <w:rFonts w:eastAsiaTheme="majorEastAsia"/>
          <w:color w:val="1F3763" w:themeColor="accent1" w:themeShade="7F"/>
        </w:rPr>
      </w:pPr>
      <w:r>
        <w:br w:type="page"/>
      </w:r>
    </w:p>
    <w:p w14:paraId="653B019A" w14:textId="222F6779" w:rsidR="00AB73E0" w:rsidRPr="006F7A80" w:rsidRDefault="00AB73E0" w:rsidP="006F7A80">
      <w:pPr>
        <w:pStyle w:val="Heading3"/>
      </w:pPr>
      <w:bookmarkStart w:id="30" w:name="_Toc505150530"/>
      <w:r w:rsidRPr="006F7A80">
        <w:lastRenderedPageBreak/>
        <w:t>Self-Insight and the Lived Experience</w:t>
      </w:r>
      <w:bookmarkEnd w:id="30"/>
    </w:p>
    <w:p w14:paraId="23B94D7C" w14:textId="77777777" w:rsidR="00AB73E0" w:rsidRPr="00A92995" w:rsidRDefault="00AB73E0" w:rsidP="00AB73E0">
      <w:pPr>
        <w:pStyle w:val="ListParagraph"/>
        <w:spacing w:line="360" w:lineRule="auto"/>
        <w:rPr>
          <w:rFonts w:ascii="Times New Roman" w:hAnsi="Times New Roman" w:cs="Times New Roman"/>
        </w:rPr>
      </w:pPr>
    </w:p>
    <w:p w14:paraId="7CC1AF0F" w14:textId="2B497771" w:rsidR="00156FD1" w:rsidRPr="00A92995" w:rsidRDefault="00AB73E0" w:rsidP="009C73B2">
      <w:pPr>
        <w:spacing w:line="360" w:lineRule="auto"/>
      </w:pPr>
      <w:r w:rsidRPr="00A92995">
        <w:t xml:space="preserve">Tekin defines self-insight as an agent’s perception of herself via her own lived experience, where </w:t>
      </w:r>
      <w:r w:rsidR="00CF42BE" w:rsidRPr="00A92995">
        <w:t>‘</w:t>
      </w:r>
      <w:r w:rsidRPr="00A92995">
        <w:t>lived experience</w:t>
      </w:r>
      <w:r w:rsidR="00CF42BE" w:rsidRPr="00A92995">
        <w:t>’</w:t>
      </w:r>
      <w:r w:rsidRPr="00A92995">
        <w:t xml:space="preserve"> is made up of the following: </w:t>
      </w:r>
      <w:r w:rsidR="00CF42BE" w:rsidRPr="00A92995">
        <w:t xml:space="preserve">an agent’s </w:t>
      </w:r>
      <w:r w:rsidRPr="00A92995">
        <w:t xml:space="preserve">personal identity, </w:t>
      </w:r>
      <w:r w:rsidR="00CF42BE" w:rsidRPr="00A92995">
        <w:t xml:space="preserve">her </w:t>
      </w:r>
      <w:r w:rsidRPr="00A92995">
        <w:t>puzzling mental states, interpersonal relationships, and the relationship between these three. By personal identity, she captures various personal features of the individual’s embodiment</w:t>
      </w:r>
      <w:r w:rsidR="0046737F" w:rsidRPr="00A92995">
        <w:t>,</w:t>
      </w:r>
      <w:r w:rsidRPr="00A92995">
        <w:t xml:space="preserve"> such as her gender, race, and occupation; socioeconomic status; moral character and dispositions; beliefs, desires, and preferences. I would add that the agent’s personal identity includes her physical embodiment, including her physical abilities and disabilities, appearance, stature, physical health, fitness, and her sexual health. With regard to the agent’s ‘puzzling mental states’, Tekin seems to be referring specifically to the agent who has been diagnosed with a mood disorder, explaining that such puzzling mental states “are hypothesized to stem from disruptions in mood regulation</w:t>
      </w:r>
      <w:r w:rsidR="00F36896" w:rsidRPr="00A92995">
        <w:t>”</w:t>
      </w:r>
      <w:r w:rsidRPr="00A92995">
        <w:t>.</w:t>
      </w:r>
      <w:r w:rsidR="00655EDB" w:rsidRPr="00A92995">
        <w:rPr>
          <w:rStyle w:val="FootnoteReference"/>
          <w:sz w:val="24"/>
        </w:rPr>
        <w:footnoteReference w:id="89"/>
      </w:r>
    </w:p>
    <w:p w14:paraId="519F00D3" w14:textId="508C159F" w:rsidR="00AB73E0" w:rsidRPr="00A92995" w:rsidRDefault="00AB73E0" w:rsidP="00156FD1">
      <w:pPr>
        <w:spacing w:line="360" w:lineRule="auto"/>
        <w:ind w:firstLine="720"/>
      </w:pPr>
      <w:r w:rsidRPr="00A92995">
        <w:t xml:space="preserve">A mood is defined as a </w:t>
      </w:r>
      <w:r w:rsidR="00655EDB" w:rsidRPr="00A92995">
        <w:t>“</w:t>
      </w:r>
      <w:r w:rsidRPr="00A92995">
        <w:t>relatively long-lasting emotional state and differs from a simple emotion in that a mood is less specific and less likely to be triggered by a particular stimulus or event.”</w:t>
      </w:r>
      <w:r w:rsidRPr="00A92995">
        <w:rPr>
          <w:rStyle w:val="FootnoteReference"/>
          <w:sz w:val="24"/>
        </w:rPr>
        <w:footnoteReference w:id="90"/>
      </w:r>
      <w:r w:rsidRPr="00A92995">
        <w:rPr>
          <w:noProof/>
        </w:rPr>
        <w:t xml:space="preserve"> </w:t>
      </w:r>
      <w:r w:rsidRPr="00A92995">
        <w:t>While Tekin does not go into much detail about what she means by ‘interpersonal relationships’, I would suggest that this category of lived experience includes the following: family, including her family’s values, beliefs, expectations, and standards; work, including her peers, direct supervisors, clientele; her culture, including her education, media exposure, oppressive socialization, gender norms, and marginalization with regard to any other oppressed group she may belong to. Further, for our purposes, it is important to recognize the doctor-patient relationship as a relevant interpersonal relationship which affects the agent’s lived experience, especially in the circumstances of diagnosis and treatment. These three elements</w:t>
      </w:r>
      <w:r w:rsidR="00C57C7D" w:rsidRPr="00A92995">
        <w:t xml:space="preserve"> – personal </w:t>
      </w:r>
      <w:r w:rsidR="00337456" w:rsidRPr="00A92995">
        <w:t>-</w:t>
      </w:r>
      <w:r w:rsidR="00D55FD5" w:rsidRPr="00A92995">
        <w:t>identity, puzzling mental states, interpersonal relationships – interact in countless variations, resulting</w:t>
      </w:r>
      <w:r w:rsidR="00E05C9D" w:rsidRPr="00A92995">
        <w:t xml:space="preserve"> in a</w:t>
      </w:r>
      <w:r w:rsidR="00D55FD5" w:rsidRPr="00A92995">
        <w:t xml:space="preserve"> unique relationship </w:t>
      </w:r>
      <w:r w:rsidR="00E05C9D" w:rsidRPr="00A92995">
        <w:t xml:space="preserve">which </w:t>
      </w:r>
      <w:r w:rsidR="00D55FD5" w:rsidRPr="00A92995">
        <w:t xml:space="preserve">constitutes the fourth element of lived experience. This interactive process </w:t>
      </w:r>
      <w:r w:rsidRPr="00A92995">
        <w:t>creat</w:t>
      </w:r>
      <w:r w:rsidR="00D55FD5" w:rsidRPr="00A92995">
        <w:t>es</w:t>
      </w:r>
      <w:r w:rsidRPr="00A92995">
        <w:t xml:space="preserve"> an intersectional identity for the agent</w:t>
      </w:r>
      <w:r w:rsidR="00CF42BE" w:rsidRPr="00A92995">
        <w:t>, an identity</w:t>
      </w:r>
      <w:r w:rsidRPr="00A92995">
        <w:t xml:space="preserve"> </w:t>
      </w:r>
      <w:r w:rsidR="00D55FD5" w:rsidRPr="00A92995">
        <w:t xml:space="preserve">which </w:t>
      </w:r>
      <w:r w:rsidRPr="00A92995">
        <w:t>color</w:t>
      </w:r>
      <w:r w:rsidR="00D55FD5" w:rsidRPr="00A92995">
        <w:t xml:space="preserve">s </w:t>
      </w:r>
      <w:r w:rsidRPr="00A92995">
        <w:t xml:space="preserve">her life in relevant ways. For example, </w:t>
      </w:r>
      <w:r w:rsidR="00CF42BE" w:rsidRPr="00A92995">
        <w:t xml:space="preserve">the combined influence of </w:t>
      </w:r>
      <w:r w:rsidRPr="00A92995">
        <w:t>her family’s values together with oppressive gender norms might affect her self-insight and autonomy with regard to her sexual</w:t>
      </w:r>
      <w:r w:rsidR="00FB3B2C" w:rsidRPr="00A92995">
        <w:t xml:space="preserve"> </w:t>
      </w:r>
      <w:r w:rsidRPr="00A92995">
        <w:t xml:space="preserve">identity. </w:t>
      </w:r>
      <w:r w:rsidR="00CF42BE" w:rsidRPr="00A92995">
        <w:t xml:space="preserve">An </w:t>
      </w:r>
      <w:r w:rsidRPr="00A92995">
        <w:t xml:space="preserve">agent’s lived experience is an inescapable </w:t>
      </w:r>
      <w:r w:rsidR="00CF42BE" w:rsidRPr="00A92995">
        <w:t xml:space="preserve">and central </w:t>
      </w:r>
      <w:r w:rsidRPr="00A92995">
        <w:t>feature of her life</w:t>
      </w:r>
      <w:r w:rsidR="00CF42BE" w:rsidRPr="00A92995">
        <w:t>,</w:t>
      </w:r>
      <w:r w:rsidRPr="00A92995">
        <w:t xml:space="preserve"> and the </w:t>
      </w:r>
      <w:r w:rsidR="00CF42BE" w:rsidRPr="00A92995">
        <w:lastRenderedPageBreak/>
        <w:t>manner in</w:t>
      </w:r>
      <w:r w:rsidRPr="00A92995">
        <w:t xml:space="preserve"> which it is created and enriched will affect her responses to situations she is faced with. As Tekin puts it: </w:t>
      </w:r>
    </w:p>
    <w:p w14:paraId="5BEF8514" w14:textId="64CF9D80" w:rsidR="00AB73E0" w:rsidRPr="00A92995" w:rsidRDefault="00AB73E0" w:rsidP="00AB73E0">
      <w:pPr>
        <w:ind w:left="851" w:right="1082"/>
        <w:jc w:val="both"/>
      </w:pPr>
      <w:r w:rsidRPr="00A92995">
        <w:t xml:space="preserve">Self-insight is a patient’s understanding of these four components of her lived experience, as revealed in her degree of responsiveness to them. At one end of the scale, a rich degree of self-insight enables the patient to see herself not merely as a person with a mood disorder, but as a unique subject, connected to a social world through interpersonal relationships. She neither overemphasizes nor underemphasizes any components of her lived experience. Rather, she develops a nuanced understanding of her experiences in the world. She can, for instance, discriminate the problems that stem from her mood disorder from those related to other components of her life. She can develop resourceful responses to her interpersonal problems because she can evaluate critically the reasons for her puzzling mental states, understand their manifestations in other facets of her life, and identify her strengths and limitations in relationships. The psychological and social skills that come with a rich degree of self-insight help the patient to respond effectively to her interpersonal problems; she can acknowledge her own limitations associated with her illness, but at the same time, she can see the role played by others. Overall, a rich degree of self-insight increases the quality of a patient’s </w:t>
      </w:r>
      <w:r w:rsidR="00852203" w:rsidRPr="00A92995">
        <w:t>life and</w:t>
      </w:r>
      <w:r w:rsidRPr="00A92995">
        <w:t xml:space="preserve"> contributes to her flourishing.</w:t>
      </w:r>
      <w:r w:rsidRPr="00A92995">
        <w:rPr>
          <w:rStyle w:val="FootnoteReference"/>
          <w:sz w:val="24"/>
        </w:rPr>
        <w:footnoteReference w:id="91"/>
      </w:r>
    </w:p>
    <w:p w14:paraId="0ED135B9" w14:textId="77777777" w:rsidR="00AB73E0" w:rsidRPr="00A92995" w:rsidRDefault="00AB73E0" w:rsidP="00AB73E0">
      <w:pPr>
        <w:spacing w:line="360" w:lineRule="auto"/>
        <w:ind w:right="1082"/>
        <w:jc w:val="both"/>
      </w:pPr>
    </w:p>
    <w:p w14:paraId="45ED9D72" w14:textId="29AE19B7" w:rsidR="00B37589" w:rsidRPr="00A92995" w:rsidRDefault="00AB73E0" w:rsidP="005069EB">
      <w:pPr>
        <w:spacing w:line="360" w:lineRule="auto"/>
        <w:ind w:firstLine="720"/>
      </w:pPr>
      <w:r w:rsidRPr="00A92995">
        <w:t xml:space="preserve">What is described here seems to me to be the ideal state of self-insight to be sought after by the patient. That is, I believe that this is the patient’s ultimate aim when she seeks help for her mental disorder. It is reminiscent of the ideal state of autonomy expected by various theories of autonomy </w:t>
      </w:r>
      <w:r w:rsidR="00CF42BE" w:rsidRPr="00A92995">
        <w:t xml:space="preserve">that </w:t>
      </w:r>
      <w:r w:rsidRPr="00A92995">
        <w:t>incorporate both critical reflection and self-regarding attitudes as requirements for autonomy. The clinical encounter</w:t>
      </w:r>
      <w:r w:rsidR="00CF42BE" w:rsidRPr="00A92995">
        <w:t xml:space="preserve"> -</w:t>
      </w:r>
      <w:r w:rsidRPr="00A92995">
        <w:t xml:space="preserve"> and receiving a diagnosis</w:t>
      </w:r>
      <w:r w:rsidR="00E05C9D" w:rsidRPr="00A92995">
        <w:t xml:space="preserve"> in particular</w:t>
      </w:r>
      <w:r w:rsidR="00CF42BE" w:rsidRPr="00A92995">
        <w:t xml:space="preserve"> -</w:t>
      </w:r>
      <w:r w:rsidRPr="00A92995">
        <w:t xml:space="preserve"> affects a patient’s autonomy and self-insight in ways that </w:t>
      </w:r>
      <w:r w:rsidR="00CF42BE" w:rsidRPr="00A92995">
        <w:t xml:space="preserve">simultaneously </w:t>
      </w:r>
      <w:r w:rsidRPr="00A92995">
        <w:t xml:space="preserve">undermine and support her autonomy. Tekin distinguishes between the </w:t>
      </w:r>
      <w:r w:rsidRPr="00A92995">
        <w:rPr>
          <w:i/>
        </w:rPr>
        <w:t xml:space="preserve">therapeutic impact </w:t>
      </w:r>
      <w:r w:rsidRPr="00A92995">
        <w:t xml:space="preserve">and the </w:t>
      </w:r>
      <w:r w:rsidRPr="00A92995">
        <w:rPr>
          <w:i/>
        </w:rPr>
        <w:t xml:space="preserve">reflective impact </w:t>
      </w:r>
      <w:r w:rsidRPr="00A92995">
        <w:t xml:space="preserve">of receiving a diagnosis, focusing on the reflective impact. That is, she </w:t>
      </w:r>
      <w:r w:rsidR="00147C50" w:rsidRPr="00A92995">
        <w:t xml:space="preserve">encourages us to consider </w:t>
      </w:r>
      <w:r w:rsidRPr="00A92995">
        <w:t>the ways in which diagnos</w:t>
      </w:r>
      <w:r w:rsidR="00B37589" w:rsidRPr="00A92995">
        <w:t>is</w:t>
      </w:r>
      <w:r w:rsidRPr="00A92995">
        <w:t xml:space="preserve"> informs the patient’s “reflection on the states of affairs in her life, including who she is, how her mental disorder is expressed, how her interpersonal relationships proceed, and how these interact.”</w:t>
      </w:r>
      <w:r w:rsidRPr="00A92995">
        <w:rPr>
          <w:rStyle w:val="FootnoteReference"/>
          <w:sz w:val="24"/>
        </w:rPr>
        <w:footnoteReference w:id="92"/>
      </w:r>
      <w:r w:rsidRPr="00A92995">
        <w:t xml:space="preserve"> The therapeutic impact, in contrast, refers to the facilitation of clinical treatment of the diagnosed condition. </w:t>
      </w:r>
    </w:p>
    <w:p w14:paraId="0A43AED2" w14:textId="3C769BA9" w:rsidR="008E63AB" w:rsidRPr="00A92995" w:rsidRDefault="00AB73E0" w:rsidP="005069EB">
      <w:pPr>
        <w:spacing w:line="360" w:lineRule="auto"/>
        <w:ind w:firstLine="720"/>
      </w:pPr>
      <w:r w:rsidRPr="00A92995">
        <w:t xml:space="preserve">Like Tekin, I am interested in the impact of diagnosis and </w:t>
      </w:r>
      <w:r w:rsidR="00147C50" w:rsidRPr="00A92995">
        <w:t xml:space="preserve">its effects </w:t>
      </w:r>
      <w:r w:rsidRPr="00A92995">
        <w:t xml:space="preserve">(i.e. the patient’s lived experience as articulated above) on the </w:t>
      </w:r>
      <w:r w:rsidR="00147C50" w:rsidRPr="00A92995">
        <w:t xml:space="preserve">quality of the </w:t>
      </w:r>
      <w:r w:rsidRPr="00A92995">
        <w:t>patient’s reflecti</w:t>
      </w:r>
      <w:r w:rsidR="00147C50" w:rsidRPr="00A92995">
        <w:t>ve capacities</w:t>
      </w:r>
      <w:r w:rsidRPr="00A92995">
        <w:t xml:space="preserve">. </w:t>
      </w:r>
      <w:r w:rsidR="00147C50" w:rsidRPr="00A92995">
        <w:t xml:space="preserve">By </w:t>
      </w:r>
      <w:r w:rsidR="00147C50" w:rsidRPr="00A92995">
        <w:lastRenderedPageBreak/>
        <w:t>focusing on the reflective impact of diagnosis we are able to see if and how the patient’s authenticity might be further impeded or supported in the clinical encounter.</w:t>
      </w:r>
      <w:r w:rsidRPr="00A92995">
        <w:t xml:space="preserve"> As I see it, the therapeutic impact of diagnosis relies on the reflective impact, for the patient must make decisions regarding treatment, and she is expected to make those decisions with as much autonomy as possible. </w:t>
      </w:r>
      <w:r w:rsidR="00417948" w:rsidRPr="00A92995">
        <w:t xml:space="preserve">Notice that the condition of insight requires a patient to meet the minimal conditions of competency. I believe that the concept of insight aims to complement various other psychological and social skills and self-regarding attitudes, all of which are required to meet the authenticity condition of autonomy. As mentioned earlier, my concern is that </w:t>
      </w:r>
      <w:r w:rsidR="000F2F20" w:rsidRPr="00A92995">
        <w:t xml:space="preserve">patients exhibiting </w:t>
      </w:r>
      <w:r w:rsidR="00417948" w:rsidRPr="00A92995">
        <w:t xml:space="preserve">strong insight </w:t>
      </w:r>
      <w:r w:rsidR="000F2F20" w:rsidRPr="00A92995">
        <w:t>look very similar to</w:t>
      </w:r>
      <w:r w:rsidR="007F1511" w:rsidRPr="00A92995">
        <w:t xml:space="preserve"> those</w:t>
      </w:r>
      <w:r w:rsidR="000F2F20" w:rsidRPr="00A92995">
        <w:t xml:space="preserve"> having met the minimal competency conditions for autonomy. </w:t>
      </w:r>
      <w:r w:rsidR="00417948" w:rsidRPr="00A92995">
        <w:t xml:space="preserve">Thus, patients are often taken to be autonomous enough to provide informed consent, </w:t>
      </w:r>
      <w:r w:rsidR="000F2F20" w:rsidRPr="00A92995">
        <w:t>despite the fact that their authenticity has not been properly taken into consideration. Nevertheless, insight is essential to autonomy in one way or another, and so it is worth examining the various ways insight is undermined. We will find that threats to insight closely resemble the threats to authenticity conditions discussed earlier, such as self-worth, self-respect, self-trust</w:t>
      </w:r>
      <w:r w:rsidR="00337456" w:rsidRPr="00A92995">
        <w:t>,</w:t>
      </w:r>
      <w:r w:rsidR="000F2F20" w:rsidRPr="00A92995">
        <w:t xml:space="preserve"> and self-concept.</w:t>
      </w:r>
    </w:p>
    <w:p w14:paraId="19EBA821" w14:textId="77777777" w:rsidR="00AB73E0" w:rsidRPr="00A92995" w:rsidRDefault="00AB73E0" w:rsidP="005069EB">
      <w:pPr>
        <w:spacing w:line="360" w:lineRule="auto"/>
        <w:ind w:firstLine="720"/>
      </w:pPr>
    </w:p>
    <w:p w14:paraId="009DB58F" w14:textId="21885E23" w:rsidR="00AB73E0" w:rsidRPr="00A92995" w:rsidRDefault="00AB73E0" w:rsidP="006F7A80">
      <w:pPr>
        <w:pStyle w:val="Heading3"/>
      </w:pPr>
      <w:bookmarkStart w:id="31" w:name="_Toc505150531"/>
      <w:r w:rsidRPr="00A92995">
        <w:t>Hyponarrativity: The Symptoms Based Approach</w:t>
      </w:r>
      <w:bookmarkEnd w:id="31"/>
    </w:p>
    <w:p w14:paraId="3D4AF1F0" w14:textId="77777777" w:rsidR="00AB73E0" w:rsidRPr="00A92995" w:rsidRDefault="00AB73E0" w:rsidP="006F7A80">
      <w:pPr>
        <w:pStyle w:val="Heading3"/>
      </w:pPr>
    </w:p>
    <w:p w14:paraId="2494E347" w14:textId="71CF8B50" w:rsidR="00CA4641" w:rsidRPr="00A92995" w:rsidRDefault="00AB73E0" w:rsidP="00A92995">
      <w:pPr>
        <w:spacing w:line="360" w:lineRule="auto"/>
        <w:ind w:right="4"/>
      </w:pPr>
      <w:r w:rsidRPr="00A92995">
        <w:t xml:space="preserve">Tekin </w:t>
      </w:r>
      <w:r w:rsidR="00B46553" w:rsidRPr="00A92995">
        <w:t>draws our attention to three important ways that diagnosis might threaten a patient’s self-insight</w:t>
      </w:r>
      <w:r w:rsidRPr="00A92995">
        <w:t>. The first is the problem of hyponarrativity that results from a symptoms-based approach of diagnosis in the clinical setting. The second is what she calls the ‘DSM-Culture’, and the third is the cognitive biases to which all agents are vulnerable, but especially individuals diagnosed with mental disorders. Tekin’s critique of the ‘symptoms-based approach’ runs parallel to the critiques of the traditional conception of autonomy, both theoretical (the procedural accounts of autonomy) and practical (the operative conception of autonomy in contemporary bioethics and the doctor-patient relationship). The approach to which she refers is the system of diagnosis prevalent in psychiatric practice, which is guided primarily by the observable behaviors of patients and the lists of symptoms of mental disorders as classified in the DSM. This in turn leads to an elimination of the patient’s subjective experience and leads to what Tekin and Sadler refer to as ‘hyponarrativity’.</w:t>
      </w:r>
      <w:r w:rsidR="00B870C6" w:rsidRPr="00A92995">
        <w:rPr>
          <w:rStyle w:val="FootnoteReference"/>
          <w:sz w:val="24"/>
        </w:rPr>
        <w:footnoteReference w:id="93"/>
      </w:r>
      <w:r w:rsidRPr="00A92995">
        <w:t xml:space="preserve"> While the focus on observable features of patient behavior reflects </w:t>
      </w:r>
      <w:r w:rsidRPr="00A92995">
        <w:lastRenderedPageBreak/>
        <w:t>psychiatry’s commitment to being considered an empirical science and legitimate clinical medicine, such a heavy focus tends to obscure the role of the patient’s own subjective experience of those symptoms, effectively diminishing the patient’s autonomy and self-insight. It does so by under-representing those features of an individual’s life which may have caused, contributed to, or aggravated her mental illness, because those features are not ‘readily measurable’, not to the extent that observed symptoms can be ticked off of a list. Undermining or temporarily suspending the patient’s subjective experience of her symptoms is particularly harmful in the psychotherapeutic context. Tekin suggests that if that complex subjectivity</w:t>
      </w:r>
      <w:r w:rsidR="00B870C6" w:rsidRPr="00A92995">
        <w:t xml:space="preserve"> - </w:t>
      </w:r>
      <w:r w:rsidRPr="00A92995">
        <w:t>those elements of her life that are not observable</w:t>
      </w:r>
      <w:r w:rsidR="00B870C6" w:rsidRPr="00A92995">
        <w:t xml:space="preserve"> such as her personal identity, interpersonal </w:t>
      </w:r>
      <w:r w:rsidR="009B012B" w:rsidRPr="00A92995">
        <w:t>relationships,</w:t>
      </w:r>
      <w:r w:rsidR="00B870C6" w:rsidRPr="00A92995">
        <w:t xml:space="preserve"> and internalized norms -</w:t>
      </w:r>
      <w:r w:rsidRPr="00A92995">
        <w:t xml:space="preserve"> is not in some way reintroduced to the clinical settings, this will undermine her self-insight by allowing her to believe in some way that she and her experience of mental distress are reducible to her somatic and observable symptoms. This highlights a particular problem in the doctor-patient relationship, </w:t>
      </w:r>
      <w:r w:rsidR="00B870C6" w:rsidRPr="00A92995">
        <w:t>especially</w:t>
      </w:r>
      <w:r w:rsidRPr="00A92995">
        <w:t xml:space="preserve"> during diagnosis in psychotherapeutic settings. </w:t>
      </w:r>
    </w:p>
    <w:p w14:paraId="7F30467F" w14:textId="19E796C3" w:rsidR="00AB73E0" w:rsidRPr="00A92995" w:rsidRDefault="00AB73E0" w:rsidP="00337456">
      <w:pPr>
        <w:spacing w:line="360" w:lineRule="auto"/>
        <w:ind w:firstLine="709"/>
      </w:pPr>
      <w:r w:rsidRPr="00A92995">
        <w:t xml:space="preserve">Sadler </w:t>
      </w:r>
      <w:r w:rsidR="00B870C6" w:rsidRPr="00A92995">
        <w:t xml:space="preserve">goes on </w:t>
      </w:r>
      <w:r w:rsidR="00B46553" w:rsidRPr="00A92995">
        <w:t>to</w:t>
      </w:r>
      <w:r w:rsidR="00B870C6" w:rsidRPr="00A92995">
        <w:t xml:space="preserve"> </w:t>
      </w:r>
      <w:r w:rsidR="00B46553" w:rsidRPr="00A92995">
        <w:t>explain</w:t>
      </w:r>
      <w:r w:rsidRPr="00A92995">
        <w:t xml:space="preserve"> ‘hyponarrativity’</w:t>
      </w:r>
      <w:r w:rsidR="00B46553" w:rsidRPr="00A92995">
        <w:t xml:space="preserve"> as the tendency of physicians</w:t>
      </w:r>
      <w:r w:rsidR="00E05C9D" w:rsidRPr="00A92995">
        <w:t xml:space="preserve">, in diagnosing patients, </w:t>
      </w:r>
      <w:r w:rsidRPr="00A92995">
        <w:t xml:space="preserve">to place very little emphasis on the contingencies of the patient’s life, her life narrative, and those elements of herself that make her who she is: </w:t>
      </w:r>
    </w:p>
    <w:p w14:paraId="7A0D7849" w14:textId="77777777" w:rsidR="00AB73E0" w:rsidRPr="00A92995" w:rsidRDefault="00AB73E0" w:rsidP="00AB73E0">
      <w:pPr>
        <w:spacing w:line="360" w:lineRule="auto"/>
      </w:pPr>
    </w:p>
    <w:p w14:paraId="71CC75FD" w14:textId="77777777" w:rsidR="00AB73E0" w:rsidRPr="00A92995" w:rsidRDefault="00AB73E0" w:rsidP="00A92995">
      <w:pPr>
        <w:ind w:left="709" w:right="-138"/>
        <w:jc w:val="both"/>
      </w:pPr>
      <w:r w:rsidRPr="00A92995">
        <w:t>To diagnose a person by means of the DSMs is to unveil very little of her biography: what is important to her, how she came to be who she is, which people or events had an important influence on her, how the chronological unfolding of her life has shaped her present and will shape her future, and how the experience of illness interacts with these aspects of her life.</w:t>
      </w:r>
      <w:r w:rsidRPr="00A92995">
        <w:rPr>
          <w:rStyle w:val="FootnoteReference"/>
          <w:sz w:val="24"/>
        </w:rPr>
        <w:footnoteReference w:id="94"/>
      </w:r>
      <w:r w:rsidRPr="00A92995">
        <w:t xml:space="preserve"> </w:t>
      </w:r>
    </w:p>
    <w:p w14:paraId="4BD75349" w14:textId="77777777" w:rsidR="00AB73E0" w:rsidRPr="00A92995" w:rsidRDefault="00AB73E0" w:rsidP="00AB73E0">
      <w:pPr>
        <w:spacing w:line="360" w:lineRule="auto"/>
        <w:rPr>
          <w:color w:val="FF0000"/>
        </w:rPr>
      </w:pPr>
    </w:p>
    <w:p w14:paraId="699ADDAD" w14:textId="5E4FDAF8" w:rsidR="008E63AB" w:rsidRPr="00A92995" w:rsidRDefault="00AB73E0" w:rsidP="005069EB">
      <w:pPr>
        <w:spacing w:line="360" w:lineRule="auto"/>
        <w:ind w:firstLine="709"/>
      </w:pPr>
      <w:r w:rsidRPr="00A92995">
        <w:t>The above quote reminds us of Christman’s encouragement to consider the historical and social development of an agent’s motivational structures, as well as Meyer</w:t>
      </w:r>
      <w:r w:rsidR="00515E3C" w:rsidRPr="00A92995">
        <w:t>s</w:t>
      </w:r>
      <w:r w:rsidRPr="00A92995">
        <w:t xml:space="preserve">’ insistence on agents’ intersectional identities. Both remind us that agents are causally and constitutively relational: that social and historical contexts are essential parts of the individual, and the agent should not be considered </w:t>
      </w:r>
      <w:r w:rsidR="00B46553" w:rsidRPr="00A92995">
        <w:t xml:space="preserve">as existing abstracted from </w:t>
      </w:r>
      <w:r w:rsidRPr="00A92995">
        <w:t xml:space="preserve">social influences. This hyponarrative approach to diagnosis, </w:t>
      </w:r>
      <w:r w:rsidR="00337456" w:rsidRPr="00A92995">
        <w:t>similar to the</w:t>
      </w:r>
      <w:r w:rsidRPr="00A92995">
        <w:t xml:space="preserve"> liberal view of the individual and procedural accounts of autonomy</w:t>
      </w:r>
      <w:r w:rsidR="00CB1674" w:rsidRPr="00A92995">
        <w:t>,</w:t>
      </w:r>
      <w:r w:rsidRPr="00A92995">
        <w:t xml:space="preserve"> is problematic because it </w:t>
      </w:r>
      <w:r w:rsidR="00337456" w:rsidRPr="00A92995">
        <w:t>seems to</w:t>
      </w:r>
      <w:r w:rsidR="00465900" w:rsidRPr="00A92995">
        <w:t xml:space="preserve"> suggest that individuals are, to some extent, capable of </w:t>
      </w:r>
      <w:r w:rsidRPr="00A92995">
        <w:t xml:space="preserve">acting in isolation from </w:t>
      </w:r>
      <w:r w:rsidR="00465900" w:rsidRPr="00A92995">
        <w:t xml:space="preserve">constitutive </w:t>
      </w:r>
      <w:r w:rsidRPr="00A92995">
        <w:t>social forces.</w:t>
      </w:r>
      <w:r w:rsidR="00465900" w:rsidRPr="00A92995" w:rsidDel="00465900">
        <w:t xml:space="preserve"> </w:t>
      </w:r>
    </w:p>
    <w:p w14:paraId="1772C495" w14:textId="68F33715" w:rsidR="00AB73E0" w:rsidRPr="00A92995" w:rsidRDefault="00AB73E0" w:rsidP="005069EB">
      <w:pPr>
        <w:spacing w:line="360" w:lineRule="auto"/>
        <w:ind w:firstLine="709"/>
      </w:pPr>
      <w:r w:rsidRPr="00A92995">
        <w:lastRenderedPageBreak/>
        <w:t xml:space="preserve">The hyponarrative approach to diagnosis zeroes in on the observable symptoms and in its attempt to remain content-neutral, </w:t>
      </w:r>
      <w:r w:rsidR="00B870C6" w:rsidRPr="00A92995">
        <w:t xml:space="preserve">consequently </w:t>
      </w:r>
      <w:r w:rsidRPr="00A92995">
        <w:t xml:space="preserve">abstracts the patient from her social and historical life and from her lived experience. The failure to re-introduce the patient’s lived experience into the </w:t>
      </w:r>
      <w:r w:rsidR="00B870C6" w:rsidRPr="00A92995">
        <w:t xml:space="preserve">clinical encounter during </w:t>
      </w:r>
      <w:r w:rsidRPr="00A92995">
        <w:t>diagnosis results in impoverished self-insight: she will be more inclined to attribute features of her lived experience to the symptoms of her illness than to the more subjective features of her lived experience, such as personal identity, interpersonal relations, and sociocultural factors of her life that may affect her.</w:t>
      </w:r>
      <w:r w:rsidRPr="00A92995">
        <w:rPr>
          <w:rStyle w:val="FootnoteReference"/>
          <w:sz w:val="24"/>
        </w:rPr>
        <w:t xml:space="preserve"> </w:t>
      </w:r>
      <w:r w:rsidRPr="00A92995">
        <w:rPr>
          <w:rStyle w:val="FootnoteReference"/>
          <w:sz w:val="24"/>
        </w:rPr>
        <w:footnoteReference w:id="95"/>
      </w:r>
      <w:r w:rsidR="0000225E" w:rsidRPr="00A92995">
        <w:rPr>
          <w:rStyle w:val="FootnoteReference"/>
          <w:sz w:val="24"/>
        </w:rPr>
        <w:t xml:space="preserve"> </w:t>
      </w:r>
      <w:r w:rsidR="0000225E" w:rsidRPr="00A92995">
        <w:t xml:space="preserve"> While sometimes appropriate, </w:t>
      </w:r>
      <w:r w:rsidR="00B870C6" w:rsidRPr="00A92995">
        <w:t xml:space="preserve">the tendency to over-identify with the somatic illness can itself be problematic as I shall discuss later. </w:t>
      </w:r>
    </w:p>
    <w:p w14:paraId="28EC3550" w14:textId="77777777" w:rsidR="00AB73E0" w:rsidRPr="00A92995" w:rsidRDefault="00AB73E0" w:rsidP="00AB73E0">
      <w:pPr>
        <w:spacing w:line="360" w:lineRule="auto"/>
      </w:pPr>
    </w:p>
    <w:p w14:paraId="08C605D9" w14:textId="4205FF7F" w:rsidR="00AB73E0" w:rsidRPr="00A92995" w:rsidRDefault="00AB73E0" w:rsidP="006F7A80">
      <w:pPr>
        <w:pStyle w:val="Heading3"/>
      </w:pPr>
      <w:bookmarkStart w:id="32" w:name="_Toc505150532"/>
      <w:r w:rsidRPr="00A92995">
        <w:t>DSM-Culture</w:t>
      </w:r>
      <w:bookmarkEnd w:id="32"/>
    </w:p>
    <w:p w14:paraId="2FDB09C2" w14:textId="77777777" w:rsidR="00AB73E0" w:rsidRPr="00A92995" w:rsidRDefault="00AB73E0" w:rsidP="00AB73E0">
      <w:pPr>
        <w:spacing w:line="360" w:lineRule="auto"/>
      </w:pPr>
    </w:p>
    <w:p w14:paraId="01122C99" w14:textId="197E7A84" w:rsidR="00AB73E0" w:rsidRPr="00A92995" w:rsidRDefault="00AB73E0" w:rsidP="001B7A6C">
      <w:pPr>
        <w:spacing w:line="360" w:lineRule="auto"/>
      </w:pPr>
      <w:r w:rsidRPr="00A92995">
        <w:t>The next important critique Tekin makes is that of the DSM culture. By this she refers to the dissemination of DSM-based psychiatric knowledge and information regarding mental illness by various media.</w:t>
      </w:r>
      <w:r w:rsidRPr="00A92995">
        <w:rPr>
          <w:rStyle w:val="FootnoteReference"/>
          <w:sz w:val="24"/>
        </w:rPr>
        <w:t xml:space="preserve"> </w:t>
      </w:r>
      <w:r w:rsidRPr="00A92995">
        <w:rPr>
          <w:rStyle w:val="FootnoteReference"/>
          <w:sz w:val="24"/>
        </w:rPr>
        <w:footnoteReference w:id="96"/>
      </w:r>
      <w:r w:rsidRPr="00A92995">
        <w:t xml:space="preserve"> This is evident in countless expressions in our age of information, since the reach is far beyond the over-simplified information pamphlets in doctors’ rooms. A patient’s exposure to the various media is </w:t>
      </w:r>
      <w:r w:rsidR="00B870C6" w:rsidRPr="00A92995">
        <w:t xml:space="preserve">quite </w:t>
      </w:r>
      <w:r w:rsidRPr="00A92995">
        <w:t xml:space="preserve">likely to affect her self-insight. </w:t>
      </w:r>
    </w:p>
    <w:p w14:paraId="3145AA3F" w14:textId="45BB0093" w:rsidR="00AB73E0" w:rsidRPr="00A92995" w:rsidRDefault="00AB73E0" w:rsidP="005069EB">
      <w:pPr>
        <w:spacing w:line="360" w:lineRule="auto"/>
        <w:ind w:firstLine="720"/>
      </w:pPr>
      <w:r w:rsidRPr="00A92995">
        <w:t xml:space="preserve">This may be through the depiction of mental illness in films or television, internet chat rooms and mental health forums, tabloids, or health magazines, speaking with other patients, friends, or experts – the sources are endless. DSM-culture can become harmful when information is misinterpreted or distorted. </w:t>
      </w:r>
      <w:r w:rsidR="00B870C6" w:rsidRPr="00A92995">
        <w:t>As in any science and medical field, t</w:t>
      </w:r>
      <w:r w:rsidRPr="00A92995">
        <w:t>he status of information about mental disorders is never entirely static, there is always more to be learned. Tekin’s worry is that “the DSM culture distorts the status of current knowledge about mental disorders; it does not reflect the controversy that swirls around competing accounts of mental disorders nor does it address criticisms of its reliability and validity.”</w:t>
      </w:r>
      <w:r w:rsidRPr="00A92995">
        <w:rPr>
          <w:rStyle w:val="FootnoteReference"/>
          <w:sz w:val="24"/>
        </w:rPr>
        <w:footnoteReference w:id="97"/>
      </w:r>
      <w:r w:rsidR="00E05C9D" w:rsidRPr="00A92995">
        <w:t xml:space="preserve"> This is true not only of the patient, but of people in the patient’s immediate social network. It is not uncommon for people </w:t>
      </w:r>
      <w:r w:rsidRPr="00A92995">
        <w:t>who are not medically trained to absorb information about mental disorders and either proliferate stigma by reinforcing various stereotypes about people with mental illness, or</w:t>
      </w:r>
      <w:r w:rsidR="00B870C6" w:rsidRPr="00A92995">
        <w:t xml:space="preserve"> to</w:t>
      </w:r>
      <w:r w:rsidRPr="00A92995">
        <w:t xml:space="preserve"> formulate opinions regarding the legitimacy of a mental illness altogether</w:t>
      </w:r>
      <w:r w:rsidR="00E05C9D" w:rsidRPr="00A92995">
        <w:t xml:space="preserve">. Unfortunately, these people might </w:t>
      </w:r>
      <w:r w:rsidRPr="00A92995">
        <w:lastRenderedPageBreak/>
        <w:t>misrepresent information to dissuade people they may know who might need medical treatment for mental disorders. Besides the opinions of friends and family, the patient may consult various other sources of lay information upon receiving a diagnosis. Her level of education, as well as her exposure to representations of the illness in various media, might influence her understanding and reflection on her diagnosis; as could drug advertisements, psychotherapeutic institutions, even spiritual institutions that are vocal about their views regarding mental illness. The DSM-culture is unavoidable, of course, but has particularly potent effects on a patient who has recently been diagnosed with a mental illness, namely that her self-insight</w:t>
      </w:r>
      <w:r w:rsidR="00E80BA7" w:rsidRPr="00A92995">
        <w:t xml:space="preserve"> and autonomy</w:t>
      </w:r>
      <w:r w:rsidRPr="00A92995">
        <w:t xml:space="preserve"> is significantly affected. </w:t>
      </w:r>
    </w:p>
    <w:p w14:paraId="58A1035C" w14:textId="77777777" w:rsidR="00AB73E0" w:rsidRPr="00A92995" w:rsidRDefault="00AB73E0" w:rsidP="00AB73E0">
      <w:pPr>
        <w:spacing w:line="360" w:lineRule="auto"/>
      </w:pPr>
    </w:p>
    <w:p w14:paraId="340AC8E9" w14:textId="32B30D22" w:rsidR="00AB73E0" w:rsidRPr="00A92995" w:rsidRDefault="00AB73E0" w:rsidP="006F7A80">
      <w:pPr>
        <w:pStyle w:val="Heading3"/>
      </w:pPr>
      <w:bookmarkStart w:id="33" w:name="_Toc505150533"/>
      <w:r w:rsidRPr="00A92995">
        <w:t>Cognitive Biases</w:t>
      </w:r>
      <w:bookmarkEnd w:id="33"/>
    </w:p>
    <w:p w14:paraId="1CCA64C5" w14:textId="77777777" w:rsidR="00AB73E0" w:rsidRPr="00A92995" w:rsidRDefault="00AB73E0" w:rsidP="00AB73E0">
      <w:pPr>
        <w:spacing w:line="360" w:lineRule="auto"/>
      </w:pPr>
    </w:p>
    <w:p w14:paraId="1B88900B" w14:textId="237D9FD0" w:rsidR="00AB73E0" w:rsidRPr="00A92995" w:rsidRDefault="00AB73E0" w:rsidP="000760E9">
      <w:pPr>
        <w:spacing w:line="360" w:lineRule="auto"/>
      </w:pPr>
      <w:r w:rsidRPr="00A92995">
        <w:t xml:space="preserve">Finally, Tekin observes that beyond the flaws in the symptom-based system and the problems created by the DSM-culture, patients’ self-insight will be affected by their own cognitive biases. She warns us not to </w:t>
      </w:r>
      <w:r w:rsidR="00655EDB" w:rsidRPr="00A92995">
        <w:t>“</w:t>
      </w:r>
      <w:r w:rsidRPr="00A92995">
        <w:t>ignore the environmental limitations of human cognition</w:t>
      </w:r>
      <w:r w:rsidR="00655EDB" w:rsidRPr="00A92995">
        <w:t>”</w:t>
      </w:r>
      <w:r w:rsidRPr="00A92995">
        <w:t xml:space="preserve"> in the same way that we should not underestimate the effects of internalized oppression and oppressive socialization on the motivational structures of the Deferential Wife.</w:t>
      </w:r>
      <w:r w:rsidR="00E27FE7" w:rsidRPr="00A92995">
        <w:rPr>
          <w:rStyle w:val="FootnoteReference"/>
          <w:sz w:val="24"/>
        </w:rPr>
        <w:footnoteReference w:id="98"/>
      </w:r>
      <w:r w:rsidRPr="00A92995">
        <w:t xml:space="preserve"> Tekin refers specifically to a cognitive bias commonly held by patients who receive any medical diagnosis: the Barnum effect, or the subjective validation effect. This is demonstrated by an agent’s tendency to identify her personal features with vague characterizations. For example, people who believe in astrology tend to identify with the broad classifications or predictions their ‘sign’ makes about their individual identity and lives, even if those classifications are not at all veridical. In the context of mental illness this becomes particularly relevant: </w:t>
      </w:r>
    </w:p>
    <w:p w14:paraId="610AAB7E" w14:textId="77777777" w:rsidR="00AB73E0" w:rsidRPr="00A92995" w:rsidRDefault="00AB73E0" w:rsidP="00AB73E0">
      <w:pPr>
        <w:widowControl w:val="0"/>
        <w:autoSpaceDE w:val="0"/>
        <w:autoSpaceDN w:val="0"/>
        <w:adjustRightInd w:val="0"/>
        <w:spacing w:after="240"/>
        <w:ind w:left="709" w:right="940"/>
        <w:jc w:val="both"/>
        <w:rPr>
          <w:color w:val="000000"/>
        </w:rPr>
      </w:pPr>
      <w:r w:rsidRPr="00A92995">
        <w:rPr>
          <w:color w:val="000000"/>
        </w:rPr>
        <w:t xml:space="preserve">Some patients, upon being informed of the symptoms of mood disorders, might start making sense of their lived experience with a skewed focus on the symptoms. By attending to their symptoms and ignoring other essential components of their lives, such as personal identity and interpersonal relationships, they might attribute the sources of their interpersonal problems to their symptoms, not to other fundamental ingredients in their lives. In other words, cognitive bias such as the Barnum effect puts them at the risk of </w:t>
      </w:r>
      <w:proofErr w:type="spellStart"/>
      <w:r w:rsidRPr="00A92995">
        <w:rPr>
          <w:color w:val="000000"/>
        </w:rPr>
        <w:t>overattending</w:t>
      </w:r>
      <w:proofErr w:type="spellEnd"/>
      <w:r w:rsidRPr="00A92995">
        <w:rPr>
          <w:color w:val="000000"/>
        </w:rPr>
        <w:t xml:space="preserve"> to (</w:t>
      </w:r>
      <w:proofErr w:type="spellStart"/>
      <w:r w:rsidRPr="00A92995">
        <w:rPr>
          <w:color w:val="000000"/>
        </w:rPr>
        <w:t>i</w:t>
      </w:r>
      <w:proofErr w:type="spellEnd"/>
      <w:r w:rsidRPr="00A92995">
        <w:rPr>
          <w:color w:val="000000"/>
        </w:rPr>
        <w:t xml:space="preserve">) symptoms of illness at the expense of undermining (ii) personal identity and (iii) interpersonal relationships, while developing </w:t>
      </w:r>
      <w:r w:rsidRPr="00A92995">
        <w:rPr>
          <w:color w:val="000000"/>
        </w:rPr>
        <w:lastRenderedPageBreak/>
        <w:t>insight.</w:t>
      </w:r>
      <w:r w:rsidRPr="00A92995">
        <w:rPr>
          <w:rStyle w:val="FootnoteReference"/>
          <w:color w:val="000000"/>
          <w:sz w:val="24"/>
        </w:rPr>
        <w:footnoteReference w:id="99"/>
      </w:r>
    </w:p>
    <w:p w14:paraId="0BF6AC50" w14:textId="09776DC6" w:rsidR="00465900" w:rsidRPr="00A92995" w:rsidRDefault="00AB73E0" w:rsidP="009C73B2">
      <w:pPr>
        <w:widowControl w:val="0"/>
        <w:autoSpaceDE w:val="0"/>
        <w:autoSpaceDN w:val="0"/>
        <w:adjustRightInd w:val="0"/>
        <w:spacing w:after="240" w:line="360" w:lineRule="auto"/>
        <w:ind w:right="91" w:firstLine="709"/>
        <w:contextualSpacing/>
        <w:rPr>
          <w:color w:val="000000"/>
        </w:rPr>
      </w:pPr>
      <w:r w:rsidRPr="00A92995">
        <w:rPr>
          <w:color w:val="000000"/>
        </w:rPr>
        <w:t xml:space="preserve">The danger of cognitive bias </w:t>
      </w:r>
      <w:r w:rsidR="002364D9" w:rsidRPr="00A92995">
        <w:rPr>
          <w:color w:val="000000"/>
        </w:rPr>
        <w:t xml:space="preserve">is apparent </w:t>
      </w:r>
      <w:r w:rsidRPr="00A92995">
        <w:rPr>
          <w:color w:val="000000"/>
        </w:rPr>
        <w:t xml:space="preserve">upon diagnosis of a mental illness, particularly </w:t>
      </w:r>
      <w:r w:rsidR="002364D9" w:rsidRPr="00A92995">
        <w:rPr>
          <w:color w:val="000000"/>
        </w:rPr>
        <w:t xml:space="preserve">so </w:t>
      </w:r>
      <w:r w:rsidRPr="00A92995">
        <w:rPr>
          <w:color w:val="000000"/>
        </w:rPr>
        <w:t xml:space="preserve">when </w:t>
      </w:r>
      <w:r w:rsidR="002364D9" w:rsidRPr="00A92995">
        <w:rPr>
          <w:color w:val="000000"/>
        </w:rPr>
        <w:t xml:space="preserve">that diagnosis is based on </w:t>
      </w:r>
      <w:r w:rsidRPr="00A92995">
        <w:rPr>
          <w:color w:val="000000"/>
        </w:rPr>
        <w:t>a symptom-based approach. When these lists of symptoms are vague, broad, and feature virtually no subjective or personalized information about the patient; and when combined with exposure to DSM-culture, the patient is likely to over-identify with those symptoms at the expense of considerations of her lived experience that might affect her. This might be evident from a patient shirking responsibility for her actions that seem loosely causally tied to the symptoms of her behavior. For example, a patient might believe that her depressive symptoms (i.e. pessimism, sadness, worry, anhedonia, hypersomnia) render her incapable of maintaining healthy relationships. To over-identify with her symptoms in this way ignores the milieu of interpersonal factors that contribute to the maintenance of healthy relationships; contextual dynamics including interpersonal, spiritual, and cultural compatibility; aligned values, beliefs, and life plans; financial and living considerations; level of commitment, and countless other factors. This line of reasoning has negative effects on an agent’s self-insight.</w:t>
      </w:r>
    </w:p>
    <w:p w14:paraId="0C5D7D29" w14:textId="50B9CC2F" w:rsidR="002364D9" w:rsidRPr="00A92995" w:rsidRDefault="00AB73E0" w:rsidP="00E84003">
      <w:pPr>
        <w:widowControl w:val="0"/>
        <w:autoSpaceDE w:val="0"/>
        <w:autoSpaceDN w:val="0"/>
        <w:adjustRightInd w:val="0"/>
        <w:spacing w:after="240" w:line="360" w:lineRule="auto"/>
        <w:ind w:right="91" w:firstLine="720"/>
        <w:contextualSpacing/>
      </w:pPr>
      <w:r w:rsidRPr="00A92995">
        <w:rPr>
          <w:color w:val="000000"/>
        </w:rPr>
        <w:t xml:space="preserve">Some </w:t>
      </w:r>
      <w:r w:rsidR="00E22C7D" w:rsidRPr="00A92995">
        <w:rPr>
          <w:color w:val="000000"/>
        </w:rPr>
        <w:t xml:space="preserve">might </w:t>
      </w:r>
      <w:r w:rsidRPr="00A92995">
        <w:rPr>
          <w:color w:val="000000"/>
        </w:rPr>
        <w:t xml:space="preserve">suggest that attributing behaviors and feelings to the symptoms of her mental illness might be beneficial to the patient, since this discourages her from viewing these as moral failings or failures to control her behavior or emotions. This type of ‘externalization’ is purported to put distance between the </w:t>
      </w:r>
      <w:r w:rsidR="002364D9" w:rsidRPr="00A92995">
        <w:rPr>
          <w:color w:val="000000"/>
        </w:rPr>
        <w:t>agent’s personal identity</w:t>
      </w:r>
      <w:r w:rsidRPr="00A92995">
        <w:rPr>
          <w:color w:val="000000"/>
        </w:rPr>
        <w:t xml:space="preserve"> and </w:t>
      </w:r>
      <w:r w:rsidR="002364D9" w:rsidRPr="00A92995">
        <w:rPr>
          <w:color w:val="000000"/>
        </w:rPr>
        <w:t>the</w:t>
      </w:r>
      <w:r w:rsidRPr="00A92995">
        <w:rPr>
          <w:color w:val="000000"/>
        </w:rPr>
        <w:t xml:space="preserve"> symptoms</w:t>
      </w:r>
      <w:r w:rsidR="002364D9" w:rsidRPr="00A92995">
        <w:rPr>
          <w:color w:val="000000"/>
        </w:rPr>
        <w:t xml:space="preserve"> of the illness with which she has been diagnosed</w:t>
      </w:r>
      <w:r w:rsidRPr="00A92995">
        <w:rPr>
          <w:color w:val="000000"/>
        </w:rPr>
        <w:t xml:space="preserve">, allowing her to recognize those elements of her lived experience she does or does not have control over. It is argued that this externalization and subsequent ‘disownership’ of the patient’s symptoms (i.e. pessimism, hopelessness, sadness) might </w:t>
      </w:r>
      <w:r w:rsidR="002364D9" w:rsidRPr="00A92995">
        <w:rPr>
          <w:color w:val="000000"/>
        </w:rPr>
        <w:t xml:space="preserve">have the effect of </w:t>
      </w:r>
      <w:r w:rsidRPr="00A92995">
        <w:rPr>
          <w:color w:val="000000"/>
        </w:rPr>
        <w:t>enrich</w:t>
      </w:r>
      <w:r w:rsidR="002364D9" w:rsidRPr="00A92995">
        <w:rPr>
          <w:color w:val="000000"/>
        </w:rPr>
        <w:t>ing</w:t>
      </w:r>
      <w:r w:rsidRPr="00A92995">
        <w:rPr>
          <w:color w:val="000000"/>
        </w:rPr>
        <w:t xml:space="preserve"> her capacity for self-insight and autonomy by enabling her to differentiate between her fundamental ‘self’ and the problems which seem to be a result of </w:t>
      </w:r>
      <w:r w:rsidR="002364D9" w:rsidRPr="00A92995">
        <w:rPr>
          <w:color w:val="000000"/>
        </w:rPr>
        <w:t xml:space="preserve">the </w:t>
      </w:r>
      <w:r w:rsidRPr="00A92995">
        <w:rPr>
          <w:color w:val="000000"/>
        </w:rPr>
        <w:t>illness</w:t>
      </w:r>
      <w:r w:rsidR="002364D9" w:rsidRPr="00A92995">
        <w:rPr>
          <w:color w:val="000000"/>
        </w:rPr>
        <w:t xml:space="preserve"> with which she has been diagnosed</w:t>
      </w:r>
      <w:r w:rsidRPr="00A92995">
        <w:rPr>
          <w:color w:val="000000"/>
        </w:rPr>
        <w:t xml:space="preserve">. I agree with Tekin that </w:t>
      </w:r>
      <w:r w:rsidR="00B64527" w:rsidRPr="00A92995">
        <w:rPr>
          <w:color w:val="000000"/>
        </w:rPr>
        <w:t>the concepts of</w:t>
      </w:r>
      <w:r w:rsidR="00655EDB" w:rsidRPr="00A92995">
        <w:rPr>
          <w:color w:val="000000"/>
        </w:rPr>
        <w:t xml:space="preserve"> </w:t>
      </w:r>
      <w:r w:rsidRPr="00A92995">
        <w:rPr>
          <w:color w:val="000000"/>
        </w:rPr>
        <w:t xml:space="preserve">externalization and disownership </w:t>
      </w:r>
      <w:r w:rsidR="00B64527" w:rsidRPr="00A92995">
        <w:rPr>
          <w:color w:val="000000"/>
        </w:rPr>
        <w:t xml:space="preserve">are </w:t>
      </w:r>
      <w:r w:rsidRPr="00A92995">
        <w:rPr>
          <w:color w:val="000000"/>
        </w:rPr>
        <w:t>potentially valuable resources in dealing with mental illness</w:t>
      </w:r>
      <w:r w:rsidR="00E22C7D" w:rsidRPr="00A92995">
        <w:rPr>
          <w:color w:val="000000"/>
        </w:rPr>
        <w:t>. I also agree with her qualifying this with the condition that externalization and disownership</w:t>
      </w:r>
      <w:r w:rsidRPr="00A92995">
        <w:rPr>
          <w:color w:val="000000"/>
        </w:rPr>
        <w:t xml:space="preserve"> </w:t>
      </w:r>
      <w:r w:rsidR="002364D9" w:rsidRPr="00A92995">
        <w:rPr>
          <w:color w:val="000000"/>
        </w:rPr>
        <w:t xml:space="preserve">should </w:t>
      </w:r>
      <w:r w:rsidRPr="00A92995">
        <w:rPr>
          <w:color w:val="000000"/>
        </w:rPr>
        <w:t xml:space="preserve">not entirely reject subjective features of lived experience (personal identity, interpersonal relationships, etc.) in favor of focusing solely on the effects of </w:t>
      </w:r>
      <w:r w:rsidRPr="00A92995">
        <w:rPr>
          <w:color w:val="000000"/>
        </w:rPr>
        <w:lastRenderedPageBreak/>
        <w:t>symptoms.</w:t>
      </w:r>
      <w:r w:rsidRPr="00A92995">
        <w:rPr>
          <w:rStyle w:val="FootnoteReference"/>
          <w:color w:val="000000"/>
          <w:sz w:val="24"/>
        </w:rPr>
        <w:footnoteReference w:id="100"/>
      </w:r>
      <w:r w:rsidRPr="00A92995">
        <w:rPr>
          <w:color w:val="000000"/>
        </w:rPr>
        <w:t xml:space="preserve"> As Tekin argues, “disownership is only possible if the patient understands her identity and other life components in a way as to consider her symptoms external to them.”</w:t>
      </w:r>
      <w:r w:rsidRPr="00A92995">
        <w:rPr>
          <w:rStyle w:val="FootnoteReference"/>
          <w:color w:val="000000"/>
          <w:sz w:val="24"/>
        </w:rPr>
        <w:footnoteReference w:id="101"/>
      </w:r>
    </w:p>
    <w:p w14:paraId="43908870" w14:textId="470F083F" w:rsidR="00AB73E0" w:rsidRPr="00A92995" w:rsidRDefault="00AB73E0" w:rsidP="006F7A80">
      <w:pPr>
        <w:pStyle w:val="Heading3"/>
      </w:pPr>
      <w:bookmarkStart w:id="34" w:name="_Toc505150534"/>
      <w:r w:rsidRPr="00A92995">
        <w:t>Existential Confusion and Authenticity</w:t>
      </w:r>
      <w:bookmarkEnd w:id="34"/>
    </w:p>
    <w:p w14:paraId="1ACF1073" w14:textId="77777777" w:rsidR="00AB73E0" w:rsidRPr="00A92995" w:rsidRDefault="00AB73E0" w:rsidP="00AB73E0"/>
    <w:p w14:paraId="6120364A" w14:textId="2685B492" w:rsidR="002364D9" w:rsidRPr="00A92995" w:rsidRDefault="00AB73E0" w:rsidP="009C73B2">
      <w:pPr>
        <w:widowControl w:val="0"/>
        <w:autoSpaceDE w:val="0"/>
        <w:autoSpaceDN w:val="0"/>
        <w:adjustRightInd w:val="0"/>
        <w:spacing w:after="240" w:line="360" w:lineRule="auto"/>
        <w:ind w:right="91"/>
        <w:contextualSpacing/>
        <w:rPr>
          <w:color w:val="000000"/>
        </w:rPr>
      </w:pPr>
      <w:r w:rsidRPr="00A92995">
        <w:rPr>
          <w:color w:val="000000"/>
        </w:rPr>
        <w:t xml:space="preserve">Adding to Tekin’s description of the patient’s lived experience during and after diagnosis, I posit that a further problem arises as a result of cognitive bias and externalization. </w:t>
      </w:r>
      <w:r w:rsidR="002364D9" w:rsidRPr="00A92995">
        <w:rPr>
          <w:color w:val="000000"/>
        </w:rPr>
        <w:t>I refer here to the sense of</w:t>
      </w:r>
      <w:r w:rsidRPr="00A92995">
        <w:rPr>
          <w:color w:val="000000"/>
        </w:rPr>
        <w:t xml:space="preserve"> confusion</w:t>
      </w:r>
      <w:r w:rsidR="002364D9" w:rsidRPr="00A92995">
        <w:rPr>
          <w:color w:val="000000"/>
        </w:rPr>
        <w:t xml:space="preserve"> experienced by the patient when she becomes</w:t>
      </w:r>
      <w:r w:rsidRPr="00A92995">
        <w:rPr>
          <w:color w:val="000000"/>
        </w:rPr>
        <w:t xml:space="preserve"> aware of the problems themselves</w:t>
      </w:r>
      <w:r w:rsidR="002364D9" w:rsidRPr="00A92995">
        <w:rPr>
          <w:color w:val="000000"/>
        </w:rPr>
        <w:t>: her potential cognitive biases, the effects of internalized norms and the like</w:t>
      </w:r>
      <w:r w:rsidRPr="00A92995">
        <w:rPr>
          <w:color w:val="000000"/>
        </w:rPr>
        <w:t>.</w:t>
      </w:r>
    </w:p>
    <w:p w14:paraId="45105333" w14:textId="1CA0D24B" w:rsidR="00465900" w:rsidRPr="00A92995" w:rsidRDefault="00AB73E0" w:rsidP="009B012B">
      <w:pPr>
        <w:widowControl w:val="0"/>
        <w:autoSpaceDE w:val="0"/>
        <w:autoSpaceDN w:val="0"/>
        <w:adjustRightInd w:val="0"/>
        <w:spacing w:after="240" w:line="360" w:lineRule="auto"/>
        <w:ind w:right="91" w:firstLine="720"/>
        <w:contextualSpacing/>
        <w:rPr>
          <w:color w:val="000000"/>
        </w:rPr>
      </w:pPr>
      <w:r w:rsidRPr="00A92995">
        <w:rPr>
          <w:color w:val="000000"/>
        </w:rPr>
        <w:t xml:space="preserve">Consider that socialization often encourages </w:t>
      </w:r>
      <w:r w:rsidR="002364D9" w:rsidRPr="00A92995">
        <w:rPr>
          <w:color w:val="000000"/>
        </w:rPr>
        <w:t xml:space="preserve">patients </w:t>
      </w:r>
      <w:r w:rsidRPr="00A92995">
        <w:rPr>
          <w:color w:val="000000"/>
        </w:rPr>
        <w:t xml:space="preserve">to adopt </w:t>
      </w:r>
      <w:r w:rsidR="002364D9" w:rsidRPr="00A92995">
        <w:rPr>
          <w:color w:val="000000"/>
        </w:rPr>
        <w:t xml:space="preserve">a </w:t>
      </w:r>
      <w:r w:rsidRPr="00A92995">
        <w:rPr>
          <w:color w:val="000000"/>
        </w:rPr>
        <w:t xml:space="preserve">liberal view of autonomy </w:t>
      </w:r>
      <w:r w:rsidR="002364D9" w:rsidRPr="00A92995">
        <w:rPr>
          <w:color w:val="000000"/>
        </w:rPr>
        <w:t xml:space="preserve">– one </w:t>
      </w:r>
      <w:r w:rsidRPr="00A92995">
        <w:rPr>
          <w:color w:val="000000"/>
        </w:rPr>
        <w:t xml:space="preserve">which does not view autonomy as a matter of degree </w:t>
      </w:r>
      <w:r w:rsidR="002364D9" w:rsidRPr="00A92995">
        <w:rPr>
          <w:color w:val="000000"/>
        </w:rPr>
        <w:t>n</w:t>
      </w:r>
      <w:r w:rsidRPr="00A92995">
        <w:rPr>
          <w:color w:val="000000"/>
        </w:rPr>
        <w:t xml:space="preserve">or </w:t>
      </w:r>
      <w:r w:rsidR="002364D9" w:rsidRPr="00A92995">
        <w:rPr>
          <w:color w:val="000000"/>
        </w:rPr>
        <w:t xml:space="preserve">necessarily </w:t>
      </w:r>
      <w:r w:rsidRPr="00A92995">
        <w:rPr>
          <w:color w:val="000000"/>
        </w:rPr>
        <w:t xml:space="preserve">intertwined with her membership </w:t>
      </w:r>
      <w:r w:rsidR="001E2FE2" w:rsidRPr="00A92995">
        <w:rPr>
          <w:color w:val="000000"/>
        </w:rPr>
        <w:t>of</w:t>
      </w:r>
      <w:r w:rsidRPr="00A92995">
        <w:rPr>
          <w:color w:val="000000"/>
        </w:rPr>
        <w:t xml:space="preserve"> social groups and oppressed groups. </w:t>
      </w:r>
      <w:r w:rsidR="002364D9" w:rsidRPr="00A92995">
        <w:rPr>
          <w:color w:val="000000"/>
        </w:rPr>
        <w:t xml:space="preserve">Following </w:t>
      </w:r>
      <w:r w:rsidRPr="00A92995">
        <w:rPr>
          <w:color w:val="000000"/>
        </w:rPr>
        <w:t>this view of the individual</w:t>
      </w:r>
      <w:r w:rsidR="002364D9" w:rsidRPr="00A92995">
        <w:rPr>
          <w:color w:val="000000"/>
        </w:rPr>
        <w:t>, the patient</w:t>
      </w:r>
      <w:r w:rsidRPr="00A92995">
        <w:rPr>
          <w:color w:val="000000"/>
        </w:rPr>
        <w:t xml:space="preserve"> would be justified in her </w:t>
      </w:r>
      <w:r w:rsidR="002364D9" w:rsidRPr="00A92995">
        <w:rPr>
          <w:color w:val="000000"/>
        </w:rPr>
        <w:t xml:space="preserve">feelings of </w:t>
      </w:r>
      <w:r w:rsidRPr="00A92995">
        <w:rPr>
          <w:color w:val="000000"/>
        </w:rPr>
        <w:t xml:space="preserve">fear and confusion. Given that the patient has some level of insight and maintains various reasoning capabilities, she may begin to question whether she is employing cognitive biases such as the Barnum effect; if she is over-identifying with her symptoms; or if she is externalizing her symptoms in order to shirk responsibility for any negative consequences resulting from her behavior. What is concerning here is the </w:t>
      </w:r>
      <w:r w:rsidR="002364D9" w:rsidRPr="00A92995">
        <w:rPr>
          <w:color w:val="000000"/>
        </w:rPr>
        <w:t xml:space="preserve">existential </w:t>
      </w:r>
      <w:r w:rsidRPr="00A92995">
        <w:rPr>
          <w:color w:val="000000"/>
        </w:rPr>
        <w:t xml:space="preserve">confusion that results from </w:t>
      </w:r>
      <w:r w:rsidR="002364D9" w:rsidRPr="00A92995">
        <w:rPr>
          <w:color w:val="000000"/>
        </w:rPr>
        <w:t xml:space="preserve">the patient </w:t>
      </w:r>
      <w:r w:rsidRPr="00A92995">
        <w:rPr>
          <w:color w:val="000000"/>
        </w:rPr>
        <w:t>recognizing these possibilities</w:t>
      </w:r>
      <w:r w:rsidR="002364D9" w:rsidRPr="00A92995">
        <w:rPr>
          <w:color w:val="000000"/>
        </w:rPr>
        <w:t>.</w:t>
      </w:r>
      <w:r w:rsidRPr="00A92995">
        <w:rPr>
          <w:color w:val="000000"/>
        </w:rPr>
        <w:t xml:space="preserve"> </w:t>
      </w:r>
      <w:r w:rsidR="002364D9" w:rsidRPr="00A92995">
        <w:rPr>
          <w:color w:val="000000"/>
        </w:rPr>
        <w:t xml:space="preserve">The patient clearly exhibits some </w:t>
      </w:r>
      <w:r w:rsidRPr="00A92995">
        <w:rPr>
          <w:color w:val="000000"/>
        </w:rPr>
        <w:t xml:space="preserve">semblance of self-insight, </w:t>
      </w:r>
      <w:r w:rsidR="002364D9" w:rsidRPr="00A92995">
        <w:rPr>
          <w:color w:val="000000"/>
        </w:rPr>
        <w:t xml:space="preserve">but it is </w:t>
      </w:r>
      <w:r w:rsidRPr="00A92995">
        <w:rPr>
          <w:color w:val="000000"/>
        </w:rPr>
        <w:t>muddied by this confusion. Such confusion could be further amplified by effects of DSM-culture, or even perhaps what we could call counter-DSM-culture: those media which reject the legitimacy of DSM culture and psychiatric illness. Such sources might argue that mental illness is (a) a capitalist conspiracy propagated by ‘big pharma’ to capitalize on human suffering, (b) propaganda utilized by the government to control the masses,</w:t>
      </w:r>
      <w:r w:rsidR="00BA2032" w:rsidRPr="00A92995">
        <w:rPr>
          <w:color w:val="000000"/>
        </w:rPr>
        <w:t xml:space="preserve"> or</w:t>
      </w:r>
      <w:r w:rsidRPr="00A92995">
        <w:rPr>
          <w:color w:val="000000"/>
        </w:rPr>
        <w:t xml:space="preserve"> (c) </w:t>
      </w:r>
      <w:r w:rsidR="00BA2032" w:rsidRPr="00A92995">
        <w:rPr>
          <w:color w:val="000000"/>
        </w:rPr>
        <w:t xml:space="preserve">a problematic medicalization of </w:t>
      </w:r>
      <w:r w:rsidRPr="00A92995">
        <w:rPr>
          <w:color w:val="000000"/>
        </w:rPr>
        <w:t>our emotions</w:t>
      </w:r>
      <w:r w:rsidR="009B44BA" w:rsidRPr="00A92995">
        <w:rPr>
          <w:color w:val="000000"/>
        </w:rPr>
        <w:t xml:space="preserve">, when </w:t>
      </w:r>
      <w:r w:rsidRPr="00A92995">
        <w:rPr>
          <w:color w:val="000000"/>
        </w:rPr>
        <w:t xml:space="preserve">all mental disturbances can be solved by non-pharmaceutical means, such as exercise, meditation, </w:t>
      </w:r>
      <w:r w:rsidR="00E116CF" w:rsidRPr="00A92995">
        <w:rPr>
          <w:color w:val="000000"/>
        </w:rPr>
        <w:t xml:space="preserve">self-talk, </w:t>
      </w:r>
      <w:r w:rsidRPr="00A92995">
        <w:rPr>
          <w:color w:val="000000"/>
        </w:rPr>
        <w:t>and healthy diet.</w:t>
      </w:r>
      <w:r w:rsidR="00E22C7D" w:rsidRPr="00A92995">
        <w:rPr>
          <w:rStyle w:val="FootnoteReference"/>
          <w:color w:val="000000"/>
          <w:sz w:val="24"/>
        </w:rPr>
        <w:footnoteReference w:id="102"/>
      </w:r>
      <w:r w:rsidRPr="00A92995">
        <w:rPr>
          <w:color w:val="000000"/>
        </w:rPr>
        <w:t xml:space="preserve"> </w:t>
      </w:r>
    </w:p>
    <w:p w14:paraId="05644AED" w14:textId="2E22A528" w:rsidR="008E63AB" w:rsidRPr="00A92995" w:rsidRDefault="00AB0DF3" w:rsidP="009C73B2">
      <w:pPr>
        <w:widowControl w:val="0"/>
        <w:autoSpaceDE w:val="0"/>
        <w:autoSpaceDN w:val="0"/>
        <w:adjustRightInd w:val="0"/>
        <w:spacing w:after="240" w:line="360" w:lineRule="auto"/>
        <w:ind w:right="91" w:firstLine="720"/>
        <w:contextualSpacing/>
        <w:rPr>
          <w:color w:val="000000"/>
        </w:rPr>
      </w:pPr>
      <w:r w:rsidRPr="00A92995">
        <w:rPr>
          <w:color w:val="000000"/>
        </w:rPr>
        <w:lastRenderedPageBreak/>
        <w:t xml:space="preserve">It is here that I begin to doubt the potency of self-insight as a sufficient indicator of patient autonomy in the psychiatric setting. While insight does provide evidence of some level of competency, the patient’s vulnerability to this kind of existential confusion signifies that self-insight cannot be taken as a sufficient indication of patient authenticity either. </w:t>
      </w:r>
      <w:r w:rsidR="00AB73E0" w:rsidRPr="00A92995">
        <w:rPr>
          <w:color w:val="000000"/>
        </w:rPr>
        <w:t>This signals the importance of the feature of authenticity, which Erler and Hope argue is especially important to people with mental disorder</w:t>
      </w:r>
      <w:r w:rsidR="005E7CED" w:rsidRPr="00A92995">
        <w:rPr>
          <w:color w:val="000000"/>
        </w:rPr>
        <w:t>s,</w:t>
      </w:r>
      <w:r w:rsidR="00AB73E0" w:rsidRPr="00A92995">
        <w:rPr>
          <w:color w:val="000000"/>
        </w:rPr>
        <w:t xml:space="preserve"> because patients often acknowledge the possibility of their mental disorder obscuring the expression of their true self. Kay Redfield Jamison, a psychiatrist diagnosed with bipolar mood disorder, writes of  her experience of depression: “I saw it as a stranger; however lodged within my mind and soul the darkness became, it almost always seems an outside force that was at war with my natural self.”</w:t>
      </w:r>
      <w:r w:rsidR="00AB73E0" w:rsidRPr="00A92995">
        <w:rPr>
          <w:rStyle w:val="FootnoteReference"/>
          <w:color w:val="000000"/>
          <w:sz w:val="24"/>
        </w:rPr>
        <w:footnoteReference w:id="103"/>
      </w:r>
      <w:r w:rsidR="00AB73E0" w:rsidRPr="00A92995">
        <w:rPr>
          <w:color w:val="000000"/>
        </w:rPr>
        <w:t xml:space="preserve"> For clarification, Erler and Hope use the term authenticity to refer to the “human psychological characteristics that, in some contexts, refer to the self as a whole and in others to specific aspects of the self, such as decisions, desires, emotions, and behavior”.</w:t>
      </w:r>
      <w:r w:rsidR="00AB73E0" w:rsidRPr="00A92995">
        <w:rPr>
          <w:rStyle w:val="FootnoteReference"/>
          <w:color w:val="000000"/>
          <w:sz w:val="24"/>
        </w:rPr>
        <w:footnoteReference w:id="104"/>
      </w:r>
      <w:r w:rsidR="001307A9" w:rsidRPr="00A92995">
        <w:rPr>
          <w:color w:val="000000"/>
        </w:rPr>
        <w:t xml:space="preserve"> </w:t>
      </w:r>
      <w:r w:rsidR="000114EC" w:rsidRPr="00A92995">
        <w:rPr>
          <w:color w:val="000000"/>
        </w:rPr>
        <w:t>While the use of the term ‘authenticity’ here does not differ greatly from</w:t>
      </w:r>
      <w:r w:rsidR="002C09C3" w:rsidRPr="00A92995">
        <w:rPr>
          <w:color w:val="000000"/>
        </w:rPr>
        <w:t xml:space="preserve"> its use in</w:t>
      </w:r>
      <w:r w:rsidR="000114EC" w:rsidRPr="00A92995">
        <w:rPr>
          <w:color w:val="000000"/>
        </w:rPr>
        <w:t xml:space="preserve"> the rest of this research report, it is important to remember that when speaking about ‘the authenticity condition’</w:t>
      </w:r>
      <w:r w:rsidR="00392244" w:rsidRPr="00A92995">
        <w:rPr>
          <w:color w:val="000000"/>
        </w:rPr>
        <w:t>,</w:t>
      </w:r>
      <w:r w:rsidR="000114EC" w:rsidRPr="00A92995">
        <w:rPr>
          <w:color w:val="000000"/>
        </w:rPr>
        <w:t xml:space="preserve"> </w:t>
      </w:r>
      <w:r w:rsidR="00094633" w:rsidRPr="00A92995">
        <w:rPr>
          <w:color w:val="000000"/>
        </w:rPr>
        <w:t>I am</w:t>
      </w:r>
      <w:r w:rsidR="000114EC" w:rsidRPr="00A92995">
        <w:rPr>
          <w:color w:val="000000"/>
        </w:rPr>
        <w:t xml:space="preserve"> referring to </w:t>
      </w:r>
      <w:r w:rsidR="002C09C3" w:rsidRPr="00A92995">
        <w:rPr>
          <w:color w:val="000000"/>
        </w:rPr>
        <w:t xml:space="preserve">a group of requirements that must be met </w:t>
      </w:r>
      <w:r w:rsidR="00392244" w:rsidRPr="00A92995">
        <w:rPr>
          <w:color w:val="000000"/>
        </w:rPr>
        <w:t xml:space="preserve">if we are to consider an agent’s motivational structures her own, and thus autonomous. </w:t>
      </w:r>
    </w:p>
    <w:p w14:paraId="5BC9980E" w14:textId="77777777" w:rsidR="00AB0DF3" w:rsidRPr="00A92995" w:rsidRDefault="00AB73E0" w:rsidP="000A2C29">
      <w:pPr>
        <w:widowControl w:val="0"/>
        <w:autoSpaceDE w:val="0"/>
        <w:autoSpaceDN w:val="0"/>
        <w:adjustRightInd w:val="0"/>
        <w:spacing w:after="240" w:line="360" w:lineRule="auto"/>
        <w:ind w:right="91" w:firstLine="720"/>
        <w:contextualSpacing/>
        <w:rPr>
          <w:color w:val="000000"/>
        </w:rPr>
      </w:pPr>
      <w:r w:rsidRPr="00A92995">
        <w:rPr>
          <w:color w:val="000000"/>
        </w:rPr>
        <w:t>Erler and Hope argue that persons with mental disorder</w:t>
      </w:r>
      <w:r w:rsidR="001307A9" w:rsidRPr="00A92995">
        <w:rPr>
          <w:color w:val="000000"/>
        </w:rPr>
        <w:t>s</w:t>
      </w:r>
      <w:r w:rsidRPr="00A92995">
        <w:rPr>
          <w:color w:val="000000"/>
        </w:rPr>
        <w:t xml:space="preserve"> </w:t>
      </w:r>
      <w:r w:rsidR="00AB0DF3" w:rsidRPr="00A92995">
        <w:rPr>
          <w:color w:val="000000"/>
        </w:rPr>
        <w:t xml:space="preserve">are prone to significant </w:t>
      </w:r>
      <w:r w:rsidRPr="00A92995">
        <w:rPr>
          <w:color w:val="000000"/>
        </w:rPr>
        <w:t>questions</w:t>
      </w:r>
      <w:r w:rsidR="00E17123" w:rsidRPr="00A92995">
        <w:rPr>
          <w:color w:val="000000"/>
        </w:rPr>
        <w:t xml:space="preserve"> of authenticity</w:t>
      </w:r>
      <w:r w:rsidR="001307A9" w:rsidRPr="00A92995">
        <w:rPr>
          <w:color w:val="000000"/>
        </w:rPr>
        <w:t>,</w:t>
      </w:r>
      <w:r w:rsidRPr="00A92995">
        <w:rPr>
          <w:color w:val="000000"/>
        </w:rPr>
        <w:t xml:space="preserve"> especially during times of substantial inner conflict, such as “in the case of a mood disorder,</w:t>
      </w:r>
      <w:r w:rsidR="00E17123" w:rsidRPr="00A92995">
        <w:rPr>
          <w:color w:val="000000"/>
        </w:rPr>
        <w:t xml:space="preserve"> [where]</w:t>
      </w:r>
      <w:r w:rsidRPr="00A92995">
        <w:rPr>
          <w:color w:val="000000"/>
        </w:rPr>
        <w:t xml:space="preserve"> the extremes of mood can cause pain and self-destructive behavior, but it is hard, and often seems impossible, to prevent these extremes of mood.”</w:t>
      </w:r>
      <w:r w:rsidRPr="00A92995">
        <w:rPr>
          <w:rStyle w:val="FootnoteReference"/>
          <w:color w:val="000000"/>
          <w:sz w:val="24"/>
        </w:rPr>
        <w:footnoteReference w:id="105"/>
      </w:r>
      <w:r w:rsidRPr="00A92995">
        <w:rPr>
          <w:color w:val="000000"/>
        </w:rPr>
        <w:t xml:space="preserve"> </w:t>
      </w:r>
    </w:p>
    <w:p w14:paraId="3B8D876C" w14:textId="15E60C06" w:rsidR="00AD2BAC" w:rsidRPr="00A92995" w:rsidRDefault="00AB73E0" w:rsidP="000A2C29">
      <w:pPr>
        <w:widowControl w:val="0"/>
        <w:autoSpaceDE w:val="0"/>
        <w:autoSpaceDN w:val="0"/>
        <w:adjustRightInd w:val="0"/>
        <w:spacing w:after="240" w:line="360" w:lineRule="auto"/>
        <w:ind w:right="91" w:firstLine="720"/>
        <w:contextualSpacing/>
        <w:rPr>
          <w:color w:val="000000"/>
        </w:rPr>
      </w:pPr>
      <w:r w:rsidRPr="00A92995">
        <w:rPr>
          <w:color w:val="000000"/>
        </w:rPr>
        <w:t xml:space="preserve">Harkening back to the problem of ambivalence that plagues Frankfurt’s ‘wholeheartedness’ condition, </w:t>
      </w:r>
      <w:r w:rsidR="00AB0DF3" w:rsidRPr="00A92995">
        <w:rPr>
          <w:color w:val="000000"/>
        </w:rPr>
        <w:t>we know that it is both</w:t>
      </w:r>
      <w:r w:rsidRPr="00A92995">
        <w:rPr>
          <w:color w:val="000000"/>
        </w:rPr>
        <w:t xml:space="preserve"> possible and extremely distressing for an agent to have more than one equally forceful motivational structure which opposes another </w:t>
      </w:r>
      <w:r w:rsidR="00F11C26" w:rsidRPr="00A92995">
        <w:rPr>
          <w:color w:val="000000"/>
        </w:rPr>
        <w:t>c</w:t>
      </w:r>
      <w:r w:rsidRPr="00A92995">
        <w:rPr>
          <w:color w:val="000000"/>
        </w:rPr>
        <w:t>ause</w:t>
      </w:r>
      <w:r w:rsidR="00F11C26" w:rsidRPr="00A92995">
        <w:rPr>
          <w:color w:val="000000"/>
        </w:rPr>
        <w:t>.</w:t>
      </w:r>
      <w:r w:rsidRPr="00A92995">
        <w:rPr>
          <w:color w:val="000000"/>
        </w:rPr>
        <w:t xml:space="preserve"> </w:t>
      </w:r>
      <w:r w:rsidR="00AB0DF3" w:rsidRPr="00A92995">
        <w:rPr>
          <w:color w:val="000000"/>
        </w:rPr>
        <w:t xml:space="preserve">We also know that the intersectional nature of our identities makes it extremely difficult to prioritize one motivation over another. </w:t>
      </w:r>
      <w:r w:rsidR="00E17123" w:rsidRPr="00A92995">
        <w:rPr>
          <w:color w:val="000000"/>
        </w:rPr>
        <w:t>The</w:t>
      </w:r>
      <w:r w:rsidRPr="00A92995">
        <w:rPr>
          <w:color w:val="000000"/>
        </w:rPr>
        <w:t xml:space="preserve"> experience </w:t>
      </w:r>
      <w:r w:rsidR="00E17123" w:rsidRPr="00A92995">
        <w:rPr>
          <w:color w:val="000000"/>
        </w:rPr>
        <w:t xml:space="preserve">of extreme mood shifts </w:t>
      </w:r>
      <w:r w:rsidRPr="00A92995">
        <w:rPr>
          <w:color w:val="000000"/>
        </w:rPr>
        <w:t>is not one that can be solved by simple hierarchical ranking of desires, nor any sort of procedural reflective-</w:t>
      </w:r>
      <w:r w:rsidRPr="00A92995">
        <w:rPr>
          <w:color w:val="000000"/>
        </w:rPr>
        <w:lastRenderedPageBreak/>
        <w:t xml:space="preserve">endorsement. </w:t>
      </w:r>
      <w:r w:rsidR="00AB0DF3" w:rsidRPr="00A92995">
        <w:rPr>
          <w:color w:val="000000"/>
        </w:rPr>
        <w:t>Hierarchical accounts of motivation</w:t>
      </w:r>
      <w:r w:rsidR="00E17123" w:rsidRPr="00A92995">
        <w:rPr>
          <w:color w:val="000000"/>
        </w:rPr>
        <w:t xml:space="preserve"> </w:t>
      </w:r>
      <w:r w:rsidR="00AB0DF3" w:rsidRPr="00A92995">
        <w:rPr>
          <w:color w:val="000000"/>
        </w:rPr>
        <w:t xml:space="preserve">would argue </w:t>
      </w:r>
      <w:r w:rsidR="00E17123" w:rsidRPr="00A92995">
        <w:rPr>
          <w:color w:val="000000"/>
        </w:rPr>
        <w:t>that the experience of mood-extremes and other symptoms of mental disorder can be chosen – endorsed or rejected -according to rational deliberation. But it is more likely that processes of rational deliberation, ranking of desires, endorsing</w:t>
      </w:r>
      <w:r w:rsidR="006E52B2" w:rsidRPr="00A92995">
        <w:rPr>
          <w:color w:val="000000"/>
        </w:rPr>
        <w:t>,</w:t>
      </w:r>
      <w:r w:rsidR="00E17123" w:rsidRPr="00A92995">
        <w:rPr>
          <w:color w:val="000000"/>
        </w:rPr>
        <w:t xml:space="preserve"> or rejecting motivational structures are </w:t>
      </w:r>
      <w:r w:rsidR="00AB0DF3" w:rsidRPr="00A92995">
        <w:rPr>
          <w:color w:val="000000"/>
        </w:rPr>
        <w:t>themselves influenced</w:t>
      </w:r>
      <w:r w:rsidR="00E17123" w:rsidRPr="00A92995">
        <w:rPr>
          <w:color w:val="000000"/>
        </w:rPr>
        <w:t xml:space="preserve"> by the extremes of mood and other symptoms of the mood disorder.</w:t>
      </w:r>
      <w:r w:rsidR="006E52B2" w:rsidRPr="00A92995">
        <w:rPr>
          <w:color w:val="000000"/>
        </w:rPr>
        <w:t xml:space="preserve"> For example, the feeling of hopelessness </w:t>
      </w:r>
      <w:r w:rsidR="00E17123" w:rsidRPr="00A92995">
        <w:rPr>
          <w:color w:val="000000"/>
        </w:rPr>
        <w:t>th</w:t>
      </w:r>
      <w:r w:rsidR="006E52B2" w:rsidRPr="00A92995">
        <w:rPr>
          <w:color w:val="000000"/>
        </w:rPr>
        <w:t>at accompanies depression is not itself a</w:t>
      </w:r>
      <w:r w:rsidR="00E17123" w:rsidRPr="00A92995">
        <w:rPr>
          <w:color w:val="000000"/>
        </w:rPr>
        <w:t xml:space="preserve"> </w:t>
      </w:r>
      <w:r w:rsidR="006E52B2" w:rsidRPr="00A92995">
        <w:rPr>
          <w:color w:val="000000"/>
        </w:rPr>
        <w:t>motivational structure that is endorsed</w:t>
      </w:r>
      <w:r w:rsidR="00E17123" w:rsidRPr="00A92995">
        <w:rPr>
          <w:color w:val="000000"/>
        </w:rPr>
        <w:t xml:space="preserve"> by </w:t>
      </w:r>
      <w:r w:rsidR="006E52B2" w:rsidRPr="00A92995">
        <w:rPr>
          <w:color w:val="000000"/>
        </w:rPr>
        <w:t xml:space="preserve">an agent’s supposedly unaffected </w:t>
      </w:r>
      <w:r w:rsidR="00E17123" w:rsidRPr="00A92995">
        <w:rPr>
          <w:color w:val="000000"/>
        </w:rPr>
        <w:t>decision-</w:t>
      </w:r>
      <w:r w:rsidR="006E52B2" w:rsidRPr="00A92995">
        <w:rPr>
          <w:color w:val="000000"/>
        </w:rPr>
        <w:t xml:space="preserve">making capacities. Rather, that hopelessness </w:t>
      </w:r>
      <w:r w:rsidR="00E17123" w:rsidRPr="00A92995">
        <w:rPr>
          <w:color w:val="000000"/>
        </w:rPr>
        <w:t>affect</w:t>
      </w:r>
      <w:r w:rsidR="006E52B2" w:rsidRPr="00A92995">
        <w:rPr>
          <w:color w:val="000000"/>
        </w:rPr>
        <w:t>s</w:t>
      </w:r>
      <w:r w:rsidR="00E17123" w:rsidRPr="00A92995">
        <w:rPr>
          <w:color w:val="000000"/>
        </w:rPr>
        <w:t xml:space="preserve"> the </w:t>
      </w:r>
      <w:r w:rsidR="006E52B2" w:rsidRPr="00A92995">
        <w:rPr>
          <w:color w:val="000000"/>
        </w:rPr>
        <w:t xml:space="preserve">decision-making capacities themselves, thus coloring the individual’s ultimate motivational structures. Even if the agent were able to reflect on her higher order motivational structures and how they were historically formed, her hopelessness would color her evaluative capacities, and any endorsement or rejection made would also be so colored. </w:t>
      </w:r>
    </w:p>
    <w:p w14:paraId="466E7AFF" w14:textId="3F911FD6" w:rsidR="008E63AB" w:rsidRPr="00A92995" w:rsidRDefault="00AB73E0" w:rsidP="00AD2BAC">
      <w:pPr>
        <w:widowControl w:val="0"/>
        <w:autoSpaceDE w:val="0"/>
        <w:autoSpaceDN w:val="0"/>
        <w:adjustRightInd w:val="0"/>
        <w:spacing w:after="240" w:line="360" w:lineRule="auto"/>
        <w:ind w:right="91" w:firstLine="720"/>
        <w:contextualSpacing/>
        <w:rPr>
          <w:color w:val="000000"/>
        </w:rPr>
      </w:pPr>
      <w:r w:rsidRPr="00A92995">
        <w:rPr>
          <w:color w:val="000000"/>
        </w:rPr>
        <w:t xml:space="preserve">Citing a number of studies </w:t>
      </w:r>
      <w:r w:rsidR="00F63DF3" w:rsidRPr="00A92995">
        <w:rPr>
          <w:color w:val="000000"/>
        </w:rPr>
        <w:t xml:space="preserve">in </w:t>
      </w:r>
      <w:r w:rsidRPr="00A92995">
        <w:rPr>
          <w:color w:val="000000"/>
        </w:rPr>
        <w:t xml:space="preserve">which patients with mental illness </w:t>
      </w:r>
      <w:r w:rsidR="00F63DF3" w:rsidRPr="00A92995">
        <w:rPr>
          <w:color w:val="000000"/>
        </w:rPr>
        <w:t xml:space="preserve">were given </w:t>
      </w:r>
      <w:r w:rsidRPr="00A92995">
        <w:rPr>
          <w:color w:val="000000"/>
        </w:rPr>
        <w:t>the opportunity to discuss their experiences with mental disorder, Erler and Hope note at least five different conceptions of authenticity reported by patients. For instance, one view is that the “authentic self is the well self and aspects of the self that are part of the mental disorder are inauthentic.”</w:t>
      </w:r>
      <w:r w:rsidRPr="00A92995">
        <w:rPr>
          <w:rStyle w:val="FootnoteReference"/>
          <w:color w:val="000000"/>
          <w:sz w:val="24"/>
        </w:rPr>
        <w:footnoteReference w:id="106"/>
      </w:r>
      <w:r w:rsidRPr="00A92995">
        <w:rPr>
          <w:color w:val="000000"/>
        </w:rPr>
        <w:t xml:space="preserve"> Some views, like this one, hold that medication will help to reveal and enable expression of the authentic self. Others argue that medication obscures </w:t>
      </w:r>
      <w:r w:rsidR="008E63AB" w:rsidRPr="00A92995">
        <w:rPr>
          <w:color w:val="000000"/>
        </w:rPr>
        <w:t xml:space="preserve">the </w:t>
      </w:r>
      <w:r w:rsidRPr="00A92995">
        <w:rPr>
          <w:color w:val="000000"/>
        </w:rPr>
        <w:t>features of an individual</w:t>
      </w:r>
      <w:r w:rsidR="008E63AB" w:rsidRPr="00A92995">
        <w:rPr>
          <w:color w:val="000000"/>
        </w:rPr>
        <w:t>’s personality</w:t>
      </w:r>
      <w:r w:rsidRPr="00A92995">
        <w:rPr>
          <w:color w:val="000000"/>
        </w:rPr>
        <w:t xml:space="preserve"> so dramatically that they are no longer ‘themselves’. Some patients take their illness as a fundamentally defining feature of themselves; others distinguish between the well-self and the ill-self, claiming that they are both authentic parts of the whole self, but one part is not healthy. Then there are some patients who have no real conception of authenticity and do not consider questions of authenticity to be of any consequence to living a good life. </w:t>
      </w:r>
    </w:p>
    <w:p w14:paraId="200A86E8" w14:textId="09CC5AA3" w:rsidR="00AD2BAC" w:rsidRPr="00A92995" w:rsidRDefault="00AB73E0" w:rsidP="00AD2BAC">
      <w:pPr>
        <w:widowControl w:val="0"/>
        <w:autoSpaceDE w:val="0"/>
        <w:autoSpaceDN w:val="0"/>
        <w:adjustRightInd w:val="0"/>
        <w:spacing w:after="240" w:line="360" w:lineRule="auto"/>
        <w:ind w:right="91" w:firstLine="720"/>
        <w:contextualSpacing/>
        <w:rPr>
          <w:color w:val="000000"/>
        </w:rPr>
      </w:pPr>
      <w:r w:rsidRPr="00A92995">
        <w:rPr>
          <w:color w:val="000000"/>
        </w:rPr>
        <w:t>For those who do hold some view of authenticity, it will be good to understand why the issue is worthy of such preoccupation. Two of the main reasons for this are that, first, the issue of authenticity is closely related to the issue of responsibility. The degree to which patients (or any persons) have control over their moods, behaviors, and actions is for most people connected with the idea that those actions are their own. Second, there is a commonly held belief that individuals should live in accordance with their own authentic self. For all people, but especially for patients with mental disorder, the notion of authenticity provides the security and stability necessary for self-understanding and self-determination</w:t>
      </w:r>
      <w:r w:rsidR="006E52B2" w:rsidRPr="00A92995">
        <w:rPr>
          <w:color w:val="000000"/>
        </w:rPr>
        <w:t xml:space="preserve">, both of which are required for </w:t>
      </w:r>
      <w:r w:rsidR="006E52B2" w:rsidRPr="00A92995">
        <w:rPr>
          <w:color w:val="000000"/>
        </w:rPr>
        <w:lastRenderedPageBreak/>
        <w:t>personal autonomy.</w:t>
      </w:r>
    </w:p>
    <w:p w14:paraId="0A230BA3" w14:textId="1CF9F7E1" w:rsidR="00AB73E0" w:rsidRPr="00A92995" w:rsidRDefault="00AB73E0" w:rsidP="00AD2BAC">
      <w:pPr>
        <w:widowControl w:val="0"/>
        <w:autoSpaceDE w:val="0"/>
        <w:autoSpaceDN w:val="0"/>
        <w:adjustRightInd w:val="0"/>
        <w:spacing w:after="240" w:line="360" w:lineRule="auto"/>
        <w:ind w:right="91" w:firstLine="720"/>
        <w:contextualSpacing/>
        <w:rPr>
          <w:color w:val="000000"/>
        </w:rPr>
      </w:pPr>
      <w:r w:rsidRPr="00A92995">
        <w:rPr>
          <w:color w:val="000000"/>
        </w:rPr>
        <w:t xml:space="preserve">When a person is diagnosed with a mental disorder, they begin to grapple with their own measure of authenticity because they are motivated to understand the extent to which their actions, thoughts and behaviors are </w:t>
      </w:r>
      <w:r w:rsidRPr="00A92995">
        <w:rPr>
          <w:i/>
          <w:color w:val="000000"/>
        </w:rPr>
        <w:t>their own</w:t>
      </w:r>
      <w:r w:rsidRPr="00A92995">
        <w:rPr>
          <w:color w:val="000000"/>
        </w:rPr>
        <w:t xml:space="preserve">, and not simply part of their disorder (or </w:t>
      </w:r>
      <w:r w:rsidR="005C21F1" w:rsidRPr="00A92995">
        <w:rPr>
          <w:color w:val="000000"/>
        </w:rPr>
        <w:t xml:space="preserve">even </w:t>
      </w:r>
      <w:r w:rsidRPr="00A92995">
        <w:rPr>
          <w:color w:val="000000"/>
        </w:rPr>
        <w:t xml:space="preserve">an effect of the medication they take for </w:t>
      </w:r>
      <w:r w:rsidR="007D3652" w:rsidRPr="00A92995">
        <w:rPr>
          <w:color w:val="000000"/>
        </w:rPr>
        <w:t xml:space="preserve">the </w:t>
      </w:r>
      <w:r w:rsidRPr="00A92995">
        <w:rPr>
          <w:color w:val="000000"/>
        </w:rPr>
        <w:t xml:space="preserve">disorder). For instance, it is common among people with bipolar disorder to ask themselves </w:t>
      </w:r>
      <w:r w:rsidRPr="00A92995">
        <w:t xml:space="preserve">“if I experience </w:t>
      </w:r>
      <w:r w:rsidR="005C21F1" w:rsidRPr="00A92995">
        <w:t xml:space="preserve">extreme joy, </w:t>
      </w:r>
      <w:r w:rsidR="00347E2A" w:rsidRPr="00A92995">
        <w:t>confidence,</w:t>
      </w:r>
      <w:r w:rsidR="005C21F1" w:rsidRPr="00A92995">
        <w:t xml:space="preserve"> or productivity</w:t>
      </w:r>
      <w:r w:rsidRPr="00A92995">
        <w:t xml:space="preserve">, is it </w:t>
      </w:r>
      <w:r w:rsidR="005C21F1" w:rsidRPr="00A92995">
        <w:t xml:space="preserve">a product </w:t>
      </w:r>
      <w:r w:rsidRPr="00A92995">
        <w:t>of the illness, the medication, or is it ‘just me’?”</w:t>
      </w:r>
      <w:r w:rsidRPr="00A92995">
        <w:rPr>
          <w:rStyle w:val="FootnoteReference"/>
          <w:color w:val="000000"/>
          <w:sz w:val="24"/>
        </w:rPr>
        <w:t xml:space="preserve"> </w:t>
      </w:r>
      <w:r w:rsidRPr="00A92995">
        <w:rPr>
          <w:rStyle w:val="FootnoteReference"/>
          <w:color w:val="000000"/>
          <w:sz w:val="24"/>
        </w:rPr>
        <w:footnoteReference w:id="107"/>
      </w:r>
      <w:r w:rsidRPr="00A92995">
        <w:rPr>
          <w:color w:val="000000"/>
        </w:rPr>
        <w:t xml:space="preserve"> Further, attempting to locate </w:t>
      </w:r>
      <w:r w:rsidR="000D7A00" w:rsidRPr="00A92995">
        <w:rPr>
          <w:color w:val="000000"/>
        </w:rPr>
        <w:t>their</w:t>
      </w:r>
      <w:r w:rsidRPr="00A92995">
        <w:rPr>
          <w:color w:val="000000"/>
        </w:rPr>
        <w:t xml:space="preserve"> authentic motivational structures is necessary for patients who are trying to determine their own best-interests, especially relevant when faced with decisions regarding treatment. </w:t>
      </w:r>
      <w:r w:rsidR="000D7A00" w:rsidRPr="00A92995">
        <w:rPr>
          <w:color w:val="000000"/>
        </w:rPr>
        <w:t>They</w:t>
      </w:r>
      <w:r w:rsidRPr="00A92995">
        <w:rPr>
          <w:color w:val="000000"/>
        </w:rPr>
        <w:t xml:space="preserve"> may also be examining what it is </w:t>
      </w:r>
      <w:r w:rsidR="000D7A00" w:rsidRPr="00A92995">
        <w:rPr>
          <w:color w:val="000000"/>
        </w:rPr>
        <w:t>they</w:t>
      </w:r>
      <w:r w:rsidRPr="00A92995">
        <w:rPr>
          <w:color w:val="000000"/>
        </w:rPr>
        <w:t xml:space="preserve"> value and disvalue, and if those valuations are truly </w:t>
      </w:r>
      <w:r w:rsidR="000D7A00" w:rsidRPr="00A92995">
        <w:rPr>
          <w:color w:val="000000"/>
        </w:rPr>
        <w:t>their</w:t>
      </w:r>
      <w:r w:rsidRPr="00A92995">
        <w:rPr>
          <w:color w:val="000000"/>
        </w:rPr>
        <w:t xml:space="preserve"> own or motivated by symptoms of</w:t>
      </w:r>
      <w:r w:rsidR="000D7A00" w:rsidRPr="00A92995">
        <w:rPr>
          <w:color w:val="000000"/>
        </w:rPr>
        <w:t xml:space="preserve"> their</w:t>
      </w:r>
      <w:r w:rsidRPr="00A92995">
        <w:rPr>
          <w:color w:val="000000"/>
        </w:rPr>
        <w:t xml:space="preserve"> illness. Finally, a patient, seeking some degree of self-understanding, uses the concept of authenticity in her ultimate realization that she may not know herself as well as she thought she did: that she is and has been vulnerable to self-deception and to invisible forces of coercion and manipulation. In this experience of existential confusion, it is evident that an agent’s sense of destabilization can be attributed to more than incompetence or a failure to procedurally endorse motivations. The patient, whose self-insight, self-worth, self-concept, and self-trust are all deeply affected by her mental disorder and by the clinical encounter itself, is not obviously autonomous. She may not be lacking in autonomy entirely, but we would be hard-pressed to say that a decision made under these circumstances is an autonomous life-choice.</w:t>
      </w:r>
      <w:r w:rsidR="00CD778B" w:rsidRPr="00A92995">
        <w:rPr>
          <w:color w:val="000000"/>
        </w:rPr>
        <w:t xml:space="preserve"> She may </w:t>
      </w:r>
      <w:r w:rsidR="005C21F1" w:rsidRPr="00A92995">
        <w:rPr>
          <w:color w:val="000000"/>
        </w:rPr>
        <w:t xml:space="preserve">simultaneously </w:t>
      </w:r>
      <w:r w:rsidR="00CD778B" w:rsidRPr="00A92995">
        <w:rPr>
          <w:color w:val="000000"/>
        </w:rPr>
        <w:t xml:space="preserve">meet the minimal competency conditions of autonomy, and she may exhibit strong insight. But neither of these is sufficient protection against the symptomatic moods and cognitive symptoms </w:t>
      </w:r>
      <w:r w:rsidR="005C21F1" w:rsidRPr="00A92995">
        <w:rPr>
          <w:color w:val="000000"/>
        </w:rPr>
        <w:t xml:space="preserve">(cognitive biases, fear, confusion, and other aspects of her lived experience) </w:t>
      </w:r>
      <w:r w:rsidR="00CD778B" w:rsidRPr="00A92995">
        <w:rPr>
          <w:color w:val="000000"/>
        </w:rPr>
        <w:t xml:space="preserve">which affect her self-regarding attitudes and the other necessary requirements for the authenticity condition of autonomy. </w:t>
      </w:r>
    </w:p>
    <w:p w14:paraId="7D821067" w14:textId="15003D50" w:rsidR="00AB73E0" w:rsidRPr="00A92995" w:rsidRDefault="00AB73E0" w:rsidP="006F7A80">
      <w:pPr>
        <w:pStyle w:val="Heading3"/>
      </w:pPr>
      <w:bookmarkStart w:id="35" w:name="_Toc505150535"/>
      <w:r w:rsidRPr="00A92995">
        <w:t>In sum</w:t>
      </w:r>
      <w:bookmarkEnd w:id="35"/>
    </w:p>
    <w:p w14:paraId="01BC40DC" w14:textId="77777777" w:rsidR="00AB73E0" w:rsidRPr="00A92995" w:rsidRDefault="00AB73E0" w:rsidP="00AB73E0"/>
    <w:p w14:paraId="2E309E72" w14:textId="6B2FDD71" w:rsidR="005C21F1" w:rsidRPr="00A92995" w:rsidRDefault="00CD778B" w:rsidP="009B012B">
      <w:pPr>
        <w:widowControl w:val="0"/>
        <w:autoSpaceDE w:val="0"/>
        <w:autoSpaceDN w:val="0"/>
        <w:adjustRightInd w:val="0"/>
        <w:spacing w:after="240" w:line="360" w:lineRule="auto"/>
        <w:ind w:right="91"/>
        <w:contextualSpacing/>
        <w:rPr>
          <w:color w:val="000000"/>
        </w:rPr>
      </w:pPr>
      <w:r w:rsidRPr="00A92995">
        <w:rPr>
          <w:color w:val="000000"/>
        </w:rPr>
        <w:t xml:space="preserve">Examining </w:t>
      </w:r>
      <w:r w:rsidR="00AB73E0" w:rsidRPr="00A92995">
        <w:rPr>
          <w:color w:val="000000"/>
        </w:rPr>
        <w:t xml:space="preserve">the lived experience of a patient with a mood </w:t>
      </w:r>
      <w:r w:rsidRPr="00A92995">
        <w:rPr>
          <w:color w:val="000000"/>
        </w:rPr>
        <w:t>disorder and being able to understand that experience in connection with the concept of self-insight is</w:t>
      </w:r>
      <w:r w:rsidR="00AB73E0" w:rsidRPr="00A92995">
        <w:rPr>
          <w:color w:val="000000"/>
        </w:rPr>
        <w:t xml:space="preserve"> valuable to my current project in the following ways</w:t>
      </w:r>
      <w:r w:rsidR="005C21F1" w:rsidRPr="00A92995">
        <w:rPr>
          <w:color w:val="000000"/>
        </w:rPr>
        <w:t>.</w:t>
      </w:r>
      <w:r w:rsidR="00AB73E0" w:rsidRPr="00A92995">
        <w:rPr>
          <w:color w:val="000000"/>
        </w:rPr>
        <w:t xml:space="preserve"> First, Tekin’s critique of the symptom-based approach to diagnosis </w:t>
      </w:r>
      <w:r w:rsidR="00AB73E0" w:rsidRPr="00A92995">
        <w:rPr>
          <w:color w:val="000000"/>
        </w:rPr>
        <w:lastRenderedPageBreak/>
        <w:t>parallels the critiques of structural procedural accounts of autonomy and its practical application in clinical settings. Both reject the view of individual</w:t>
      </w:r>
      <w:r w:rsidR="003B485E" w:rsidRPr="00A92995">
        <w:rPr>
          <w:color w:val="000000"/>
        </w:rPr>
        <w:t>s</w:t>
      </w:r>
      <w:r w:rsidR="00AB73E0" w:rsidRPr="00A92995">
        <w:rPr>
          <w:color w:val="000000"/>
        </w:rPr>
        <w:t xml:space="preserve"> as </w:t>
      </w:r>
      <w:r w:rsidR="005C21F1" w:rsidRPr="00A92995">
        <w:rPr>
          <w:color w:val="000000"/>
        </w:rPr>
        <w:t xml:space="preserve">predominantly </w:t>
      </w:r>
      <w:r w:rsidR="009D16B8" w:rsidRPr="00A92995">
        <w:rPr>
          <w:color w:val="000000"/>
        </w:rPr>
        <w:t>defined by the</w:t>
      </w:r>
      <w:r w:rsidR="001615AD" w:rsidRPr="00A92995">
        <w:rPr>
          <w:color w:val="000000"/>
        </w:rPr>
        <w:t xml:space="preserve"> rational capacities required for reflective-endorsement</w:t>
      </w:r>
      <w:r w:rsidR="00AB73E0" w:rsidRPr="00A92995">
        <w:rPr>
          <w:color w:val="000000"/>
        </w:rPr>
        <w:t xml:space="preserve">, and both argue that the individual’s subjective lived-experience must </w:t>
      </w:r>
      <w:r w:rsidR="005C21F1" w:rsidRPr="00A92995">
        <w:rPr>
          <w:color w:val="000000"/>
        </w:rPr>
        <w:t>be taken more seriously</w:t>
      </w:r>
      <w:r w:rsidR="00AB73E0" w:rsidRPr="00A92995">
        <w:rPr>
          <w:color w:val="000000"/>
        </w:rPr>
        <w:t xml:space="preserve"> in the diagnostic setting. Second, her discussion and critique of DSM-culture resembles those problems highlighted earlier in this research report regarding sociocultural influences, oppressive socialization, and internalized oppression. Further, it suggests an implicit commitment to a relational view of the individual. Finally, her definition of self-insight and what an agent with enriched self-insight would look like are conducive to the relational, feminist inspired theory of autonomy I am arguing for. This is because it emphasizes the lived experience of the agent, it considers the sociocultural factors which influence the agent, and it is an attitude that would work well with Benson’s notion of ‘self-worth’ and McLeod’s requirement of ‘self-trust’ in setting the requirements for autonomy. The scope of this research does not allow me to explore the depth and complexities of the relationship between self-insight and autonomy, but for my current purposes, I will regard self-insight as an additional substantive constraint that that is necessary for autonomy</w:t>
      </w:r>
      <w:r w:rsidR="00FC2AB7" w:rsidRPr="00A92995">
        <w:rPr>
          <w:color w:val="000000"/>
        </w:rPr>
        <w:t>.</w:t>
      </w:r>
      <w:r w:rsidR="001615AD" w:rsidRPr="00A92995">
        <w:rPr>
          <w:color w:val="000000"/>
        </w:rPr>
        <w:t xml:space="preserve"> </w:t>
      </w:r>
      <w:r w:rsidR="005C21F1" w:rsidRPr="00A92995">
        <w:rPr>
          <w:color w:val="000000"/>
        </w:rPr>
        <w:tab/>
        <w:t xml:space="preserve">I maintain, however, that self-insight is insufficient evidence for patient autonomy. </w:t>
      </w:r>
    </w:p>
    <w:p w14:paraId="2E10F657" w14:textId="4A941684" w:rsidR="00AB73E0" w:rsidRPr="00A92995" w:rsidRDefault="001615AD" w:rsidP="005C21F1">
      <w:pPr>
        <w:widowControl w:val="0"/>
        <w:autoSpaceDE w:val="0"/>
        <w:autoSpaceDN w:val="0"/>
        <w:adjustRightInd w:val="0"/>
        <w:spacing w:after="240" w:line="360" w:lineRule="auto"/>
        <w:ind w:right="91" w:firstLine="720"/>
        <w:contextualSpacing/>
        <w:rPr>
          <w:color w:val="000000"/>
        </w:rPr>
      </w:pPr>
      <w:r w:rsidRPr="00A92995">
        <w:rPr>
          <w:color w:val="000000"/>
        </w:rPr>
        <w:t xml:space="preserve">In what follows I provide a detailed example of a woman with Bipolar II who exhibits strong insight and meets the minimal competency conditions of autonomy. I use the example to show how self-insight, self-trust, self-concept, and self-respect can be undermined in the clinical encounter. I also show how all of these are requirements for the authenticity condition of autonomy, and without them the patient cannot be considered truly autonomous. </w:t>
      </w:r>
    </w:p>
    <w:p w14:paraId="5BC726D9" w14:textId="23C97E80" w:rsidR="00AB73E0" w:rsidRPr="00A92995" w:rsidRDefault="000775D3" w:rsidP="00360448">
      <w:pPr>
        <w:pStyle w:val="Heading2"/>
      </w:pPr>
      <w:bookmarkStart w:id="36" w:name="_Toc505150536"/>
      <w:r w:rsidRPr="00A92995">
        <w:t xml:space="preserve">Detailed </w:t>
      </w:r>
      <w:r w:rsidR="007859D3" w:rsidRPr="00A92995">
        <w:t>Example</w:t>
      </w:r>
      <w:r w:rsidR="00AB73E0" w:rsidRPr="00A92995">
        <w:t>: The Lived Experience of a Woman Diagnosed with a Mood Disorder</w:t>
      </w:r>
      <w:bookmarkEnd w:id="36"/>
    </w:p>
    <w:p w14:paraId="022A2901" w14:textId="77777777" w:rsidR="00AB73E0" w:rsidRPr="00A92995" w:rsidRDefault="00AB73E0" w:rsidP="00AB73E0"/>
    <w:p w14:paraId="1711458F" w14:textId="5FB133D8" w:rsidR="005D7045" w:rsidRPr="00A92995" w:rsidRDefault="00AD1D6D" w:rsidP="005D7045">
      <w:pPr>
        <w:spacing w:line="360" w:lineRule="auto"/>
      </w:pPr>
      <w:r w:rsidRPr="00A92995">
        <w:t xml:space="preserve">Our patient, let us call her </w:t>
      </w:r>
      <w:r w:rsidR="005D7045" w:rsidRPr="00A92995">
        <w:t>Simone</w:t>
      </w:r>
      <w:r w:rsidRPr="00A92995">
        <w:t>,</w:t>
      </w:r>
      <w:r w:rsidR="005D7045" w:rsidRPr="00A92995">
        <w:t xml:space="preserve"> is</w:t>
      </w:r>
      <w:r w:rsidRPr="00A92995">
        <w:t xml:space="preserve"> 22 years of age. She is</w:t>
      </w:r>
      <w:r w:rsidR="005D7045" w:rsidRPr="00A92995">
        <w:t xml:space="preserve"> a</w:t>
      </w:r>
      <w:r w:rsidR="00B2700C" w:rsidRPr="00A92995">
        <w:t>n enthusiastic</w:t>
      </w:r>
      <w:r w:rsidR="005D7045" w:rsidRPr="00A92995">
        <w:t xml:space="preserve"> scholar of philosophy and psychology</w:t>
      </w:r>
      <w:r w:rsidRPr="00A92995">
        <w:t>, and s</w:t>
      </w:r>
      <w:r w:rsidR="005D7045" w:rsidRPr="00A92995">
        <w:t>he is i</w:t>
      </w:r>
      <w:r w:rsidRPr="00A92995">
        <w:t xml:space="preserve">n her fourth year at university. She works two </w:t>
      </w:r>
      <w:r w:rsidR="00C47FBF" w:rsidRPr="00A92995">
        <w:t>jobs and</w:t>
      </w:r>
      <w:r w:rsidRPr="00A92995">
        <w:t xml:space="preserve"> maintains</w:t>
      </w:r>
      <w:r w:rsidR="005D7045" w:rsidRPr="00A92995">
        <w:t xml:space="preserve"> a </w:t>
      </w:r>
      <w:r w:rsidRPr="00A92995">
        <w:t xml:space="preserve">fairly </w:t>
      </w:r>
      <w:r w:rsidR="005D7045" w:rsidRPr="00A92995">
        <w:t>healthy social life. She is under immense pressure occupationally and academically, and soon begins to feel depressed. She has noticed that it has been two weeks without the energy to get out of bed or even to leave the house. In fact, she has slept much more than usual and woken up feeling unrested, listless</w:t>
      </w:r>
      <w:r w:rsidR="00B2700C" w:rsidRPr="00A92995">
        <w:t>,</w:t>
      </w:r>
      <w:r w:rsidR="005D7045" w:rsidRPr="00A92995">
        <w:t xml:space="preserve"> and hopeless, with very little motivation to maintain her responsibilities, let alone participate in activities she once enjoyed. With her understanding of psychology, she recognizes the signs of depression</w:t>
      </w:r>
      <w:r w:rsidRPr="00A92995">
        <w:t>,</w:t>
      </w:r>
      <w:r w:rsidR="005D7045" w:rsidRPr="00A92995">
        <w:t xml:space="preserve"> but dismisses them, </w:t>
      </w:r>
      <w:r w:rsidR="005D7045" w:rsidRPr="00A92995">
        <w:lastRenderedPageBreak/>
        <w:t xml:space="preserve">thinking that she </w:t>
      </w:r>
      <w:r w:rsidR="005C21F1" w:rsidRPr="00A92995">
        <w:t xml:space="preserve">does not </w:t>
      </w:r>
      <w:r w:rsidR="005D7045" w:rsidRPr="00A92995">
        <w:t xml:space="preserve">have it as bad as other people living with clinical depression. After three weeks of these symptoms, </w:t>
      </w:r>
      <w:r w:rsidR="005C21F1" w:rsidRPr="00A92995">
        <w:t xml:space="preserve">however, </w:t>
      </w:r>
      <w:r w:rsidR="005D7045" w:rsidRPr="00A92995">
        <w:t xml:space="preserve">she begins to feel extremely frustrated and exhausted, and at the first sign of suicidal ideation she decides to visit her general practitioner. </w:t>
      </w:r>
    </w:p>
    <w:p w14:paraId="178F1C5A" w14:textId="77777777" w:rsidR="005C21F1" w:rsidRPr="00A92995" w:rsidRDefault="005D7045" w:rsidP="00F41A8D">
      <w:pPr>
        <w:spacing w:line="360" w:lineRule="auto"/>
        <w:ind w:firstLine="720"/>
      </w:pPr>
      <w:r w:rsidRPr="00A92995">
        <w:t xml:space="preserve">She does not tell her family about her experience or that she is seeking medical help, for fear that they will judge </w:t>
      </w:r>
      <w:r w:rsidR="005C21F1" w:rsidRPr="00A92995">
        <w:t xml:space="preserve">or criticize </w:t>
      </w:r>
      <w:r w:rsidRPr="00A92995">
        <w:t xml:space="preserve">her. She has grown up in a home of traditional liberal values of self-sufficiency and self-reliance, avoiding medical consultation even in cases of severe illness. </w:t>
      </w:r>
    </w:p>
    <w:p w14:paraId="763820F9" w14:textId="3BB4E662" w:rsidR="00AD1D6D" w:rsidRPr="00A92995" w:rsidRDefault="005D7045" w:rsidP="00F41A8D">
      <w:pPr>
        <w:spacing w:line="360" w:lineRule="auto"/>
        <w:ind w:firstLine="720"/>
      </w:pPr>
      <w:r w:rsidRPr="00A92995">
        <w:t xml:space="preserve">She enters the doctor’s room afraid of whatever she might learn. Her doctor, a middle aged white male, has often dismissed her simple medical concerns as ‘paranoia’. (For example, her request for an HIV test was deemed ‘unnecessary’ because he regards her as a well-mannered and diligent young woman in a committed relationship.) With this in mind, she still risks telling her doctor about her experiences and asks him if she is depressed. She </w:t>
      </w:r>
      <w:r w:rsidR="005C21F1" w:rsidRPr="00A92995">
        <w:t xml:space="preserve">admits to the doctor </w:t>
      </w:r>
      <w:r w:rsidRPr="00A92995">
        <w:t>that she studied psychology and understands the symptomology</w:t>
      </w:r>
      <w:r w:rsidR="005C21F1" w:rsidRPr="00A92995">
        <w:t xml:space="preserve"> of depression</w:t>
      </w:r>
      <w:r w:rsidRPr="00A92995">
        <w:t xml:space="preserve"> and</w:t>
      </w:r>
      <w:r w:rsidR="005C21F1" w:rsidRPr="00A92995">
        <w:t xml:space="preserve"> goes on to ensure him that while she is aware of her potential cognitive biases, she is not </w:t>
      </w:r>
      <w:r w:rsidRPr="00A92995">
        <w:t xml:space="preserve">malingering. After enquiring about her medical history and noting that the patient’s grandmother, brother, </w:t>
      </w:r>
      <w:r w:rsidR="00B2700C" w:rsidRPr="00A92995">
        <w:t xml:space="preserve">uncle, </w:t>
      </w:r>
      <w:r w:rsidRPr="00A92995">
        <w:t>and father all suffered from mental illnesses (including depression, bipolar</w:t>
      </w:r>
      <w:r w:rsidR="00B2700C" w:rsidRPr="00A92995">
        <w:t>, schizophrenia</w:t>
      </w:r>
      <w:r w:rsidRPr="00A92995">
        <w:t xml:space="preserve"> and addiction), the doctor </w:t>
      </w:r>
      <w:r w:rsidR="005C21F1" w:rsidRPr="00A92995">
        <w:t>believes that the patient will benefit from</w:t>
      </w:r>
      <w:r w:rsidRPr="00A92995">
        <w:t xml:space="preserve"> paroxetine, a mild SSRI antidepressant</w:t>
      </w:r>
      <w:r w:rsidR="005C21F1" w:rsidRPr="00A92995">
        <w:t xml:space="preserve">, </w:t>
      </w:r>
      <w:r w:rsidRPr="00A92995">
        <w:t>assur</w:t>
      </w:r>
      <w:r w:rsidR="005C21F1" w:rsidRPr="00A92995">
        <w:t>ing</w:t>
      </w:r>
      <w:r w:rsidRPr="00A92995">
        <w:t xml:space="preserve"> her that this will balance her mood. She begins taking the medication and enjoys a few weeks of symptom free life. </w:t>
      </w:r>
    </w:p>
    <w:p w14:paraId="5DC7120E" w14:textId="5F6EEBF1" w:rsidR="00AD2BAC" w:rsidRPr="00A92995" w:rsidRDefault="005D7045" w:rsidP="00F41A8D">
      <w:pPr>
        <w:spacing w:line="360" w:lineRule="auto"/>
        <w:ind w:firstLine="720"/>
      </w:pPr>
      <w:r w:rsidRPr="00A92995">
        <w:t>Not long after beginning the course of her medication, Simone begins to feel hyper-motivated and enthusiastic</w:t>
      </w:r>
      <w:r w:rsidR="005C21F1" w:rsidRPr="00A92995">
        <w:t>. H</w:t>
      </w:r>
      <w:r w:rsidRPr="00A92995">
        <w:t xml:space="preserve">er appetite has decreased, she doesn’t need as much sleep, she is getting through many projects and managing a full social life. She begins spending a little more money than usual, drinking more </w:t>
      </w:r>
      <w:r w:rsidR="005C21F1" w:rsidRPr="00A92995">
        <w:t xml:space="preserve">alcohol </w:t>
      </w:r>
      <w:r w:rsidRPr="00A92995">
        <w:t xml:space="preserve">than usual, and exhibiting a grandiose sense of importance in all areas of her life. She entirely changes her </w:t>
      </w:r>
      <w:r w:rsidR="005C21F1" w:rsidRPr="00A92995">
        <w:t xml:space="preserve">appearance </w:t>
      </w:r>
      <w:r w:rsidRPr="00A92995">
        <w:t xml:space="preserve">and feels </w:t>
      </w:r>
      <w:r w:rsidR="005C21F1" w:rsidRPr="00A92995">
        <w:t xml:space="preserve">incredibly confident, believing that </w:t>
      </w:r>
      <w:r w:rsidRPr="00A92995">
        <w:t xml:space="preserve">she has returned to a symptom free (euthymic) state. However, when Simone visits her general practitioner </w:t>
      </w:r>
      <w:r w:rsidR="005C21F1" w:rsidRPr="00A92995">
        <w:t>and reports</w:t>
      </w:r>
      <w:r w:rsidRPr="00A92995">
        <w:t xml:space="preserve"> how incredible she feels, the doctor fears she is hypomanic and suggests she see a psychiatrist. Simone abides, and having met with a new doctor</w:t>
      </w:r>
      <w:r w:rsidR="00AD1D6D" w:rsidRPr="00A92995">
        <w:t xml:space="preserve"> – a trained psychiatrist this time -</w:t>
      </w:r>
      <w:r w:rsidRPr="00A92995">
        <w:t xml:space="preserve"> for three 45</w:t>
      </w:r>
      <w:r w:rsidR="009B012B" w:rsidRPr="00A92995">
        <w:t>-</w:t>
      </w:r>
      <w:r w:rsidRPr="00A92995">
        <w:t>minute sessions, Simone is diagnosed with Bipolar II and prescribed heavy mood stabilizers to supplement the SSRI anti-depressants. Upon hearing the diagnosis, Simone feels fearful and confused. She is unsu</w:t>
      </w:r>
      <w:r w:rsidR="00AD1D6D" w:rsidRPr="00A92995">
        <w:t xml:space="preserve">re of who to trust: her doctor and the psychiatrist, </w:t>
      </w:r>
      <w:r w:rsidRPr="00A92995">
        <w:t xml:space="preserve">her family, or her own experience. She is afraid the medication will change her, </w:t>
      </w:r>
      <w:r w:rsidRPr="00A92995">
        <w:lastRenderedPageBreak/>
        <w:t xml:space="preserve">and she is equally afraid of what might happen if she doesn’t take the medication. </w:t>
      </w:r>
      <w:r w:rsidR="002F2208" w:rsidRPr="00A92995">
        <w:t>Simone begins to grapple with questions of authenticity and becomes confused about how autonomous she is, since she believes she is exhibiting fairly strong insight.</w:t>
      </w:r>
    </w:p>
    <w:p w14:paraId="2E52E8AC" w14:textId="489A2FE4" w:rsidR="005D7045" w:rsidRPr="00A92995" w:rsidRDefault="005D7045" w:rsidP="00AD2BAC">
      <w:pPr>
        <w:spacing w:line="360" w:lineRule="auto"/>
        <w:ind w:firstLine="720"/>
      </w:pPr>
      <w:r w:rsidRPr="00A92995">
        <w:t xml:space="preserve">In the doctor’s office she </w:t>
      </w:r>
      <w:r w:rsidR="002F2208" w:rsidRPr="00A92995">
        <w:t xml:space="preserve">begins to think that it is odd </w:t>
      </w:r>
      <w:r w:rsidRPr="00A92995">
        <w:t xml:space="preserve">that no-one else in </w:t>
      </w:r>
      <w:r w:rsidR="002F2208" w:rsidRPr="00A92995">
        <w:t xml:space="preserve">her </w:t>
      </w:r>
      <w:r w:rsidRPr="00A92995">
        <w:t xml:space="preserve">life believes there is anything wrong, yet this medical doctor can readily diagnose </w:t>
      </w:r>
      <w:r w:rsidR="002F2208" w:rsidRPr="00A92995">
        <w:t xml:space="preserve">her </w:t>
      </w:r>
      <w:r w:rsidRPr="00A92995">
        <w:t>with a mood disorder</w:t>
      </w:r>
      <w:r w:rsidR="002F2208" w:rsidRPr="00A92995">
        <w:t xml:space="preserve">. </w:t>
      </w:r>
      <w:r w:rsidRPr="00A92995">
        <w:t xml:space="preserve">Of course, she trusts the doctor at first. </w:t>
      </w:r>
      <w:r w:rsidR="002F2208" w:rsidRPr="00A92995">
        <w:t>After some research and deep reflection on her recent behavioral and mood changes, she becomes more comfortable with the diagnosis she has received and has become amenable to the idea of treatment. However, a</w:t>
      </w:r>
      <w:r w:rsidRPr="00A92995">
        <w:t xml:space="preserve">fter a month of uncomfortable </w:t>
      </w:r>
      <w:r w:rsidR="002F2208" w:rsidRPr="00A92995">
        <w:t xml:space="preserve">side-effects from the </w:t>
      </w:r>
      <w:r w:rsidRPr="00A92995">
        <w:t xml:space="preserve">medication and awkward social encounters </w:t>
      </w:r>
      <w:r w:rsidR="002F2208" w:rsidRPr="00A92995">
        <w:t xml:space="preserve">in which </w:t>
      </w:r>
      <w:r w:rsidRPr="00A92995">
        <w:t>she attempted to explain her new-found identity, Simone re-enters the doctor’s office with hesitation. She realizes that her friends and family don’t believe her diagnosis</w:t>
      </w:r>
      <w:r w:rsidR="002F2208" w:rsidRPr="00A92995">
        <w:t xml:space="preserve"> as she has been met with anti-psychiatric responses from most of her friends and family</w:t>
      </w:r>
      <w:r w:rsidRPr="00A92995">
        <w:t>. She also realizes the medication helps her feel better. She realizes that that might be a placebo effect, or it could be manufactured madness. The psychiatrist does little to assuage her anxiety, claiming that “</w:t>
      </w:r>
      <w:r w:rsidR="003B485E" w:rsidRPr="00A92995">
        <w:t>y</w:t>
      </w:r>
      <w:r w:rsidRPr="00A92995">
        <w:t>es, stigma is a problem, but as long as you stick to your medication regimen, everything will be fine.” Simone begins to feel uneasy, questioning how authentic she is while taking this medication. She wonders “Am I giving in too easily? Are my parents right, am I just being dramatic? Maybe my psychiatrist is right, I do have a family history of mental illness after all. What if mental illness is culturally specific, how do people from different cultures survive without medication? If they do, surely</w:t>
      </w:r>
      <w:r w:rsidR="00B2700C" w:rsidRPr="00A92995">
        <w:t>,</w:t>
      </w:r>
      <w:r w:rsidRPr="00A92995">
        <w:t xml:space="preserve"> I should be able to, too?” </w:t>
      </w:r>
      <w:r w:rsidR="00B2700C" w:rsidRPr="00A92995">
        <w:t>Thus,</w:t>
      </w:r>
      <w:r w:rsidRPr="00A92995">
        <w:t xml:space="preserve"> begins the cycling of Simone’s overall existential </w:t>
      </w:r>
      <w:r w:rsidR="002F2208" w:rsidRPr="00A92995">
        <w:t xml:space="preserve">confusion </w:t>
      </w:r>
      <w:r w:rsidRPr="00A92995">
        <w:t xml:space="preserve">with regard to her mental disorder. The crucial component of this questioning comes in when she asks herself: “If I take this medication, can I trust that my thoughts and feelings are authentically my own? If I don’t take this medication, knowing that this diagnosis is potentially true, how will I be able to trust that </w:t>
      </w:r>
      <w:r w:rsidRPr="00A92995">
        <w:rPr>
          <w:i/>
        </w:rPr>
        <w:t xml:space="preserve">those </w:t>
      </w:r>
      <w:r w:rsidRPr="00A92995">
        <w:t xml:space="preserve">feelings and thoughts are my own?” The content of this thought process is troubling in itself and speaks to the quandary of authenticity suffered by people living with mental disorders. </w:t>
      </w:r>
      <w:r w:rsidR="00AD1D6D" w:rsidRPr="00A92995">
        <w:t>What is also clear is that</w:t>
      </w:r>
      <w:r w:rsidRPr="00A92995">
        <w:t xml:space="preserve"> Simone is</w:t>
      </w:r>
      <w:r w:rsidR="00AD1D6D" w:rsidRPr="00A92995">
        <w:t xml:space="preserve"> significantly</w:t>
      </w:r>
      <w:r w:rsidRPr="00A92995">
        <w:t xml:space="preserve"> lacking in self-trust</w:t>
      </w:r>
      <w:r w:rsidR="00B2700C" w:rsidRPr="00A92995">
        <w:t>, and he</w:t>
      </w:r>
      <w:r w:rsidR="00AD1D6D" w:rsidRPr="00A92995">
        <w:t>r</w:t>
      </w:r>
      <w:r w:rsidR="00B2700C" w:rsidRPr="00A92995">
        <w:t xml:space="preserve"> self-concept has been destabilized </w:t>
      </w:r>
      <w:r w:rsidR="00AD1D6D" w:rsidRPr="00A92995">
        <w:t xml:space="preserve">as a result of understanding </w:t>
      </w:r>
      <w:r w:rsidR="00B2700C" w:rsidRPr="00A92995">
        <w:t>the effects that her symptoms have on her desires and motivations</w:t>
      </w:r>
      <w:r w:rsidRPr="00A92995">
        <w:t xml:space="preserve">. It is also clear that without appropriate social support she feels very alone and isolated in her decision-making process. </w:t>
      </w:r>
      <w:r w:rsidR="00B2700C" w:rsidRPr="00A92995">
        <w:t>Moreover</w:t>
      </w:r>
      <w:r w:rsidRPr="00A92995">
        <w:t xml:space="preserve">, the information she has been given by her physicians, the experts, is inadequate to provide her with the sense of confidence necessary to make autonomous decisions about her own treatment. </w:t>
      </w:r>
    </w:p>
    <w:p w14:paraId="4E7389C2" w14:textId="77777777" w:rsidR="005D7045" w:rsidRPr="00A92995" w:rsidRDefault="005D7045" w:rsidP="00AB73E0"/>
    <w:p w14:paraId="2673BA7F" w14:textId="74E764CB" w:rsidR="00AB73E0" w:rsidRPr="00A92995" w:rsidRDefault="00AB73E0" w:rsidP="006F7A80">
      <w:pPr>
        <w:pStyle w:val="Heading3"/>
      </w:pPr>
      <w:bookmarkStart w:id="37" w:name="_Toc505150537"/>
      <w:r w:rsidRPr="00A92995">
        <w:t>Reflective Impact of Diagnosis</w:t>
      </w:r>
      <w:bookmarkEnd w:id="37"/>
    </w:p>
    <w:p w14:paraId="40C65748" w14:textId="77777777" w:rsidR="00AB73E0" w:rsidRPr="00A92995" w:rsidRDefault="00AB73E0" w:rsidP="00AB73E0"/>
    <w:p w14:paraId="140F3808" w14:textId="1004EDCC" w:rsidR="00AB73E0" w:rsidRPr="00A92995" w:rsidRDefault="00AB73E0" w:rsidP="001B7A6C">
      <w:pPr>
        <w:widowControl w:val="0"/>
        <w:autoSpaceDE w:val="0"/>
        <w:autoSpaceDN w:val="0"/>
        <w:adjustRightInd w:val="0"/>
        <w:spacing w:after="240" w:line="360" w:lineRule="auto"/>
      </w:pPr>
      <w:r w:rsidRPr="00A92995">
        <w:t xml:space="preserve">Upon receiving the diagnosis of a mood disorder, and being presented with various treatment options, </w:t>
      </w:r>
      <w:r w:rsidR="002F2208" w:rsidRPr="00A92995">
        <w:t>Simone</w:t>
      </w:r>
      <w:r w:rsidR="00B2700C" w:rsidRPr="00A92995">
        <w:t xml:space="preserve"> finds</w:t>
      </w:r>
      <w:r w:rsidRPr="00A92995">
        <w:t xml:space="preserve"> herself in a therapeutic double-bind. She knows that taking the prescribed medication amounts to accepting her new diagnosis and the implications it brings. Besides her own hesitation to accept the diagnosis, she knows that her family and friends will have their own objections. She is free to reject the diagnosis and opt not to take the medication, but she cannot return to a state of not-knowing that the diagnosis is possibly true. Her denial will not change the facts that lead to her diagnosis: </w:t>
      </w:r>
      <w:r w:rsidR="002F2208" w:rsidRPr="00A92995">
        <w:t>her</w:t>
      </w:r>
      <w:r w:rsidRPr="00A92995">
        <w:t xml:space="preserve"> experience</w:t>
      </w:r>
      <w:r w:rsidR="002F2208" w:rsidRPr="00A92995">
        <w:t xml:space="preserve"> of</w:t>
      </w:r>
      <w:r w:rsidRPr="00A92995">
        <w:t xml:space="preserve"> the symptoms of the mood disorder, her family history</w:t>
      </w:r>
      <w:r w:rsidR="002F2208" w:rsidRPr="00A92995">
        <w:t xml:space="preserve"> which</w:t>
      </w:r>
      <w:r w:rsidRPr="00A92995">
        <w:t xml:space="preserve"> predisposes her to developing the mental disorder, and the episodic nature of mood disorder mean</w:t>
      </w:r>
      <w:r w:rsidR="002F2208" w:rsidRPr="00A92995">
        <w:t>ing</w:t>
      </w:r>
      <w:r w:rsidRPr="00A92995">
        <w:t xml:space="preserve"> that her symptoms will likely return eventually. This is an incredibly difficult position for any patient, and </w:t>
      </w:r>
      <w:r w:rsidR="002F2208" w:rsidRPr="00A92995">
        <w:t xml:space="preserve">as in all clinical encounters, </w:t>
      </w:r>
      <w:r w:rsidRPr="00A92995">
        <w:t>the decision to either proceed with or deny treatment must be made with as much autonomy as possible. This deliberative process demonstrates that the patient has some degree of self-insight, and we can also assume that she meets the minimal requirements of competency, since the burden of choice regarding treatment is squarely on the patient herself. Let us consider, then,</w:t>
      </w:r>
      <w:r w:rsidR="002F2208" w:rsidRPr="00A92995">
        <w:t xml:space="preserve"> how</w:t>
      </w:r>
      <w:r w:rsidRPr="00A92995">
        <w:t xml:space="preserve"> the various aspects of </w:t>
      </w:r>
      <w:r w:rsidR="002F2208" w:rsidRPr="00A92995">
        <w:t xml:space="preserve">Simone’s </w:t>
      </w:r>
      <w:r w:rsidRPr="00A92995">
        <w:t xml:space="preserve">lived experience which will bear on her sense of autonomy. I use Tekin’s </w:t>
      </w:r>
      <w:r w:rsidR="002F2208" w:rsidRPr="00A92995">
        <w:t xml:space="preserve">categorical </w:t>
      </w:r>
      <w:r w:rsidRPr="00A92995">
        <w:t>framework</w:t>
      </w:r>
      <w:r w:rsidR="002F2208" w:rsidRPr="00A92995">
        <w:t xml:space="preserve"> of lived experience (personal identity, puzzling mental states</w:t>
      </w:r>
      <w:r w:rsidR="00992B60" w:rsidRPr="00A92995">
        <w:t>,</w:t>
      </w:r>
      <w:r w:rsidR="002F2208" w:rsidRPr="00A92995">
        <w:t xml:space="preserve"> and DSM Culture) </w:t>
      </w:r>
      <w:r w:rsidRPr="00A92995">
        <w:t xml:space="preserve">to structure this analysis. </w:t>
      </w:r>
    </w:p>
    <w:p w14:paraId="26E53A56" w14:textId="2B47E785" w:rsidR="00AB73E0" w:rsidRPr="00A92995" w:rsidRDefault="00AB73E0" w:rsidP="006F7A80">
      <w:pPr>
        <w:pStyle w:val="Heading3"/>
      </w:pPr>
      <w:bookmarkStart w:id="38" w:name="_Toc505150538"/>
      <w:r w:rsidRPr="00A92995">
        <w:t>Personal Identity</w:t>
      </w:r>
      <w:bookmarkEnd w:id="38"/>
    </w:p>
    <w:p w14:paraId="42FBCE42" w14:textId="77777777" w:rsidR="00AB73E0" w:rsidRPr="00A92995" w:rsidRDefault="00AB73E0" w:rsidP="00AB73E0"/>
    <w:p w14:paraId="2D1C2FD5" w14:textId="6A5EC4C9" w:rsidR="000A2C29" w:rsidRPr="00A92995" w:rsidRDefault="00C47FBF" w:rsidP="000A2C29">
      <w:pPr>
        <w:widowControl w:val="0"/>
        <w:autoSpaceDE w:val="0"/>
        <w:autoSpaceDN w:val="0"/>
        <w:adjustRightInd w:val="0"/>
        <w:spacing w:after="240" w:line="360" w:lineRule="auto"/>
        <w:contextualSpacing/>
      </w:pPr>
      <w:r w:rsidRPr="00A92995">
        <w:t xml:space="preserve">Personal identity is constituted by the agent’s physical and social </w:t>
      </w:r>
      <w:r w:rsidR="00AB73E0" w:rsidRPr="00A92995">
        <w:t xml:space="preserve">embodiment, </w:t>
      </w:r>
      <w:r w:rsidRPr="00A92995">
        <w:t xml:space="preserve">elements </w:t>
      </w:r>
      <w:r w:rsidR="00AB73E0" w:rsidRPr="00A92995">
        <w:t xml:space="preserve">such as gender, race, and occupation; socioeconomic status; moral character and dispositions; beliefs, desires, and preferences. </w:t>
      </w:r>
      <w:r w:rsidR="00B2700C" w:rsidRPr="00A92995">
        <w:t xml:space="preserve">Also, recall </w:t>
      </w:r>
      <w:r w:rsidR="00AB73E0" w:rsidRPr="00A92995">
        <w:t xml:space="preserve">that the agent’s personal identity includes her </w:t>
      </w:r>
      <w:r w:rsidRPr="00A92995">
        <w:t xml:space="preserve">somatic </w:t>
      </w:r>
      <w:r w:rsidR="00AB73E0" w:rsidRPr="00A92995">
        <w:t>embodiment, including any physical disabilities, appearance, stature, physical health, fitness, and her sexual health.</w:t>
      </w:r>
      <w:r w:rsidR="002D7FD2" w:rsidRPr="00A92995">
        <w:t xml:space="preserve"> Upon diagnosis, Simone might reflect on the various elements of her personal identity and how factor in to her diagnosis and the experience of her symptoms. </w:t>
      </w:r>
    </w:p>
    <w:p w14:paraId="492FB927" w14:textId="15D466BD" w:rsidR="002D7FD2" w:rsidRPr="00A92995" w:rsidRDefault="002D7FD2" w:rsidP="000A2C29">
      <w:pPr>
        <w:widowControl w:val="0"/>
        <w:autoSpaceDE w:val="0"/>
        <w:autoSpaceDN w:val="0"/>
        <w:adjustRightInd w:val="0"/>
        <w:spacing w:after="240" w:line="360" w:lineRule="auto"/>
        <w:ind w:firstLine="720"/>
        <w:contextualSpacing/>
      </w:pPr>
      <w:r w:rsidRPr="00A92995">
        <w:t>For example, g</w:t>
      </w:r>
      <w:r w:rsidR="00AB73E0" w:rsidRPr="00A92995">
        <w:t xml:space="preserve">endered socialization leads </w:t>
      </w:r>
      <w:r w:rsidR="00C47FBF" w:rsidRPr="00A92995">
        <w:t xml:space="preserve">many </w:t>
      </w:r>
      <w:r w:rsidR="00AB73E0" w:rsidRPr="00A92995">
        <w:t xml:space="preserve">patients to internalize the belief that women have mood swings as part of their biological nature. Their hormonal shifts along with reproductive cycles affect </w:t>
      </w:r>
      <w:r w:rsidR="00C47FBF" w:rsidRPr="00A92995">
        <w:t xml:space="preserve">the </w:t>
      </w:r>
      <w:r w:rsidR="00AB73E0" w:rsidRPr="00A92995">
        <w:t>emotional and cognitive state</w:t>
      </w:r>
      <w:r w:rsidR="00C47FBF" w:rsidRPr="00A92995">
        <w:t xml:space="preserve"> of women</w:t>
      </w:r>
      <w:r w:rsidR="00AB73E0" w:rsidRPr="00A92995">
        <w:t xml:space="preserve">. </w:t>
      </w:r>
      <w:r w:rsidR="00C47FBF" w:rsidRPr="00A92995">
        <w:t>O</w:t>
      </w:r>
      <w:r w:rsidR="00AB73E0" w:rsidRPr="00A92995">
        <w:t xml:space="preserve">ppressive gender roles discourage passionate expressions of emotion, labeling any such expressions ‘hysterical’ or </w:t>
      </w:r>
      <w:r w:rsidR="00AB73E0" w:rsidRPr="00A92995">
        <w:lastRenderedPageBreak/>
        <w:t>‘dramatic’.</w:t>
      </w:r>
      <w:r w:rsidRPr="00A92995">
        <w:t xml:space="preserve"> Simone might be tempted to adopt a similar view in order to explain her behavior and symptoms. Even if she does not, she may be confused about whether there might be any truth to the belief that hormonal changes contribute to dramatic mood swings. </w:t>
      </w:r>
    </w:p>
    <w:p w14:paraId="02111892" w14:textId="4CE23CC7" w:rsidR="00AB73E0" w:rsidRPr="00A92995" w:rsidRDefault="002D7FD2" w:rsidP="000A2C29">
      <w:pPr>
        <w:widowControl w:val="0"/>
        <w:autoSpaceDE w:val="0"/>
        <w:autoSpaceDN w:val="0"/>
        <w:adjustRightInd w:val="0"/>
        <w:spacing w:after="240" w:line="360" w:lineRule="auto"/>
        <w:ind w:firstLine="720"/>
        <w:contextualSpacing/>
      </w:pPr>
      <w:r w:rsidRPr="00A92995">
        <w:t xml:space="preserve">Our patient might also consider the fact that </w:t>
      </w:r>
      <w:r w:rsidR="00AB73E0" w:rsidRPr="00A92995">
        <w:t>much of the research which informs DSM diagnostic criteria is male</w:t>
      </w:r>
      <w:r w:rsidR="00C47FBF" w:rsidRPr="00A92995">
        <w:t>-</w:t>
      </w:r>
      <w:r w:rsidR="00AB73E0" w:rsidRPr="00A92995">
        <w:t xml:space="preserve">biased, and particularly </w:t>
      </w:r>
      <w:r w:rsidR="00C47FBF" w:rsidRPr="00A92995">
        <w:t>favors</w:t>
      </w:r>
      <w:r w:rsidR="00AB73E0" w:rsidRPr="00A92995">
        <w:t xml:space="preserve"> straight, white, American men. </w:t>
      </w:r>
      <w:r w:rsidRPr="00A92995">
        <w:t>She</w:t>
      </w:r>
      <w:r w:rsidR="00AB73E0" w:rsidRPr="00A92995">
        <w:t xml:space="preserve"> may not feel particularly supported by the scientific research knowing that she and members of her gender/sexuality/race/culture are not adequately represented. Such concerns with the psychiatric establishment may be fueled by the DSM-</w:t>
      </w:r>
      <w:r w:rsidRPr="00A92995">
        <w:t>culture and</w:t>
      </w:r>
      <w:r w:rsidR="00AB73E0" w:rsidRPr="00A92995">
        <w:t xml:space="preserve"> have potentially serious consequences on patients’ experiences of diagnosis and decisions for treatment.</w:t>
      </w:r>
      <w:r w:rsidRPr="00A92995">
        <w:t xml:space="preserve"> For her to proceed with treatment requires her to accept the diagnosis, and many elements of her personal identity – including her social roles and her interpersonal relationships - might prevent her from doing so. </w:t>
      </w:r>
    </w:p>
    <w:p w14:paraId="64E83CC7" w14:textId="1C2ADB9F" w:rsidR="00AB73E0" w:rsidRPr="00A92995" w:rsidRDefault="00AB73E0" w:rsidP="006F7A80">
      <w:pPr>
        <w:pStyle w:val="Heading3"/>
      </w:pPr>
      <w:bookmarkStart w:id="39" w:name="_Toc505150539"/>
      <w:r w:rsidRPr="00A92995">
        <w:t>Puzzling Mental States</w:t>
      </w:r>
      <w:bookmarkEnd w:id="39"/>
    </w:p>
    <w:p w14:paraId="3C7090C9" w14:textId="77777777" w:rsidR="00AB73E0" w:rsidRPr="00A92995" w:rsidRDefault="00AB73E0" w:rsidP="00AB73E0"/>
    <w:p w14:paraId="3035AC76" w14:textId="485F0A23" w:rsidR="008203B8" w:rsidRPr="00A92995" w:rsidRDefault="00AB73E0" w:rsidP="005069EB">
      <w:pPr>
        <w:widowControl w:val="0"/>
        <w:autoSpaceDE w:val="0"/>
        <w:autoSpaceDN w:val="0"/>
        <w:adjustRightInd w:val="0"/>
        <w:spacing w:after="240" w:line="360" w:lineRule="auto"/>
        <w:contextualSpacing/>
      </w:pPr>
      <w:r w:rsidRPr="00A92995">
        <w:t xml:space="preserve">As discussed above, </w:t>
      </w:r>
      <w:r w:rsidR="002D7FD2" w:rsidRPr="00A92995">
        <w:t xml:space="preserve">Simone is in </w:t>
      </w:r>
      <w:r w:rsidRPr="00A92995">
        <w:t>therapeutic double</w:t>
      </w:r>
      <w:r w:rsidR="00AC64BF" w:rsidRPr="00A92995">
        <w:t>-</w:t>
      </w:r>
      <w:r w:rsidRPr="00A92995">
        <w:t xml:space="preserve">bind </w:t>
      </w:r>
      <w:r w:rsidR="002D7FD2" w:rsidRPr="00A92995">
        <w:t>that is intensified</w:t>
      </w:r>
      <w:r w:rsidRPr="00A92995">
        <w:t xml:space="preserve"> by the complex interaction between aspects of her personal, professional, and social life</w:t>
      </w:r>
      <w:r w:rsidR="002D7FD2" w:rsidRPr="00A92995">
        <w:t xml:space="preserve">; </w:t>
      </w:r>
      <w:r w:rsidRPr="00A92995">
        <w:t>her interpersonal relationships</w:t>
      </w:r>
      <w:r w:rsidR="002D7FD2" w:rsidRPr="00A92995">
        <w:t>; and</w:t>
      </w:r>
      <w:r w:rsidRPr="00A92995">
        <w:t xml:space="preserve"> the effects of her culture and socialization that she may or may not be aware of. The combination of DSM-culture, </w:t>
      </w:r>
      <w:r w:rsidR="00E04FDE" w:rsidRPr="00A92995">
        <w:t xml:space="preserve">what she learned about </w:t>
      </w:r>
      <w:r w:rsidRPr="00A92995">
        <w:t>mental disorders in university, the information provided to her by experts, her considerations of interpersonal relationships, and the values, beliefs, and life-plans she had prior to diagnosis</w:t>
      </w:r>
      <w:r w:rsidR="00BE21D7" w:rsidRPr="00A92995">
        <w:t xml:space="preserve"> – these </w:t>
      </w:r>
      <w:r w:rsidR="00A22469" w:rsidRPr="00A92995">
        <w:t>all</w:t>
      </w:r>
      <w:r w:rsidR="00AC64BF" w:rsidRPr="00A92995">
        <w:t xml:space="preserve"> </w:t>
      </w:r>
      <w:r w:rsidR="00A22469" w:rsidRPr="00A92995">
        <w:t>contribute to the extremely distressing experience of being diagnosed</w:t>
      </w:r>
      <w:r w:rsidR="00E04FDE" w:rsidRPr="00A92995">
        <w:t xml:space="preserve"> and essentially choosing to accept the diagnosis or not</w:t>
      </w:r>
      <w:r w:rsidR="00A22469" w:rsidRPr="00A92995">
        <w:t xml:space="preserve">. </w:t>
      </w:r>
    </w:p>
    <w:p w14:paraId="2904FEC4" w14:textId="0114CF03" w:rsidR="00AD2BAC" w:rsidRPr="00A92995" w:rsidRDefault="00AB73E0" w:rsidP="000A2C29">
      <w:pPr>
        <w:widowControl w:val="0"/>
        <w:autoSpaceDE w:val="0"/>
        <w:autoSpaceDN w:val="0"/>
        <w:adjustRightInd w:val="0"/>
        <w:spacing w:after="240" w:line="360" w:lineRule="auto"/>
        <w:ind w:firstLine="720"/>
        <w:contextualSpacing/>
      </w:pPr>
      <w:r w:rsidRPr="00A92995">
        <w:t xml:space="preserve">Given that Bipolar </w:t>
      </w:r>
      <w:r w:rsidR="002F1163" w:rsidRPr="00A92995">
        <w:t xml:space="preserve">II </w:t>
      </w:r>
      <w:r w:rsidRPr="00A92995">
        <w:t xml:space="preserve">does not significantly impact the patient’s cognitive reasoning skills and capacities for critical reflection, </w:t>
      </w:r>
      <w:r w:rsidR="00E04FDE" w:rsidRPr="00A92995">
        <w:t>Simone</w:t>
      </w:r>
      <w:r w:rsidRPr="00A92995">
        <w:t xml:space="preserve"> is</w:t>
      </w:r>
      <w:r w:rsidR="00E04FDE" w:rsidRPr="00A92995">
        <w:t xml:space="preserve"> quite</w:t>
      </w:r>
      <w:r w:rsidRPr="00A92995">
        <w:t xml:space="preserve"> capable of evaluating her beliefs and desires by those processes laid out by procedural theories of autonomy. This includes the requirements laid out by John Christman’s historical account</w:t>
      </w:r>
      <w:r w:rsidR="002E07F6" w:rsidRPr="00A92995">
        <w:t xml:space="preserve">, according to which a person </w:t>
      </w:r>
      <w:r w:rsidRPr="00A92995">
        <w:t xml:space="preserve">evaluates how her desires were formed. However, as we discussed in the autonomy section, it does not follow that she will come to any clear understanding of which beliefs have been created by internalized oppression or oppressive socialization. She may even be incapable of distinguishing benign socialization from pernicious socialization, making it even less likely that she can reflectively endorse any of her preferences, and more likely that she will be left with a set of puzzling mental states. For instance, when diagnosed, the patient is faced with the reality that she may not have </w:t>
      </w:r>
      <w:r w:rsidRPr="00A92995">
        <w:lastRenderedPageBreak/>
        <w:t>known herself as well as she thought she did; that her behavior has been influenced by unbalanced neurochemistry for an unknown period of time. This is a frightening prospect which leads her to question her reality. As Smith and Newton discuss, “some patients report feeling alone, lost, isolated, out of control, falling into an unknown abyss, and even unable any longer to ‘see’ themselves.”</w:t>
      </w:r>
      <w:r w:rsidRPr="00A92995">
        <w:rPr>
          <w:rStyle w:val="FootnoteReference"/>
          <w:sz w:val="24"/>
        </w:rPr>
        <w:footnoteReference w:id="108"/>
      </w:r>
      <w:r w:rsidRPr="00A92995">
        <w:t xml:space="preserve"> Further, </w:t>
      </w:r>
      <w:r w:rsidR="00E04FDE" w:rsidRPr="00A92995">
        <w:t>Simone</w:t>
      </w:r>
      <w:r w:rsidRPr="00A92995">
        <w:t xml:space="preserve"> might begin to </w:t>
      </w:r>
      <w:r w:rsidR="00E04FDE" w:rsidRPr="00A92995">
        <w:t xml:space="preserve">seriously </w:t>
      </w:r>
      <w:r w:rsidRPr="00A92995">
        <w:t xml:space="preserve">question the reliability of her </w:t>
      </w:r>
      <w:r w:rsidR="00E04FDE" w:rsidRPr="00A92995">
        <w:t xml:space="preserve">own </w:t>
      </w:r>
      <w:r w:rsidRPr="00A92995">
        <w:t xml:space="preserve">decision-making skills, </w:t>
      </w:r>
      <w:r w:rsidR="00E04FDE" w:rsidRPr="00A92995">
        <w:t xml:space="preserve">doubts which essentially </w:t>
      </w:r>
      <w:r w:rsidRPr="00A92995">
        <w:t>shak</w:t>
      </w:r>
      <w:r w:rsidR="00E04FDE" w:rsidRPr="00A92995">
        <w:t>e</w:t>
      </w:r>
      <w:r w:rsidRPr="00A92995">
        <w:t xml:space="preserve"> the foundation of all three levels of self-trust espoused by McLeod and Sherwin.</w:t>
      </w:r>
      <w:r w:rsidR="00AC64BF" w:rsidRPr="00A92995">
        <w:t xml:space="preserve"> Trust in oneself to make the right choice; trust that one is brave enough and capable of acting on the choice made; and trust that the information which informs the decision she ultimately makes is sound and reliable.</w:t>
      </w:r>
      <w:r w:rsidRPr="00A92995">
        <w:t xml:space="preserve"> All this occurs during this therapeutic double</w:t>
      </w:r>
      <w:r w:rsidR="00FA4D39" w:rsidRPr="00A92995">
        <w:t>-</w:t>
      </w:r>
      <w:r w:rsidRPr="00A92995">
        <w:t xml:space="preserve">bind, a time when </w:t>
      </w:r>
      <w:r w:rsidR="00E04FDE" w:rsidRPr="00A92995">
        <w:t xml:space="preserve">Simone </w:t>
      </w:r>
      <w:r w:rsidRPr="00A92995">
        <w:t xml:space="preserve">is expected to make decisions about treatment. The reflection process, together with the recognition that her motivational structures may </w:t>
      </w:r>
      <w:r w:rsidRPr="00A92995">
        <w:rPr>
          <w:i/>
        </w:rPr>
        <w:t xml:space="preserve">not </w:t>
      </w:r>
      <w:r w:rsidRPr="00A92995">
        <w:t>be her own, has the potential to create significant distress for any agent at any time, and such puzzling mental states contribute negatively to a patient’s self-trust, self-concept, and self-insight. Thus, such puzzling mental states bear on her capacity to make autonomous choices regarding treatment.</w:t>
      </w:r>
    </w:p>
    <w:p w14:paraId="18394446" w14:textId="2BED8D2F" w:rsidR="000C2DE1" w:rsidRPr="00A92995" w:rsidRDefault="00AB73E0" w:rsidP="00AD2BAC">
      <w:pPr>
        <w:widowControl w:val="0"/>
        <w:autoSpaceDE w:val="0"/>
        <w:autoSpaceDN w:val="0"/>
        <w:adjustRightInd w:val="0"/>
        <w:spacing w:after="240" w:line="360" w:lineRule="auto"/>
        <w:ind w:firstLine="720"/>
        <w:contextualSpacing/>
      </w:pPr>
      <w:r w:rsidRPr="00A92995">
        <w:t xml:space="preserve">Another central element of </w:t>
      </w:r>
      <w:r w:rsidR="0088519A" w:rsidRPr="00A92995">
        <w:t xml:space="preserve">our patient’s </w:t>
      </w:r>
      <w:r w:rsidRPr="00A92995">
        <w:t xml:space="preserve">personal identity is her philosophical commitments and values, including the </w:t>
      </w:r>
      <w:r w:rsidR="00916E07" w:rsidRPr="00A92995">
        <w:t xml:space="preserve">value </w:t>
      </w:r>
      <w:r w:rsidRPr="00A92995">
        <w:t>of authenticity as discussed earlier. People structure their lives and decisions around their belief systems, which are in turn informed by their faith, upbringing, education, and various other experiences. As discussed earlier, some patients are preoccupied with notions of authenticity</w:t>
      </w:r>
      <w:r w:rsidR="00A22469" w:rsidRPr="00A92995">
        <w:t>, which becomes very confusing once diagnosed</w:t>
      </w:r>
      <w:r w:rsidR="0009263D" w:rsidRPr="00A92995">
        <w:t xml:space="preserve">, </w:t>
      </w:r>
      <w:r w:rsidR="00A22469" w:rsidRPr="00A92995">
        <w:t>further destabilizing</w:t>
      </w:r>
      <w:r w:rsidRPr="00A92995">
        <w:t xml:space="preserve"> self-understanding and self-concept. </w:t>
      </w:r>
      <w:r w:rsidR="00146FD2" w:rsidRPr="00A92995">
        <w:t xml:space="preserve">Simone’s </w:t>
      </w:r>
      <w:r w:rsidRPr="00A92995">
        <w:t xml:space="preserve">diagnosis has made it almost impossible </w:t>
      </w:r>
      <w:r w:rsidR="00146FD2" w:rsidRPr="00A92995">
        <w:t xml:space="preserve">for her </w:t>
      </w:r>
      <w:r w:rsidRPr="00A92995">
        <w:t xml:space="preserve">to distinguish the extent to which her illness is an uncontrollable feature of her physical existence; or to what extent she should commit to overcoming psychological distress </w:t>
      </w:r>
      <w:r w:rsidRPr="00A92995">
        <w:rPr>
          <w:i/>
        </w:rPr>
        <w:t>without</w:t>
      </w:r>
      <w:r w:rsidRPr="00A92995">
        <w:t xml:space="preserve"> over</w:t>
      </w:r>
      <w:r w:rsidR="00A22469" w:rsidRPr="00A92995">
        <w:t>-estimating the power of her cognitive abilities to control her moods</w:t>
      </w:r>
      <w:r w:rsidRPr="00A92995">
        <w:t xml:space="preserve">. This is reminiscent of Tekin’s discussion regarding externalization and disownership, and how a patient’s over-identification with symptom-based diagnosis might negatively bear on </w:t>
      </w:r>
      <w:r w:rsidR="0082488A" w:rsidRPr="00A92995">
        <w:t>her</w:t>
      </w:r>
      <w:r w:rsidRPr="00A92995">
        <w:t xml:space="preserve"> self-insight.</w:t>
      </w:r>
    </w:p>
    <w:p w14:paraId="56D3FC78" w14:textId="6B3546B2" w:rsidR="008E63AB" w:rsidRPr="00A92995" w:rsidRDefault="00AB73E0" w:rsidP="005069EB">
      <w:pPr>
        <w:spacing w:line="360" w:lineRule="auto"/>
        <w:ind w:firstLine="720"/>
      </w:pPr>
      <w:r w:rsidRPr="00A92995">
        <w:t xml:space="preserve">With regard to treatment, our patient faces further inner conflict when she considers the effects that medication may have on her authenticity. She may be made aware that the medication is intended to help regulate her moods and hopefully stabilize the social, </w:t>
      </w:r>
      <w:r w:rsidRPr="00A92995">
        <w:lastRenderedPageBreak/>
        <w:t xml:space="preserve">occupational, or domestic impairments that her illness may have created. However, she is also aware of the side effects of this medication. If she chooses to take the medication, she may no longer enjoy the enthusiasm, efficiency, creativity, and energy that she experiences in a hypomanic state. Also, she may be concerned with the social stigma attached to being on chronic medication. Perhaps she will even question whether she would be technically autonomous while on the medication. Some medications are notoriously reported to drain patients’ creativity, vitality and what seems to others to be their ‘personality’. She might begin to think that perhaps </w:t>
      </w:r>
      <w:r w:rsidRPr="00A92995">
        <w:rPr>
          <w:i/>
        </w:rPr>
        <w:t xml:space="preserve">not </w:t>
      </w:r>
      <w:r w:rsidRPr="00A92995">
        <w:t xml:space="preserve">taking medication would not be so bad: a depressive episode might be a small price to pay if she feels </w:t>
      </w:r>
      <w:r w:rsidRPr="00A92995">
        <w:rPr>
          <w:i/>
        </w:rPr>
        <w:t>more</w:t>
      </w:r>
      <w:r w:rsidRPr="00A92995">
        <w:t xml:space="preserve"> autonomous during a euthymic (non-depressed, non-elevated) mood state or even in a hypomanic episode.</w:t>
      </w:r>
      <w:r w:rsidR="00626756" w:rsidRPr="00A92995">
        <w:t xml:space="preserve"> </w:t>
      </w:r>
      <w:r w:rsidRPr="00A92995">
        <w:t>On the other hand, there is no way to predict the length or severity of her next depressive episode, nor whether her next hypomanic episode will be manageable or develop into a full manic episode.</w:t>
      </w:r>
      <w:r w:rsidR="00626756" w:rsidRPr="00A92995">
        <w:t xml:space="preserve"> </w:t>
      </w:r>
      <w:r w:rsidRPr="00A92995">
        <w:t>Once again</w:t>
      </w:r>
      <w:r w:rsidR="00626756" w:rsidRPr="00A92995">
        <w:t>,</w:t>
      </w:r>
      <w:r w:rsidRPr="00A92995">
        <w:t xml:space="preserve"> we see the effects of this therapeutic double</w:t>
      </w:r>
      <w:r w:rsidR="00146FD2" w:rsidRPr="00A92995">
        <w:t>-</w:t>
      </w:r>
      <w:r w:rsidRPr="00A92995">
        <w:t>bind: she is changed if she does, changed if she doesn’t. Of course</w:t>
      </w:r>
      <w:r w:rsidR="00A22469" w:rsidRPr="00A92995">
        <w:t>,</w:t>
      </w:r>
      <w:r w:rsidRPr="00A92995">
        <w:t xml:space="preserve"> </w:t>
      </w:r>
      <w:r w:rsidR="00E04FDE" w:rsidRPr="00A92995">
        <w:t xml:space="preserve">our patient is aware that </w:t>
      </w:r>
      <w:r w:rsidRPr="00A92995">
        <w:t xml:space="preserve">there are pros and cons to either option, but </w:t>
      </w:r>
      <w:r w:rsidR="00E04FDE" w:rsidRPr="00A92995">
        <w:t xml:space="preserve">the quandary stands: </w:t>
      </w:r>
      <w:r w:rsidRPr="00A92995">
        <w:t>either option is a potentially life</w:t>
      </w:r>
      <w:r w:rsidR="00146FD2" w:rsidRPr="00A92995">
        <w:t>-</w:t>
      </w:r>
      <w:r w:rsidRPr="00A92995">
        <w:t xml:space="preserve">changing one, and it is this experience itself which destabilizes her sense of authenticity, effectively undermining her autonomy. </w:t>
      </w:r>
    </w:p>
    <w:p w14:paraId="068D7B14" w14:textId="79CC07BF" w:rsidR="00AB73E0" w:rsidRPr="00A92995" w:rsidRDefault="00AB73E0" w:rsidP="005069EB">
      <w:pPr>
        <w:widowControl w:val="0"/>
        <w:autoSpaceDE w:val="0"/>
        <w:autoSpaceDN w:val="0"/>
        <w:adjustRightInd w:val="0"/>
        <w:spacing w:after="240" w:line="360" w:lineRule="auto"/>
        <w:ind w:firstLine="720"/>
        <w:rPr>
          <w:color w:val="C00000"/>
        </w:rPr>
      </w:pPr>
      <w:r w:rsidRPr="00A92995">
        <w:t xml:space="preserve">It seems to me, on various levels, </w:t>
      </w:r>
      <w:r w:rsidR="00E04FDE" w:rsidRPr="00A92995">
        <w:t>that an overwhelming</w:t>
      </w:r>
      <w:r w:rsidRPr="00A92995">
        <w:t xml:space="preserve"> existential tension grips </w:t>
      </w:r>
      <w:r w:rsidR="00E04FDE" w:rsidRPr="00A92995">
        <w:t xml:space="preserve">our </w:t>
      </w:r>
      <w:r w:rsidRPr="00A92995">
        <w:t xml:space="preserve">patient after diagnosis, one that is not easily resolved and especially not in the current psychotherapeutic system. Philosophical, moral, or and/or spiritual commitments could confuse the patient to the extent that she feels caught in a bind between her previously held beliefs and the </w:t>
      </w:r>
      <w:r w:rsidR="00E04FDE" w:rsidRPr="00A92995">
        <w:t xml:space="preserve">mode </w:t>
      </w:r>
      <w:r w:rsidRPr="00A92995">
        <w:t>of treatment (or non-treatment) that lies ahead. Such confusion could be the result of dissonance between diagnosis</w:t>
      </w:r>
      <w:r w:rsidR="00AD2BAC" w:rsidRPr="00A92995">
        <w:t>;</w:t>
      </w:r>
      <w:r w:rsidRPr="00A92995">
        <w:t xml:space="preserve"> information disseminated by DSM-culture and counter-DSM-culture</w:t>
      </w:r>
      <w:r w:rsidR="00AD2BAC" w:rsidRPr="00A92995">
        <w:t>;</w:t>
      </w:r>
      <w:r w:rsidRPr="00A92995">
        <w:t xml:space="preserve"> sociocultural </w:t>
      </w:r>
      <w:r w:rsidR="00AD2BAC" w:rsidRPr="00A92995">
        <w:t xml:space="preserve">and </w:t>
      </w:r>
      <w:r w:rsidRPr="00A92995">
        <w:t>familial norms and values</w:t>
      </w:r>
      <w:r w:rsidR="00AD2BAC" w:rsidRPr="00A92995">
        <w:t xml:space="preserve">; </w:t>
      </w:r>
      <w:r w:rsidR="00581760" w:rsidRPr="00A92995">
        <w:t>and her own deeply held values and beliefs</w:t>
      </w:r>
      <w:r w:rsidR="00AD2BAC" w:rsidRPr="00A92995">
        <w:t>.</w:t>
      </w:r>
      <w:r w:rsidRPr="00A92995">
        <w:t xml:space="preserve"> </w:t>
      </w:r>
    </w:p>
    <w:p w14:paraId="7CB76EED" w14:textId="1A26A72B" w:rsidR="00AB73E0" w:rsidRPr="00A92995" w:rsidRDefault="00AB73E0" w:rsidP="006F7A80">
      <w:pPr>
        <w:pStyle w:val="Heading3"/>
      </w:pPr>
      <w:bookmarkStart w:id="40" w:name="_Toc505150540"/>
      <w:r w:rsidRPr="00A92995">
        <w:t>Interpersonal Relationships</w:t>
      </w:r>
      <w:bookmarkEnd w:id="40"/>
    </w:p>
    <w:p w14:paraId="7E8FC959" w14:textId="77777777" w:rsidR="008E63AB" w:rsidRPr="00A92995" w:rsidRDefault="008E63AB" w:rsidP="005069EB"/>
    <w:p w14:paraId="04E8F8DA" w14:textId="2301D045" w:rsidR="00AD2BAC" w:rsidRPr="00A92995" w:rsidRDefault="0088519A" w:rsidP="00AD2BAC">
      <w:pPr>
        <w:widowControl w:val="0"/>
        <w:autoSpaceDE w:val="0"/>
        <w:autoSpaceDN w:val="0"/>
        <w:adjustRightInd w:val="0"/>
        <w:spacing w:after="240" w:line="360" w:lineRule="auto"/>
        <w:ind w:right="91"/>
        <w:contextualSpacing/>
        <w:rPr>
          <w:color w:val="000000"/>
        </w:rPr>
      </w:pPr>
      <w:r w:rsidRPr="00A92995">
        <w:rPr>
          <w:color w:val="000000"/>
        </w:rPr>
        <w:t>O</w:t>
      </w:r>
      <w:r w:rsidR="00E04FDE" w:rsidRPr="00A92995">
        <w:rPr>
          <w:color w:val="000000"/>
        </w:rPr>
        <w:t>ther inescapable influence</w:t>
      </w:r>
      <w:r w:rsidRPr="00A92995">
        <w:rPr>
          <w:color w:val="000000"/>
        </w:rPr>
        <w:t>s</w:t>
      </w:r>
      <w:r w:rsidR="00E04FDE" w:rsidRPr="00A92995">
        <w:rPr>
          <w:color w:val="000000"/>
        </w:rPr>
        <w:t xml:space="preserve"> on Simone during</w:t>
      </w:r>
      <w:r w:rsidRPr="00A92995">
        <w:rPr>
          <w:color w:val="000000"/>
        </w:rPr>
        <w:t xml:space="preserve"> her diagnosis are </w:t>
      </w:r>
      <w:r w:rsidR="00E04FDE" w:rsidRPr="00A92995">
        <w:rPr>
          <w:color w:val="000000"/>
        </w:rPr>
        <w:t xml:space="preserve">her </w:t>
      </w:r>
      <w:r w:rsidRPr="00A92995">
        <w:rPr>
          <w:color w:val="000000"/>
        </w:rPr>
        <w:t xml:space="preserve">interpersonal </w:t>
      </w:r>
      <w:r w:rsidR="00AB73E0" w:rsidRPr="00A92995">
        <w:rPr>
          <w:color w:val="000000"/>
        </w:rPr>
        <w:t>relations</w:t>
      </w:r>
      <w:r w:rsidRPr="00A92995">
        <w:rPr>
          <w:color w:val="000000"/>
        </w:rPr>
        <w:t>hips</w:t>
      </w:r>
      <w:r w:rsidR="00E04FDE" w:rsidRPr="00A92995">
        <w:rPr>
          <w:color w:val="000000"/>
        </w:rPr>
        <w:t>, which will inevitably</w:t>
      </w:r>
      <w:r w:rsidR="00AB73E0" w:rsidRPr="00A92995">
        <w:rPr>
          <w:color w:val="000000"/>
        </w:rPr>
        <w:t xml:space="preserve"> will affect her experience of diagnosis and treatment decisions in some way or another. These can be romantic relationships, friendships, relationships with her family, acquaintances, and colleagues. </w:t>
      </w:r>
      <w:r w:rsidR="00946D1B" w:rsidRPr="00A92995">
        <w:rPr>
          <w:color w:val="000000"/>
        </w:rPr>
        <w:t>Other important influential</w:t>
      </w:r>
      <w:r w:rsidR="00E04FDE" w:rsidRPr="00A92995">
        <w:rPr>
          <w:color w:val="000000"/>
        </w:rPr>
        <w:t xml:space="preserve"> </w:t>
      </w:r>
      <w:r w:rsidR="00AB73E0" w:rsidRPr="00A92995">
        <w:rPr>
          <w:color w:val="000000"/>
        </w:rPr>
        <w:t xml:space="preserve">relationships </w:t>
      </w:r>
      <w:r w:rsidR="00946D1B" w:rsidRPr="00A92995">
        <w:rPr>
          <w:color w:val="000000"/>
        </w:rPr>
        <w:t xml:space="preserve">include those </w:t>
      </w:r>
      <w:r w:rsidR="00AB73E0" w:rsidRPr="00A92995">
        <w:rPr>
          <w:color w:val="000000"/>
        </w:rPr>
        <w:t xml:space="preserve">with physicians and mental-health professionals, as well as other experts or members of institutions that provide information or services relating to mental health and well-being. Further, the </w:t>
      </w:r>
      <w:r w:rsidR="00AB73E0" w:rsidRPr="00A92995">
        <w:rPr>
          <w:color w:val="000000"/>
        </w:rPr>
        <w:lastRenderedPageBreak/>
        <w:t xml:space="preserve">society and culture in which she </w:t>
      </w:r>
      <w:r w:rsidR="00E04FDE" w:rsidRPr="00A92995">
        <w:rPr>
          <w:color w:val="000000"/>
        </w:rPr>
        <w:t>has been raised</w:t>
      </w:r>
      <w:r w:rsidR="00AB73E0" w:rsidRPr="00A92995">
        <w:rPr>
          <w:color w:val="000000"/>
        </w:rPr>
        <w:t xml:space="preserve"> should be regarded in the light of ‘interpersonal relationships’, since it is in and through society and culture that the agent becomes socialized, that she learns the norms – oppressive or benign – of her gender, race, and culture, and it is in the context of society and her place in history that she experiences oppression. The DSM-culture referred to by Tekin fits into this category, given that it is psychiatric information disseminated via various media. This includes</w:t>
      </w:r>
      <w:r w:rsidR="00ED2D7F" w:rsidRPr="00A92995">
        <w:rPr>
          <w:color w:val="000000"/>
        </w:rPr>
        <w:t xml:space="preserve"> </w:t>
      </w:r>
      <w:r w:rsidR="00AB73E0" w:rsidRPr="00A92995">
        <w:rPr>
          <w:color w:val="000000"/>
        </w:rPr>
        <w:t>information received from other lay people, experts, institutions, and the media.</w:t>
      </w:r>
    </w:p>
    <w:p w14:paraId="1DAA7F25" w14:textId="77777777" w:rsidR="00030A95" w:rsidRPr="00A92995" w:rsidRDefault="00AD2BAC" w:rsidP="00AD2BAC">
      <w:pPr>
        <w:widowControl w:val="0"/>
        <w:autoSpaceDE w:val="0"/>
        <w:autoSpaceDN w:val="0"/>
        <w:adjustRightInd w:val="0"/>
        <w:spacing w:after="240" w:line="360" w:lineRule="auto"/>
        <w:ind w:right="91"/>
        <w:contextualSpacing/>
      </w:pPr>
      <w:r w:rsidRPr="00A92995">
        <w:rPr>
          <w:color w:val="000000"/>
        </w:rPr>
        <w:tab/>
      </w:r>
      <w:r w:rsidR="00A22469" w:rsidRPr="00A92995">
        <w:t xml:space="preserve">Perhaps the most relevant interpersonal relationship capable of undermining patient autonomy is the doctor-patient relationship itself. </w:t>
      </w:r>
      <w:r w:rsidR="00AB73E0" w:rsidRPr="00A92995">
        <w:t xml:space="preserve">The clinical setting requires a certain level of vulnerability as the patient must express her concerns to the doctor, not to mention the power differentials implicit in relying on another person to objectively evaluate her subjective experience and identify what is wrong. </w:t>
      </w:r>
    </w:p>
    <w:p w14:paraId="4DE4F7C3" w14:textId="75CD3FAC" w:rsidR="00221BC2" w:rsidRPr="00A92995" w:rsidRDefault="00030A95" w:rsidP="009B012B">
      <w:pPr>
        <w:widowControl w:val="0"/>
        <w:autoSpaceDE w:val="0"/>
        <w:autoSpaceDN w:val="0"/>
        <w:adjustRightInd w:val="0"/>
        <w:spacing w:after="240" w:line="360" w:lineRule="auto"/>
        <w:ind w:right="91" w:firstLine="720"/>
        <w:contextualSpacing/>
      </w:pPr>
      <w:r w:rsidRPr="00A92995">
        <w:t>An</w:t>
      </w:r>
      <w:r w:rsidR="00E04FDE" w:rsidRPr="00A92995">
        <w:t xml:space="preserve"> important consideration that deserves </w:t>
      </w:r>
      <w:r w:rsidRPr="00A92995">
        <w:t xml:space="preserve">more </w:t>
      </w:r>
      <w:r w:rsidR="00E04FDE" w:rsidRPr="00A92995">
        <w:t xml:space="preserve">thorough investigation </w:t>
      </w:r>
      <w:r w:rsidRPr="00A92995">
        <w:t>than is allow</w:t>
      </w:r>
      <w:r w:rsidR="0088519A" w:rsidRPr="00A92995">
        <w:t xml:space="preserve">ed by the scope of this report </w:t>
      </w:r>
      <w:r w:rsidR="00E04FDE" w:rsidRPr="00A92995">
        <w:t xml:space="preserve">is </w:t>
      </w:r>
      <w:r w:rsidRPr="00A92995">
        <w:t xml:space="preserve">the influence of the male physician on the female patient’s experience of diagnosis. This dynamic may diminish her self-trust and intensify her existential confusion. </w:t>
      </w:r>
      <w:r w:rsidR="00221BC2" w:rsidRPr="00A92995">
        <w:t xml:space="preserve">Recall that Simone had initially approached her male general practitioner, one who had previously dismissed medical concerns that she had taken quite seriously. </w:t>
      </w:r>
      <w:r w:rsidRPr="00A92995">
        <w:t>As a consequence of his attitude, she</w:t>
      </w:r>
      <w:r w:rsidR="00221BC2" w:rsidRPr="00A92995">
        <w:t xml:space="preserve"> was hesitant to discuss her internal distress with him and </w:t>
      </w:r>
      <w:r w:rsidRPr="00A92995">
        <w:t xml:space="preserve">also experienced significantly diminished self-trust in light of his expertise. </w:t>
      </w:r>
    </w:p>
    <w:p w14:paraId="3FA2EB55" w14:textId="0EF2F2C5" w:rsidR="00030A95" w:rsidRPr="00A92995" w:rsidRDefault="00221BC2" w:rsidP="009B012B">
      <w:pPr>
        <w:widowControl w:val="0"/>
        <w:autoSpaceDE w:val="0"/>
        <w:autoSpaceDN w:val="0"/>
        <w:adjustRightInd w:val="0"/>
        <w:spacing w:after="240" w:line="360" w:lineRule="auto"/>
        <w:ind w:right="91" w:firstLine="720"/>
        <w:contextualSpacing/>
      </w:pPr>
      <w:r w:rsidRPr="00A92995">
        <w:t>The myth of doctor-as-expert/male-as-expert can foster a problematic attitude in the physician</w:t>
      </w:r>
      <w:r w:rsidR="0088519A" w:rsidRPr="00A92995">
        <w:t>-</w:t>
      </w:r>
      <w:r w:rsidRPr="00A92995">
        <w:t>patient relationship</w:t>
      </w:r>
      <w:r w:rsidR="00030A95" w:rsidRPr="00A92995">
        <w:t>, one</w:t>
      </w:r>
      <w:r w:rsidRPr="00A92995">
        <w:t xml:space="preserve"> that needs to be examined closely for its potential effects on patients’ treatment decisions. Whether Simone </w:t>
      </w:r>
      <w:r w:rsidR="00030A95" w:rsidRPr="00A92995">
        <w:t>was</w:t>
      </w:r>
      <w:r w:rsidRPr="00A92995">
        <w:t xml:space="preserve"> aware of this myth or not, whether the attitude </w:t>
      </w:r>
      <w:r w:rsidR="00030A95" w:rsidRPr="00A92995">
        <w:t>had been</w:t>
      </w:r>
      <w:r w:rsidRPr="00A92995">
        <w:t xml:space="preserve"> held by her or the </w:t>
      </w:r>
      <w:r w:rsidR="00030A95" w:rsidRPr="00A92995">
        <w:t xml:space="preserve">physician, or both, or neither; </w:t>
      </w:r>
      <w:r w:rsidRPr="00A92995">
        <w:t>there remains the potential for the relationship to influence her treatment decisions</w:t>
      </w:r>
      <w:r w:rsidR="00AB73E0" w:rsidRPr="00A92995">
        <w:t>. Miriam Greenspan</w:t>
      </w:r>
      <w:r w:rsidR="000520A5" w:rsidRPr="00A92995">
        <w:t>,</w:t>
      </w:r>
      <w:r w:rsidR="00AB73E0" w:rsidRPr="00A92995">
        <w:t xml:space="preserve"> in her book </w:t>
      </w:r>
      <w:r w:rsidR="00AB73E0" w:rsidRPr="00A92995">
        <w:rPr>
          <w:i/>
        </w:rPr>
        <w:t>A New Approach to Women and Therapy</w:t>
      </w:r>
      <w:r w:rsidR="000520A5" w:rsidRPr="00A92995">
        <w:t>,</w:t>
      </w:r>
      <w:r w:rsidR="00AB73E0" w:rsidRPr="00A92995">
        <w:t xml:space="preserve"> highlights the problematic concept of ‘woman-as-patient’, explaining that “once a woman comes to [the psychotherapeutic setting] with the identity of a patient, she has already surrendered the part of herself she will most need in order to help herself: her power as a person.”</w:t>
      </w:r>
      <w:r w:rsidR="00AB73E0" w:rsidRPr="00A92995">
        <w:rPr>
          <w:rStyle w:val="FootnoteReference"/>
          <w:sz w:val="24"/>
        </w:rPr>
        <w:footnoteReference w:id="109"/>
      </w:r>
      <w:r w:rsidR="00AB73E0" w:rsidRPr="00A92995">
        <w:t xml:space="preserve"> We might say, in accordance with Paul Benson’s account of autonomy, that ‘her power as a person’ represents her self-worth. Greenspan spells out several </w:t>
      </w:r>
      <w:r w:rsidR="00AB73E0" w:rsidRPr="00A92995">
        <w:lastRenderedPageBreak/>
        <w:t>myths that contribute to the experience of undermined autonomy: First, the “it’s all in your head” myth within psychotherapeutic settings, which ignores the effects of social structures on individual psychology, conveniently locating women’s oppression and exploitation within the individual and ultimately undermining her self-trust.</w:t>
      </w:r>
      <w:r w:rsidR="00AB73E0" w:rsidRPr="00A92995">
        <w:rPr>
          <w:rStyle w:val="FootnoteReference"/>
          <w:sz w:val="24"/>
        </w:rPr>
        <w:footnoteReference w:id="110"/>
      </w:r>
      <w:r w:rsidR="00AB73E0" w:rsidRPr="00A92995">
        <w:t xml:space="preserve"> Second, she claims that the medicalization of psychopathology and its  tools, such as the DSM, further suggests that the problem lies within the person and that treatment should focus on changing the individual. Finally, the myth of doctor as the expert “leads to a therapeutic relationship based fundamentally on inequality of power between doctor and patient</w:t>
      </w:r>
      <w:r w:rsidR="0046715F" w:rsidRPr="00A92995">
        <w:t>”</w:t>
      </w:r>
      <w:r w:rsidR="00AB73E0" w:rsidRPr="00A92995">
        <w:t>.</w:t>
      </w:r>
      <w:r w:rsidR="00077F9D" w:rsidRPr="00A92995">
        <w:rPr>
          <w:rStyle w:val="FootnoteReference"/>
          <w:sz w:val="24"/>
        </w:rPr>
        <w:footnoteReference w:id="111"/>
      </w:r>
      <w:r w:rsidR="00AB73E0" w:rsidRPr="00A92995">
        <w:t xml:space="preserve"> Through this form of relationship patients learn to adapt to a sense of powerlessness, therefore accepting it in other forms of social relationships. </w:t>
      </w:r>
      <w:r w:rsidR="009D19F7" w:rsidRPr="00A92995">
        <w:t xml:space="preserve">Hill and Ballou conclude from Greenspan’s analysis that the following is likely to occur with women in the clinical encounter: </w:t>
      </w:r>
      <w:r w:rsidR="00AB73E0" w:rsidRPr="00A92995">
        <w:t>“Women as patient learns, with the help of Man as Expert, to adapt to a situation of Father Knows Best…the use of this myth in traditional forms of therapy continues to reinforce women positively to accept and perpetuate social domination, therefore incapacitating women to experience a form of therapy that promotes more self-reliant or cooperative ways of solving problems.”</w:t>
      </w:r>
      <w:r w:rsidR="00AB73E0" w:rsidRPr="00A92995">
        <w:rPr>
          <w:rStyle w:val="FootnoteReference"/>
          <w:sz w:val="24"/>
        </w:rPr>
        <w:footnoteReference w:id="112"/>
      </w:r>
      <w:r w:rsidR="00AB73E0" w:rsidRPr="00A92995">
        <w:t xml:space="preserve"> This provides us with a practical example of the problems of self-abnegation, adaptive preference formation, and strongly directive feminine socialization that were discussed earlier. </w:t>
      </w:r>
    </w:p>
    <w:p w14:paraId="08F302B6" w14:textId="2345E3CF" w:rsidR="000C2DE1" w:rsidRPr="00A92995" w:rsidRDefault="00AB73E0" w:rsidP="009B012B">
      <w:pPr>
        <w:widowControl w:val="0"/>
        <w:autoSpaceDE w:val="0"/>
        <w:autoSpaceDN w:val="0"/>
        <w:adjustRightInd w:val="0"/>
        <w:spacing w:after="240" w:line="360" w:lineRule="auto"/>
        <w:ind w:right="91" w:firstLine="720"/>
        <w:contextualSpacing/>
      </w:pPr>
      <w:r w:rsidRPr="00A92995">
        <w:t>While</w:t>
      </w:r>
      <w:r w:rsidR="00030A95" w:rsidRPr="00A92995">
        <w:t xml:space="preserve"> I cannot explore this problem in further detail, it is</w:t>
      </w:r>
      <w:r w:rsidR="0088519A" w:rsidRPr="00A92995">
        <w:t xml:space="preserve"> essential to note that although </w:t>
      </w:r>
      <w:r w:rsidR="00030A95" w:rsidRPr="00A92995">
        <w:t>the nature of the physician-patient relationship does</w:t>
      </w:r>
      <w:r w:rsidRPr="00A92995">
        <w:t xml:space="preserve"> not explicitly threaten the patient’s competence or her capacity to reflectively endorse her motivational structures, </w:t>
      </w:r>
      <w:r w:rsidR="00030A95" w:rsidRPr="00A92995">
        <w:t xml:space="preserve">it does in a significant way bear on patient’s authenticity. </w:t>
      </w:r>
      <w:r w:rsidRPr="00A92995">
        <w:t>Once again</w:t>
      </w:r>
      <w:r w:rsidR="000C2DE1" w:rsidRPr="00A92995">
        <w:t>,</w:t>
      </w:r>
      <w:r w:rsidRPr="00A92995">
        <w:t xml:space="preserve"> we note that a procedural account of autonomy which depends on the condition of reflective endorsement would likely suggest that even under these circumstances the patient is </w:t>
      </w:r>
      <w:r w:rsidR="009D19F7" w:rsidRPr="00A92995">
        <w:t xml:space="preserve">sufficiently </w:t>
      </w:r>
      <w:r w:rsidRPr="00A92995">
        <w:t>autonomous</w:t>
      </w:r>
      <w:r w:rsidR="009D19F7" w:rsidRPr="00A92995">
        <w:t xml:space="preserve"> to be</w:t>
      </w:r>
      <w:r w:rsidRPr="00A92995">
        <w:t xml:space="preserve"> capable of providing informed consent and making autonomous decisions regarding her treatment.</w:t>
      </w:r>
      <w:r w:rsidR="00030A95" w:rsidRPr="00A92995">
        <w:t xml:space="preserve"> Simone’s experience during diagnosis</w:t>
      </w:r>
      <w:r w:rsidR="00664B4F" w:rsidRPr="00A92995">
        <w:t xml:space="preserve"> and her feelings of undermined self-trust suggest</w:t>
      </w:r>
      <w:r w:rsidR="00030A95" w:rsidRPr="00A92995">
        <w:t xml:space="preserve"> that this is not the case. </w:t>
      </w:r>
    </w:p>
    <w:p w14:paraId="08109BD7" w14:textId="4A6DDC4B" w:rsidR="000C2DE1" w:rsidRPr="00A92995" w:rsidRDefault="00030A95" w:rsidP="00ED2D7F">
      <w:pPr>
        <w:widowControl w:val="0"/>
        <w:autoSpaceDE w:val="0"/>
        <w:autoSpaceDN w:val="0"/>
        <w:adjustRightInd w:val="0"/>
        <w:spacing w:after="240" w:line="360" w:lineRule="auto"/>
        <w:ind w:right="89" w:firstLine="720"/>
      </w:pPr>
      <w:r w:rsidRPr="00A92995">
        <w:t>One other consideration worth further investigation is that the</w:t>
      </w:r>
      <w:r w:rsidR="00AB73E0" w:rsidRPr="00A92995">
        <w:t xml:space="preserve"> clinical encounter might further undermine autonomy, and in particular diminish a patient’s degree of self-insight, by failing to provide appropriate epistemic tools to the patient. Ian Kidd and Havi Carel explore </w:t>
      </w:r>
      <w:r w:rsidR="00AB73E0" w:rsidRPr="00A92995">
        <w:lastRenderedPageBreak/>
        <w:t xml:space="preserve">how the epistemic difficulty in the diagnostic moment can complicate </w:t>
      </w:r>
      <w:r w:rsidR="007C1B1D" w:rsidRPr="00A92995">
        <w:t>communication</w:t>
      </w:r>
      <w:r w:rsidR="00AB73E0" w:rsidRPr="00A92995">
        <w:t xml:space="preserve"> between the doctor and patient. “Illness often leads to incapacitation, anxiety, and insecurity; these can either be met with empathy and compassion, or may trigger negative stereotyping…such stereotypes and prejudices operate ‘without any focused awareness’ and are ‘(typically) culpably resistant to evidence’, and thus irrational.”</w:t>
      </w:r>
      <w:r w:rsidR="00AB73E0" w:rsidRPr="00A92995">
        <w:rPr>
          <w:rStyle w:val="FootnoteReference"/>
          <w:sz w:val="24"/>
        </w:rPr>
        <w:footnoteReference w:id="113"/>
      </w:r>
      <w:r w:rsidR="00AB73E0" w:rsidRPr="00A92995">
        <w:t xml:space="preserve"> These complications arise from patients feeling that their physicians do not properly listen to their concerns, and complaints from physicians that patients are either not entirely forthcoming, or offer irrelevant information. In the psychiatric context, this is a particularly delicate interaction, since almost any information given by the patient could be relevant to her mental state. These complaints have very real consequences for the patient’s experience of autonomy in the diagnostic moment. </w:t>
      </w:r>
      <w:r w:rsidR="00664B4F" w:rsidRPr="00A92995">
        <w:t>As we noted with Simone, her hesitation upon entering the physician’s office suggests that she may have felt</w:t>
      </w:r>
      <w:r w:rsidR="00AB73E0" w:rsidRPr="00A92995">
        <w:t xml:space="preserve"> incapable of adequately expressing her experience of psychological distress</w:t>
      </w:r>
      <w:r w:rsidR="00664B4F" w:rsidRPr="00A92995">
        <w:t>.</w:t>
      </w:r>
      <w:r w:rsidR="00AB73E0" w:rsidRPr="00A92995">
        <w:t xml:space="preserve"> </w:t>
      </w:r>
      <w:r w:rsidR="00664B4F" w:rsidRPr="00A92995">
        <w:t xml:space="preserve">She </w:t>
      </w:r>
      <w:r w:rsidR="00AB73E0" w:rsidRPr="00A92995">
        <w:t>may</w:t>
      </w:r>
      <w:r w:rsidR="00664B4F" w:rsidRPr="00A92995">
        <w:t xml:space="preserve"> have</w:t>
      </w:r>
      <w:r w:rsidR="00AB73E0" w:rsidRPr="00A92995">
        <w:t xml:space="preserve"> fe</w:t>
      </w:r>
      <w:r w:rsidR="00664B4F" w:rsidRPr="00A92995">
        <w:t>lt</w:t>
      </w:r>
      <w:r w:rsidR="00AB73E0" w:rsidRPr="00A92995">
        <w:t xml:space="preserve"> embarrassed by her thoughts and </w:t>
      </w:r>
      <w:r w:rsidR="00664B4F" w:rsidRPr="00A92995">
        <w:t xml:space="preserve">consequently </w:t>
      </w:r>
      <w:r w:rsidR="00AB73E0" w:rsidRPr="00A92995">
        <w:t>withh</w:t>
      </w:r>
      <w:r w:rsidR="00664B4F" w:rsidRPr="00A92995">
        <w:t>e</w:t>
      </w:r>
      <w:r w:rsidR="00AB73E0" w:rsidRPr="00A92995">
        <w:t xml:space="preserve">ld </w:t>
      </w:r>
      <w:r w:rsidR="00664B4F" w:rsidRPr="00A92995">
        <w:t>relevant</w:t>
      </w:r>
      <w:r w:rsidR="00AB73E0" w:rsidRPr="00A92995">
        <w:t xml:space="preserve"> information from the physician. Feeling unable to completely disclose her inner life might cause patient</w:t>
      </w:r>
      <w:r w:rsidR="00664B4F" w:rsidRPr="00A92995">
        <w:t>s</w:t>
      </w:r>
      <w:r w:rsidR="00AB73E0" w:rsidRPr="00A92995">
        <w:t xml:space="preserve"> to feel silenced. </w:t>
      </w:r>
      <w:r w:rsidR="007C1B1D" w:rsidRPr="00A92995">
        <w:t>This type of experience is apparent</w:t>
      </w:r>
      <w:r w:rsidR="00AB73E0" w:rsidRPr="00A92995">
        <w:t xml:space="preserve"> in </w:t>
      </w:r>
      <w:r w:rsidRPr="00A92995">
        <w:t>Simone’s</w:t>
      </w:r>
      <w:r w:rsidR="00AB73E0" w:rsidRPr="00A92995">
        <w:t xml:space="preserve"> initial consultation with her general practitioner, who </w:t>
      </w:r>
      <w:r w:rsidRPr="00A92995">
        <w:t xml:space="preserve">we recall </w:t>
      </w:r>
      <w:r w:rsidR="00AB73E0" w:rsidRPr="00A92995">
        <w:t xml:space="preserve">had previously dismissed other health concerns </w:t>
      </w:r>
      <w:r w:rsidR="00664B4F" w:rsidRPr="00A92995">
        <w:t xml:space="preserve">about which </w:t>
      </w:r>
      <w:r w:rsidR="00AB73E0" w:rsidRPr="00A92995">
        <w:t>she felt she had the right to know more.</w:t>
      </w:r>
    </w:p>
    <w:p w14:paraId="4F2487F1" w14:textId="44E71631" w:rsidR="00E41141" w:rsidRPr="00A92995" w:rsidRDefault="00E41141" w:rsidP="006F7A80">
      <w:pPr>
        <w:pStyle w:val="Heading3"/>
      </w:pPr>
      <w:bookmarkStart w:id="41" w:name="_Toc505150541"/>
      <w:r w:rsidRPr="00A92995">
        <w:t>Concluding Remarks</w:t>
      </w:r>
      <w:bookmarkEnd w:id="41"/>
    </w:p>
    <w:p w14:paraId="2FFB9EA6" w14:textId="77777777" w:rsidR="00E41141" w:rsidRPr="00A92995" w:rsidRDefault="00E41141" w:rsidP="00E41141"/>
    <w:p w14:paraId="6A252547" w14:textId="15A6274F" w:rsidR="007139D1" w:rsidRPr="00A92995" w:rsidRDefault="00AB73E0" w:rsidP="00005737">
      <w:pPr>
        <w:widowControl w:val="0"/>
        <w:autoSpaceDE w:val="0"/>
        <w:autoSpaceDN w:val="0"/>
        <w:adjustRightInd w:val="0"/>
        <w:spacing w:after="240" w:line="360" w:lineRule="auto"/>
        <w:ind w:right="91"/>
        <w:contextualSpacing/>
      </w:pPr>
      <w:r w:rsidRPr="00A92995">
        <w:t xml:space="preserve">We see here that upon diagnosis, the patient is faced with countless forces </w:t>
      </w:r>
      <w:r w:rsidR="008C12DB" w:rsidRPr="00A92995">
        <w:t>– some that have been active before, during, and will likely continue after her diagnosis</w:t>
      </w:r>
      <w:r w:rsidR="00227E96" w:rsidRPr="00A92995">
        <w:t xml:space="preserve"> – which</w:t>
      </w:r>
      <w:r w:rsidRPr="00A92995">
        <w:t xml:space="preserve"> undermine her self-trust, self-worth, self-concept, and self-insight</w:t>
      </w:r>
      <w:r w:rsidR="008C12DB" w:rsidRPr="00A92995">
        <w:t>. This experience</w:t>
      </w:r>
      <w:r w:rsidRPr="00A92995">
        <w:t xml:space="preserve"> caus</w:t>
      </w:r>
      <w:r w:rsidR="008C12DB" w:rsidRPr="00A92995">
        <w:t>es</w:t>
      </w:r>
      <w:r w:rsidRPr="00A92995">
        <w:t xml:space="preserve"> her significant distress and internal conflict, </w:t>
      </w:r>
      <w:r w:rsidR="008C12DB" w:rsidRPr="00A92995">
        <w:t xml:space="preserve">and ultimately </w:t>
      </w:r>
      <w:r w:rsidRPr="00A92995">
        <w:t>destabiliz</w:t>
      </w:r>
      <w:r w:rsidR="00DA1014" w:rsidRPr="00A92995">
        <w:t>es</w:t>
      </w:r>
      <w:r w:rsidRPr="00A92995">
        <w:t xml:space="preserve"> her sense of authenticity. I have shown </w:t>
      </w:r>
      <w:r w:rsidR="0095772C" w:rsidRPr="00A92995">
        <w:t xml:space="preserve">throughout </w:t>
      </w:r>
      <w:r w:rsidRPr="00A92995">
        <w:t xml:space="preserve">that this is attributable to flaws in the doctor-patient relationship, such as the hyponarrativity which results from symptom-based approaches; the </w:t>
      </w:r>
      <w:r w:rsidR="007C1B1D" w:rsidRPr="00A92995">
        <w:t xml:space="preserve">neglect </w:t>
      </w:r>
      <w:r w:rsidRPr="00A92995">
        <w:t xml:space="preserve">of subjectivity which is evident in clinical encounters; the autonomy-contract model which treat the clinical encounter as a consumer-provider transaction; and the failure of standard bioethical theories to account for the effects of oppression on patient autonomy. I argue that </w:t>
      </w:r>
      <w:r w:rsidR="007C1B1D" w:rsidRPr="00A92995">
        <w:t xml:space="preserve">one of </w:t>
      </w:r>
      <w:r w:rsidRPr="00A92995">
        <w:t>the reason</w:t>
      </w:r>
      <w:r w:rsidR="007C1B1D" w:rsidRPr="00A92995">
        <w:t>s that</w:t>
      </w:r>
      <w:r w:rsidRPr="00A92995">
        <w:t xml:space="preserve"> the doctor-patient relationship fails is because it, and the medical ethical theories which inform it, rely on a faulty account of personal autonomy. That account claims that agent</w:t>
      </w:r>
      <w:r w:rsidR="00771964" w:rsidRPr="00A92995">
        <w:t xml:space="preserve">s’  </w:t>
      </w:r>
      <w:r w:rsidRPr="00A92995">
        <w:t xml:space="preserve"> </w:t>
      </w:r>
      <w:r w:rsidRPr="00A92995">
        <w:lastRenderedPageBreak/>
        <w:t>motivational structures and actions are counted as authentically their own as long as they have reflectively</w:t>
      </w:r>
      <w:r w:rsidR="009D19F7" w:rsidRPr="00A92995">
        <w:t xml:space="preserve"> </w:t>
      </w:r>
      <w:r w:rsidRPr="00A92995">
        <w:t>endorsed and identified with their motivational structures. I have shown that reflective</w:t>
      </w:r>
      <w:r w:rsidR="005277D9" w:rsidRPr="00A92995">
        <w:t xml:space="preserve"> </w:t>
      </w:r>
      <w:r w:rsidRPr="00A92995">
        <w:t xml:space="preserve">endorsement is not sufficient for conferring the authenticity of motivational structures. In fact, the reality of internalized oppression, adaptive-preference formation and self-abnegation gives us good reason to believe that agents often do reflectively endorse and identify with motivational structures which are clearly </w:t>
      </w:r>
      <w:r w:rsidRPr="00A92995">
        <w:rPr>
          <w:i/>
        </w:rPr>
        <w:t xml:space="preserve">not </w:t>
      </w:r>
      <w:r w:rsidRPr="00A92995">
        <w:t xml:space="preserve">their own. For these reasons, I believe that the condition of authenticity proffered by the procedural theorists to capture the sufficient conditions of autonomy is inadequate. </w:t>
      </w:r>
    </w:p>
    <w:p w14:paraId="223EAEE2" w14:textId="4D37192B" w:rsidR="007139D1" w:rsidRPr="00A92995" w:rsidRDefault="007139D1" w:rsidP="00005737">
      <w:pPr>
        <w:widowControl w:val="0"/>
        <w:autoSpaceDE w:val="0"/>
        <w:autoSpaceDN w:val="0"/>
        <w:adjustRightInd w:val="0"/>
        <w:spacing w:after="240" w:line="360" w:lineRule="auto"/>
        <w:ind w:right="91"/>
        <w:contextualSpacing/>
      </w:pPr>
      <w:r w:rsidRPr="00A92995">
        <w:tab/>
        <w:t xml:space="preserve">Further, while </w:t>
      </w:r>
      <w:r w:rsidR="00386A0C" w:rsidRPr="00A92995">
        <w:t xml:space="preserve">we have seen that </w:t>
      </w:r>
      <w:r w:rsidRPr="00A92995">
        <w:t xml:space="preserve">the concept of self-insight is a valuable tool utilized in psychotherapeutic intervention to determine patient autonomy, I have shown that it is problematic when considered an adequate gauge of authenticity. This is because patients may meet </w:t>
      </w:r>
      <w:r w:rsidR="00386A0C" w:rsidRPr="00A92995">
        <w:t xml:space="preserve">necessary </w:t>
      </w:r>
      <w:r w:rsidRPr="00A92995">
        <w:t xml:space="preserve">competency requirements of autonomy and exhibit strong insight, while also failing to meet </w:t>
      </w:r>
      <w:r w:rsidR="00005737" w:rsidRPr="00A92995">
        <w:t>necessary conditions of authenticity such as self-trust</w:t>
      </w:r>
      <w:r w:rsidR="00386A0C" w:rsidRPr="00A92995">
        <w:t xml:space="preserve"> and self-worth</w:t>
      </w:r>
      <w:r w:rsidR="00005737" w:rsidRPr="00A92995">
        <w:t>. Self-insight</w:t>
      </w:r>
      <w:r w:rsidR="00386A0C" w:rsidRPr="00A92995">
        <w:t>, then,</w:t>
      </w:r>
      <w:r w:rsidR="00005737" w:rsidRPr="00A92995">
        <w:t xml:space="preserve"> might be more appropriately be indicative of a patient’s competence</w:t>
      </w:r>
      <w:r w:rsidRPr="00A92995">
        <w:t xml:space="preserve">. </w:t>
      </w:r>
      <w:r w:rsidR="00386A0C" w:rsidRPr="00A92995">
        <w:t xml:space="preserve">While true </w:t>
      </w:r>
      <w:r w:rsidRPr="00A92995">
        <w:t xml:space="preserve">that self-insight is a necessary condition for authenticity, it cannot in itself signal patient autonomy in the clinical encounter. </w:t>
      </w:r>
    </w:p>
    <w:p w14:paraId="06D5EDC8" w14:textId="4D9B0661" w:rsidR="00CF1CA1" w:rsidRPr="00A92995" w:rsidRDefault="00CF1CA1" w:rsidP="000C3662">
      <w:pPr>
        <w:pStyle w:val="Heading1"/>
      </w:pPr>
      <w:bookmarkStart w:id="42" w:name="_Toc505150542"/>
      <w:r w:rsidRPr="00A92995">
        <w:t>Conclusion</w:t>
      </w:r>
      <w:bookmarkEnd w:id="42"/>
    </w:p>
    <w:p w14:paraId="1240B8F0" w14:textId="77777777" w:rsidR="00B429DC" w:rsidRPr="00A92995" w:rsidRDefault="00B429DC" w:rsidP="00CF1CA1"/>
    <w:p w14:paraId="40D93EF9" w14:textId="73A8FF7C" w:rsidR="009D19F7" w:rsidRPr="00A92995" w:rsidRDefault="00CF1CA1" w:rsidP="009D19F7">
      <w:pPr>
        <w:widowControl w:val="0"/>
        <w:autoSpaceDE w:val="0"/>
        <w:autoSpaceDN w:val="0"/>
        <w:adjustRightInd w:val="0"/>
        <w:spacing w:after="240" w:line="360" w:lineRule="auto"/>
        <w:ind w:right="91"/>
        <w:contextualSpacing/>
      </w:pPr>
      <w:r w:rsidRPr="00A92995">
        <w:t xml:space="preserve">I have shown that the experience of mental illness, diagnosis and the clinical encounter undermines patient autonomy, specifically by destabilizing the authenticity condition of autonomy. The agent </w:t>
      </w:r>
      <w:r w:rsidR="00156FD1" w:rsidRPr="00A92995">
        <w:t>experiences diminished autonomy,</w:t>
      </w:r>
      <w:r w:rsidRPr="00A92995">
        <w:t xml:space="preserve"> as the </w:t>
      </w:r>
      <w:r w:rsidR="008C12DB" w:rsidRPr="00A92995">
        <w:t xml:space="preserve">detailed </w:t>
      </w:r>
      <w:r w:rsidR="004B63C9" w:rsidRPr="00A92995">
        <w:t>example in the final chapter</w:t>
      </w:r>
      <w:r w:rsidRPr="00A92995">
        <w:t xml:space="preserve"> showed, because </w:t>
      </w:r>
      <w:r w:rsidR="005C45A0" w:rsidRPr="00A92995">
        <w:t>her</w:t>
      </w:r>
      <w:r w:rsidRPr="00A92995">
        <w:t xml:space="preserve"> self-trust, self-concept, and self-worth are threatened and significantly diminished by her mental illness</w:t>
      </w:r>
      <w:r w:rsidR="00D2056C" w:rsidRPr="00A92995">
        <w:t>,</w:t>
      </w:r>
      <w:r w:rsidRPr="00A92995">
        <w:t xml:space="preserve"> as well as </w:t>
      </w:r>
      <w:r w:rsidR="00F71C71" w:rsidRPr="00A92995">
        <w:t xml:space="preserve">by </w:t>
      </w:r>
      <w:r w:rsidRPr="00A92995">
        <w:t xml:space="preserve">the clinical encounter and the relational context which influences her motivational structures. Her self-insight is further diminished by </w:t>
      </w:r>
      <w:r w:rsidR="00156FD1" w:rsidRPr="00A92995">
        <w:t>influences</w:t>
      </w:r>
      <w:r w:rsidRPr="00A92995">
        <w:t xml:space="preserve"> such as the DSM culture, cognitive biases</w:t>
      </w:r>
      <w:r w:rsidR="00664B4F" w:rsidRPr="00A92995">
        <w:t>,</w:t>
      </w:r>
      <w:r w:rsidRPr="00A92995">
        <w:t xml:space="preserve"> and puzzling mental states</w:t>
      </w:r>
      <w:r w:rsidR="00EF153B" w:rsidRPr="00A92995">
        <w:t>,</w:t>
      </w:r>
      <w:r w:rsidRPr="00A92995">
        <w:t xml:space="preserve"> and again, the clinical encounter itself. The reflective endorsement condition of autonomy cannot capture this experience of diminished autonomy.</w:t>
      </w:r>
    </w:p>
    <w:p w14:paraId="4076B56E" w14:textId="560D8FC8" w:rsidR="00CF1CA1" w:rsidRPr="00A92995" w:rsidRDefault="00CF1CA1" w:rsidP="009D19F7">
      <w:pPr>
        <w:widowControl w:val="0"/>
        <w:autoSpaceDE w:val="0"/>
        <w:autoSpaceDN w:val="0"/>
        <w:adjustRightInd w:val="0"/>
        <w:spacing w:after="240" w:line="360" w:lineRule="auto"/>
        <w:ind w:right="91" w:firstLine="720"/>
        <w:contextualSpacing/>
      </w:pPr>
      <w:r w:rsidRPr="00A92995">
        <w:t>The experience of mental illness severely affects all three levels of self-trust</w:t>
      </w:r>
      <w:r w:rsidR="00A9424F" w:rsidRPr="00A92995">
        <w:t>: the agent’s trust in her own competency to make decisions, her trust in her courage to act on her decisions, and her trust in the information which informs her decisions</w:t>
      </w:r>
      <w:r w:rsidRPr="00A92995">
        <w:t xml:space="preserve">. </w:t>
      </w:r>
      <w:r w:rsidR="00156FD1" w:rsidRPr="00A92995">
        <w:t>For an agent to learn that her own</w:t>
      </w:r>
      <w:r w:rsidRPr="00A92995">
        <w:t xml:space="preserve"> motivational structures have been influenced by an illness casts significant doubt on one’s </w:t>
      </w:r>
      <w:r w:rsidRPr="00A92995">
        <w:lastRenderedPageBreak/>
        <w:t>ability to make and act on sound decisions. A core symptom of depression is its effect on self-worth. Together with oppressive socialization, harmful interpersonal relationships,</w:t>
      </w:r>
      <w:r w:rsidR="006C3B30" w:rsidRPr="00A92995">
        <w:t xml:space="preserve"> and</w:t>
      </w:r>
      <w:r w:rsidRPr="00A92995">
        <w:t xml:space="preserve"> the DSM culture, many people are raised to internalize the ideal of self-sufficien</w:t>
      </w:r>
      <w:r w:rsidR="006C3B30" w:rsidRPr="00A92995">
        <w:t>cy</w:t>
      </w:r>
      <w:r w:rsidRPr="00A92995">
        <w:t xml:space="preserve"> and in turn to internalize the guilt of failing to be self-sufficient and being forced to depend on others. This guilt is often exacerbated by cognitive biases in depressive episodes. Self-concept i</w:t>
      </w:r>
      <w:r w:rsidR="00F869DE" w:rsidRPr="00A92995">
        <w:t>s</w:t>
      </w:r>
      <w:r w:rsidRPr="00A92995">
        <w:t xml:space="preserve"> undermined upon diagnosis, calling into question the patient’s authenticity. Patient</w:t>
      </w:r>
      <w:r w:rsidR="00B60988" w:rsidRPr="00A92995">
        <w:t xml:space="preserve">s </w:t>
      </w:r>
      <w:r w:rsidRPr="00A92995">
        <w:t>often ask themselves questions like: “Was I me during mania? Or during depression? Or when I was symptom free and on medication?” Self-definition and</w:t>
      </w:r>
      <w:r w:rsidR="00A9424F" w:rsidRPr="00A92995">
        <w:t xml:space="preserve"> recognition of</w:t>
      </w:r>
      <w:r w:rsidRPr="00A92995">
        <w:t xml:space="preserve"> </w:t>
      </w:r>
      <w:r w:rsidR="008D6E62" w:rsidRPr="00A92995">
        <w:t>i</w:t>
      </w:r>
      <w:r w:rsidRPr="00A92995">
        <w:t>ntersectionality are also destabilized. For example, members of privileged classes and races find themselves wondering if their experience of mental illness is an example of “first world problems”. Some women might wonder if</w:t>
      </w:r>
      <w:r w:rsidR="00EA2998" w:rsidRPr="00A92995">
        <w:t xml:space="preserve"> their</w:t>
      </w:r>
      <w:r w:rsidRPr="00A92995">
        <w:t xml:space="preserve"> mood swings are the result of hormonal fluctuations rather than a mental disorder. Some might wonder if the fight that they had with their spouse was grounded in reality, or if it was due to the side effects of the medication. </w:t>
      </w:r>
    </w:p>
    <w:p w14:paraId="6126C4E2" w14:textId="77777777" w:rsidR="009D19F7" w:rsidRPr="00A92995" w:rsidRDefault="00CF1CA1" w:rsidP="009D19F7">
      <w:pPr>
        <w:widowControl w:val="0"/>
        <w:autoSpaceDE w:val="0"/>
        <w:autoSpaceDN w:val="0"/>
        <w:adjustRightInd w:val="0"/>
        <w:spacing w:after="240" w:line="360" w:lineRule="auto"/>
        <w:ind w:right="91" w:firstLine="720"/>
        <w:contextualSpacing/>
      </w:pPr>
      <w:r w:rsidRPr="00A92995">
        <w:t xml:space="preserve">Self-respect can also be affected by some of the consequences of the symptoms. This is especially true for patients </w:t>
      </w:r>
      <w:r w:rsidR="00A9424F" w:rsidRPr="00A92995">
        <w:t xml:space="preserve">who are diagnosed with co-occurring substance use disorders such as alcohol or drug abuse – both very common </w:t>
      </w:r>
      <w:r w:rsidR="00C4003E" w:rsidRPr="00A92995">
        <w:t xml:space="preserve">in </w:t>
      </w:r>
      <w:r w:rsidR="00A9424F" w:rsidRPr="00A92995">
        <w:t xml:space="preserve">patients with mood disorders. </w:t>
      </w:r>
      <w:r w:rsidRPr="00A92995">
        <w:t>Symptoms might lead to a failure to motivate oneself, poor hygiene, hopelessness, worthlessness. Hypomania and mania often leads to impulsive and reckless behavior such as overspending, reckless driving, drinking too much, unprotected sex, irritability, and volatile relationships.</w:t>
      </w:r>
    </w:p>
    <w:p w14:paraId="1D6633F0" w14:textId="76DACA24" w:rsidR="00F71C71" w:rsidRPr="00A92995" w:rsidRDefault="00CF1CA1" w:rsidP="009D19F7">
      <w:pPr>
        <w:widowControl w:val="0"/>
        <w:autoSpaceDE w:val="0"/>
        <w:autoSpaceDN w:val="0"/>
        <w:adjustRightInd w:val="0"/>
        <w:spacing w:after="240" w:line="360" w:lineRule="auto"/>
        <w:ind w:right="91" w:firstLine="720"/>
        <w:contextualSpacing/>
      </w:pPr>
      <w:r w:rsidRPr="00A92995">
        <w:t xml:space="preserve">Questions of authenticity are at the core of all of this. The reflective endorsement condition fails to acknowledge that oppressive norms, cognitive biases, and misinformation are capable of influencing agents’ motivational structures without compromising their ability to reflectively endorse or identify with their motivations. </w:t>
      </w:r>
    </w:p>
    <w:p w14:paraId="32929F84" w14:textId="368C7FFE" w:rsidR="00156FD1" w:rsidRPr="00A92995" w:rsidRDefault="00D06296" w:rsidP="009D19F7">
      <w:pPr>
        <w:spacing w:line="360" w:lineRule="auto"/>
        <w:ind w:firstLine="720"/>
      </w:pPr>
      <w:r w:rsidRPr="00A92995">
        <w:t xml:space="preserve">The case of </w:t>
      </w:r>
      <w:r w:rsidR="00952DCF" w:rsidRPr="00A92995">
        <w:t>the</w:t>
      </w:r>
      <w:r w:rsidRPr="00A92995">
        <w:t xml:space="preserve"> woman diagnosed with </w:t>
      </w:r>
      <w:r w:rsidR="00C4003E" w:rsidRPr="00A92995">
        <w:t>Bipolar II</w:t>
      </w:r>
      <w:r w:rsidRPr="00A92995">
        <w:t xml:space="preserve"> has </w:t>
      </w:r>
      <w:r w:rsidR="006A53CC" w:rsidRPr="00A92995">
        <w:t xml:space="preserve">exemplified </w:t>
      </w:r>
      <w:r w:rsidRPr="00A92995">
        <w:t xml:space="preserve">the conceptual tools to identify the flawed elements in the clinical </w:t>
      </w:r>
      <w:r w:rsidR="009B012B" w:rsidRPr="00A92995">
        <w:t>encounter and</w:t>
      </w:r>
      <w:r w:rsidRPr="00A92995">
        <w:t xml:space="preserve"> shown us that regardless of the patient’s apparent competency, she may make treatment decisions that are non-autonomous because her motivational structures may not be her own. The case illustrates that informed consent is not an adequate representation of patient autonomy. </w:t>
      </w:r>
    </w:p>
    <w:p w14:paraId="1F55DECA" w14:textId="3B9318FF" w:rsidR="00156FD1" w:rsidRPr="00A92995" w:rsidRDefault="00D06296" w:rsidP="00156FD1">
      <w:pPr>
        <w:spacing w:line="360" w:lineRule="auto"/>
        <w:ind w:firstLine="720"/>
      </w:pPr>
      <w:r w:rsidRPr="00A92995">
        <w:t xml:space="preserve">The clinical encounter together with the contractual model of informed consent are built on the caricature of the liberal individual, which considers that individuals should be able to act as atomistic self-sufficient agents who are autonomous so long as they are capable of reflectively </w:t>
      </w:r>
      <w:r w:rsidRPr="00A92995">
        <w:lastRenderedPageBreak/>
        <w:t>endorsing their motivational structures. In the clinical counter, for example, it is often suggested that patients are free to ask anything of the physician, because (1) the agent is free and rational, and capable of reflectively endorsing or rejecting any motivations which</w:t>
      </w:r>
      <w:r w:rsidR="004E0587" w:rsidRPr="00A92995">
        <w:t xml:space="preserve"> significantly</w:t>
      </w:r>
      <w:r w:rsidRPr="00A92995">
        <w:t xml:space="preserve"> inform her treatment decisions; and (2) the contractual nature of the clinical encounter treats the physician-patient relationship as akin to a provider-consumer relationship. It is implicit in this type of transaction that the consumer has the right and responsibility to clarify any information that they are uncertain about. </w:t>
      </w:r>
    </w:p>
    <w:p w14:paraId="001EA135" w14:textId="60D407C7" w:rsidR="00D06296" w:rsidRPr="00A92995" w:rsidRDefault="00D06296" w:rsidP="00156FD1">
      <w:pPr>
        <w:spacing w:line="360" w:lineRule="auto"/>
        <w:ind w:firstLine="720"/>
      </w:pPr>
      <w:r w:rsidRPr="00A92995">
        <w:t xml:space="preserve">As a result, many physicians believe that if the patient </w:t>
      </w:r>
      <w:r w:rsidR="00C4003E" w:rsidRPr="00A92995">
        <w:t>is capable of providing informed consent, which requires that she meets the minimal conditions of competency and that she presents as</w:t>
      </w:r>
      <w:r w:rsidRPr="00A92995">
        <w:t xml:space="preserve"> free</w:t>
      </w:r>
      <w:r w:rsidR="00C4003E" w:rsidRPr="00A92995">
        <w:t xml:space="preserve">, </w:t>
      </w:r>
      <w:r w:rsidRPr="00A92995">
        <w:t>rational, and capable of reflective endorsement</w:t>
      </w:r>
      <w:r w:rsidR="00C4003E" w:rsidRPr="00A92995">
        <w:t xml:space="preserve">, </w:t>
      </w:r>
      <w:r w:rsidRPr="00A92995">
        <w:t xml:space="preserve">then the agent is autonomous and capable of inquiring about anything of which she may be unsure. Further, this agent is considered </w:t>
      </w:r>
      <w:r w:rsidR="005A1A18" w:rsidRPr="00A92995">
        <w:t xml:space="preserve">just </w:t>
      </w:r>
      <w:r w:rsidRPr="00A92995">
        <w:t xml:space="preserve">as free and capable to reject treatment as she is to agree with the physician’s advice. </w:t>
      </w:r>
    </w:p>
    <w:p w14:paraId="388C65F9" w14:textId="47170DF0" w:rsidR="00156FD1" w:rsidRPr="00A92995" w:rsidRDefault="00D06296" w:rsidP="00D06296">
      <w:pPr>
        <w:spacing w:line="360" w:lineRule="auto"/>
        <w:ind w:firstLine="720"/>
      </w:pPr>
      <w:r w:rsidRPr="00A92995">
        <w:t xml:space="preserve">This model of the </w:t>
      </w:r>
      <w:r w:rsidR="001778EB" w:rsidRPr="00A92995">
        <w:t>physician-patient</w:t>
      </w:r>
      <w:r w:rsidRPr="00A92995">
        <w:t xml:space="preserve"> relationship depends on the liberal conception of the individual (atomistic, self-sufficient, self-creating, consumer)</w:t>
      </w:r>
      <w:r w:rsidR="006A53CC" w:rsidRPr="00A92995">
        <w:t>,</w:t>
      </w:r>
      <w:r w:rsidRPr="00A92995">
        <w:t xml:space="preserve"> as well as a procedural conception of autonomy (which considers reflective endorsement sufficient evidence for authenticity of motivational structures). As a result, the physician is guided to treat the patient as autonomous according to those conceptions of autonomy. However, doing so fails to recognize various significant threats to personal autonomy, such as oppressive socialization and internalized oppression. Further, it does not take into account the extent to which diminished self-trust, self-worth, and self-concept undermine personal autonomy. Thus, patients who meet the minimal conditions of competency and the capacity for reflective endorsement are expected to make autonomous decisions regarding treatment; they are expected to take responsibility for their decisions because they are expected to make decisions according to authentic motivational structures. </w:t>
      </w:r>
    </w:p>
    <w:p w14:paraId="321B0C4D" w14:textId="02A12893" w:rsidR="00D06296" w:rsidRPr="00A92995" w:rsidRDefault="00D06296" w:rsidP="00D06296">
      <w:pPr>
        <w:spacing w:line="360" w:lineRule="auto"/>
        <w:ind w:firstLine="720"/>
      </w:pPr>
      <w:r w:rsidRPr="00A92995">
        <w:t xml:space="preserve">I have argued that patients are not in a position to meet these expectations, and since it is the responsibility of physicians in the clinical encounter to support patient autonomy, physicians are not succeeding. I argue that the reason for this is that medical ethics is informed by an oversimplified conception of autonomy, which is in turn based on the caricature of the liberal individual. Addressing these faulty </w:t>
      </w:r>
      <w:r w:rsidR="00C4003E" w:rsidRPr="00A92995">
        <w:t xml:space="preserve">assumptions </w:t>
      </w:r>
      <w:r w:rsidRPr="00A92995">
        <w:t xml:space="preserve">will prove beneficial to the success of the </w:t>
      </w:r>
      <w:r w:rsidRPr="00A92995">
        <w:lastRenderedPageBreak/>
        <w:t xml:space="preserve">physician-patient relationship by recognizing that patient autonomy is threatened in numerous ways not previously captured by the contractual principle of informed consent. </w:t>
      </w:r>
    </w:p>
    <w:p w14:paraId="3FF2E8D5" w14:textId="77777777" w:rsidR="00CF1CA1" w:rsidRPr="00A92995" w:rsidRDefault="00CF1CA1" w:rsidP="00CF1CA1">
      <w:pPr>
        <w:spacing w:line="360" w:lineRule="auto"/>
      </w:pPr>
    </w:p>
    <w:p w14:paraId="64DAFB9C" w14:textId="172F22E7" w:rsidR="006F7A80" w:rsidRDefault="006F7A80">
      <w:r>
        <w:br w:type="page"/>
      </w:r>
    </w:p>
    <w:p w14:paraId="3E329A03" w14:textId="0A6CCC9E" w:rsidR="003D6CD6" w:rsidRPr="00A92995" w:rsidRDefault="003D6CD6" w:rsidP="003D6CD6">
      <w:pPr>
        <w:rPr>
          <w:b/>
          <w:u w:val="single"/>
        </w:rPr>
      </w:pPr>
      <w:r w:rsidRPr="00A92995">
        <w:rPr>
          <w:b/>
          <w:u w:val="single"/>
        </w:rPr>
        <w:lastRenderedPageBreak/>
        <w:t>References</w:t>
      </w:r>
    </w:p>
    <w:p w14:paraId="364B485F" w14:textId="77777777" w:rsidR="003D6CD6" w:rsidRPr="00A92995" w:rsidRDefault="003D6CD6" w:rsidP="003D6CD6">
      <w:pPr>
        <w:jc w:val="both"/>
      </w:pPr>
    </w:p>
    <w:p w14:paraId="012431D8" w14:textId="77777777" w:rsidR="003D6CD6" w:rsidRPr="00A92995" w:rsidRDefault="003D6CD6" w:rsidP="003D6CD6">
      <w:pPr>
        <w:jc w:val="both"/>
      </w:pPr>
    </w:p>
    <w:p w14:paraId="6498C9F6" w14:textId="77777777" w:rsidR="003D6CD6" w:rsidRPr="00A92995" w:rsidRDefault="003D6CD6" w:rsidP="009B012B">
      <w:pPr>
        <w:pStyle w:val="FootnoteText"/>
        <w:numPr>
          <w:ilvl w:val="0"/>
          <w:numId w:val="14"/>
        </w:numPr>
      </w:pPr>
      <w:r w:rsidRPr="00A92995">
        <w:t xml:space="preserve">American Psychiatric Association, </w:t>
      </w:r>
      <w:r w:rsidRPr="00A92995">
        <w:rPr>
          <w:i/>
        </w:rPr>
        <w:t xml:space="preserve">Diagnostic and Statistical Manual of Mental Disorders </w:t>
      </w:r>
      <w:r w:rsidRPr="00A92995">
        <w:t>(4</w:t>
      </w:r>
      <w:r w:rsidRPr="00A92995">
        <w:rPr>
          <w:vertAlign w:val="superscript"/>
        </w:rPr>
        <w:t>th</w:t>
      </w:r>
      <w:r w:rsidRPr="00A92995">
        <w:t xml:space="preserve"> ed., Text Revision, 2005)</w:t>
      </w:r>
    </w:p>
    <w:p w14:paraId="5488DFCC" w14:textId="32A1D946" w:rsidR="003D6CD6" w:rsidRPr="00A92995" w:rsidRDefault="003D6CD6" w:rsidP="0079061C">
      <w:pPr>
        <w:pStyle w:val="FootnoteText"/>
        <w:numPr>
          <w:ilvl w:val="0"/>
          <w:numId w:val="14"/>
        </w:numPr>
      </w:pPr>
      <w:r w:rsidRPr="00A92995">
        <w:t xml:space="preserve">Anderson, J. and Lux, W. “Knowing your Own Strength: Accurate Self-Assessment as a Requirement for Personal Autonomy”, in </w:t>
      </w:r>
      <w:r w:rsidRPr="00A92995">
        <w:rPr>
          <w:i/>
        </w:rPr>
        <w:t xml:space="preserve">Philosophy, Psychiatry, and Psychology: PPP; </w:t>
      </w:r>
      <w:r w:rsidRPr="00A92995">
        <w:t>Dec 2014; Vol. 11, No. 4; ProQuest Central p.279.</w:t>
      </w:r>
    </w:p>
    <w:p w14:paraId="21FE7CF6"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Anderson, J., and J. Christman, (eds.), 2005, </w:t>
      </w:r>
      <w:r w:rsidRPr="00A92995">
        <w:rPr>
          <w:rFonts w:ascii="Times New Roman" w:eastAsia="Times New Roman" w:hAnsi="Times New Roman" w:cs="Times New Roman"/>
          <w:i/>
          <w:iCs/>
          <w:color w:val="1A1A1A"/>
        </w:rPr>
        <w:t>Autonomy and the Challenges of Liberalism: New Essays</w:t>
      </w:r>
      <w:r w:rsidRPr="00A92995">
        <w:rPr>
          <w:rFonts w:ascii="Times New Roman" w:eastAsia="Times New Roman" w:hAnsi="Times New Roman" w:cs="Times New Roman"/>
          <w:color w:val="1A1A1A"/>
        </w:rPr>
        <w:t>, Cambridge: Cambridge University Press.</w:t>
      </w:r>
    </w:p>
    <w:p w14:paraId="3B0CB9C4" w14:textId="77777777" w:rsidR="003D6CD6" w:rsidRPr="00A92995" w:rsidRDefault="003D6CD6" w:rsidP="003D6CD6">
      <w:pPr>
        <w:pStyle w:val="ListParagraph"/>
        <w:numPr>
          <w:ilvl w:val="0"/>
          <w:numId w:val="14"/>
        </w:numPr>
        <w:rPr>
          <w:rFonts w:ascii="Times New Roman" w:hAnsi="Times New Roman" w:cs="Times New Roman"/>
          <w:color w:val="000000" w:themeColor="text1"/>
        </w:rPr>
      </w:pPr>
      <w:r w:rsidRPr="00A92995">
        <w:rPr>
          <w:rFonts w:ascii="Times New Roman" w:hAnsi="Times New Roman" w:cs="Times New Roman"/>
          <w:color w:val="000000" w:themeColor="text1"/>
        </w:rPr>
        <w:t>Beauchamp, T.L., ‘Philosophical Basis of Psychiatric Ethics’</w:t>
      </w:r>
      <w:r w:rsidRPr="00A92995">
        <w:rPr>
          <w:rFonts w:ascii="Times New Roman" w:hAnsi="Times New Roman" w:cs="Times New Roman"/>
          <w:i/>
          <w:color w:val="000000" w:themeColor="text1"/>
        </w:rPr>
        <w:t xml:space="preserve">, </w:t>
      </w:r>
      <w:r w:rsidRPr="00A92995">
        <w:rPr>
          <w:rFonts w:ascii="Times New Roman" w:hAnsi="Times New Roman" w:cs="Times New Roman"/>
          <w:color w:val="000000" w:themeColor="text1"/>
        </w:rPr>
        <w:t xml:space="preserve">in </w:t>
      </w:r>
      <w:r w:rsidRPr="00A92995">
        <w:rPr>
          <w:rFonts w:ascii="Times New Roman" w:hAnsi="Times New Roman" w:cs="Times New Roman"/>
          <w:i/>
          <w:color w:val="000000" w:themeColor="text1"/>
        </w:rPr>
        <w:t>Psychiatric Ethics</w:t>
      </w:r>
      <w:r w:rsidRPr="00A92995">
        <w:rPr>
          <w:rFonts w:ascii="Times New Roman" w:hAnsi="Times New Roman" w:cs="Times New Roman"/>
          <w:color w:val="000000" w:themeColor="text1"/>
        </w:rPr>
        <w:t>, 4</w:t>
      </w:r>
      <w:r w:rsidRPr="00A92995">
        <w:rPr>
          <w:rFonts w:ascii="Times New Roman" w:hAnsi="Times New Roman" w:cs="Times New Roman"/>
          <w:color w:val="000000" w:themeColor="text1"/>
          <w:vertAlign w:val="superscript"/>
        </w:rPr>
        <w:t>th</w:t>
      </w:r>
      <w:r w:rsidRPr="00A92995">
        <w:rPr>
          <w:rFonts w:ascii="Times New Roman" w:hAnsi="Times New Roman" w:cs="Times New Roman"/>
          <w:color w:val="000000" w:themeColor="text1"/>
        </w:rPr>
        <w:t xml:space="preserve"> ed. Block, S. and Green, S., ed. (2009), p 34</w:t>
      </w:r>
    </w:p>
    <w:p w14:paraId="723F6A38" w14:textId="77777777" w:rsidR="003D6CD6" w:rsidRPr="00A92995" w:rsidRDefault="003D6CD6" w:rsidP="009B012B">
      <w:pPr>
        <w:pStyle w:val="FootnoteText"/>
        <w:numPr>
          <w:ilvl w:val="0"/>
          <w:numId w:val="14"/>
        </w:numPr>
      </w:pPr>
      <w:r w:rsidRPr="00A92995">
        <w:t xml:space="preserve">Beauchamp, T.L., and Childress, J.; </w:t>
      </w:r>
      <w:r w:rsidRPr="00A92995">
        <w:rPr>
          <w:i/>
        </w:rPr>
        <w:t>Principles of Biomedical Ethics</w:t>
      </w:r>
      <w:r w:rsidRPr="00A92995">
        <w:t>, Oxford University Press, 5</w:t>
      </w:r>
      <w:r w:rsidRPr="00A92995">
        <w:rPr>
          <w:vertAlign w:val="superscript"/>
        </w:rPr>
        <w:t>th</w:t>
      </w:r>
      <w:r w:rsidRPr="00A92995">
        <w:t xml:space="preserve"> ed., 2001</w:t>
      </w:r>
    </w:p>
    <w:p w14:paraId="05DAD444"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Baier, A., 1985, </w:t>
      </w:r>
      <w:r w:rsidRPr="00A92995">
        <w:rPr>
          <w:rFonts w:ascii="Times New Roman" w:eastAsia="Times New Roman" w:hAnsi="Times New Roman" w:cs="Times New Roman"/>
          <w:i/>
          <w:iCs/>
          <w:color w:val="1A1A1A"/>
        </w:rPr>
        <w:t>Postures of the Mind. Essays on Mind and Morals</w:t>
      </w:r>
      <w:r w:rsidRPr="00A92995">
        <w:rPr>
          <w:rFonts w:ascii="Times New Roman" w:eastAsia="Times New Roman" w:hAnsi="Times New Roman" w:cs="Times New Roman"/>
          <w:color w:val="1A1A1A"/>
        </w:rPr>
        <w:t>, Minneapolis: University of Minnesota Press.</w:t>
      </w:r>
    </w:p>
    <w:p w14:paraId="370DFA2A"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Benson, P., 1987, “Freedom and Value”, </w:t>
      </w:r>
      <w:r w:rsidRPr="00A92995">
        <w:rPr>
          <w:rFonts w:ascii="Times New Roman" w:eastAsia="Times New Roman" w:hAnsi="Times New Roman" w:cs="Times New Roman"/>
          <w:i/>
          <w:iCs/>
          <w:color w:val="1A1A1A"/>
        </w:rPr>
        <w:t>Journal of Philosophy</w:t>
      </w:r>
      <w:r w:rsidRPr="00A92995">
        <w:rPr>
          <w:rFonts w:ascii="Times New Roman" w:eastAsia="Times New Roman" w:hAnsi="Times New Roman" w:cs="Times New Roman"/>
          <w:color w:val="1A1A1A"/>
        </w:rPr>
        <w:t>, 84: 465–486.</w:t>
      </w:r>
    </w:p>
    <w:p w14:paraId="2E42DF59"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1990, “Feminist Second Thoughts About Free Agency”, </w:t>
      </w:r>
      <w:r w:rsidRPr="00A92995">
        <w:rPr>
          <w:rFonts w:ascii="Times New Roman" w:eastAsia="Times New Roman" w:hAnsi="Times New Roman" w:cs="Times New Roman"/>
          <w:i/>
          <w:iCs/>
          <w:color w:val="1A1A1A"/>
        </w:rPr>
        <w:t>Hypatia</w:t>
      </w:r>
      <w:r w:rsidRPr="00A92995">
        <w:rPr>
          <w:rFonts w:ascii="Times New Roman" w:eastAsia="Times New Roman" w:hAnsi="Times New Roman" w:cs="Times New Roman"/>
          <w:color w:val="1A1A1A"/>
        </w:rPr>
        <w:t>, 3: 47–64.</w:t>
      </w:r>
    </w:p>
    <w:p w14:paraId="567F14C0"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1991, “Autonomy and Oppressive Socialization”, </w:t>
      </w:r>
      <w:r w:rsidRPr="00A92995">
        <w:rPr>
          <w:rFonts w:ascii="Times New Roman" w:eastAsia="Times New Roman" w:hAnsi="Times New Roman" w:cs="Times New Roman"/>
          <w:i/>
          <w:iCs/>
          <w:color w:val="1A1A1A"/>
        </w:rPr>
        <w:t>Social Theory and Practice</w:t>
      </w:r>
      <w:r w:rsidRPr="00A92995">
        <w:rPr>
          <w:rFonts w:ascii="Times New Roman" w:eastAsia="Times New Roman" w:hAnsi="Times New Roman" w:cs="Times New Roman"/>
          <w:color w:val="1A1A1A"/>
        </w:rPr>
        <w:t>, 17: 385–408.</w:t>
      </w:r>
    </w:p>
    <w:p w14:paraId="644BE529"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1994, “Free Agency and Self-Worth”, </w:t>
      </w:r>
      <w:r w:rsidRPr="00A92995">
        <w:rPr>
          <w:rFonts w:ascii="Times New Roman" w:eastAsia="Times New Roman" w:hAnsi="Times New Roman" w:cs="Times New Roman"/>
          <w:i/>
          <w:iCs/>
          <w:color w:val="1A1A1A"/>
        </w:rPr>
        <w:t>Journal of Philosophy</w:t>
      </w:r>
      <w:r w:rsidRPr="00A92995">
        <w:rPr>
          <w:rFonts w:ascii="Times New Roman" w:eastAsia="Times New Roman" w:hAnsi="Times New Roman" w:cs="Times New Roman"/>
          <w:color w:val="1A1A1A"/>
        </w:rPr>
        <w:t>, 91: 650–668.</w:t>
      </w:r>
    </w:p>
    <w:p w14:paraId="4EA346D0"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 xml:space="preserve">2000, “Feeling Crazy: Self-Worth and the Social Character of Responsibility,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C. Mackenzie and N. Stoljar (eds.), New York: Oxford University Press. pp. 72 – 93.</w:t>
      </w:r>
    </w:p>
    <w:p w14:paraId="68E06922"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2005a, “Taking Ownership. Authority and Voice in Autonomous Agency”, in Anderson and Christman 2005, pp. 101–126.</w:t>
      </w:r>
    </w:p>
    <w:p w14:paraId="042E39D0"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2005, “Feminist Intuitions and the Normative Substance of Autonomy”, in Taylor 2005, pp. 124–142.</w:t>
      </w:r>
    </w:p>
    <w:p w14:paraId="7C6C88B9"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“Narrative Self-Understanding and Relational Autonomy”. Comments on Catriona Mackenzie and Jacqui Poltera, ‘Narrative Integration, Fragmented Selves, and Autonomy’ and Andrea C. Westlund, ‘Rethinking Relational Autonomy’,” </w:t>
      </w:r>
      <w:r w:rsidRPr="00A92995">
        <w:rPr>
          <w:rFonts w:ascii="Times New Roman" w:eastAsia="Times New Roman" w:hAnsi="Times New Roman" w:cs="Times New Roman"/>
          <w:i/>
          <w:iCs/>
          <w:color w:val="1A1A1A"/>
        </w:rPr>
        <w:t>Symposia on Gender, Race and Philosophy</w:t>
      </w:r>
      <w:r w:rsidRPr="00A92995">
        <w:rPr>
          <w:rFonts w:ascii="Times New Roman" w:eastAsia="Times New Roman" w:hAnsi="Times New Roman" w:cs="Times New Roman"/>
          <w:color w:val="1A1A1A"/>
        </w:rPr>
        <w:t>, 7(1), pp. 1–5.</w:t>
      </w:r>
    </w:p>
    <w:p w14:paraId="6AC608D5" w14:textId="77777777" w:rsidR="003D6CD6" w:rsidRPr="00A92995" w:rsidRDefault="003D6CD6" w:rsidP="003D6CD6">
      <w:pPr>
        <w:pStyle w:val="ListParagraph"/>
        <w:ind w:left="1440"/>
        <w:rPr>
          <w:rFonts w:ascii="Times New Roman" w:hAnsi="Times New Roman" w:cs="Times New Roman"/>
        </w:rPr>
      </w:pPr>
    </w:p>
    <w:p w14:paraId="4A4DB54F" w14:textId="77777777" w:rsidR="003D6CD6" w:rsidRPr="00A92995" w:rsidRDefault="003D6CD6" w:rsidP="003D6CD6">
      <w:pPr>
        <w:pStyle w:val="ListParagraph"/>
        <w:numPr>
          <w:ilvl w:val="0"/>
          <w:numId w:val="14"/>
        </w:numPr>
        <w:spacing w:before="100" w:beforeAutospacing="1" w:after="120" w:line="300" w:lineRule="atLeast"/>
        <w:rPr>
          <w:rFonts w:ascii="Times New Roman" w:eastAsia="Times New Roman" w:hAnsi="Times New Roman" w:cs="Times New Roman"/>
          <w:color w:val="1A1A1A"/>
        </w:rPr>
      </w:pPr>
      <w:r w:rsidRPr="00A92995">
        <w:rPr>
          <w:rFonts w:ascii="Times New Roman" w:eastAsia="Times New Roman" w:hAnsi="Times New Roman" w:cs="Times New Roman"/>
          <w:color w:val="1A1A1A"/>
        </w:rPr>
        <w:t xml:space="preserve">Berlin, I., “Two Concepts of Liberty” in </w:t>
      </w:r>
      <w:r w:rsidRPr="00A92995">
        <w:rPr>
          <w:rFonts w:ascii="Times New Roman" w:eastAsia="Times New Roman" w:hAnsi="Times New Roman" w:cs="Times New Roman"/>
          <w:i/>
          <w:color w:val="1A1A1A"/>
        </w:rPr>
        <w:t xml:space="preserve">Four Essays on Liberty </w:t>
      </w:r>
      <w:r w:rsidRPr="00A92995">
        <w:rPr>
          <w:rFonts w:ascii="Times New Roman" w:eastAsia="Times New Roman" w:hAnsi="Times New Roman" w:cs="Times New Roman"/>
          <w:color w:val="1A1A1A"/>
        </w:rPr>
        <w:t>(Oxford: Oxford University Press, 1969), pp. 155-156, 158.</w:t>
      </w:r>
    </w:p>
    <w:p w14:paraId="22318120" w14:textId="77777777" w:rsidR="003D6CD6" w:rsidRPr="00A92995" w:rsidRDefault="003D6CD6" w:rsidP="003D6CD6">
      <w:pPr>
        <w:pStyle w:val="ListParagraph"/>
        <w:numPr>
          <w:ilvl w:val="0"/>
          <w:numId w:val="14"/>
        </w:numPr>
        <w:spacing w:before="100" w:beforeAutospacing="1" w:after="120" w:line="300" w:lineRule="atLeast"/>
        <w:rPr>
          <w:rFonts w:ascii="Times New Roman" w:eastAsia="Times New Roman" w:hAnsi="Times New Roman" w:cs="Times New Roman"/>
          <w:color w:val="1A1A1A"/>
        </w:rPr>
      </w:pPr>
      <w:r w:rsidRPr="00A92995">
        <w:rPr>
          <w:rFonts w:ascii="Times New Roman" w:eastAsia="Times New Roman" w:hAnsi="Times New Roman" w:cs="Times New Roman"/>
          <w:color w:val="1A1A1A"/>
        </w:rPr>
        <w:t xml:space="preserve">Beauchamp, T. and Childress, J., </w:t>
      </w:r>
      <w:r w:rsidRPr="00A92995">
        <w:rPr>
          <w:rFonts w:ascii="Times New Roman" w:eastAsia="Times New Roman" w:hAnsi="Times New Roman" w:cs="Times New Roman"/>
          <w:i/>
          <w:color w:val="1A1A1A"/>
        </w:rPr>
        <w:t xml:space="preserve">Principles of Biomedical Ethics </w:t>
      </w:r>
      <w:r w:rsidRPr="00A92995">
        <w:rPr>
          <w:rFonts w:ascii="Times New Roman" w:eastAsia="Times New Roman" w:hAnsi="Times New Roman" w:cs="Times New Roman"/>
          <w:color w:val="1A1A1A"/>
        </w:rPr>
        <w:t>(New York: Oxford University Press, 1979)</w:t>
      </w:r>
    </w:p>
    <w:p w14:paraId="603371E7" w14:textId="5FAF0339" w:rsidR="003D6CD6" w:rsidRPr="00A92995" w:rsidRDefault="003D6CD6" w:rsidP="003D6CD6">
      <w:pPr>
        <w:pStyle w:val="ListParagraph"/>
        <w:numPr>
          <w:ilvl w:val="0"/>
          <w:numId w:val="14"/>
        </w:numPr>
        <w:spacing w:before="100" w:beforeAutospacing="1" w:after="120" w:line="300" w:lineRule="atLeast"/>
        <w:rPr>
          <w:rFonts w:ascii="Times New Roman" w:eastAsia="Times New Roman" w:hAnsi="Times New Roman" w:cs="Times New Roman"/>
          <w:color w:val="1A1A1A"/>
        </w:rPr>
      </w:pPr>
      <w:r w:rsidRPr="00A92995">
        <w:rPr>
          <w:rFonts w:ascii="Times New Roman" w:eastAsia="Times New Roman" w:hAnsi="Times New Roman" w:cs="Times New Roman"/>
          <w:color w:val="1A1A1A"/>
        </w:rPr>
        <w:t xml:space="preserve">Beauchamp, T.L., “The Philosophical Basis of Psychiatric Ethics” in </w:t>
      </w:r>
      <w:r w:rsidRPr="00A92995">
        <w:rPr>
          <w:rFonts w:ascii="Times New Roman" w:eastAsia="Times New Roman" w:hAnsi="Times New Roman" w:cs="Times New Roman"/>
          <w:i/>
          <w:color w:val="1A1A1A"/>
        </w:rPr>
        <w:t xml:space="preserve">Psychiatric Ethics: Fourth Edition, </w:t>
      </w:r>
      <w:r w:rsidRPr="00A92995">
        <w:rPr>
          <w:rFonts w:ascii="Times New Roman" w:eastAsia="Times New Roman" w:hAnsi="Times New Roman" w:cs="Times New Roman"/>
          <w:color w:val="1A1A1A"/>
        </w:rPr>
        <w:t xml:space="preserve">S. </w:t>
      </w:r>
      <w:r w:rsidR="00513152" w:rsidRPr="00A92995">
        <w:rPr>
          <w:rFonts w:ascii="Times New Roman" w:eastAsia="Times New Roman" w:hAnsi="Times New Roman" w:cs="Times New Roman"/>
          <w:color w:val="1A1A1A"/>
        </w:rPr>
        <w:t>Bloch,</w:t>
      </w:r>
      <w:r w:rsidRPr="00A92995">
        <w:rPr>
          <w:rFonts w:ascii="Times New Roman" w:eastAsia="Times New Roman" w:hAnsi="Times New Roman" w:cs="Times New Roman"/>
          <w:color w:val="1A1A1A"/>
        </w:rPr>
        <w:t xml:space="preserve"> and S.A. Green (eds.) (Oxford: Oxford University Press, 2009), pp. 25 - 48</w:t>
      </w:r>
    </w:p>
    <w:p w14:paraId="30A59D7C" w14:textId="3CE672E4" w:rsidR="003D6CD6" w:rsidRPr="00A92995" w:rsidRDefault="003D6CD6" w:rsidP="003D6CD6">
      <w:pPr>
        <w:pStyle w:val="ListParagraph"/>
        <w:numPr>
          <w:ilvl w:val="0"/>
          <w:numId w:val="14"/>
        </w:numPr>
        <w:spacing w:before="100" w:beforeAutospacing="1" w:after="120" w:line="300" w:lineRule="atLeast"/>
        <w:rPr>
          <w:rFonts w:ascii="Times New Roman" w:eastAsia="Times New Roman" w:hAnsi="Times New Roman" w:cs="Times New Roman"/>
          <w:color w:val="1A1A1A"/>
        </w:rPr>
      </w:pPr>
      <w:r w:rsidRPr="00A92995">
        <w:rPr>
          <w:rFonts w:ascii="Times New Roman" w:eastAsia="Times New Roman" w:hAnsi="Times New Roman" w:cs="Times New Roman"/>
          <w:color w:val="1A1A1A"/>
        </w:rPr>
        <w:t xml:space="preserve">Brison, S. J., 2000, “Relational Autonomy and Freedom of Expression”,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xml:space="preserve">, C. </w:t>
      </w:r>
      <w:r w:rsidR="00C91303" w:rsidRPr="00A92995">
        <w:rPr>
          <w:rFonts w:ascii="Times New Roman" w:eastAsia="Times New Roman" w:hAnsi="Times New Roman" w:cs="Times New Roman"/>
          <w:color w:val="1A1A1A"/>
        </w:rPr>
        <w:t>Mackenzie,</w:t>
      </w:r>
      <w:r w:rsidRPr="00A92995">
        <w:rPr>
          <w:rFonts w:ascii="Times New Roman" w:eastAsia="Times New Roman" w:hAnsi="Times New Roman" w:cs="Times New Roman"/>
          <w:color w:val="1A1A1A"/>
        </w:rPr>
        <w:t xml:space="preserve"> and N. Stoljar (eds.), New York: Oxford University Press. pp. 280–300.</w:t>
      </w:r>
    </w:p>
    <w:p w14:paraId="5C976D78" w14:textId="77777777" w:rsidR="003D6CD6" w:rsidRPr="00A92995" w:rsidRDefault="003D6CD6" w:rsidP="009B012B">
      <w:pPr>
        <w:pStyle w:val="FootnoteText"/>
        <w:numPr>
          <w:ilvl w:val="0"/>
          <w:numId w:val="14"/>
        </w:numPr>
      </w:pPr>
      <w:r w:rsidRPr="00A92995">
        <w:lastRenderedPageBreak/>
        <w:t xml:space="preserve">Carel, H. “Phenomenology of Illness, Philosophy, and Life”, in Carel, H. </w:t>
      </w:r>
      <w:r w:rsidRPr="00A92995">
        <w:rPr>
          <w:i/>
        </w:rPr>
        <w:t>Phenomenology of Illness</w:t>
      </w:r>
      <w:r w:rsidRPr="00A92995">
        <w:t>, Oxford: Oxford University Press, 2016, pp. xi – 248.</w:t>
      </w:r>
    </w:p>
    <w:p w14:paraId="384F831D" w14:textId="6FD2581C" w:rsidR="003D6CD6" w:rsidRPr="00A92995" w:rsidRDefault="003D6CD6" w:rsidP="0079061C">
      <w:pPr>
        <w:pStyle w:val="FootnoteText"/>
        <w:numPr>
          <w:ilvl w:val="0"/>
          <w:numId w:val="14"/>
        </w:numPr>
      </w:pPr>
      <w:proofErr w:type="spellStart"/>
      <w:r w:rsidRPr="00A92995">
        <w:t>Charland</w:t>
      </w:r>
      <w:proofErr w:type="spellEnd"/>
      <w:r w:rsidRPr="00A92995">
        <w:t xml:space="preserve">, L.C., “A Madness for Identity: Psychiatric Labels, Consumer Autonomy, and the Perils of the Internet”, in </w:t>
      </w:r>
      <w:r w:rsidRPr="00A92995">
        <w:rPr>
          <w:i/>
        </w:rPr>
        <w:t xml:space="preserve">Philosophy, </w:t>
      </w:r>
      <w:r w:rsidR="00C91303" w:rsidRPr="00A92995">
        <w:rPr>
          <w:i/>
        </w:rPr>
        <w:t>Psychology,</w:t>
      </w:r>
      <w:r w:rsidRPr="00A92995">
        <w:rPr>
          <w:i/>
        </w:rPr>
        <w:t xml:space="preserve"> and Psychiatry</w:t>
      </w:r>
      <w:r w:rsidRPr="00A92995">
        <w:t>, (Vol. 11, No. 4, Dec. 2004)</w:t>
      </w:r>
    </w:p>
    <w:p w14:paraId="5D65C64D"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Charles, S., (2010) “How Should Feminist Autonomy Theorists Respond to the Problem of Internalized Oppression?”, in </w:t>
      </w:r>
      <w:r w:rsidRPr="00A92995">
        <w:rPr>
          <w:rFonts w:ascii="Times New Roman" w:hAnsi="Times New Roman" w:cs="Times New Roman"/>
          <w:i/>
        </w:rPr>
        <w:t xml:space="preserve">Social Theory and Practice, </w:t>
      </w:r>
      <w:r w:rsidRPr="00A92995">
        <w:rPr>
          <w:rFonts w:ascii="Times New Roman" w:hAnsi="Times New Roman" w:cs="Times New Roman"/>
        </w:rPr>
        <w:t>Vol. 36, No. 3, pp. 409-438.</w:t>
      </w:r>
    </w:p>
    <w:p w14:paraId="24755EDA" w14:textId="77777777" w:rsidR="003D6CD6" w:rsidRPr="00A92995" w:rsidRDefault="003D6CD6" w:rsidP="003D6CD6">
      <w:pPr>
        <w:pStyle w:val="ListParagraph"/>
        <w:numPr>
          <w:ilvl w:val="0"/>
          <w:numId w:val="11"/>
        </w:numPr>
        <w:rPr>
          <w:rFonts w:ascii="Times New Roman" w:hAnsi="Times New Roman" w:cs="Times New Roman"/>
        </w:rPr>
      </w:pPr>
      <w:r w:rsidRPr="00A92995">
        <w:rPr>
          <w:rFonts w:ascii="Times New Roman" w:eastAsia="Times New Roman" w:hAnsi="Times New Roman" w:cs="Times New Roman"/>
          <w:color w:val="1A1A1A"/>
        </w:rPr>
        <w:t>Christman, J., 1990, “Autonomy and Personal History”, </w:t>
      </w:r>
      <w:r w:rsidRPr="00A92995">
        <w:rPr>
          <w:rFonts w:ascii="Times New Roman" w:eastAsia="Times New Roman" w:hAnsi="Times New Roman" w:cs="Times New Roman"/>
          <w:i/>
          <w:iCs/>
          <w:color w:val="1A1A1A"/>
        </w:rPr>
        <w:t>Canadian Journal of Philosophy</w:t>
      </w:r>
      <w:r w:rsidRPr="00A92995">
        <w:rPr>
          <w:rFonts w:ascii="Times New Roman" w:eastAsia="Times New Roman" w:hAnsi="Times New Roman" w:cs="Times New Roman"/>
          <w:color w:val="1A1A1A"/>
        </w:rPr>
        <w:t>, 20: 1–24.</w:t>
      </w:r>
    </w:p>
    <w:p w14:paraId="45C493BB" w14:textId="77777777" w:rsidR="003D6CD6" w:rsidRPr="00A92995" w:rsidRDefault="003D6CD6" w:rsidP="003D6CD6">
      <w:pPr>
        <w:pStyle w:val="ListParagraph"/>
        <w:numPr>
          <w:ilvl w:val="1"/>
          <w:numId w:val="11"/>
        </w:numPr>
        <w:rPr>
          <w:rFonts w:ascii="Times New Roman" w:hAnsi="Times New Roman" w:cs="Times New Roman"/>
        </w:rPr>
      </w:pPr>
      <w:r w:rsidRPr="00A92995">
        <w:rPr>
          <w:rFonts w:ascii="Times New Roman" w:eastAsia="Times New Roman" w:hAnsi="Times New Roman" w:cs="Times New Roman"/>
          <w:color w:val="1A1A1A"/>
        </w:rPr>
        <w:t>1991, “Liberalism and Individual Positive Freedom”, </w:t>
      </w:r>
      <w:r w:rsidRPr="00A92995">
        <w:rPr>
          <w:rFonts w:ascii="Times New Roman" w:eastAsia="Times New Roman" w:hAnsi="Times New Roman" w:cs="Times New Roman"/>
          <w:i/>
          <w:iCs/>
          <w:color w:val="1A1A1A"/>
        </w:rPr>
        <w:t>Ethics</w:t>
      </w:r>
      <w:r w:rsidRPr="00A92995">
        <w:rPr>
          <w:rFonts w:ascii="Times New Roman" w:eastAsia="Times New Roman" w:hAnsi="Times New Roman" w:cs="Times New Roman"/>
          <w:color w:val="1A1A1A"/>
        </w:rPr>
        <w:t>, 101: 343–359.</w:t>
      </w:r>
    </w:p>
    <w:p w14:paraId="2164522A" w14:textId="77777777" w:rsidR="003D6CD6" w:rsidRPr="00A92995" w:rsidRDefault="003D6CD6" w:rsidP="003D6CD6">
      <w:pPr>
        <w:pStyle w:val="ListParagraph"/>
        <w:numPr>
          <w:ilvl w:val="1"/>
          <w:numId w:val="11"/>
        </w:numPr>
        <w:rPr>
          <w:rFonts w:ascii="Times New Roman" w:eastAsia="Times New Roman" w:hAnsi="Times New Roman" w:cs="Times New Roman"/>
          <w:color w:val="333333"/>
          <w:spacing w:val="4"/>
        </w:rPr>
      </w:pPr>
      <w:r w:rsidRPr="00A92995">
        <w:rPr>
          <w:rFonts w:ascii="Times New Roman" w:eastAsia="Times New Roman" w:hAnsi="Times New Roman" w:cs="Times New Roman"/>
          <w:color w:val="1A1A1A"/>
        </w:rPr>
        <w:t>2004, “Relational Autonomy, Liberal Individualism, and the Social Constitution of Selves”, </w:t>
      </w:r>
      <w:r w:rsidRPr="00A92995">
        <w:rPr>
          <w:rFonts w:ascii="Times New Roman" w:eastAsia="Times New Roman" w:hAnsi="Times New Roman" w:cs="Times New Roman"/>
          <w:i/>
          <w:iCs/>
          <w:color w:val="1A1A1A"/>
        </w:rPr>
        <w:t>Philosophical Studies</w:t>
      </w:r>
      <w:r w:rsidRPr="00A92995">
        <w:rPr>
          <w:rFonts w:ascii="Times New Roman" w:eastAsia="Times New Roman" w:hAnsi="Times New Roman" w:cs="Times New Roman"/>
          <w:color w:val="1A1A1A"/>
        </w:rPr>
        <w:t xml:space="preserve">, 117: 143–164. </w:t>
      </w:r>
      <w:r w:rsidRPr="00A92995">
        <w:rPr>
          <w:rFonts w:ascii="Times New Roman" w:eastAsia="Times New Roman" w:hAnsi="Times New Roman" w:cs="Times New Roman"/>
          <w:color w:val="333333"/>
          <w:spacing w:val="4"/>
        </w:rPr>
        <w:t>https://doi.org/10.1023/B:PHIL.0000014532.56866.5c</w:t>
      </w:r>
    </w:p>
    <w:p w14:paraId="20B0D7F2" w14:textId="77777777" w:rsidR="003D6CD6" w:rsidRPr="00A92995" w:rsidRDefault="003D6CD6" w:rsidP="003D6CD6">
      <w:pPr>
        <w:pStyle w:val="ListParagraph"/>
        <w:numPr>
          <w:ilvl w:val="1"/>
          <w:numId w:val="11"/>
        </w:numPr>
        <w:rPr>
          <w:rFonts w:ascii="Times New Roman" w:hAnsi="Times New Roman" w:cs="Times New Roman"/>
        </w:rPr>
      </w:pPr>
      <w:r w:rsidRPr="00A92995">
        <w:rPr>
          <w:rFonts w:ascii="Times New Roman" w:eastAsia="Times New Roman" w:hAnsi="Times New Roman" w:cs="Times New Roman"/>
          <w:color w:val="1A1A1A"/>
        </w:rPr>
        <w:t>2009, </w:t>
      </w:r>
      <w:r w:rsidRPr="00A92995">
        <w:rPr>
          <w:rFonts w:ascii="Times New Roman" w:eastAsia="Times New Roman" w:hAnsi="Times New Roman" w:cs="Times New Roman"/>
          <w:i/>
          <w:iCs/>
          <w:color w:val="1A1A1A"/>
        </w:rPr>
        <w:t>The Politics of Persons. Individual Autonomy and Socio-historical Selves</w:t>
      </w:r>
      <w:r w:rsidRPr="00A92995">
        <w:rPr>
          <w:rFonts w:ascii="Times New Roman" w:eastAsia="Times New Roman" w:hAnsi="Times New Roman" w:cs="Times New Roman"/>
          <w:color w:val="1A1A1A"/>
        </w:rPr>
        <w:t>, Cambridge: Cambridge University Press.</w:t>
      </w:r>
    </w:p>
    <w:p w14:paraId="3B592BB7" w14:textId="738B2EB8"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Code, L., “What can she </w:t>
      </w:r>
      <w:r w:rsidR="00C91303" w:rsidRPr="00A92995">
        <w:rPr>
          <w:rFonts w:ascii="Times New Roman" w:hAnsi="Times New Roman" w:cs="Times New Roman"/>
        </w:rPr>
        <w:t>know:</w:t>
      </w:r>
      <w:r w:rsidRPr="00A92995">
        <w:rPr>
          <w:rFonts w:ascii="Times New Roman" w:hAnsi="Times New Roman" w:cs="Times New Roman"/>
        </w:rPr>
        <w:t xml:space="preserve"> feminist theory and the construction of knowledge”, </w:t>
      </w:r>
      <w:r w:rsidRPr="00A92995">
        <w:rPr>
          <w:rFonts w:ascii="Times New Roman" w:eastAsia="Times New Roman" w:hAnsi="Times New Roman" w:cs="Times New Roman"/>
          <w:color w:val="1A1A1A"/>
        </w:rPr>
        <w:t>Ithaca, NY: Cornell University Press</w:t>
      </w:r>
      <w:r w:rsidRPr="00A92995">
        <w:rPr>
          <w:rFonts w:ascii="Times New Roman" w:hAnsi="Times New Roman" w:cs="Times New Roman"/>
        </w:rPr>
        <w:t xml:space="preserve">, 1991. Chapter 3, pp. 71-110. </w:t>
      </w:r>
    </w:p>
    <w:p w14:paraId="66EEEC49" w14:textId="77777777" w:rsidR="003D6CD6" w:rsidRPr="00A92995" w:rsidRDefault="003D6CD6" w:rsidP="003D6CD6">
      <w:pPr>
        <w:pStyle w:val="ListParagraph"/>
        <w:numPr>
          <w:ilvl w:val="0"/>
          <w:numId w:val="11"/>
        </w:numPr>
        <w:rPr>
          <w:rFonts w:ascii="Times New Roman" w:hAnsi="Times New Roman" w:cs="Times New Roman"/>
        </w:rPr>
      </w:pPr>
      <w:r w:rsidRPr="00A92995">
        <w:rPr>
          <w:rFonts w:ascii="Times New Roman" w:eastAsia="Times New Roman" w:hAnsi="Times New Roman" w:cs="Times New Roman"/>
          <w:color w:val="1A1A1A"/>
        </w:rPr>
        <w:t>Crenshaw, K. W., 1991, “Mapping the Margins. Intersectionality, Identity Politics and Violence Against Women of Color”, </w:t>
      </w:r>
      <w:r w:rsidRPr="00A92995">
        <w:rPr>
          <w:rFonts w:ascii="Times New Roman" w:eastAsia="Times New Roman" w:hAnsi="Times New Roman" w:cs="Times New Roman"/>
          <w:i/>
          <w:iCs/>
          <w:color w:val="1A1A1A"/>
        </w:rPr>
        <w:t>Stanford Law Review</w:t>
      </w:r>
      <w:r w:rsidRPr="00A92995">
        <w:rPr>
          <w:rFonts w:ascii="Times New Roman" w:eastAsia="Times New Roman" w:hAnsi="Times New Roman" w:cs="Times New Roman"/>
          <w:color w:val="1A1A1A"/>
        </w:rPr>
        <w:t>, 43: 1241–1299.</w:t>
      </w:r>
    </w:p>
    <w:p w14:paraId="76EBA06E" w14:textId="3D8C2F1F" w:rsidR="003D6CD6" w:rsidRPr="00A92995" w:rsidRDefault="003D6CD6" w:rsidP="003D6CD6">
      <w:pPr>
        <w:pStyle w:val="ListParagraph"/>
        <w:numPr>
          <w:ilvl w:val="0"/>
          <w:numId w:val="11"/>
        </w:numPr>
        <w:rPr>
          <w:rFonts w:ascii="Times New Roman" w:hAnsi="Times New Roman" w:cs="Times New Roman"/>
        </w:rPr>
      </w:pPr>
      <w:proofErr w:type="spellStart"/>
      <w:r w:rsidRPr="00A92995">
        <w:rPr>
          <w:rFonts w:ascii="Times New Roman" w:eastAsia="Times New Roman" w:hAnsi="Times New Roman" w:cs="Times New Roman"/>
          <w:color w:val="1A1A1A"/>
        </w:rPr>
        <w:t>Dodds</w:t>
      </w:r>
      <w:proofErr w:type="spellEnd"/>
      <w:r w:rsidRPr="00A92995">
        <w:rPr>
          <w:rFonts w:ascii="Times New Roman" w:eastAsia="Times New Roman" w:hAnsi="Times New Roman" w:cs="Times New Roman"/>
          <w:color w:val="1A1A1A"/>
        </w:rPr>
        <w:t xml:space="preserve">, S., 2013, “Choice and Control in Feminist Bioethics”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xml:space="preserve">, C. </w:t>
      </w:r>
      <w:r w:rsidR="00C91303" w:rsidRPr="00A92995">
        <w:rPr>
          <w:rFonts w:ascii="Times New Roman" w:eastAsia="Times New Roman" w:hAnsi="Times New Roman" w:cs="Times New Roman"/>
          <w:color w:val="1A1A1A"/>
        </w:rPr>
        <w:t>Mackenzie,</w:t>
      </w:r>
      <w:r w:rsidRPr="00A92995">
        <w:rPr>
          <w:rFonts w:ascii="Times New Roman" w:eastAsia="Times New Roman" w:hAnsi="Times New Roman" w:cs="Times New Roman"/>
          <w:color w:val="1A1A1A"/>
        </w:rPr>
        <w:t xml:space="preserve"> and N. Stoljar (eds.), New York: Oxford University Press. pp. 213 – 235.</w:t>
      </w:r>
    </w:p>
    <w:p w14:paraId="48769C17"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hAnsi="Times New Roman" w:cs="Times New Roman"/>
        </w:rPr>
        <w:t xml:space="preserve">Dryden, J., ‘Autonomy’ in </w:t>
      </w:r>
      <w:r w:rsidRPr="00A92995">
        <w:rPr>
          <w:rFonts w:ascii="Times New Roman" w:hAnsi="Times New Roman" w:cs="Times New Roman"/>
          <w:i/>
          <w:iCs/>
        </w:rPr>
        <w:t>The Internet Encyclopedia of Philosophy</w:t>
      </w:r>
      <w:r w:rsidRPr="00A92995">
        <w:rPr>
          <w:rFonts w:ascii="Times New Roman" w:hAnsi="Times New Roman" w:cs="Times New Roman"/>
        </w:rPr>
        <w:t>, ISSN 2161-0002, http://www.iep.utm.edu/, 17/10/2016.</w:t>
      </w:r>
    </w:p>
    <w:p w14:paraId="335581B4" w14:textId="781F77BA" w:rsidR="003D6CD6" w:rsidRPr="00A92995" w:rsidRDefault="003D6CD6" w:rsidP="00513152">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Dworkin, G., 1988, </w:t>
      </w:r>
      <w:r w:rsidRPr="00A92995">
        <w:rPr>
          <w:rFonts w:ascii="Times New Roman" w:eastAsia="Times New Roman" w:hAnsi="Times New Roman" w:cs="Times New Roman"/>
          <w:i/>
          <w:iCs/>
          <w:color w:val="1A1A1A"/>
        </w:rPr>
        <w:t>The Theory and Practice of Autonomy</w:t>
      </w:r>
      <w:r w:rsidRPr="00A92995">
        <w:rPr>
          <w:rFonts w:ascii="Times New Roman" w:eastAsia="Times New Roman" w:hAnsi="Times New Roman" w:cs="Times New Roman"/>
          <w:color w:val="1A1A1A"/>
        </w:rPr>
        <w:t>, Cambridge: Cambridge University Press.</w:t>
      </w:r>
    </w:p>
    <w:p w14:paraId="725D9BFF"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Ells, C., (2001), “Lessons About Autonomy from the Experience of Disability”,</w:t>
      </w:r>
      <w:r w:rsidRPr="00A92995">
        <w:rPr>
          <w:rFonts w:ascii="Times New Roman" w:hAnsi="Times New Roman" w:cs="Times New Roman"/>
          <w:i/>
        </w:rPr>
        <w:t xml:space="preserve"> </w:t>
      </w:r>
      <w:r w:rsidRPr="00A92995">
        <w:rPr>
          <w:rFonts w:ascii="Times New Roman" w:hAnsi="Times New Roman" w:cs="Times New Roman"/>
        </w:rPr>
        <w:t xml:space="preserve">in </w:t>
      </w:r>
      <w:r w:rsidRPr="00A92995">
        <w:rPr>
          <w:rFonts w:ascii="Times New Roman" w:hAnsi="Times New Roman" w:cs="Times New Roman"/>
          <w:i/>
        </w:rPr>
        <w:t xml:space="preserve">Social Theory and Practice, </w:t>
      </w:r>
      <w:r w:rsidRPr="00A92995">
        <w:rPr>
          <w:rFonts w:ascii="Times New Roman" w:hAnsi="Times New Roman" w:cs="Times New Roman"/>
        </w:rPr>
        <w:t>Vol. 27, No. 4, Special Issue: Embodied Values: Philosophy and Disabilities, pp. 599-615</w:t>
      </w:r>
    </w:p>
    <w:p w14:paraId="0C367C07"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hAnsi="Times New Roman" w:cs="Times New Roman"/>
          <w:color w:val="000000" w:themeColor="text1"/>
        </w:rPr>
        <w:t>Erler, A. and Hope, T. ‘Mental Disorder and the Concept of Authenticity’</w:t>
      </w:r>
      <w:r w:rsidRPr="00A92995">
        <w:rPr>
          <w:rFonts w:ascii="Times New Roman" w:hAnsi="Times New Roman" w:cs="Times New Roman"/>
          <w:i/>
          <w:color w:val="000000" w:themeColor="text1"/>
        </w:rPr>
        <w:t xml:space="preserve"> </w:t>
      </w:r>
      <w:r w:rsidRPr="00A92995">
        <w:rPr>
          <w:rFonts w:ascii="Times New Roman" w:hAnsi="Times New Roman" w:cs="Times New Roman"/>
          <w:color w:val="000000" w:themeColor="text1"/>
        </w:rPr>
        <w:t xml:space="preserve">in </w:t>
      </w:r>
      <w:r w:rsidRPr="00A92995">
        <w:rPr>
          <w:rFonts w:ascii="Times New Roman" w:hAnsi="Times New Roman" w:cs="Times New Roman"/>
          <w:i/>
          <w:color w:val="000000" w:themeColor="text1"/>
        </w:rPr>
        <w:t>Philosophy, Psychology, and Psychiatry</w:t>
      </w:r>
      <w:r w:rsidRPr="00A92995">
        <w:rPr>
          <w:rFonts w:ascii="Times New Roman" w:hAnsi="Times New Roman" w:cs="Times New Roman"/>
          <w:color w:val="000000" w:themeColor="text1"/>
        </w:rPr>
        <w:t>, (Vol. 21, No. 3, Sept. 2014)</w:t>
      </w:r>
    </w:p>
    <w:p w14:paraId="2140CBB9"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hAnsi="Times New Roman" w:cs="Times New Roman"/>
          <w:color w:val="000000" w:themeColor="text1"/>
        </w:rPr>
        <w:t xml:space="preserve">Frankfurt, H. “Freedom of the Will and the Concept of a Person”, in </w:t>
      </w:r>
      <w:r w:rsidRPr="00A92995">
        <w:rPr>
          <w:rFonts w:ascii="Times New Roman" w:hAnsi="Times New Roman" w:cs="Times New Roman"/>
          <w:i/>
          <w:color w:val="000000" w:themeColor="text1"/>
        </w:rPr>
        <w:t>The Journal of Philosophy</w:t>
      </w:r>
      <w:r w:rsidRPr="00A92995">
        <w:rPr>
          <w:rFonts w:ascii="Times New Roman" w:hAnsi="Times New Roman" w:cs="Times New Roman"/>
          <w:color w:val="000000" w:themeColor="text1"/>
        </w:rPr>
        <w:t xml:space="preserve">, Vol. 68, No. 1 (Jan. 14, 1971), pp. 5 – 20. </w:t>
      </w:r>
    </w:p>
    <w:p w14:paraId="4DD42E01" w14:textId="7D42E72F"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hAnsi="Times New Roman" w:cs="Times New Roman"/>
          <w:color w:val="000000" w:themeColor="text1"/>
        </w:rPr>
        <w:t xml:space="preserve">1987: “Identification and Wholeheartedness” in </w:t>
      </w:r>
      <w:r w:rsidRPr="00A92995">
        <w:rPr>
          <w:rFonts w:ascii="Times New Roman" w:eastAsia="Times New Roman" w:hAnsi="Times New Roman" w:cs="Times New Roman"/>
          <w:color w:val="333333"/>
          <w:shd w:val="clear" w:color="auto" w:fill="FFFFFF"/>
        </w:rPr>
        <w:t xml:space="preserve">In Ferdinand David </w:t>
      </w:r>
      <w:proofErr w:type="spellStart"/>
      <w:r w:rsidRPr="00A92995">
        <w:rPr>
          <w:rFonts w:ascii="Times New Roman" w:eastAsia="Times New Roman" w:hAnsi="Times New Roman" w:cs="Times New Roman"/>
          <w:color w:val="333333"/>
          <w:shd w:val="clear" w:color="auto" w:fill="FFFFFF"/>
        </w:rPr>
        <w:t>Schoeman</w:t>
      </w:r>
      <w:proofErr w:type="spellEnd"/>
      <w:r w:rsidRPr="00A92995">
        <w:rPr>
          <w:rFonts w:ascii="Times New Roman" w:eastAsia="Times New Roman" w:hAnsi="Times New Roman" w:cs="Times New Roman"/>
          <w:color w:val="333333"/>
          <w:shd w:val="clear" w:color="auto" w:fill="FFFFFF"/>
        </w:rPr>
        <w:t xml:space="preserve"> (ed.), </w:t>
      </w:r>
      <w:r w:rsidR="009D19F7" w:rsidRPr="00A92995">
        <w:rPr>
          <w:rFonts w:ascii="Times New Roman" w:eastAsia="Times New Roman" w:hAnsi="Times New Roman" w:cs="Times New Roman"/>
          <w:i/>
          <w:iCs/>
          <w:color w:val="333333"/>
        </w:rPr>
        <w:t>Responsibility</w:t>
      </w:r>
      <w:r w:rsidRPr="00A92995">
        <w:rPr>
          <w:rFonts w:ascii="Times New Roman" w:eastAsia="Times New Roman" w:hAnsi="Times New Roman" w:cs="Times New Roman"/>
          <w:i/>
          <w:iCs/>
          <w:color w:val="333333"/>
        </w:rPr>
        <w:t>, Character, and the Emotions: New Essays in Moral Psychology</w:t>
      </w:r>
      <w:r w:rsidRPr="00A92995">
        <w:rPr>
          <w:rFonts w:ascii="Times New Roman" w:eastAsia="Times New Roman" w:hAnsi="Times New Roman" w:cs="Times New Roman"/>
          <w:color w:val="333333"/>
          <w:shd w:val="clear" w:color="auto" w:fill="FFFFFF"/>
        </w:rPr>
        <w:t>. Cambridge University Press</w:t>
      </w:r>
    </w:p>
    <w:p w14:paraId="5FF5C63C"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 xml:space="preserve">1988: </w:t>
      </w:r>
      <w:r w:rsidRPr="00A92995">
        <w:rPr>
          <w:rFonts w:ascii="Times New Roman" w:eastAsia="Times New Roman" w:hAnsi="Times New Roman" w:cs="Times New Roman"/>
          <w:i/>
          <w:iCs/>
          <w:color w:val="1A1A1A"/>
        </w:rPr>
        <w:t>The Importance of What We Care About</w:t>
      </w:r>
      <w:r w:rsidRPr="00A92995">
        <w:rPr>
          <w:rFonts w:ascii="Times New Roman" w:eastAsia="Times New Roman" w:hAnsi="Times New Roman" w:cs="Times New Roman"/>
          <w:color w:val="1A1A1A"/>
        </w:rPr>
        <w:t>, New York: Cambridge University Press</w:t>
      </w:r>
    </w:p>
    <w:p w14:paraId="72C2DEE2" w14:textId="77777777" w:rsidR="003D6CD6" w:rsidRPr="00A92995" w:rsidRDefault="003D6CD6" w:rsidP="009B012B">
      <w:pPr>
        <w:pStyle w:val="FootnoteText"/>
      </w:pPr>
    </w:p>
    <w:p w14:paraId="38ED844E"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Friedman, M., 1997, “Autonomy and Social Relationships: Rethinking the Feminist Critique”, in </w:t>
      </w:r>
      <w:r w:rsidRPr="00A92995">
        <w:rPr>
          <w:rFonts w:ascii="Times New Roman" w:eastAsia="Times New Roman" w:hAnsi="Times New Roman" w:cs="Times New Roman"/>
          <w:i/>
          <w:iCs/>
          <w:color w:val="1A1A1A"/>
        </w:rPr>
        <w:t>Feminists Rethink the Self</w:t>
      </w:r>
      <w:r w:rsidRPr="00A92995">
        <w:rPr>
          <w:rFonts w:ascii="Times New Roman" w:eastAsia="Times New Roman" w:hAnsi="Times New Roman" w:cs="Times New Roman"/>
          <w:color w:val="1A1A1A"/>
        </w:rPr>
        <w:t>, D.T. Meyers, (ed.), Boulder, CO: Westview, pp. 40–61.</w:t>
      </w:r>
    </w:p>
    <w:p w14:paraId="1F33E3FD" w14:textId="3030FA62" w:rsidR="003D6CD6" w:rsidRPr="00A92995" w:rsidRDefault="003D6CD6" w:rsidP="00513152">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2003, </w:t>
      </w:r>
      <w:r w:rsidRPr="00A92995">
        <w:rPr>
          <w:rFonts w:ascii="Times New Roman" w:eastAsia="Times New Roman" w:hAnsi="Times New Roman" w:cs="Times New Roman"/>
          <w:i/>
          <w:iCs/>
          <w:color w:val="1A1A1A"/>
        </w:rPr>
        <w:t>Autonomy, Gender, Politics</w:t>
      </w:r>
      <w:r w:rsidRPr="00A92995">
        <w:rPr>
          <w:rFonts w:ascii="Times New Roman" w:eastAsia="Times New Roman" w:hAnsi="Times New Roman" w:cs="Times New Roman"/>
          <w:color w:val="1A1A1A"/>
        </w:rPr>
        <w:t>, New York: Oxford University Press.</w:t>
      </w:r>
    </w:p>
    <w:p w14:paraId="24BE2B04" w14:textId="45F88FDA" w:rsidR="003D6CD6" w:rsidRPr="00A92995" w:rsidRDefault="003D6CD6" w:rsidP="009B012B">
      <w:pPr>
        <w:pStyle w:val="FootnoteText"/>
        <w:numPr>
          <w:ilvl w:val="0"/>
          <w:numId w:val="14"/>
        </w:numPr>
      </w:pPr>
      <w:proofErr w:type="spellStart"/>
      <w:r w:rsidRPr="00A92995">
        <w:t>Heinrichs</w:t>
      </w:r>
      <w:proofErr w:type="spellEnd"/>
      <w:r w:rsidRPr="00A92995">
        <w:t>, D.W., “Antidepressants and the Chaotic Brain: Implications for the Respectful Treatment of Selves”</w:t>
      </w:r>
      <w:r w:rsidRPr="00A92995">
        <w:rPr>
          <w:i/>
        </w:rPr>
        <w:t xml:space="preserve"> </w:t>
      </w:r>
      <w:r w:rsidRPr="00A92995">
        <w:t xml:space="preserve">in </w:t>
      </w:r>
      <w:r w:rsidRPr="00A92995">
        <w:rPr>
          <w:i/>
        </w:rPr>
        <w:t xml:space="preserve">Philosophy, </w:t>
      </w:r>
      <w:r w:rsidR="00C91303" w:rsidRPr="00A92995">
        <w:rPr>
          <w:i/>
        </w:rPr>
        <w:t>Psychology,</w:t>
      </w:r>
      <w:r w:rsidRPr="00A92995">
        <w:rPr>
          <w:i/>
        </w:rPr>
        <w:t xml:space="preserve"> and Psychiatry</w:t>
      </w:r>
      <w:r w:rsidRPr="00A92995">
        <w:t>, (Vol 12, No. 3, Sept. 2005)</w:t>
      </w:r>
    </w:p>
    <w:p w14:paraId="2E850495" w14:textId="139FE9F9"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hAnsi="Times New Roman" w:cs="Times New Roman"/>
        </w:rPr>
        <w:lastRenderedPageBreak/>
        <w:t xml:space="preserve">Hill, M., and Ballou, M. (eds.), </w:t>
      </w:r>
      <w:r w:rsidRPr="00A92995">
        <w:rPr>
          <w:rFonts w:ascii="Times New Roman" w:hAnsi="Times New Roman" w:cs="Times New Roman"/>
          <w:i/>
        </w:rPr>
        <w:t xml:space="preserve">The Foundation and Future of Feminist Therapy, </w:t>
      </w:r>
      <w:r w:rsidRPr="00A92995">
        <w:rPr>
          <w:rFonts w:ascii="Times New Roman" w:hAnsi="Times New Roman" w:cs="Times New Roman"/>
        </w:rPr>
        <w:t xml:space="preserve">The Haworth Press. </w:t>
      </w:r>
      <w:r w:rsidR="00513152" w:rsidRPr="00A92995">
        <w:rPr>
          <w:rFonts w:ascii="Times New Roman" w:hAnsi="Times New Roman" w:cs="Times New Roman"/>
        </w:rPr>
        <w:t>Inc.</w:t>
      </w:r>
      <w:r w:rsidRPr="00A92995">
        <w:rPr>
          <w:rFonts w:ascii="Times New Roman" w:hAnsi="Times New Roman" w:cs="Times New Roman"/>
        </w:rPr>
        <w:t xml:space="preserve"> (2005). Co-published simultaneously as </w:t>
      </w:r>
      <w:r w:rsidRPr="00A92995">
        <w:rPr>
          <w:rFonts w:ascii="Times New Roman" w:hAnsi="Times New Roman" w:cs="Times New Roman"/>
          <w:i/>
        </w:rPr>
        <w:t>Women &amp; Therapy</w:t>
      </w:r>
      <w:r w:rsidRPr="00A92995">
        <w:rPr>
          <w:rFonts w:ascii="Times New Roman" w:hAnsi="Times New Roman" w:cs="Times New Roman"/>
        </w:rPr>
        <w:t xml:space="preserve">, Vol. 28, No. 3 / 4, 2005. </w:t>
      </w:r>
    </w:p>
    <w:p w14:paraId="400D9096" w14:textId="0F903B8F" w:rsidR="003D6CD6" w:rsidRPr="00A92995" w:rsidRDefault="003D6CD6" w:rsidP="003D6CD6">
      <w:pPr>
        <w:pStyle w:val="ListParagraph"/>
        <w:widowControl w:val="0"/>
        <w:numPr>
          <w:ilvl w:val="0"/>
          <w:numId w:val="14"/>
        </w:numPr>
        <w:tabs>
          <w:tab w:val="left" w:pos="220"/>
          <w:tab w:val="left" w:pos="720"/>
        </w:tabs>
        <w:autoSpaceDE w:val="0"/>
        <w:autoSpaceDN w:val="0"/>
        <w:adjustRightInd w:val="0"/>
        <w:jc w:val="both"/>
        <w:rPr>
          <w:rFonts w:ascii="Times New Roman" w:hAnsi="Times New Roman" w:cs="Times New Roman"/>
        </w:rPr>
      </w:pPr>
      <w:r w:rsidRPr="00A92995">
        <w:rPr>
          <w:rFonts w:ascii="Times New Roman" w:hAnsi="Times New Roman" w:cs="Times New Roman"/>
        </w:rPr>
        <w:t xml:space="preserve">Hill, T. “A Kantian Perspective on Moral Rules,” in </w:t>
      </w:r>
      <w:r w:rsidRPr="00A92995">
        <w:rPr>
          <w:rFonts w:ascii="Times New Roman" w:hAnsi="Times New Roman" w:cs="Times New Roman"/>
          <w:i/>
          <w:iCs/>
        </w:rPr>
        <w:t>Respect, Pluralism, and Justice: Kantian Perspectives</w:t>
      </w:r>
      <w:r w:rsidRPr="00A92995">
        <w:rPr>
          <w:rFonts w:ascii="Times New Roman" w:hAnsi="Times New Roman" w:cs="Times New Roman"/>
        </w:rPr>
        <w:t xml:space="preserve"> (Oxford and New York: Oxford University Press, 2000), 33-55. </w:t>
      </w:r>
    </w:p>
    <w:p w14:paraId="637096C4" w14:textId="77777777" w:rsidR="003D6CD6" w:rsidRPr="00A92995" w:rsidRDefault="003D6CD6" w:rsidP="003D6CD6">
      <w:pPr>
        <w:pStyle w:val="ListParagraph"/>
        <w:widowControl w:val="0"/>
        <w:numPr>
          <w:ilvl w:val="0"/>
          <w:numId w:val="14"/>
        </w:numPr>
        <w:tabs>
          <w:tab w:val="left" w:pos="220"/>
          <w:tab w:val="left" w:pos="720"/>
        </w:tabs>
        <w:autoSpaceDE w:val="0"/>
        <w:autoSpaceDN w:val="0"/>
        <w:adjustRightInd w:val="0"/>
        <w:jc w:val="both"/>
        <w:rPr>
          <w:rFonts w:ascii="Times New Roman" w:hAnsi="Times New Roman" w:cs="Times New Roman"/>
        </w:rPr>
      </w:pPr>
      <w:r w:rsidRPr="00A92995">
        <w:rPr>
          <w:rFonts w:ascii="Times New Roman" w:hAnsi="Times New Roman" w:cs="Times New Roman"/>
        </w:rPr>
        <w:t xml:space="preserve">Hill, T. “The Kantian Conception of Autonomy,” in J. Christman (ed.) </w:t>
      </w:r>
      <w:r w:rsidRPr="00A92995">
        <w:rPr>
          <w:rFonts w:ascii="Times New Roman" w:hAnsi="Times New Roman" w:cs="Times New Roman"/>
          <w:i/>
          <w:iCs/>
        </w:rPr>
        <w:t>The Inner Citadel</w:t>
      </w:r>
      <w:r w:rsidRPr="00A92995">
        <w:rPr>
          <w:rFonts w:ascii="Times New Roman" w:hAnsi="Times New Roman" w:cs="Times New Roman"/>
        </w:rPr>
        <w:t xml:space="preserve">, pp. 91-105. </w:t>
      </w:r>
    </w:p>
    <w:p w14:paraId="7154D9F5" w14:textId="6BB384FF"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hAnsi="Times New Roman" w:cs="Times New Roman"/>
        </w:rPr>
        <w:t xml:space="preserve">Holmes, J., and Adshead, G., “Ethical Aspects of the Psychotherapies”, </w:t>
      </w:r>
      <w:r w:rsidRPr="00A92995">
        <w:rPr>
          <w:rFonts w:ascii="Times New Roman" w:eastAsia="Times New Roman" w:hAnsi="Times New Roman" w:cs="Times New Roman"/>
          <w:color w:val="1A1A1A"/>
        </w:rPr>
        <w:t xml:space="preserve">in </w:t>
      </w:r>
      <w:r w:rsidRPr="00A92995">
        <w:rPr>
          <w:rFonts w:ascii="Times New Roman" w:eastAsia="Times New Roman" w:hAnsi="Times New Roman" w:cs="Times New Roman"/>
          <w:i/>
          <w:color w:val="1A1A1A"/>
        </w:rPr>
        <w:t xml:space="preserve">Psychiatric Ethics: Fourth Edition, </w:t>
      </w:r>
      <w:r w:rsidRPr="00A92995">
        <w:rPr>
          <w:rFonts w:ascii="Times New Roman" w:eastAsia="Times New Roman" w:hAnsi="Times New Roman" w:cs="Times New Roman"/>
          <w:color w:val="1A1A1A"/>
        </w:rPr>
        <w:t xml:space="preserve">S. </w:t>
      </w:r>
      <w:r w:rsidR="00C91303" w:rsidRPr="00A92995">
        <w:rPr>
          <w:rFonts w:ascii="Times New Roman" w:eastAsia="Times New Roman" w:hAnsi="Times New Roman" w:cs="Times New Roman"/>
          <w:color w:val="1A1A1A"/>
        </w:rPr>
        <w:t>Bloch,</w:t>
      </w:r>
      <w:r w:rsidRPr="00A92995">
        <w:rPr>
          <w:rFonts w:ascii="Times New Roman" w:eastAsia="Times New Roman" w:hAnsi="Times New Roman" w:cs="Times New Roman"/>
          <w:color w:val="1A1A1A"/>
        </w:rPr>
        <w:t xml:space="preserve"> and S.A. Green (eds.) (Oxford: Oxford University Press, 2009), pp. 367 – 384.</w:t>
      </w:r>
    </w:p>
    <w:p w14:paraId="5F3A7667" w14:textId="77777777" w:rsidR="003D6CD6" w:rsidRPr="00A92995" w:rsidRDefault="003D6CD6" w:rsidP="003D6CD6">
      <w:pPr>
        <w:pStyle w:val="ListParagraph"/>
        <w:widowControl w:val="0"/>
        <w:numPr>
          <w:ilvl w:val="0"/>
          <w:numId w:val="14"/>
        </w:numPr>
        <w:tabs>
          <w:tab w:val="left" w:pos="220"/>
          <w:tab w:val="left" w:pos="720"/>
        </w:tabs>
        <w:autoSpaceDE w:val="0"/>
        <w:autoSpaceDN w:val="0"/>
        <w:adjustRightInd w:val="0"/>
        <w:jc w:val="both"/>
        <w:rPr>
          <w:rFonts w:ascii="Times New Roman" w:hAnsi="Times New Roman" w:cs="Times New Roman"/>
        </w:rPr>
      </w:pPr>
      <w:r w:rsidRPr="00A92995">
        <w:rPr>
          <w:rFonts w:ascii="Times New Roman" w:hAnsi="Times New Roman" w:cs="Times New Roman"/>
        </w:rPr>
        <w:t xml:space="preserve">Hurka, T., “Why Value Autonomy?”, in </w:t>
      </w:r>
      <w:r w:rsidRPr="00A92995">
        <w:rPr>
          <w:rFonts w:ascii="Times New Roman" w:hAnsi="Times New Roman" w:cs="Times New Roman"/>
          <w:i/>
        </w:rPr>
        <w:t xml:space="preserve">Social Theory and Practice, </w:t>
      </w:r>
      <w:r w:rsidRPr="00A92995">
        <w:rPr>
          <w:rFonts w:ascii="Times New Roman" w:hAnsi="Times New Roman" w:cs="Times New Roman"/>
        </w:rPr>
        <w:t>Vol. 13, No. 3. 1987, pp. 361 – 382.</w:t>
      </w:r>
    </w:p>
    <w:p w14:paraId="60DD248F" w14:textId="2B499E4A" w:rsidR="003D6CD6" w:rsidRPr="00A92995" w:rsidRDefault="003D6CD6" w:rsidP="003D6CD6">
      <w:pPr>
        <w:pStyle w:val="ListParagraph"/>
        <w:numPr>
          <w:ilvl w:val="0"/>
          <w:numId w:val="14"/>
        </w:numPr>
        <w:rPr>
          <w:rFonts w:ascii="Times New Roman" w:hAnsi="Times New Roman" w:cs="Times New Roman"/>
          <w:b/>
          <w:i/>
          <w:u w:val="single"/>
        </w:rPr>
      </w:pPr>
      <w:r w:rsidRPr="00A92995">
        <w:rPr>
          <w:rFonts w:ascii="Times New Roman" w:hAnsi="Times New Roman" w:cs="Times New Roman"/>
        </w:rPr>
        <w:t xml:space="preserve">Joannou, S.L., ‘Toward a Relational Account of Autonomy in Health-Care and Treatment Settings’, in </w:t>
      </w:r>
      <w:r w:rsidRPr="00A92995">
        <w:rPr>
          <w:rFonts w:ascii="Times New Roman" w:hAnsi="Times New Roman" w:cs="Times New Roman"/>
          <w:i/>
        </w:rPr>
        <w:t xml:space="preserve">Essays in the Philosophy of Humanism </w:t>
      </w:r>
    </w:p>
    <w:p w14:paraId="1ED0654E"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Kant, I. </w:t>
      </w:r>
      <w:r w:rsidRPr="00A92995">
        <w:rPr>
          <w:rFonts w:ascii="Times New Roman" w:hAnsi="Times New Roman" w:cs="Times New Roman"/>
          <w:i/>
        </w:rPr>
        <w:t xml:space="preserve">Groundwork of Metaphysics of Morals </w:t>
      </w:r>
    </w:p>
    <w:p w14:paraId="3BCB35A1" w14:textId="77777777" w:rsidR="003D6CD6" w:rsidRPr="00A92995" w:rsidRDefault="003D6CD6" w:rsidP="003D6CD6">
      <w:pPr>
        <w:pStyle w:val="ListParagraph"/>
        <w:numPr>
          <w:ilvl w:val="0"/>
          <w:numId w:val="11"/>
        </w:numPr>
        <w:rPr>
          <w:rFonts w:ascii="Times New Roman" w:hAnsi="Times New Roman" w:cs="Times New Roman"/>
        </w:rPr>
      </w:pPr>
      <w:proofErr w:type="spellStart"/>
      <w:r w:rsidRPr="00A92995">
        <w:rPr>
          <w:rFonts w:ascii="Times New Roman" w:eastAsia="Times New Roman" w:hAnsi="Times New Roman" w:cs="Times New Roman"/>
          <w:color w:val="1A1A1A"/>
        </w:rPr>
        <w:t>Karasu</w:t>
      </w:r>
      <w:proofErr w:type="spellEnd"/>
      <w:r w:rsidRPr="00A92995">
        <w:rPr>
          <w:rFonts w:ascii="Times New Roman" w:eastAsia="Times New Roman" w:hAnsi="Times New Roman" w:cs="Times New Roman"/>
          <w:color w:val="1A1A1A"/>
        </w:rPr>
        <w:t xml:space="preserve">, T.B., 2013, “The Ethics of Psychotherapy”, in D.A. </w:t>
      </w:r>
      <w:proofErr w:type="spellStart"/>
      <w:r w:rsidRPr="00A92995">
        <w:rPr>
          <w:rFonts w:ascii="Times New Roman" w:eastAsia="Times New Roman" w:hAnsi="Times New Roman" w:cs="Times New Roman"/>
          <w:color w:val="1A1A1A"/>
        </w:rPr>
        <w:t>Sisti</w:t>
      </w:r>
      <w:proofErr w:type="spellEnd"/>
      <w:r w:rsidRPr="00A92995">
        <w:rPr>
          <w:rFonts w:ascii="Times New Roman" w:eastAsia="Times New Roman" w:hAnsi="Times New Roman" w:cs="Times New Roman"/>
          <w:color w:val="1A1A1A"/>
        </w:rPr>
        <w:t xml:space="preserve">, A.L Caplan, and H.R. </w:t>
      </w:r>
      <w:proofErr w:type="spellStart"/>
      <w:r w:rsidRPr="00A92995">
        <w:rPr>
          <w:rFonts w:ascii="Times New Roman" w:eastAsia="Times New Roman" w:hAnsi="Times New Roman" w:cs="Times New Roman"/>
          <w:color w:val="1A1A1A"/>
        </w:rPr>
        <w:t>Rimon</w:t>
      </w:r>
      <w:proofErr w:type="spellEnd"/>
      <w:r w:rsidRPr="00A92995">
        <w:rPr>
          <w:rFonts w:ascii="Times New Roman" w:eastAsia="Times New Roman" w:hAnsi="Times New Roman" w:cs="Times New Roman"/>
          <w:color w:val="1A1A1A"/>
        </w:rPr>
        <w:t xml:space="preserve">-Greenspan (eds.) </w:t>
      </w:r>
      <w:r w:rsidRPr="00A92995">
        <w:rPr>
          <w:rFonts w:ascii="Times New Roman" w:eastAsia="Times New Roman" w:hAnsi="Times New Roman" w:cs="Times New Roman"/>
          <w:i/>
          <w:color w:val="1A1A1A"/>
        </w:rPr>
        <w:t xml:space="preserve">Applied Ethics in Mental Health Care: An Interdisciplinary Reader, </w:t>
      </w:r>
      <w:r w:rsidRPr="00A92995">
        <w:rPr>
          <w:rFonts w:ascii="Times New Roman" w:eastAsia="Times New Roman" w:hAnsi="Times New Roman" w:cs="Times New Roman"/>
          <w:color w:val="1A1A1A"/>
        </w:rPr>
        <w:t>Massachusetts Institute of Technology, pp. 35 – 59.</w:t>
      </w:r>
    </w:p>
    <w:p w14:paraId="7DD54896" w14:textId="77777777" w:rsidR="003D6CD6" w:rsidRPr="00A92995" w:rsidRDefault="003D6CD6" w:rsidP="003D6CD6">
      <w:pPr>
        <w:pStyle w:val="ListParagraph"/>
        <w:numPr>
          <w:ilvl w:val="0"/>
          <w:numId w:val="11"/>
        </w:numPr>
        <w:rPr>
          <w:rFonts w:ascii="Times New Roman" w:hAnsi="Times New Roman" w:cs="Times New Roman"/>
        </w:rPr>
      </w:pPr>
      <w:r w:rsidRPr="00A92995">
        <w:rPr>
          <w:rFonts w:ascii="Times New Roman" w:eastAsia="Times New Roman" w:hAnsi="Times New Roman" w:cs="Times New Roman"/>
          <w:color w:val="1A1A1A"/>
        </w:rPr>
        <w:t xml:space="preserve">Katz, J. </w:t>
      </w:r>
      <w:r w:rsidRPr="00A92995">
        <w:rPr>
          <w:rFonts w:ascii="Times New Roman" w:eastAsia="Times New Roman" w:hAnsi="Times New Roman" w:cs="Times New Roman"/>
          <w:i/>
          <w:color w:val="1A1A1A"/>
        </w:rPr>
        <w:t xml:space="preserve">The Silent World of Doctor and Patient, </w:t>
      </w:r>
      <w:r w:rsidRPr="00A92995">
        <w:rPr>
          <w:rFonts w:ascii="Times New Roman" w:eastAsia="Times New Roman" w:hAnsi="Times New Roman" w:cs="Times New Roman"/>
          <w:color w:val="1A1A1A"/>
        </w:rPr>
        <w:t>1984, Baltimore, Maryland: The Johns Hopkins University Press.</w:t>
      </w:r>
    </w:p>
    <w:p w14:paraId="7A4EA04B" w14:textId="77777777" w:rsidR="003D6CD6" w:rsidRPr="00A92995" w:rsidRDefault="003D6CD6" w:rsidP="009B012B">
      <w:pPr>
        <w:pStyle w:val="FootnoteText"/>
        <w:numPr>
          <w:ilvl w:val="0"/>
          <w:numId w:val="14"/>
        </w:numPr>
      </w:pPr>
      <w:r w:rsidRPr="00A92995">
        <w:t>Katz, Jay. The Silent World of Doctor and Patient. Free Press, 1984</w:t>
      </w:r>
    </w:p>
    <w:p w14:paraId="35685C8D" w14:textId="77777777" w:rsidR="003D6CD6" w:rsidRPr="00A92995" w:rsidRDefault="003D6CD6" w:rsidP="0079061C">
      <w:pPr>
        <w:pStyle w:val="FootnoteText"/>
        <w:numPr>
          <w:ilvl w:val="0"/>
          <w:numId w:val="14"/>
        </w:numPr>
        <w:rPr>
          <w:color w:val="000000" w:themeColor="text1"/>
        </w:rPr>
      </w:pPr>
      <w:r w:rsidRPr="00A92995">
        <w:t xml:space="preserve">Kidd, I. J. and Carel, H. (2016), Epistemic Injustice and Illness in </w:t>
      </w:r>
      <w:r w:rsidRPr="00A92995">
        <w:rPr>
          <w:i/>
        </w:rPr>
        <w:t>Journal of Applied Philosophy</w:t>
      </w:r>
      <w:r w:rsidRPr="00A92995">
        <w:t>. doi:10.1111/japp.12172</w:t>
      </w:r>
      <w:r w:rsidRPr="00A92995">
        <w:rPr>
          <w:color w:val="000000" w:themeColor="text1"/>
        </w:rPr>
        <w:t xml:space="preserve"> </w:t>
      </w:r>
    </w:p>
    <w:p w14:paraId="7FB35813" w14:textId="77777777" w:rsidR="003D6CD6" w:rsidRPr="00A92995" w:rsidRDefault="003D6CD6" w:rsidP="00347E2A">
      <w:pPr>
        <w:pStyle w:val="FootnoteText"/>
        <w:numPr>
          <w:ilvl w:val="0"/>
          <w:numId w:val="14"/>
        </w:numPr>
      </w:pPr>
      <w:r w:rsidRPr="00A92995">
        <w:t xml:space="preserve">Kidd, I.J., “Phenomenology, Neurology, Psychiatry, and Religious Commitment” in A. Coles and F. Watts (ed.), </w:t>
      </w:r>
      <w:r w:rsidRPr="00A92995">
        <w:rPr>
          <w:i/>
        </w:rPr>
        <w:t>Neurology and Religion</w:t>
      </w:r>
      <w:r w:rsidRPr="00A92995">
        <w:t xml:space="preserve"> (Cambridge: Cambridge University Press, 2016), forthcoming.</w:t>
      </w:r>
    </w:p>
    <w:p w14:paraId="1E46BC5A" w14:textId="77777777" w:rsidR="003D6CD6" w:rsidRPr="00A92995" w:rsidRDefault="003D6CD6" w:rsidP="00347E2A">
      <w:pPr>
        <w:pStyle w:val="FootnoteText"/>
        <w:numPr>
          <w:ilvl w:val="0"/>
          <w:numId w:val="14"/>
        </w:numPr>
      </w:pPr>
      <w:r w:rsidRPr="00A92995">
        <w:t>Martino, D.J. et al, ‘Decision making in euthymic Bipolar I and Bipolar II disorders’</w:t>
      </w:r>
      <w:r w:rsidRPr="00A92995">
        <w:rPr>
          <w:i/>
        </w:rPr>
        <w:t xml:space="preserve"> </w:t>
      </w:r>
      <w:r w:rsidRPr="00A92995">
        <w:t xml:space="preserve">in </w:t>
      </w:r>
      <w:r w:rsidRPr="00A92995">
        <w:rPr>
          <w:i/>
        </w:rPr>
        <w:t>Psychological Medicine</w:t>
      </w:r>
      <w:r w:rsidRPr="00A92995">
        <w:t>, (Vol: 41, 1319-1327)</w:t>
      </w:r>
    </w:p>
    <w:p w14:paraId="1AB48E75"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Mackenzie, C., 2000, “Imagining Oneself Otherwise”, in Mackenzie and Stoljar 2000, pp. 124–150.</w:t>
      </w:r>
    </w:p>
    <w:p w14:paraId="1BC9D61A"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2001, “On Bodily Autonomy”, in S. K. Toombs, (ed.), </w:t>
      </w:r>
      <w:r w:rsidRPr="00A92995">
        <w:rPr>
          <w:rFonts w:ascii="Times New Roman" w:eastAsia="Times New Roman" w:hAnsi="Times New Roman" w:cs="Times New Roman"/>
          <w:i/>
          <w:iCs/>
          <w:color w:val="1A1A1A"/>
        </w:rPr>
        <w:t>Handbook of Phenomenology and Medicine</w:t>
      </w:r>
      <w:r w:rsidRPr="00A92995">
        <w:rPr>
          <w:rFonts w:ascii="Times New Roman" w:eastAsia="Times New Roman" w:hAnsi="Times New Roman" w:cs="Times New Roman"/>
          <w:color w:val="1A1A1A"/>
        </w:rPr>
        <w:t>, Dordrecht: Kluwer, pp. 417–440.</w:t>
      </w:r>
    </w:p>
    <w:p w14:paraId="292774BF"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2008, “Relational Autonomy, Normative Authority and Perfectionism”, </w:t>
      </w:r>
      <w:r w:rsidRPr="00A92995">
        <w:rPr>
          <w:rFonts w:ascii="Times New Roman" w:eastAsia="Times New Roman" w:hAnsi="Times New Roman" w:cs="Times New Roman"/>
          <w:i/>
          <w:iCs/>
          <w:color w:val="1A1A1A"/>
        </w:rPr>
        <w:t>Journal of Social Philosophy</w:t>
      </w:r>
      <w:r w:rsidRPr="00A92995">
        <w:rPr>
          <w:rFonts w:ascii="Times New Roman" w:eastAsia="Times New Roman" w:hAnsi="Times New Roman" w:cs="Times New Roman"/>
          <w:color w:val="1A1A1A"/>
        </w:rPr>
        <w:t>, 39: 512–533.</w:t>
      </w:r>
    </w:p>
    <w:p w14:paraId="69B679EF" w14:textId="26A9001A"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Mackenzie, </w:t>
      </w:r>
      <w:r w:rsidR="00C91303" w:rsidRPr="00A92995">
        <w:rPr>
          <w:rFonts w:ascii="Times New Roman" w:eastAsia="Times New Roman" w:hAnsi="Times New Roman" w:cs="Times New Roman"/>
          <w:color w:val="1A1A1A"/>
        </w:rPr>
        <w:t>C.,</w:t>
      </w:r>
      <w:r w:rsidRPr="00A92995">
        <w:rPr>
          <w:rFonts w:ascii="Times New Roman" w:eastAsia="Times New Roman" w:hAnsi="Times New Roman" w:cs="Times New Roman"/>
          <w:color w:val="1A1A1A"/>
        </w:rPr>
        <w:t xml:space="preserve"> and N. Stoljar, “Introduction: Refiguring Autonomy” 2000,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xml:space="preserve">, C. </w:t>
      </w:r>
      <w:r w:rsidR="00C91303" w:rsidRPr="00A92995">
        <w:rPr>
          <w:rFonts w:ascii="Times New Roman" w:eastAsia="Times New Roman" w:hAnsi="Times New Roman" w:cs="Times New Roman"/>
          <w:color w:val="1A1A1A"/>
        </w:rPr>
        <w:t>Mackenzie,</w:t>
      </w:r>
      <w:r w:rsidRPr="00A92995">
        <w:rPr>
          <w:rFonts w:ascii="Times New Roman" w:eastAsia="Times New Roman" w:hAnsi="Times New Roman" w:cs="Times New Roman"/>
          <w:color w:val="1A1A1A"/>
        </w:rPr>
        <w:t xml:space="preserve"> and N. Stoljar (eds.), New York: Oxford University Press. pp. 3–34.</w:t>
      </w:r>
    </w:p>
    <w:p w14:paraId="1870A8A8" w14:textId="78DFA5EF"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MacIntyre, A., “Patients as Agents” in </w:t>
      </w:r>
      <w:r w:rsidRPr="00A92995">
        <w:rPr>
          <w:rFonts w:ascii="Times New Roman" w:eastAsia="Times New Roman" w:hAnsi="Times New Roman" w:cs="Times New Roman"/>
          <w:i/>
          <w:color w:val="1A1A1A"/>
        </w:rPr>
        <w:t xml:space="preserve">Philosophical Medical Ethics – Its Nature and Significance, </w:t>
      </w:r>
      <w:r w:rsidRPr="00A92995">
        <w:rPr>
          <w:rFonts w:ascii="Times New Roman" w:eastAsia="Times New Roman" w:hAnsi="Times New Roman" w:cs="Times New Roman"/>
          <w:color w:val="1A1A1A"/>
        </w:rPr>
        <w:t>ed</w:t>
      </w:r>
      <w:r w:rsidR="00513152" w:rsidRPr="00A92995">
        <w:rPr>
          <w:rFonts w:ascii="Times New Roman" w:eastAsia="Times New Roman" w:hAnsi="Times New Roman" w:cs="Times New Roman"/>
          <w:color w:val="1A1A1A"/>
        </w:rPr>
        <w:t>.</w:t>
      </w:r>
      <w:r w:rsidRPr="00A92995">
        <w:rPr>
          <w:rFonts w:ascii="Times New Roman" w:eastAsia="Times New Roman" w:hAnsi="Times New Roman" w:cs="Times New Roman"/>
          <w:color w:val="1A1A1A"/>
        </w:rPr>
        <w:t xml:space="preserve"> S. </w:t>
      </w:r>
      <w:proofErr w:type="spellStart"/>
      <w:r w:rsidRPr="00A92995">
        <w:rPr>
          <w:rFonts w:ascii="Times New Roman" w:eastAsia="Times New Roman" w:hAnsi="Times New Roman" w:cs="Times New Roman"/>
          <w:color w:val="1A1A1A"/>
        </w:rPr>
        <w:t>Spicker</w:t>
      </w:r>
      <w:proofErr w:type="spellEnd"/>
      <w:r w:rsidRPr="00A92995">
        <w:rPr>
          <w:rFonts w:ascii="Times New Roman" w:eastAsia="Times New Roman" w:hAnsi="Times New Roman" w:cs="Times New Roman"/>
          <w:color w:val="1A1A1A"/>
        </w:rPr>
        <w:t xml:space="preserve"> and H. </w:t>
      </w:r>
      <w:proofErr w:type="spellStart"/>
      <w:r w:rsidRPr="00A92995">
        <w:rPr>
          <w:rFonts w:ascii="Times New Roman" w:eastAsia="Times New Roman" w:hAnsi="Times New Roman" w:cs="Times New Roman"/>
          <w:color w:val="1A1A1A"/>
        </w:rPr>
        <w:t>Engelhardt</w:t>
      </w:r>
      <w:proofErr w:type="spellEnd"/>
      <w:r w:rsidRPr="00A92995">
        <w:rPr>
          <w:rFonts w:ascii="Times New Roman" w:eastAsia="Times New Roman" w:hAnsi="Times New Roman" w:cs="Times New Roman"/>
          <w:color w:val="1A1A1A"/>
        </w:rPr>
        <w:t xml:space="preserve"> (Boston: D. </w:t>
      </w:r>
      <w:proofErr w:type="spellStart"/>
      <w:r w:rsidRPr="00A92995">
        <w:rPr>
          <w:rFonts w:ascii="Times New Roman" w:eastAsia="Times New Roman" w:hAnsi="Times New Roman" w:cs="Times New Roman"/>
          <w:color w:val="1A1A1A"/>
        </w:rPr>
        <w:t>Reidel</w:t>
      </w:r>
      <w:proofErr w:type="spellEnd"/>
      <w:r w:rsidRPr="00A92995">
        <w:rPr>
          <w:rFonts w:ascii="Times New Roman" w:eastAsia="Times New Roman" w:hAnsi="Times New Roman" w:cs="Times New Roman"/>
          <w:color w:val="1A1A1A"/>
        </w:rPr>
        <w:t xml:space="preserve"> Publishing Company, 1977)</w:t>
      </w:r>
    </w:p>
    <w:p w14:paraId="3502FEE9" w14:textId="3C75AEBA"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McLeod, C., and S. Sherwin, 2000, “Relational Autonomy, Self-Trust and Health Care for Patients who are Oppressed”,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xml:space="preserve">, C. </w:t>
      </w:r>
      <w:r w:rsidR="00C91303" w:rsidRPr="00A92995">
        <w:rPr>
          <w:rFonts w:ascii="Times New Roman" w:eastAsia="Times New Roman" w:hAnsi="Times New Roman" w:cs="Times New Roman"/>
          <w:color w:val="1A1A1A"/>
        </w:rPr>
        <w:t>Mackenzie,</w:t>
      </w:r>
      <w:r w:rsidRPr="00A92995">
        <w:rPr>
          <w:rFonts w:ascii="Times New Roman" w:eastAsia="Times New Roman" w:hAnsi="Times New Roman" w:cs="Times New Roman"/>
          <w:color w:val="1A1A1A"/>
        </w:rPr>
        <w:t xml:space="preserve"> and N. Stoljar (eds.), New York: Oxford University Press. pp. 259–279.</w:t>
      </w:r>
    </w:p>
    <w:p w14:paraId="4EFA0E3B"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McLeod, C., 2002, </w:t>
      </w:r>
      <w:r w:rsidRPr="00A92995">
        <w:rPr>
          <w:rFonts w:ascii="Times New Roman" w:eastAsia="Times New Roman" w:hAnsi="Times New Roman" w:cs="Times New Roman"/>
          <w:i/>
          <w:iCs/>
          <w:color w:val="1A1A1A"/>
        </w:rPr>
        <w:t>Self-Trust and Reproductive Autonomy</w:t>
      </w:r>
      <w:r w:rsidRPr="00A92995">
        <w:rPr>
          <w:rFonts w:ascii="Times New Roman" w:eastAsia="Times New Roman" w:hAnsi="Times New Roman" w:cs="Times New Roman"/>
          <w:color w:val="1A1A1A"/>
        </w:rPr>
        <w:t>, Cambridge, MA: MIT Press.</w:t>
      </w:r>
    </w:p>
    <w:p w14:paraId="6A00C240"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lastRenderedPageBreak/>
        <w:t>Meyers, D. T., 1987, “Personal Autonomy and the Paradox of Feminine Socialization”, </w:t>
      </w:r>
      <w:r w:rsidRPr="00A92995">
        <w:rPr>
          <w:rFonts w:ascii="Times New Roman" w:eastAsia="Times New Roman" w:hAnsi="Times New Roman" w:cs="Times New Roman"/>
          <w:i/>
          <w:iCs/>
          <w:color w:val="1A1A1A"/>
        </w:rPr>
        <w:t>Journal of Philosophy</w:t>
      </w:r>
      <w:r w:rsidRPr="00A92995">
        <w:rPr>
          <w:rFonts w:ascii="Times New Roman" w:eastAsia="Times New Roman" w:hAnsi="Times New Roman" w:cs="Times New Roman"/>
          <w:color w:val="1A1A1A"/>
        </w:rPr>
        <w:t>, 84: 619–628.</w:t>
      </w:r>
    </w:p>
    <w:p w14:paraId="3A2902C4"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1989, </w:t>
      </w:r>
      <w:r w:rsidRPr="00A92995">
        <w:rPr>
          <w:rFonts w:ascii="Times New Roman" w:eastAsia="Times New Roman" w:hAnsi="Times New Roman" w:cs="Times New Roman"/>
          <w:i/>
          <w:iCs/>
          <w:color w:val="1A1A1A"/>
        </w:rPr>
        <w:t>Self, Society and Personal Choice</w:t>
      </w:r>
      <w:r w:rsidRPr="00A92995">
        <w:rPr>
          <w:rFonts w:ascii="Times New Roman" w:eastAsia="Times New Roman" w:hAnsi="Times New Roman" w:cs="Times New Roman"/>
          <w:color w:val="1A1A1A"/>
        </w:rPr>
        <w:t>, New York: Columbia University Press.</w:t>
      </w:r>
    </w:p>
    <w:p w14:paraId="525BFA29"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2000, “Intersectional Identity and the Authentic Self. Opposites Attract!”, in Mackenzie and Stoljar 2000, pp. 151–180.</w:t>
      </w:r>
    </w:p>
    <w:p w14:paraId="2D98D262"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2000a, “Feminism and Women's Autonomy: The Challenge of Female Genital Cutting”, </w:t>
      </w:r>
      <w:proofErr w:type="spellStart"/>
      <w:r w:rsidRPr="00A92995">
        <w:rPr>
          <w:rFonts w:ascii="Times New Roman" w:eastAsia="Times New Roman" w:hAnsi="Times New Roman" w:cs="Times New Roman"/>
          <w:i/>
          <w:iCs/>
          <w:color w:val="1A1A1A"/>
        </w:rPr>
        <w:t>Metaphilosophy</w:t>
      </w:r>
      <w:proofErr w:type="spellEnd"/>
      <w:r w:rsidRPr="00A92995">
        <w:rPr>
          <w:rFonts w:ascii="Times New Roman" w:eastAsia="Times New Roman" w:hAnsi="Times New Roman" w:cs="Times New Roman"/>
          <w:color w:val="1A1A1A"/>
        </w:rPr>
        <w:t>, 31: 469–491.</w:t>
      </w:r>
    </w:p>
    <w:p w14:paraId="5ACBCB1F"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2002, </w:t>
      </w:r>
      <w:r w:rsidRPr="00A92995">
        <w:rPr>
          <w:rFonts w:ascii="Times New Roman" w:eastAsia="Times New Roman" w:hAnsi="Times New Roman" w:cs="Times New Roman"/>
          <w:i/>
          <w:iCs/>
          <w:color w:val="1A1A1A"/>
        </w:rPr>
        <w:t>Gender in the Mirror: Cultural Imagery and Women's Agency</w:t>
      </w:r>
      <w:r w:rsidRPr="00A92995">
        <w:rPr>
          <w:rFonts w:ascii="Times New Roman" w:eastAsia="Times New Roman" w:hAnsi="Times New Roman" w:cs="Times New Roman"/>
          <w:color w:val="1A1A1A"/>
        </w:rPr>
        <w:t>, New York: Oxford University Press.</w:t>
      </w:r>
    </w:p>
    <w:p w14:paraId="573C5614"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2005, “Decentralizing Autonomy. Five Faces of Selfhood”, in Anderson and Christman, 2005, pp. 27–55.</w:t>
      </w:r>
    </w:p>
    <w:p w14:paraId="40BF13BC" w14:textId="5E444AE6" w:rsidR="003D6CD6" w:rsidRPr="00A92995" w:rsidRDefault="003D6CD6" w:rsidP="003D6CD6">
      <w:pPr>
        <w:pStyle w:val="ListParagraph"/>
        <w:numPr>
          <w:ilvl w:val="0"/>
          <w:numId w:val="14"/>
        </w:numPr>
        <w:rPr>
          <w:rFonts w:ascii="Times New Roman" w:hAnsi="Times New Roman" w:cs="Times New Roman"/>
        </w:rPr>
      </w:pPr>
      <w:proofErr w:type="spellStart"/>
      <w:r w:rsidRPr="00A92995">
        <w:rPr>
          <w:rFonts w:ascii="Times New Roman" w:eastAsia="Times New Roman" w:hAnsi="Times New Roman" w:cs="Times New Roman"/>
          <w:color w:val="1A1A1A"/>
        </w:rPr>
        <w:t>Musto</w:t>
      </w:r>
      <w:proofErr w:type="spellEnd"/>
      <w:r w:rsidRPr="00A92995">
        <w:rPr>
          <w:rFonts w:ascii="Times New Roman" w:eastAsia="Times New Roman" w:hAnsi="Times New Roman" w:cs="Times New Roman"/>
          <w:color w:val="1A1A1A"/>
        </w:rPr>
        <w:t xml:space="preserve">, D.F., “A Historical Perspective” in </w:t>
      </w:r>
      <w:r w:rsidRPr="00A92995">
        <w:rPr>
          <w:rFonts w:ascii="Times New Roman" w:eastAsia="Times New Roman" w:hAnsi="Times New Roman" w:cs="Times New Roman"/>
          <w:i/>
          <w:color w:val="1A1A1A"/>
        </w:rPr>
        <w:t xml:space="preserve">Psychiatric Ethics: Fourth Edition, </w:t>
      </w:r>
      <w:r w:rsidRPr="00A92995">
        <w:rPr>
          <w:rFonts w:ascii="Times New Roman" w:eastAsia="Times New Roman" w:hAnsi="Times New Roman" w:cs="Times New Roman"/>
          <w:color w:val="1A1A1A"/>
        </w:rPr>
        <w:t xml:space="preserve">S. </w:t>
      </w:r>
      <w:r w:rsidR="00513152" w:rsidRPr="00A92995">
        <w:rPr>
          <w:rFonts w:ascii="Times New Roman" w:eastAsia="Times New Roman" w:hAnsi="Times New Roman" w:cs="Times New Roman"/>
          <w:color w:val="1A1A1A"/>
        </w:rPr>
        <w:t>Bloch,</w:t>
      </w:r>
      <w:r w:rsidRPr="00A92995">
        <w:rPr>
          <w:rFonts w:ascii="Times New Roman" w:eastAsia="Times New Roman" w:hAnsi="Times New Roman" w:cs="Times New Roman"/>
          <w:color w:val="1A1A1A"/>
        </w:rPr>
        <w:t xml:space="preserve"> and S.A. Green (eds.) (Oxford: Oxford University Press, 2009), pp. 9 – 24.</w:t>
      </w:r>
    </w:p>
    <w:p w14:paraId="7D64DE4C" w14:textId="77777777" w:rsidR="003D6CD6" w:rsidRPr="00A92995" w:rsidRDefault="003D6CD6" w:rsidP="009B012B">
      <w:pPr>
        <w:pStyle w:val="FootnoteText"/>
      </w:pPr>
    </w:p>
    <w:p w14:paraId="21B102FF" w14:textId="7CFA4320"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McLeod, C. and Sherwin, S., “Relational Autonomy, Self-trust, and Health Care for Patients Who Are Oppressed”, in </w:t>
      </w:r>
      <w:r w:rsidRPr="00A92995">
        <w:rPr>
          <w:rFonts w:ascii="Times New Roman" w:hAnsi="Times New Roman" w:cs="Times New Roman"/>
          <w:i/>
        </w:rPr>
        <w:t xml:space="preserve">Relational Autonomy: Feminist Perspectives on Autonomy, </w:t>
      </w:r>
      <w:r w:rsidR="00513152" w:rsidRPr="00A92995">
        <w:rPr>
          <w:rFonts w:ascii="Times New Roman" w:hAnsi="Times New Roman" w:cs="Times New Roman"/>
          <w:i/>
        </w:rPr>
        <w:t>Agency,</w:t>
      </w:r>
      <w:r w:rsidRPr="00A92995">
        <w:rPr>
          <w:rFonts w:ascii="Times New Roman" w:hAnsi="Times New Roman" w:cs="Times New Roman"/>
          <w:i/>
        </w:rPr>
        <w:t xml:space="preserve"> and the Social Self</w:t>
      </w:r>
      <w:r w:rsidRPr="00A92995">
        <w:rPr>
          <w:rFonts w:ascii="Times New Roman" w:hAnsi="Times New Roman" w:cs="Times New Roman"/>
        </w:rPr>
        <w:t xml:space="preserve">. (ed. </w:t>
      </w:r>
      <w:hyperlink r:id="rId14" w:history="1">
        <w:r w:rsidRPr="00A92995">
          <w:rPr>
            <w:rFonts w:ascii="Times New Roman" w:hAnsi="Times New Roman" w:cs="Times New Roman"/>
          </w:rPr>
          <w:t>Catriona Mackenzie</w:t>
        </w:r>
      </w:hyperlink>
      <w:r w:rsidRPr="00A92995">
        <w:rPr>
          <w:rFonts w:ascii="Times New Roman" w:hAnsi="Times New Roman" w:cs="Times New Roman"/>
        </w:rPr>
        <w:t xml:space="preserve">, C., and </w:t>
      </w:r>
      <w:hyperlink r:id="rId15" w:history="1">
        <w:r w:rsidRPr="00A92995">
          <w:rPr>
            <w:rFonts w:ascii="Times New Roman" w:hAnsi="Times New Roman" w:cs="Times New Roman"/>
          </w:rPr>
          <w:t>Stoljar</w:t>
        </w:r>
      </w:hyperlink>
      <w:r w:rsidRPr="00A92995">
        <w:rPr>
          <w:rFonts w:ascii="Times New Roman" w:hAnsi="Times New Roman" w:cs="Times New Roman"/>
        </w:rPr>
        <w:t>, N.), Chapter 11, pp. 259-279. Oxford University Press, January 2000.</w:t>
      </w:r>
    </w:p>
    <w:p w14:paraId="1ECCAE01"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Meyers, D.T. (1987) “Personal Autonomy and the Paradox of Feminine Socialization”, in </w:t>
      </w:r>
      <w:r w:rsidRPr="00A92995">
        <w:rPr>
          <w:rFonts w:ascii="Times New Roman" w:hAnsi="Times New Roman" w:cs="Times New Roman"/>
          <w:i/>
        </w:rPr>
        <w:t xml:space="preserve">The Journal of Philosophy, </w:t>
      </w:r>
      <w:r w:rsidRPr="00A92995">
        <w:rPr>
          <w:rFonts w:ascii="Times New Roman" w:hAnsi="Times New Roman" w:cs="Times New Roman"/>
        </w:rPr>
        <w:t xml:space="preserve">Vol. 84, No. 11, Eighty-Fourth Annual Meeting American Philosophical Association, Eastern Division, pp. 619-628. </w:t>
      </w:r>
    </w:p>
    <w:p w14:paraId="2D3C2D23"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Meyers, D.T. (2005) “Intersectional Identity and the Authentic Self? Opposites Attract!” in C. Mackenzie and N. Stoljar (eds.), </w:t>
      </w:r>
      <w:r w:rsidRPr="00A92995">
        <w:rPr>
          <w:rFonts w:ascii="Times New Roman" w:hAnsi="Times New Roman" w:cs="Times New Roman"/>
          <w:i/>
        </w:rPr>
        <w:t xml:space="preserve">Relational Autonomy: Feminist Perspectives on Autonomy, Agency, and the Self. </w:t>
      </w:r>
      <w:r w:rsidRPr="00A92995">
        <w:rPr>
          <w:rFonts w:ascii="Times New Roman" w:hAnsi="Times New Roman" w:cs="Times New Roman"/>
        </w:rPr>
        <w:t>pp.151-180</w:t>
      </w:r>
    </w:p>
    <w:p w14:paraId="789C6A35"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Mill, J.S., </w:t>
      </w:r>
      <w:r w:rsidRPr="00A92995">
        <w:rPr>
          <w:rFonts w:ascii="Times New Roman" w:hAnsi="Times New Roman" w:cs="Times New Roman"/>
          <w:i/>
        </w:rPr>
        <w:t xml:space="preserve">On Liberty </w:t>
      </w:r>
    </w:p>
    <w:p w14:paraId="23A372EF" w14:textId="5A5692CB" w:rsidR="003D6CD6" w:rsidRPr="00A92995" w:rsidRDefault="003D6CD6" w:rsidP="003D6CD6">
      <w:pPr>
        <w:pStyle w:val="ListParagraph"/>
        <w:numPr>
          <w:ilvl w:val="0"/>
          <w:numId w:val="14"/>
        </w:numPr>
        <w:rPr>
          <w:rFonts w:ascii="Times New Roman" w:hAnsi="Times New Roman" w:cs="Times New Roman"/>
          <w:color w:val="000000" w:themeColor="text1"/>
        </w:rPr>
      </w:pPr>
      <w:r w:rsidRPr="00A92995">
        <w:rPr>
          <w:rFonts w:ascii="Times New Roman" w:hAnsi="Times New Roman" w:cs="Times New Roman"/>
          <w:color w:val="000000" w:themeColor="text1"/>
        </w:rPr>
        <w:t>Murphy, D. “Autonomy, Experience and Therapy”,</w:t>
      </w:r>
      <w:r w:rsidRPr="00A92995">
        <w:rPr>
          <w:rFonts w:ascii="Times New Roman" w:hAnsi="Times New Roman" w:cs="Times New Roman"/>
          <w:i/>
          <w:color w:val="000000" w:themeColor="text1"/>
        </w:rPr>
        <w:t xml:space="preserve"> </w:t>
      </w:r>
      <w:r w:rsidRPr="00A92995">
        <w:rPr>
          <w:rFonts w:ascii="Times New Roman" w:hAnsi="Times New Roman" w:cs="Times New Roman"/>
          <w:color w:val="000000" w:themeColor="text1"/>
        </w:rPr>
        <w:t xml:space="preserve">in </w:t>
      </w:r>
      <w:r w:rsidRPr="00A92995">
        <w:rPr>
          <w:rFonts w:ascii="Times New Roman" w:hAnsi="Times New Roman" w:cs="Times New Roman"/>
          <w:i/>
          <w:color w:val="000000" w:themeColor="text1"/>
        </w:rPr>
        <w:t xml:space="preserve">Philosophy, </w:t>
      </w:r>
      <w:r w:rsidR="00513152" w:rsidRPr="00A92995">
        <w:rPr>
          <w:rFonts w:ascii="Times New Roman" w:hAnsi="Times New Roman" w:cs="Times New Roman"/>
          <w:i/>
          <w:color w:val="000000" w:themeColor="text1"/>
        </w:rPr>
        <w:t>Psychology,</w:t>
      </w:r>
      <w:r w:rsidRPr="00A92995">
        <w:rPr>
          <w:rFonts w:ascii="Times New Roman" w:hAnsi="Times New Roman" w:cs="Times New Roman"/>
          <w:i/>
          <w:color w:val="000000" w:themeColor="text1"/>
        </w:rPr>
        <w:t xml:space="preserve"> and Psychiatry</w:t>
      </w:r>
      <w:r w:rsidRPr="00A92995">
        <w:rPr>
          <w:rFonts w:ascii="Times New Roman" w:hAnsi="Times New Roman" w:cs="Times New Roman"/>
          <w:color w:val="000000" w:themeColor="text1"/>
        </w:rPr>
        <w:t>, (Vol. 1, No. 4, Dec. 2004)</w:t>
      </w:r>
    </w:p>
    <w:p w14:paraId="66C5AF80" w14:textId="221CAC97" w:rsidR="003D6CD6" w:rsidRPr="00A92995" w:rsidRDefault="003D6CD6" w:rsidP="00513152">
      <w:pPr>
        <w:pStyle w:val="ListParagraph"/>
        <w:numPr>
          <w:ilvl w:val="0"/>
          <w:numId w:val="11"/>
        </w:numPr>
        <w:jc w:val="both"/>
        <w:rPr>
          <w:rFonts w:ascii="Times New Roman" w:hAnsi="Times New Roman" w:cs="Times New Roman"/>
        </w:rPr>
      </w:pPr>
      <w:proofErr w:type="spellStart"/>
      <w:r w:rsidRPr="00A92995">
        <w:rPr>
          <w:rFonts w:ascii="Times New Roman" w:hAnsi="Times New Roman" w:cs="Times New Roman"/>
        </w:rPr>
        <w:t>Nedelsky</w:t>
      </w:r>
      <w:proofErr w:type="spellEnd"/>
      <w:r w:rsidRPr="00A92995">
        <w:rPr>
          <w:rFonts w:ascii="Times New Roman" w:hAnsi="Times New Roman" w:cs="Times New Roman"/>
        </w:rPr>
        <w:t xml:space="preserve">, J., (1989) “Reconceiving Autonomy: Sources, Thoughts and Possibilities”, in </w:t>
      </w:r>
      <w:r w:rsidRPr="00A92995">
        <w:rPr>
          <w:rFonts w:ascii="Times New Roman" w:hAnsi="Times New Roman" w:cs="Times New Roman"/>
          <w:i/>
        </w:rPr>
        <w:t>Yale Journal of Law and Feminism</w:t>
      </w:r>
      <w:r w:rsidRPr="00A92995">
        <w:rPr>
          <w:rFonts w:ascii="Times New Roman" w:hAnsi="Times New Roman" w:cs="Times New Roman"/>
        </w:rPr>
        <w:t>, Vol. 1: No. 1, Article 5. Pp. 7 – 36.</w:t>
      </w:r>
    </w:p>
    <w:p w14:paraId="48EAB377"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Oshana, M., “How Much Should We Value Autonomy?”, in </w:t>
      </w:r>
    </w:p>
    <w:p w14:paraId="6EF3C0A2" w14:textId="77777777" w:rsidR="003D6CD6" w:rsidRPr="00A92995" w:rsidRDefault="003D6CD6" w:rsidP="003D6CD6">
      <w:pPr>
        <w:pStyle w:val="ListParagraph"/>
        <w:numPr>
          <w:ilvl w:val="0"/>
          <w:numId w:val="11"/>
        </w:numPr>
        <w:jc w:val="both"/>
        <w:rPr>
          <w:rFonts w:ascii="Times New Roman" w:hAnsi="Times New Roman" w:cs="Times New Roman"/>
        </w:rPr>
      </w:pPr>
      <w:r w:rsidRPr="00A92995">
        <w:rPr>
          <w:rFonts w:ascii="Times New Roman" w:hAnsi="Times New Roman" w:cs="Times New Roman"/>
        </w:rPr>
        <w:t xml:space="preserve">Oshana, M., “Personal Autonomy and Society”, in </w:t>
      </w:r>
      <w:r w:rsidRPr="00A92995">
        <w:rPr>
          <w:rFonts w:ascii="Times New Roman" w:hAnsi="Times New Roman" w:cs="Times New Roman"/>
          <w:i/>
        </w:rPr>
        <w:t xml:space="preserve">The Journal of Social Philosophy, </w:t>
      </w:r>
      <w:r w:rsidRPr="00A92995">
        <w:rPr>
          <w:rFonts w:ascii="Times New Roman" w:hAnsi="Times New Roman" w:cs="Times New Roman"/>
        </w:rPr>
        <w:t>Vol. 29, No. 1, 1998. Pp. 81 – 102.</w:t>
      </w:r>
    </w:p>
    <w:p w14:paraId="1831EFFB" w14:textId="77777777" w:rsidR="003D6CD6" w:rsidRPr="00A92995" w:rsidRDefault="003D6CD6" w:rsidP="003D6CD6">
      <w:pPr>
        <w:pStyle w:val="ListParagraph"/>
        <w:rPr>
          <w:rFonts w:ascii="Times New Roman" w:hAnsi="Times New Roman" w:cs="Times New Roman"/>
        </w:rPr>
      </w:pPr>
    </w:p>
    <w:p w14:paraId="4ED01DAA" w14:textId="77777777" w:rsidR="003D6CD6" w:rsidRPr="00A92995" w:rsidRDefault="003D6CD6" w:rsidP="003D6CD6">
      <w:pPr>
        <w:pStyle w:val="ListParagraph"/>
        <w:numPr>
          <w:ilvl w:val="0"/>
          <w:numId w:val="11"/>
        </w:numPr>
        <w:rPr>
          <w:rFonts w:ascii="Times New Roman" w:hAnsi="Times New Roman" w:cs="Times New Roman"/>
        </w:rPr>
      </w:pPr>
      <w:r w:rsidRPr="00A92995">
        <w:rPr>
          <w:rFonts w:ascii="Times New Roman" w:eastAsia="Times New Roman" w:hAnsi="Times New Roman" w:cs="Times New Roman"/>
          <w:color w:val="1A1A1A"/>
        </w:rPr>
        <w:t>Oshana, M., 2005, “Autonomy and Self-Identity”, in Anderson and Christman 2005, pp. 77–100.</w:t>
      </w:r>
    </w:p>
    <w:p w14:paraId="53AA3A50" w14:textId="2DAA3F42" w:rsidR="003D6CD6" w:rsidRPr="00A92995" w:rsidRDefault="003D6CD6" w:rsidP="00513152">
      <w:pPr>
        <w:pStyle w:val="ListParagraph"/>
        <w:numPr>
          <w:ilvl w:val="1"/>
          <w:numId w:val="11"/>
        </w:numPr>
        <w:rPr>
          <w:rFonts w:ascii="Times New Roman" w:hAnsi="Times New Roman" w:cs="Times New Roman"/>
        </w:rPr>
      </w:pPr>
      <w:r w:rsidRPr="00A92995">
        <w:rPr>
          <w:rFonts w:ascii="Times New Roman" w:eastAsia="Times New Roman" w:hAnsi="Times New Roman" w:cs="Times New Roman"/>
          <w:color w:val="1A1A1A"/>
        </w:rPr>
        <w:t>2006, </w:t>
      </w:r>
      <w:r w:rsidRPr="00A92995">
        <w:rPr>
          <w:rFonts w:ascii="Times New Roman" w:eastAsia="Times New Roman" w:hAnsi="Times New Roman" w:cs="Times New Roman"/>
          <w:i/>
          <w:iCs/>
          <w:color w:val="1A1A1A"/>
        </w:rPr>
        <w:t>Personal Autonomy in Society</w:t>
      </w:r>
      <w:r w:rsidRPr="00A92995">
        <w:rPr>
          <w:rFonts w:ascii="Times New Roman" w:eastAsia="Times New Roman" w:hAnsi="Times New Roman" w:cs="Times New Roman"/>
          <w:color w:val="1A1A1A"/>
        </w:rPr>
        <w:t>, Aldershot: Ashgate Publishing.</w:t>
      </w:r>
    </w:p>
    <w:p w14:paraId="45F71D27" w14:textId="7A1FC6F4" w:rsidR="003D6CD6" w:rsidRPr="00A92995" w:rsidRDefault="003D6CD6" w:rsidP="00513152">
      <w:pPr>
        <w:pStyle w:val="ListParagraph"/>
        <w:numPr>
          <w:ilvl w:val="0"/>
          <w:numId w:val="11"/>
        </w:numPr>
        <w:rPr>
          <w:rFonts w:ascii="Times New Roman" w:hAnsi="Times New Roman" w:cs="Times New Roman"/>
          <w:color w:val="444444"/>
        </w:rPr>
      </w:pPr>
      <w:r w:rsidRPr="00A92995">
        <w:rPr>
          <w:rFonts w:ascii="Times New Roman" w:eastAsia="Times New Roman" w:hAnsi="Times New Roman" w:cs="Times New Roman"/>
          <w:color w:val="1A1A1A"/>
        </w:rPr>
        <w:t xml:space="preserve">Percival, T., </w:t>
      </w:r>
      <w:r w:rsidRPr="00A92995">
        <w:rPr>
          <w:rFonts w:ascii="Times New Roman" w:eastAsia="Times New Roman" w:hAnsi="Times New Roman" w:cs="Times New Roman"/>
          <w:i/>
          <w:color w:val="1A1A1A"/>
        </w:rPr>
        <w:t xml:space="preserve">Medical Ethics </w:t>
      </w:r>
      <w:r w:rsidRPr="00A92995">
        <w:rPr>
          <w:rFonts w:ascii="Times New Roman" w:eastAsia="Times New Roman" w:hAnsi="Times New Roman" w:cs="Times New Roman"/>
          <w:color w:val="1A1A1A"/>
        </w:rPr>
        <w:t xml:space="preserve">(Manchester 1803) </w:t>
      </w:r>
    </w:p>
    <w:p w14:paraId="34262BF3" w14:textId="77777777" w:rsidR="003D6CD6" w:rsidRPr="00A92995" w:rsidRDefault="003D6CD6" w:rsidP="003D6CD6">
      <w:pPr>
        <w:pStyle w:val="NormalWeb"/>
        <w:numPr>
          <w:ilvl w:val="0"/>
          <w:numId w:val="11"/>
        </w:numPr>
        <w:spacing w:before="0" w:beforeAutospacing="0" w:after="0" w:afterAutospacing="0" w:line="209" w:lineRule="atLeast"/>
        <w:textAlignment w:val="baseline"/>
        <w:rPr>
          <w:color w:val="444444"/>
        </w:rPr>
      </w:pPr>
      <w:r w:rsidRPr="00A92995">
        <w:rPr>
          <w:color w:val="444444"/>
          <w:bdr w:val="none" w:sz="0" w:space="0" w:color="auto" w:frame="1"/>
        </w:rPr>
        <w:t>Price, M. (2013). Defining mental disability. In L. Davis (Ed.),</w:t>
      </w:r>
      <w:r w:rsidRPr="00A92995">
        <w:rPr>
          <w:rStyle w:val="apple-converted-space"/>
          <w:color w:val="444444"/>
        </w:rPr>
        <w:t> </w:t>
      </w:r>
      <w:r w:rsidRPr="00A92995">
        <w:rPr>
          <w:rStyle w:val="Emphasis"/>
          <w:color w:val="444444"/>
          <w:bdr w:val="none" w:sz="0" w:space="0" w:color="auto" w:frame="1"/>
        </w:rPr>
        <w:t>The disability studies reader</w:t>
      </w:r>
      <w:r w:rsidRPr="00A92995">
        <w:rPr>
          <w:rStyle w:val="apple-converted-space"/>
          <w:color w:val="444444"/>
        </w:rPr>
        <w:t> </w:t>
      </w:r>
      <w:r w:rsidRPr="00A92995">
        <w:rPr>
          <w:color w:val="444444"/>
          <w:bdr w:val="none" w:sz="0" w:space="0" w:color="auto" w:frame="1"/>
        </w:rPr>
        <w:t>(pp. 298-307). NY: Routledge.</w:t>
      </w:r>
    </w:p>
    <w:p w14:paraId="3770C765" w14:textId="012B6482" w:rsidR="003D6CD6" w:rsidRPr="00A92995" w:rsidRDefault="003D6CD6" w:rsidP="003D6CD6">
      <w:pPr>
        <w:pStyle w:val="ListParagraph"/>
        <w:numPr>
          <w:ilvl w:val="0"/>
          <w:numId w:val="14"/>
        </w:numPr>
        <w:rPr>
          <w:rFonts w:ascii="Times New Roman" w:hAnsi="Times New Roman" w:cs="Times New Roman"/>
          <w:color w:val="000000" w:themeColor="text1"/>
        </w:rPr>
      </w:pPr>
      <w:r w:rsidRPr="00A92995">
        <w:rPr>
          <w:rFonts w:ascii="Times New Roman" w:hAnsi="Times New Roman" w:cs="Times New Roman"/>
          <w:color w:val="000000" w:themeColor="text1"/>
        </w:rPr>
        <w:t>Reimer, M. “Reflections on Insight: Dilemmas, Paradoxes and Puzzles”</w:t>
      </w:r>
      <w:r w:rsidRPr="00A92995">
        <w:rPr>
          <w:rFonts w:ascii="Times New Roman" w:hAnsi="Times New Roman" w:cs="Times New Roman"/>
          <w:i/>
          <w:color w:val="000000" w:themeColor="text1"/>
        </w:rPr>
        <w:t xml:space="preserve">, </w:t>
      </w:r>
      <w:r w:rsidRPr="00A92995">
        <w:rPr>
          <w:rFonts w:ascii="Times New Roman" w:hAnsi="Times New Roman" w:cs="Times New Roman"/>
          <w:color w:val="000000" w:themeColor="text1"/>
        </w:rPr>
        <w:t xml:space="preserve">in </w:t>
      </w:r>
      <w:r w:rsidRPr="00A92995">
        <w:rPr>
          <w:rFonts w:ascii="Times New Roman" w:hAnsi="Times New Roman" w:cs="Times New Roman"/>
          <w:i/>
          <w:color w:val="000000" w:themeColor="text1"/>
        </w:rPr>
        <w:t xml:space="preserve">Philosophy, </w:t>
      </w:r>
      <w:r w:rsidR="00513152" w:rsidRPr="00A92995">
        <w:rPr>
          <w:rFonts w:ascii="Times New Roman" w:hAnsi="Times New Roman" w:cs="Times New Roman"/>
          <w:i/>
          <w:color w:val="000000" w:themeColor="text1"/>
        </w:rPr>
        <w:t>Psychology,</w:t>
      </w:r>
      <w:r w:rsidRPr="00A92995">
        <w:rPr>
          <w:rFonts w:ascii="Times New Roman" w:hAnsi="Times New Roman" w:cs="Times New Roman"/>
          <w:i/>
          <w:color w:val="000000" w:themeColor="text1"/>
        </w:rPr>
        <w:t xml:space="preserve"> and Psychiatry</w:t>
      </w:r>
      <w:r w:rsidRPr="00A92995">
        <w:rPr>
          <w:rFonts w:ascii="Times New Roman" w:hAnsi="Times New Roman" w:cs="Times New Roman"/>
          <w:color w:val="000000" w:themeColor="text1"/>
        </w:rPr>
        <w:t>, (Vol. 17, No. 1, Mar. 2010.)</w:t>
      </w:r>
    </w:p>
    <w:p w14:paraId="7C9E376B" w14:textId="77777777" w:rsidR="003D6CD6" w:rsidRPr="00A92995" w:rsidRDefault="003D6CD6" w:rsidP="003D6CD6">
      <w:pPr>
        <w:pStyle w:val="ListParagraph"/>
        <w:numPr>
          <w:ilvl w:val="0"/>
          <w:numId w:val="14"/>
        </w:numPr>
        <w:rPr>
          <w:rFonts w:ascii="Times New Roman" w:hAnsi="Times New Roman" w:cs="Times New Roman"/>
          <w:color w:val="000000" w:themeColor="text1"/>
        </w:rPr>
      </w:pPr>
      <w:r w:rsidRPr="00A92995">
        <w:rPr>
          <w:rFonts w:ascii="Times New Roman" w:hAnsi="Times New Roman" w:cs="Times New Roman"/>
          <w:color w:val="000000" w:themeColor="text1"/>
        </w:rPr>
        <w:t xml:space="preserve">Sherwin, S., </w:t>
      </w:r>
      <w:r w:rsidRPr="00A92995">
        <w:rPr>
          <w:rFonts w:ascii="Times New Roman" w:hAnsi="Times New Roman" w:cs="Times New Roman"/>
          <w:i/>
          <w:color w:val="000000" w:themeColor="text1"/>
        </w:rPr>
        <w:t xml:space="preserve">No Longer Patient: Feminist Ethics and Healthcare, </w:t>
      </w:r>
      <w:r w:rsidRPr="00A92995">
        <w:rPr>
          <w:rFonts w:ascii="Times New Roman" w:hAnsi="Times New Roman" w:cs="Times New Roman"/>
          <w:color w:val="000000" w:themeColor="text1"/>
        </w:rPr>
        <w:t>Philadelphia, PA: Temple University Press. (1992)</w:t>
      </w:r>
    </w:p>
    <w:p w14:paraId="5CC0F9E2" w14:textId="77777777" w:rsidR="003D6CD6" w:rsidRPr="00A92995" w:rsidRDefault="003D6CD6" w:rsidP="009B012B">
      <w:pPr>
        <w:pStyle w:val="FootnoteText"/>
        <w:numPr>
          <w:ilvl w:val="0"/>
          <w:numId w:val="14"/>
        </w:numPr>
      </w:pPr>
      <w:r w:rsidRPr="00A92995">
        <w:t>Smith, D.G., and Newton, L., ‘Physician and Patient: Respect for Mutuality’</w:t>
      </w:r>
      <w:r w:rsidRPr="00A92995">
        <w:rPr>
          <w:i/>
        </w:rPr>
        <w:t xml:space="preserve">, </w:t>
      </w:r>
      <w:r w:rsidRPr="00A92995">
        <w:t xml:space="preserve">in </w:t>
      </w:r>
      <w:r w:rsidRPr="00A92995">
        <w:rPr>
          <w:i/>
        </w:rPr>
        <w:t>Theoretical Medicine</w:t>
      </w:r>
      <w:r w:rsidRPr="00A92995">
        <w:t xml:space="preserve"> Vol. 5, p 43-60, (1984)</w:t>
      </w:r>
    </w:p>
    <w:p w14:paraId="723F303C" w14:textId="77777777" w:rsidR="003D6CD6" w:rsidRPr="00A92995" w:rsidRDefault="003D6CD6" w:rsidP="009B012B">
      <w:pPr>
        <w:pStyle w:val="FootnoteText"/>
        <w:numPr>
          <w:ilvl w:val="0"/>
          <w:numId w:val="14"/>
        </w:numPr>
      </w:pPr>
      <w:r w:rsidRPr="00A92995">
        <w:lastRenderedPageBreak/>
        <w:t>Spriggs, M. “Autonomy in the face of a devastating diagnosis”,</w:t>
      </w:r>
      <w:r w:rsidRPr="00A92995">
        <w:rPr>
          <w:i/>
        </w:rPr>
        <w:t xml:space="preserve"> </w:t>
      </w:r>
      <w:r w:rsidRPr="00A92995">
        <w:t xml:space="preserve">in </w:t>
      </w:r>
      <w:r w:rsidRPr="00A92995">
        <w:rPr>
          <w:i/>
        </w:rPr>
        <w:t>Journal of Medical Ethics</w:t>
      </w:r>
      <w:r w:rsidRPr="00A92995">
        <w:t xml:space="preserve"> (1998; 24:123-126) </w:t>
      </w:r>
    </w:p>
    <w:p w14:paraId="7D2A6587" w14:textId="36B04BB0"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Stoljar, N., 2000, “Autonomy and the Feminist Intuition”, in </w:t>
      </w:r>
      <w:r w:rsidRPr="00A92995">
        <w:rPr>
          <w:rFonts w:ascii="Times New Roman" w:eastAsia="Times New Roman" w:hAnsi="Times New Roman" w:cs="Times New Roman"/>
          <w:i/>
          <w:iCs/>
          <w:color w:val="1A1A1A"/>
        </w:rPr>
        <w:t>Relational Autonomy Feminist Perspectives on Autonomy, Agency and the Social Self</w:t>
      </w:r>
      <w:r w:rsidRPr="00A92995">
        <w:rPr>
          <w:rFonts w:ascii="Times New Roman" w:eastAsia="Times New Roman" w:hAnsi="Times New Roman" w:cs="Times New Roman"/>
          <w:color w:val="1A1A1A"/>
        </w:rPr>
        <w:t xml:space="preserve">, C. </w:t>
      </w:r>
      <w:r w:rsidR="00513152" w:rsidRPr="00A92995">
        <w:rPr>
          <w:rFonts w:ascii="Times New Roman" w:eastAsia="Times New Roman" w:hAnsi="Times New Roman" w:cs="Times New Roman"/>
          <w:color w:val="1A1A1A"/>
        </w:rPr>
        <w:t>Mackenzie,</w:t>
      </w:r>
      <w:r w:rsidRPr="00A92995">
        <w:rPr>
          <w:rFonts w:ascii="Times New Roman" w:eastAsia="Times New Roman" w:hAnsi="Times New Roman" w:cs="Times New Roman"/>
          <w:color w:val="1A1A1A"/>
        </w:rPr>
        <w:t xml:space="preserve"> and N. Stoljar (eds.), New York: Oxford University Press. pp. 94–111.</w:t>
      </w:r>
    </w:p>
    <w:p w14:paraId="5E85F66F" w14:textId="5770BE8D" w:rsidR="003D6CD6" w:rsidRPr="00A92995" w:rsidRDefault="003D6CD6" w:rsidP="009B012B">
      <w:pPr>
        <w:pStyle w:val="FootnoteText"/>
        <w:numPr>
          <w:ilvl w:val="0"/>
          <w:numId w:val="14"/>
        </w:numPr>
      </w:pPr>
      <w:r w:rsidRPr="00A92995">
        <w:t xml:space="preserve">Stoljar, N., “Feminist Perspectives on Autonomy”. </w:t>
      </w:r>
      <w:r w:rsidRPr="00A92995">
        <w:rPr>
          <w:i/>
        </w:rPr>
        <w:t xml:space="preserve">The Stanford Encyclopedia of Philosophy </w:t>
      </w:r>
      <w:r w:rsidRPr="00A92995">
        <w:t xml:space="preserve">(Fall 2015 Edition), Edward N. </w:t>
      </w:r>
      <w:proofErr w:type="spellStart"/>
      <w:r w:rsidRPr="00A92995">
        <w:t>Zalta</w:t>
      </w:r>
      <w:proofErr w:type="spellEnd"/>
      <w:r w:rsidRPr="00A92995">
        <w:t xml:space="preserve"> (ed.), URL= http://plato.stanford.edu/archives/fall2015/entries/feminism-autonomy/</w:t>
      </w:r>
    </w:p>
    <w:p w14:paraId="544BED0B"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Szmulker, G., 2013, “Personality Disorder” and Capacity to Make Treatment Decisions in in D.A. </w:t>
      </w:r>
      <w:proofErr w:type="spellStart"/>
      <w:r w:rsidRPr="00A92995">
        <w:rPr>
          <w:rFonts w:ascii="Times New Roman" w:eastAsia="Times New Roman" w:hAnsi="Times New Roman" w:cs="Times New Roman"/>
          <w:color w:val="1A1A1A"/>
        </w:rPr>
        <w:t>Sisti</w:t>
      </w:r>
      <w:proofErr w:type="spellEnd"/>
      <w:r w:rsidRPr="00A92995">
        <w:rPr>
          <w:rFonts w:ascii="Times New Roman" w:eastAsia="Times New Roman" w:hAnsi="Times New Roman" w:cs="Times New Roman"/>
          <w:color w:val="1A1A1A"/>
        </w:rPr>
        <w:t xml:space="preserve">, A.L Caplan, and H.R. </w:t>
      </w:r>
      <w:proofErr w:type="spellStart"/>
      <w:r w:rsidRPr="00A92995">
        <w:rPr>
          <w:rFonts w:ascii="Times New Roman" w:eastAsia="Times New Roman" w:hAnsi="Times New Roman" w:cs="Times New Roman"/>
          <w:color w:val="1A1A1A"/>
        </w:rPr>
        <w:t>Rimon</w:t>
      </w:r>
      <w:proofErr w:type="spellEnd"/>
      <w:r w:rsidRPr="00A92995">
        <w:rPr>
          <w:rFonts w:ascii="Times New Roman" w:eastAsia="Times New Roman" w:hAnsi="Times New Roman" w:cs="Times New Roman"/>
          <w:color w:val="1A1A1A"/>
        </w:rPr>
        <w:t xml:space="preserve">-Greenspan (eds.) </w:t>
      </w:r>
      <w:r w:rsidRPr="00A92995">
        <w:rPr>
          <w:rFonts w:ascii="Times New Roman" w:eastAsia="Times New Roman" w:hAnsi="Times New Roman" w:cs="Times New Roman"/>
          <w:i/>
          <w:color w:val="1A1A1A"/>
        </w:rPr>
        <w:t xml:space="preserve">Applied Ethics in Mental Health Care: An Interdisciplinary Reader, </w:t>
      </w:r>
      <w:r w:rsidRPr="00A92995">
        <w:rPr>
          <w:rFonts w:ascii="Times New Roman" w:eastAsia="Times New Roman" w:hAnsi="Times New Roman" w:cs="Times New Roman"/>
          <w:color w:val="1A1A1A"/>
        </w:rPr>
        <w:t>Massachusetts Institute of Technology, pp. 115 – 122</w:t>
      </w:r>
    </w:p>
    <w:p w14:paraId="7FD1AE56" w14:textId="4B69FC58"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 xml:space="preserve">Szmulker, G., “Ethics in Community Psychiatry”, in </w:t>
      </w:r>
      <w:r w:rsidRPr="00A92995">
        <w:rPr>
          <w:rFonts w:ascii="Times New Roman" w:eastAsia="Times New Roman" w:hAnsi="Times New Roman" w:cs="Times New Roman"/>
          <w:i/>
          <w:color w:val="1A1A1A"/>
        </w:rPr>
        <w:t xml:space="preserve">Psychiatric Ethics: Fourth Edition, </w:t>
      </w:r>
      <w:r w:rsidRPr="00A92995">
        <w:rPr>
          <w:rFonts w:ascii="Times New Roman" w:eastAsia="Times New Roman" w:hAnsi="Times New Roman" w:cs="Times New Roman"/>
          <w:color w:val="1A1A1A"/>
        </w:rPr>
        <w:t xml:space="preserve">S. </w:t>
      </w:r>
      <w:r w:rsidR="00513152" w:rsidRPr="00A92995">
        <w:rPr>
          <w:rFonts w:ascii="Times New Roman" w:eastAsia="Times New Roman" w:hAnsi="Times New Roman" w:cs="Times New Roman"/>
          <w:color w:val="1A1A1A"/>
        </w:rPr>
        <w:t>Bloch,</w:t>
      </w:r>
      <w:r w:rsidRPr="00A92995">
        <w:rPr>
          <w:rFonts w:ascii="Times New Roman" w:eastAsia="Times New Roman" w:hAnsi="Times New Roman" w:cs="Times New Roman"/>
          <w:color w:val="1A1A1A"/>
        </w:rPr>
        <w:t xml:space="preserve"> and S.A. Green (eds.) (Oxford: Oxford University Press, 2009), pp. 453 – 472.</w:t>
      </w:r>
    </w:p>
    <w:p w14:paraId="2A1A164D" w14:textId="3C028D7E" w:rsidR="003D6CD6" w:rsidRPr="00A92995" w:rsidRDefault="003D6CD6" w:rsidP="009B012B">
      <w:pPr>
        <w:pStyle w:val="FootnoteText"/>
        <w:numPr>
          <w:ilvl w:val="0"/>
          <w:numId w:val="14"/>
        </w:numPr>
      </w:pPr>
      <w:r w:rsidRPr="00A92995">
        <w:t xml:space="preserve">Taylor, C., </w:t>
      </w:r>
      <w:r w:rsidRPr="00A92995">
        <w:rPr>
          <w:i/>
        </w:rPr>
        <w:t xml:space="preserve">The Ethics of Authenticity, </w:t>
      </w:r>
      <w:r w:rsidRPr="00A92995">
        <w:t xml:space="preserve">Cambridge: MA and London, </w:t>
      </w:r>
      <w:r w:rsidR="00513152" w:rsidRPr="00A92995">
        <w:t>UK, Harvard</w:t>
      </w:r>
      <w:r w:rsidRPr="00A92995">
        <w:t xml:space="preserve"> University Press, 1991. </w:t>
      </w:r>
    </w:p>
    <w:p w14:paraId="45D64198" w14:textId="77777777" w:rsidR="003D6CD6" w:rsidRPr="00A92995" w:rsidRDefault="003D6CD6" w:rsidP="0079061C">
      <w:pPr>
        <w:pStyle w:val="FootnoteText"/>
        <w:numPr>
          <w:ilvl w:val="0"/>
          <w:numId w:val="14"/>
        </w:numPr>
      </w:pPr>
      <w:r w:rsidRPr="00A92995">
        <w:t>Taylor, J.S., in Personal Autonomy: New Essays on Personal Autonomy and Its Role in Contemporary Moral Philosophy, Cambridge University Press (2005)</w:t>
      </w:r>
    </w:p>
    <w:p w14:paraId="479F31D8" w14:textId="77777777" w:rsidR="003D6CD6" w:rsidRPr="00A92995" w:rsidRDefault="003D6CD6" w:rsidP="00347E2A">
      <w:pPr>
        <w:pStyle w:val="FootnoteText"/>
        <w:numPr>
          <w:ilvl w:val="0"/>
          <w:numId w:val="14"/>
        </w:numPr>
      </w:pPr>
      <w:r w:rsidRPr="00A92995">
        <w:t>Taylor, J.S., “Autonomy, Duress, and Coercion”</w:t>
      </w:r>
      <w:r w:rsidRPr="00A92995">
        <w:rPr>
          <w:i/>
        </w:rPr>
        <w:t xml:space="preserve">, </w:t>
      </w:r>
      <w:r w:rsidRPr="00A92995">
        <w:t xml:space="preserve">in E.F. Paul, F.D. Miller Jr., and J. Paul (eds.) </w:t>
      </w:r>
      <w:r w:rsidRPr="00A92995">
        <w:rPr>
          <w:i/>
        </w:rPr>
        <w:t xml:space="preserve">Autonomy </w:t>
      </w:r>
      <w:r w:rsidRPr="00A92995">
        <w:t xml:space="preserve">(2003), pp. 127-155. </w:t>
      </w:r>
    </w:p>
    <w:p w14:paraId="41480C34" w14:textId="77777777" w:rsidR="003D6CD6" w:rsidRPr="00A92995" w:rsidRDefault="003D6CD6" w:rsidP="00347E2A">
      <w:pPr>
        <w:pStyle w:val="FootnoteText"/>
        <w:numPr>
          <w:ilvl w:val="0"/>
          <w:numId w:val="14"/>
        </w:numPr>
      </w:pPr>
      <w:r w:rsidRPr="00A92995">
        <w:t xml:space="preserve">Tekin, S. “Self-Insight in the Time of Mood Disorders: After the Diagnosis, Beyond the Treatment, in </w:t>
      </w:r>
      <w:r w:rsidRPr="00A92995">
        <w:rPr>
          <w:i/>
        </w:rPr>
        <w:t>Philosophy, Psychology and Psychiatry</w:t>
      </w:r>
      <w:r w:rsidRPr="00A92995">
        <w:t>, (Vol. 21, No. 2, Dec. 2014)</w:t>
      </w:r>
    </w:p>
    <w:p w14:paraId="658B18D7" w14:textId="5A2BB9FA" w:rsidR="003D6CD6" w:rsidRPr="00A92995" w:rsidRDefault="003D6CD6" w:rsidP="00513152">
      <w:pPr>
        <w:pStyle w:val="ListParagraph"/>
        <w:numPr>
          <w:ilvl w:val="0"/>
          <w:numId w:val="14"/>
        </w:numPr>
        <w:rPr>
          <w:rFonts w:ascii="Times New Roman" w:hAnsi="Times New Roman" w:cs="Times New Roman"/>
          <w:color w:val="000000" w:themeColor="text1"/>
        </w:rPr>
      </w:pPr>
      <w:r w:rsidRPr="00A92995">
        <w:rPr>
          <w:rFonts w:ascii="Times New Roman" w:eastAsia="Times New Roman" w:hAnsi="Times New Roman" w:cs="Times New Roman"/>
          <w:color w:val="1A1A1A"/>
        </w:rPr>
        <w:t xml:space="preserve">Tong, R. </w:t>
      </w:r>
      <w:r w:rsidRPr="00A92995">
        <w:rPr>
          <w:rFonts w:ascii="Times New Roman" w:eastAsia="Times New Roman" w:hAnsi="Times New Roman" w:cs="Times New Roman"/>
          <w:i/>
          <w:color w:val="1A1A1A"/>
        </w:rPr>
        <w:t>Feminist Approaches to Bioethics: Theoretical Reflections and Practical Applications</w:t>
      </w:r>
      <w:r w:rsidRPr="00A92995">
        <w:rPr>
          <w:rFonts w:ascii="Times New Roman" w:eastAsia="Times New Roman" w:hAnsi="Times New Roman" w:cs="Times New Roman"/>
          <w:color w:val="1A1A1A"/>
        </w:rPr>
        <w:t>, 1997, Westview Press, A Member of the Perseus Books Group.</w:t>
      </w:r>
    </w:p>
    <w:p w14:paraId="2444E0CD" w14:textId="77777777" w:rsidR="003D6CD6" w:rsidRPr="00A92995" w:rsidRDefault="003D6CD6" w:rsidP="003D6CD6">
      <w:pPr>
        <w:pStyle w:val="ListParagraph"/>
        <w:numPr>
          <w:ilvl w:val="0"/>
          <w:numId w:val="14"/>
        </w:numPr>
        <w:rPr>
          <w:rFonts w:ascii="Times New Roman" w:hAnsi="Times New Roman" w:cs="Times New Roman"/>
        </w:rPr>
      </w:pPr>
      <w:proofErr w:type="spellStart"/>
      <w:r w:rsidRPr="00A92995">
        <w:rPr>
          <w:rFonts w:ascii="Times New Roman" w:hAnsi="Times New Roman" w:cs="Times New Roman"/>
        </w:rPr>
        <w:t>Watzlawik</w:t>
      </w:r>
      <w:proofErr w:type="spellEnd"/>
      <w:r w:rsidRPr="00A92995">
        <w:rPr>
          <w:rFonts w:ascii="Times New Roman" w:hAnsi="Times New Roman" w:cs="Times New Roman"/>
        </w:rPr>
        <w:t xml:space="preserve">, P. et al., ‘Paradox in Psychotherapy’ in </w:t>
      </w:r>
      <w:r w:rsidRPr="00A92995">
        <w:rPr>
          <w:rFonts w:ascii="Times New Roman" w:hAnsi="Times New Roman" w:cs="Times New Roman"/>
          <w:i/>
        </w:rPr>
        <w:t>Pragmatics of Human Communication</w:t>
      </w:r>
      <w:r w:rsidRPr="00A92995">
        <w:rPr>
          <w:rFonts w:ascii="Times New Roman" w:hAnsi="Times New Roman" w:cs="Times New Roman"/>
        </w:rPr>
        <w:t xml:space="preserve">, W.W Norton &amp; Company (1967), p 230-253. </w:t>
      </w:r>
    </w:p>
    <w:p w14:paraId="0170D325"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Watson, G., 1996, “Two Faces of Responsibility”, </w:t>
      </w:r>
      <w:r w:rsidRPr="00A92995">
        <w:rPr>
          <w:rFonts w:ascii="Times New Roman" w:eastAsia="Times New Roman" w:hAnsi="Times New Roman" w:cs="Times New Roman"/>
          <w:i/>
          <w:iCs/>
          <w:color w:val="1A1A1A"/>
        </w:rPr>
        <w:t>Philosophical Topics</w:t>
      </w:r>
      <w:r w:rsidRPr="00A92995">
        <w:rPr>
          <w:rFonts w:ascii="Times New Roman" w:eastAsia="Times New Roman" w:hAnsi="Times New Roman" w:cs="Times New Roman"/>
          <w:color w:val="1A1A1A"/>
        </w:rPr>
        <w:t>, 24: 227–48.</w:t>
      </w:r>
    </w:p>
    <w:p w14:paraId="6060EE88" w14:textId="77777777" w:rsidR="003D6CD6" w:rsidRPr="00A92995" w:rsidRDefault="003D6CD6" w:rsidP="003D6CD6">
      <w:pPr>
        <w:pStyle w:val="ListParagraph"/>
        <w:numPr>
          <w:ilvl w:val="1"/>
          <w:numId w:val="14"/>
        </w:numPr>
        <w:rPr>
          <w:rFonts w:ascii="Times New Roman" w:hAnsi="Times New Roman" w:cs="Times New Roman"/>
        </w:rPr>
      </w:pPr>
      <w:r w:rsidRPr="00A92995">
        <w:rPr>
          <w:rFonts w:ascii="Times New Roman" w:eastAsia="Times New Roman" w:hAnsi="Times New Roman" w:cs="Times New Roman"/>
          <w:color w:val="1A1A1A"/>
        </w:rPr>
        <w:t>1975, “Free Agency”, </w:t>
      </w:r>
      <w:r w:rsidRPr="00A92995">
        <w:rPr>
          <w:rFonts w:ascii="Times New Roman" w:eastAsia="Times New Roman" w:hAnsi="Times New Roman" w:cs="Times New Roman"/>
          <w:i/>
          <w:iCs/>
          <w:color w:val="1A1A1A"/>
        </w:rPr>
        <w:t>Journal of Philosophy</w:t>
      </w:r>
      <w:r w:rsidRPr="00A92995">
        <w:rPr>
          <w:rFonts w:ascii="Times New Roman" w:eastAsia="Times New Roman" w:hAnsi="Times New Roman" w:cs="Times New Roman"/>
          <w:color w:val="1A1A1A"/>
        </w:rPr>
        <w:t>, 8: 205–220.</w:t>
      </w:r>
    </w:p>
    <w:p w14:paraId="01ABCB2D" w14:textId="77777777" w:rsidR="003D6CD6" w:rsidRPr="00A92995" w:rsidRDefault="003D6CD6" w:rsidP="003D6CD6">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Wolf, S., 1987, “Sanity and the Metaphysics of Responsibility”, in </w:t>
      </w:r>
      <w:r w:rsidRPr="00A92995">
        <w:rPr>
          <w:rFonts w:ascii="Times New Roman" w:eastAsia="Times New Roman" w:hAnsi="Times New Roman" w:cs="Times New Roman"/>
          <w:i/>
          <w:iCs/>
          <w:color w:val="1A1A1A"/>
        </w:rPr>
        <w:t>Responsibility, Character and the Emotions</w:t>
      </w:r>
      <w:r w:rsidRPr="00A92995">
        <w:rPr>
          <w:rFonts w:ascii="Times New Roman" w:eastAsia="Times New Roman" w:hAnsi="Times New Roman" w:cs="Times New Roman"/>
          <w:color w:val="1A1A1A"/>
        </w:rPr>
        <w:t xml:space="preserve">, F. </w:t>
      </w:r>
      <w:proofErr w:type="spellStart"/>
      <w:r w:rsidRPr="00A92995">
        <w:rPr>
          <w:rFonts w:ascii="Times New Roman" w:eastAsia="Times New Roman" w:hAnsi="Times New Roman" w:cs="Times New Roman"/>
          <w:color w:val="1A1A1A"/>
        </w:rPr>
        <w:t>Schoeman</w:t>
      </w:r>
      <w:proofErr w:type="spellEnd"/>
      <w:r w:rsidRPr="00A92995">
        <w:rPr>
          <w:rFonts w:ascii="Times New Roman" w:eastAsia="Times New Roman" w:hAnsi="Times New Roman" w:cs="Times New Roman"/>
          <w:color w:val="1A1A1A"/>
        </w:rPr>
        <w:t xml:space="preserve"> (ed.), New York: Cambridge University Press.</w:t>
      </w:r>
    </w:p>
    <w:p w14:paraId="24B83C59" w14:textId="35225AAB" w:rsidR="00AB73E0" w:rsidRPr="00A92995" w:rsidRDefault="003D6CD6" w:rsidP="00513152">
      <w:pPr>
        <w:pStyle w:val="ListParagraph"/>
        <w:numPr>
          <w:ilvl w:val="0"/>
          <w:numId w:val="14"/>
        </w:numPr>
        <w:rPr>
          <w:rFonts w:ascii="Times New Roman" w:hAnsi="Times New Roman" w:cs="Times New Roman"/>
        </w:rPr>
      </w:pPr>
      <w:r w:rsidRPr="00A92995">
        <w:rPr>
          <w:rFonts w:ascii="Times New Roman" w:eastAsia="Times New Roman" w:hAnsi="Times New Roman" w:cs="Times New Roman"/>
          <w:color w:val="1A1A1A"/>
        </w:rPr>
        <w:t>1990, </w:t>
      </w:r>
      <w:r w:rsidRPr="00A92995">
        <w:rPr>
          <w:rFonts w:ascii="Times New Roman" w:eastAsia="Times New Roman" w:hAnsi="Times New Roman" w:cs="Times New Roman"/>
          <w:i/>
          <w:iCs/>
          <w:color w:val="1A1A1A"/>
        </w:rPr>
        <w:t>Freedom Within Reason</w:t>
      </w:r>
      <w:r w:rsidRPr="00A92995">
        <w:rPr>
          <w:rFonts w:ascii="Times New Roman" w:eastAsia="Times New Roman" w:hAnsi="Times New Roman" w:cs="Times New Roman"/>
          <w:color w:val="1A1A1A"/>
        </w:rPr>
        <w:t>, New York: Oxford University Press.</w:t>
      </w:r>
    </w:p>
    <w:p w14:paraId="4AEFE983" w14:textId="77777777" w:rsidR="00AB73E0" w:rsidRPr="00A92995" w:rsidRDefault="00AB73E0" w:rsidP="00AB73E0">
      <w:pPr>
        <w:spacing w:line="360" w:lineRule="auto"/>
      </w:pPr>
    </w:p>
    <w:p w14:paraId="70DE35DB" w14:textId="77777777" w:rsidR="00AB73E0" w:rsidRPr="00A92995" w:rsidRDefault="00AB73E0" w:rsidP="00AB73E0"/>
    <w:p w14:paraId="17C508A6" w14:textId="77777777" w:rsidR="008B50D9" w:rsidRPr="00A92995" w:rsidRDefault="008B50D9"/>
    <w:sectPr w:rsidR="008B50D9" w:rsidRPr="00A92995" w:rsidSect="00B02CD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3E5616" w14:textId="77777777" w:rsidR="00CE2F3F" w:rsidRDefault="00CE2F3F" w:rsidP="00AB73E0">
      <w:r>
        <w:separator/>
      </w:r>
    </w:p>
  </w:endnote>
  <w:endnote w:type="continuationSeparator" w:id="0">
    <w:p w14:paraId="74AFD748" w14:textId="77777777" w:rsidR="00CE2F3F" w:rsidRDefault="00CE2F3F" w:rsidP="00AB7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Bold">
    <w:altName w:val="Arial"/>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BF530" w14:textId="77777777" w:rsidR="00A63D1C" w:rsidRDefault="00A63D1C" w:rsidP="008B50D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BA1BA2" w14:textId="77777777" w:rsidR="00A63D1C" w:rsidRDefault="00A63D1C" w:rsidP="005069E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46748" w14:textId="64889F42" w:rsidR="00A63D1C" w:rsidRDefault="00A63D1C" w:rsidP="008B50D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A7298">
      <w:rPr>
        <w:rStyle w:val="PageNumber"/>
        <w:noProof/>
      </w:rPr>
      <w:t>91</w:t>
    </w:r>
    <w:r>
      <w:rPr>
        <w:rStyle w:val="PageNumber"/>
      </w:rPr>
      <w:fldChar w:fldCharType="end"/>
    </w:r>
  </w:p>
  <w:p w14:paraId="180B0A6D" w14:textId="46C85312" w:rsidR="00A63D1C" w:rsidRDefault="00A63D1C" w:rsidP="000760E9">
    <w:pPr>
      <w:pStyle w:val="Footer"/>
    </w:pPr>
    <w:r>
      <w:tab/>
    </w:r>
    <w:r>
      <w:ptab w:relativeTo="margin" w:alignment="right" w:leader="none"/>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07E545" w14:textId="31C0E13D" w:rsidR="00A63D1C" w:rsidRDefault="00A63D1C" w:rsidP="00CD2FAB">
    <w:pPr>
      <w:pStyle w:val="Footer"/>
      <w:framePr w:wrap="none" w:vAnchor="text" w:hAnchor="margin" w:xAlign="right" w:y="1"/>
      <w:rPr>
        <w:rStyle w:val="PageNumber"/>
      </w:rPr>
    </w:pPr>
  </w:p>
  <w:p w14:paraId="14AA95E7" w14:textId="77777777" w:rsidR="00A63D1C" w:rsidRDefault="00A63D1C" w:rsidP="00CD2FA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9BC652" w14:textId="77777777" w:rsidR="00CE2F3F" w:rsidRDefault="00CE2F3F" w:rsidP="00AB73E0">
      <w:r>
        <w:separator/>
      </w:r>
    </w:p>
  </w:footnote>
  <w:footnote w:type="continuationSeparator" w:id="0">
    <w:p w14:paraId="6C87B890" w14:textId="77777777" w:rsidR="00CE2F3F" w:rsidRDefault="00CE2F3F" w:rsidP="00AB73E0">
      <w:r>
        <w:continuationSeparator/>
      </w:r>
    </w:p>
  </w:footnote>
  <w:footnote w:id="1">
    <w:p w14:paraId="7919A235" w14:textId="66A951E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Quoted in J. Katz, </w:t>
      </w:r>
      <w:r w:rsidRPr="00A92995">
        <w:rPr>
          <w:i/>
          <w:sz w:val="18"/>
          <w:szCs w:val="18"/>
        </w:rPr>
        <w:t>The Silent World of Doctor and Patient</w:t>
      </w:r>
      <w:r w:rsidRPr="00A92995">
        <w:rPr>
          <w:sz w:val="18"/>
          <w:szCs w:val="18"/>
        </w:rPr>
        <w:t xml:space="preserve">, The Johns Hopkins University Press Baltimore and London, 1984. </w:t>
      </w:r>
      <w:r>
        <w:rPr>
          <w:sz w:val="18"/>
          <w:szCs w:val="18"/>
        </w:rPr>
        <w:t>p.</w:t>
      </w:r>
      <w:r w:rsidRPr="00A92995">
        <w:rPr>
          <w:sz w:val="18"/>
          <w:szCs w:val="18"/>
        </w:rPr>
        <w:t xml:space="preserve"> 87. Italics added.</w:t>
      </w:r>
    </w:p>
  </w:footnote>
  <w:footnote w:id="2">
    <w:p w14:paraId="6770D45F" w14:textId="08B90921"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T.L. Beauchamp, “The Philosophical basis of Psychiatric Ethics”</w:t>
      </w:r>
      <w:r w:rsidRPr="00A92995">
        <w:rPr>
          <w:i/>
          <w:sz w:val="18"/>
          <w:szCs w:val="18"/>
        </w:rPr>
        <w:t xml:space="preserve">, </w:t>
      </w:r>
      <w:r w:rsidRPr="00A92995">
        <w:rPr>
          <w:sz w:val="18"/>
          <w:szCs w:val="18"/>
        </w:rPr>
        <w:t xml:space="preserve">in </w:t>
      </w:r>
      <w:r w:rsidRPr="00A92995">
        <w:rPr>
          <w:i/>
          <w:sz w:val="18"/>
          <w:szCs w:val="18"/>
        </w:rPr>
        <w:t>Psychiatric Ethics</w:t>
      </w:r>
      <w:r w:rsidRPr="00A92995">
        <w:rPr>
          <w:sz w:val="18"/>
          <w:szCs w:val="18"/>
        </w:rPr>
        <w:t>, ed. S. Bloch and S.A. Green. Oxford University Press (Fourth edition, 2009), pp</w:t>
      </w:r>
      <w:r>
        <w:rPr>
          <w:sz w:val="18"/>
          <w:szCs w:val="18"/>
        </w:rPr>
        <w:t>.</w:t>
      </w:r>
      <w:r w:rsidRPr="00A92995">
        <w:rPr>
          <w:sz w:val="18"/>
          <w:szCs w:val="18"/>
        </w:rPr>
        <w:t xml:space="preserve"> 25 – 48. </w:t>
      </w:r>
    </w:p>
  </w:footnote>
  <w:footnote w:id="3">
    <w:p w14:paraId="6E9029EF" w14:textId="738EA8D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This dispute closely parallels the conflict between procedural and substantive theories of autonomy and will become especially relevant later in this research.</w:t>
      </w:r>
    </w:p>
  </w:footnote>
  <w:footnote w:id="4">
    <w:p w14:paraId="2BA5A578" w14:textId="3D9FFF8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26.</w:t>
      </w:r>
    </w:p>
  </w:footnote>
  <w:footnote w:id="5">
    <w:p w14:paraId="0CC9B8F3" w14:textId="3E1A649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G. Szmulker p</w:t>
      </w:r>
      <w:r>
        <w:rPr>
          <w:sz w:val="18"/>
          <w:szCs w:val="18"/>
        </w:rPr>
        <w:t>.</w:t>
      </w:r>
      <w:r w:rsidRPr="00A92995">
        <w:rPr>
          <w:sz w:val="18"/>
          <w:szCs w:val="18"/>
        </w:rPr>
        <w:t xml:space="preserve"> 117. See also </w:t>
      </w:r>
      <w:r w:rsidRPr="00A92995">
        <w:rPr>
          <w:i/>
          <w:sz w:val="18"/>
          <w:szCs w:val="18"/>
        </w:rPr>
        <w:t>Mental Capacity Act 2005</w:t>
      </w:r>
      <w:r w:rsidRPr="00A92995">
        <w:rPr>
          <w:sz w:val="18"/>
          <w:szCs w:val="18"/>
        </w:rPr>
        <w:t xml:space="preserve">. (2005). London Stationary Office; and for a detailed account of the MacCAT-T see also Grisso, T et al. </w:t>
      </w:r>
      <w:r w:rsidRPr="00A92995">
        <w:rPr>
          <w:i/>
          <w:sz w:val="18"/>
          <w:szCs w:val="18"/>
        </w:rPr>
        <w:t xml:space="preserve">The MacCAT-T: A Clinical Tool to Assess Patients’ Capacities to Make Treatment Decisions </w:t>
      </w:r>
      <w:r w:rsidRPr="00A92995">
        <w:rPr>
          <w:sz w:val="18"/>
          <w:szCs w:val="18"/>
        </w:rPr>
        <w:t xml:space="preserve">in Psychiatric Services, </w:t>
      </w:r>
      <w:hyperlink r:id="rId1" w:history="1">
        <w:r w:rsidRPr="00A92995">
          <w:rPr>
            <w:sz w:val="18"/>
            <w:szCs w:val="18"/>
          </w:rPr>
          <w:t>Volume 48, Issue 11, November 1997</w:t>
        </w:r>
      </w:hyperlink>
      <w:r w:rsidRPr="00A92995">
        <w:rPr>
          <w:sz w:val="18"/>
          <w:szCs w:val="18"/>
        </w:rPr>
        <w:t>, pp. 1415-1419.</w:t>
      </w:r>
    </w:p>
  </w:footnote>
  <w:footnote w:id="6">
    <w:p w14:paraId="31C8F947" w14:textId="43A3DAA4"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UK Mental Capacity </w:t>
      </w:r>
      <w:r w:rsidRPr="00360448">
        <w:rPr>
          <w:sz w:val="18"/>
          <w:szCs w:val="18"/>
        </w:rPr>
        <w:t>Act, (</w:t>
      </w:r>
      <w:hyperlink r:id="rId2" w:history="1">
        <w:r w:rsidRPr="00360448">
          <w:rPr>
            <w:rStyle w:val="Hyperlink"/>
            <w:color w:val="auto"/>
            <w:sz w:val="18"/>
            <w:szCs w:val="18"/>
          </w:rPr>
          <w:t>http://www.legislation.gov.uk/ukpga/2005/9/pdfs/ukpga_20050009_en.pdf)</w:t>
        </w:r>
      </w:hyperlink>
      <w:r w:rsidRPr="00360448">
        <w:rPr>
          <w:sz w:val="18"/>
          <w:szCs w:val="18"/>
        </w:rPr>
        <w:t xml:space="preserve">, </w:t>
      </w:r>
      <w:r w:rsidRPr="00A92995">
        <w:rPr>
          <w:sz w:val="18"/>
          <w:szCs w:val="18"/>
        </w:rPr>
        <w:t>Chapter 9, p. 3.</w:t>
      </w:r>
    </w:p>
  </w:footnote>
  <w:footnote w:id="7">
    <w:p w14:paraId="060FD8B6" w14:textId="47C8DE74"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T.B. Karasu, “The Ethics of Psychotherapy”</w:t>
      </w:r>
      <w:r w:rsidRPr="00A92995">
        <w:rPr>
          <w:i/>
          <w:sz w:val="18"/>
          <w:szCs w:val="18"/>
        </w:rPr>
        <w:t xml:space="preserve">, </w:t>
      </w:r>
      <w:r w:rsidRPr="00A92995">
        <w:rPr>
          <w:sz w:val="18"/>
          <w:szCs w:val="18"/>
        </w:rPr>
        <w:t xml:space="preserve">in </w:t>
      </w:r>
      <w:r w:rsidRPr="00A92995">
        <w:rPr>
          <w:i/>
          <w:sz w:val="18"/>
          <w:szCs w:val="18"/>
        </w:rPr>
        <w:t>Applied Ethics in Mental Health Care</w:t>
      </w:r>
      <w:r w:rsidRPr="00A92995">
        <w:rPr>
          <w:sz w:val="18"/>
          <w:szCs w:val="18"/>
        </w:rPr>
        <w:t>, Massachusetts Institute of Technology (2013), p</w:t>
      </w:r>
      <w:r>
        <w:rPr>
          <w:sz w:val="18"/>
          <w:szCs w:val="18"/>
        </w:rPr>
        <w:t>.</w:t>
      </w:r>
      <w:r w:rsidRPr="00A92995">
        <w:rPr>
          <w:sz w:val="18"/>
          <w:szCs w:val="18"/>
        </w:rPr>
        <w:t xml:space="preserve"> 42. </w:t>
      </w:r>
    </w:p>
  </w:footnote>
  <w:footnote w:id="8">
    <w:p w14:paraId="28F96F46" w14:textId="000AEA6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96.</w:t>
      </w:r>
    </w:p>
  </w:footnote>
  <w:footnote w:id="9">
    <w:p w14:paraId="042E89E7" w14:textId="3DCE1D5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94.</w:t>
      </w:r>
    </w:p>
  </w:footnote>
  <w:footnote w:id="10">
    <w:p w14:paraId="086D229C" w14:textId="77777777" w:rsidR="00A63D1C" w:rsidRPr="00A92995" w:rsidRDefault="00A63D1C" w:rsidP="00AB73E0">
      <w:pPr>
        <w:ind w:right="-340"/>
        <w:rPr>
          <w:sz w:val="18"/>
          <w:szCs w:val="18"/>
        </w:rPr>
      </w:pPr>
      <w:r w:rsidRPr="00A92995">
        <w:rPr>
          <w:rStyle w:val="FootnoteReference"/>
          <w:szCs w:val="18"/>
        </w:rPr>
        <w:footnoteRef/>
      </w:r>
      <w:r w:rsidRPr="00A92995">
        <w:rPr>
          <w:sz w:val="18"/>
          <w:szCs w:val="18"/>
        </w:rPr>
        <w:t xml:space="preserve"> This is understood in psychotherapy as the phenomenon of transference wherein patients redirect their feelings onto the therapist; and countertransference, the tendency of the therapist to transmit their emotions and values into the therapeutic encounter, if not directly onto the patient. While these phenomena are most evident in psychotherapeutic treatment, other medical professions are not immune to their inevitability. In either case, both parties inevitably bring their own values, needs, wishes and priorities to the clinical encounter, the authority of the physician cannot be underestimated.</w:t>
      </w:r>
    </w:p>
  </w:footnote>
  <w:footnote w:id="11">
    <w:p w14:paraId="5DD57D48" w14:textId="4E33E1D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G. Szmukler, 2005, p</w:t>
      </w:r>
      <w:r>
        <w:rPr>
          <w:sz w:val="18"/>
          <w:szCs w:val="18"/>
        </w:rPr>
        <w:t xml:space="preserve">. </w:t>
      </w:r>
      <w:r w:rsidRPr="00A92995">
        <w:rPr>
          <w:sz w:val="18"/>
          <w:szCs w:val="18"/>
        </w:rPr>
        <w:t>458.</w:t>
      </w:r>
    </w:p>
  </w:footnote>
  <w:footnote w:id="12">
    <w:p w14:paraId="62341F5A" w14:textId="376C2B68" w:rsidR="00A63D1C" w:rsidRPr="00A92995" w:rsidRDefault="00A63D1C" w:rsidP="009B012B">
      <w:pPr>
        <w:pStyle w:val="FootnoteText"/>
        <w:rPr>
          <w:b/>
          <w:sz w:val="18"/>
          <w:szCs w:val="18"/>
        </w:rPr>
      </w:pPr>
      <w:r w:rsidRPr="00A92995">
        <w:rPr>
          <w:rStyle w:val="FootnoteReference"/>
          <w:b/>
          <w:szCs w:val="18"/>
        </w:rPr>
        <w:footnoteRef/>
      </w:r>
      <w:r w:rsidRPr="00A92995">
        <w:rPr>
          <w:b/>
          <w:sz w:val="18"/>
          <w:szCs w:val="18"/>
        </w:rPr>
        <w:t xml:space="preserve"> </w:t>
      </w:r>
      <w:r w:rsidRPr="00A92995">
        <w:rPr>
          <w:sz w:val="18"/>
          <w:szCs w:val="18"/>
        </w:rPr>
        <w:t>T. B. Karasu, 2013, p</w:t>
      </w:r>
      <w:r>
        <w:rPr>
          <w:sz w:val="18"/>
          <w:szCs w:val="18"/>
        </w:rPr>
        <w:t>.</w:t>
      </w:r>
      <w:r w:rsidRPr="00A92995">
        <w:rPr>
          <w:sz w:val="18"/>
          <w:szCs w:val="18"/>
        </w:rPr>
        <w:t xml:space="preserve"> 42.</w:t>
      </w:r>
    </w:p>
  </w:footnote>
  <w:footnote w:id="13">
    <w:p w14:paraId="04A3A4A1" w14:textId="72AE1D5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49.</w:t>
      </w:r>
    </w:p>
  </w:footnote>
  <w:footnote w:id="14">
    <w:p w14:paraId="14EF5B4E" w14:textId="1CA88AD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2.</w:t>
      </w:r>
    </w:p>
  </w:footnote>
  <w:footnote w:id="15">
    <w:p w14:paraId="3D8E7642" w14:textId="08E42EA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 Campbell, </w:t>
      </w:r>
      <w:r w:rsidRPr="00A92995">
        <w:rPr>
          <w:i/>
          <w:sz w:val="18"/>
          <w:szCs w:val="18"/>
        </w:rPr>
        <w:t xml:space="preserve">Bioethics: The Basics, </w:t>
      </w:r>
      <w:r w:rsidRPr="00A92995">
        <w:rPr>
          <w:sz w:val="18"/>
          <w:szCs w:val="18"/>
        </w:rPr>
        <w:t>Routledge (2013), p</w:t>
      </w:r>
      <w:r>
        <w:rPr>
          <w:sz w:val="18"/>
          <w:szCs w:val="18"/>
        </w:rPr>
        <w:t>.</w:t>
      </w:r>
      <w:r w:rsidRPr="00A92995">
        <w:rPr>
          <w:sz w:val="18"/>
          <w:szCs w:val="18"/>
        </w:rPr>
        <w:t xml:space="preserve"> 84.</w:t>
      </w:r>
    </w:p>
  </w:footnote>
  <w:footnote w:id="16">
    <w:p w14:paraId="1D5BA14A" w14:textId="34DEABD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 Campbell, 2013, p</w:t>
      </w:r>
      <w:r>
        <w:rPr>
          <w:sz w:val="18"/>
          <w:szCs w:val="18"/>
        </w:rPr>
        <w:t>.</w:t>
      </w:r>
      <w:r w:rsidRPr="00A92995">
        <w:rPr>
          <w:sz w:val="18"/>
          <w:szCs w:val="18"/>
        </w:rPr>
        <w:t xml:space="preserve"> 84.</w:t>
      </w:r>
    </w:p>
  </w:footnote>
  <w:footnote w:id="17">
    <w:p w14:paraId="5F474928" w14:textId="471895C8"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w:t>
      </w:r>
      <w:r w:rsidRPr="00A92995">
        <w:rPr>
          <w:i/>
          <w:sz w:val="18"/>
          <w:szCs w:val="18"/>
        </w:rPr>
        <w:t xml:space="preserve">Physician, and Patient: Respect for Mutuality, </w:t>
      </w:r>
      <w:r w:rsidRPr="00A92995">
        <w:rPr>
          <w:sz w:val="18"/>
          <w:szCs w:val="18"/>
        </w:rPr>
        <w:t>in Theoretical Medicine 5 (1984), D. Riedell Publishing Company, p</w:t>
      </w:r>
      <w:r>
        <w:rPr>
          <w:sz w:val="18"/>
          <w:szCs w:val="18"/>
        </w:rPr>
        <w:t xml:space="preserve">. </w:t>
      </w:r>
      <w:r w:rsidRPr="00A92995">
        <w:rPr>
          <w:sz w:val="18"/>
          <w:szCs w:val="18"/>
        </w:rPr>
        <w:t>43.</w:t>
      </w:r>
    </w:p>
  </w:footnote>
  <w:footnote w:id="18">
    <w:p w14:paraId="4CCE62FD" w14:textId="69EDB5B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1984, p. 44.</w:t>
      </w:r>
    </w:p>
  </w:footnote>
  <w:footnote w:id="19">
    <w:p w14:paraId="24B86D7C" w14:textId="35EBA883"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What we will later refer to as Relational Autonomy.</w:t>
      </w:r>
    </w:p>
  </w:footnote>
  <w:footnote w:id="20">
    <w:p w14:paraId="524D0543" w14:textId="22C0EE5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1984, p. 45.</w:t>
      </w:r>
    </w:p>
  </w:footnote>
  <w:footnote w:id="21">
    <w:p w14:paraId="6FCFC5A9" w14:textId="5E832BE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1984, p. 45.</w:t>
      </w:r>
    </w:p>
  </w:footnote>
  <w:footnote w:id="22">
    <w:p w14:paraId="10DEDAEF" w14:textId="6939447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1984, p. 46.</w:t>
      </w:r>
    </w:p>
  </w:footnote>
  <w:footnote w:id="23">
    <w:p w14:paraId="5081C416" w14:textId="153705E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A92995">
        <w:rPr>
          <w:i/>
          <w:sz w:val="18"/>
          <w:szCs w:val="18"/>
        </w:rPr>
        <w:t>Ibid</w:t>
      </w:r>
      <w:r w:rsidRPr="00A92995">
        <w:rPr>
          <w:sz w:val="18"/>
          <w:szCs w:val="18"/>
        </w:rPr>
        <w:t>, 1984, p</w:t>
      </w:r>
      <w:r>
        <w:rPr>
          <w:sz w:val="18"/>
          <w:szCs w:val="18"/>
        </w:rPr>
        <w:t>.</w:t>
      </w:r>
      <w:r w:rsidRPr="00A92995">
        <w:rPr>
          <w:sz w:val="18"/>
          <w:szCs w:val="18"/>
        </w:rPr>
        <w:t xml:space="preserve"> 49.</w:t>
      </w:r>
    </w:p>
  </w:footnote>
  <w:footnote w:id="24">
    <w:p w14:paraId="1D4C61DA" w14:textId="7AEB40F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A92995">
        <w:rPr>
          <w:i/>
          <w:sz w:val="18"/>
          <w:szCs w:val="18"/>
        </w:rPr>
        <w:t>Ibid</w:t>
      </w:r>
      <w:r w:rsidRPr="00A92995">
        <w:rPr>
          <w:sz w:val="18"/>
          <w:szCs w:val="18"/>
        </w:rPr>
        <w:t>, 1984, p</w:t>
      </w:r>
      <w:r>
        <w:rPr>
          <w:sz w:val="18"/>
          <w:szCs w:val="18"/>
        </w:rPr>
        <w:t>.</w:t>
      </w:r>
      <w:r w:rsidRPr="00A92995">
        <w:rPr>
          <w:sz w:val="18"/>
          <w:szCs w:val="18"/>
        </w:rPr>
        <w:t xml:space="preserve"> 50.</w:t>
      </w:r>
    </w:p>
  </w:footnote>
  <w:footnote w:id="25">
    <w:p w14:paraId="1652A437" w14:textId="24883BC3"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D.G Smith and L Newton, 1984, p</w:t>
      </w:r>
      <w:r>
        <w:rPr>
          <w:sz w:val="18"/>
          <w:szCs w:val="18"/>
        </w:rPr>
        <w:t>.</w:t>
      </w:r>
      <w:r w:rsidRPr="00A92995">
        <w:rPr>
          <w:sz w:val="18"/>
          <w:szCs w:val="18"/>
        </w:rPr>
        <w:t xml:space="preserve"> 53.</w:t>
      </w:r>
    </w:p>
  </w:footnote>
  <w:footnote w:id="26">
    <w:p w14:paraId="7B729869" w14:textId="196979B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J. Katz, 1984, p</w:t>
      </w:r>
      <w:r>
        <w:rPr>
          <w:sz w:val="18"/>
          <w:szCs w:val="18"/>
        </w:rPr>
        <w:t>.</w:t>
      </w:r>
      <w:r w:rsidRPr="00A92995">
        <w:rPr>
          <w:sz w:val="18"/>
          <w:szCs w:val="18"/>
        </w:rPr>
        <w:t xml:space="preserve"> 26.</w:t>
      </w:r>
    </w:p>
  </w:footnote>
  <w:footnote w:id="27">
    <w:p w14:paraId="764DEA74" w14:textId="54753196"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A92995">
        <w:rPr>
          <w:i/>
          <w:sz w:val="18"/>
          <w:szCs w:val="18"/>
        </w:rPr>
        <w:t>Psychiatric Ethics</w:t>
      </w:r>
      <w:r w:rsidRPr="00A92995">
        <w:rPr>
          <w:sz w:val="18"/>
          <w:szCs w:val="18"/>
        </w:rPr>
        <w:t>, Appendix. The Declaration of Madrid p</w:t>
      </w:r>
      <w:r>
        <w:rPr>
          <w:sz w:val="18"/>
          <w:szCs w:val="18"/>
        </w:rPr>
        <w:t>.</w:t>
      </w:r>
      <w:r w:rsidRPr="00A92995">
        <w:rPr>
          <w:sz w:val="18"/>
          <w:szCs w:val="18"/>
        </w:rPr>
        <w:t xml:space="preserve"> 519 (most recently amended on August 26</w:t>
      </w:r>
      <w:r w:rsidRPr="00A92995">
        <w:rPr>
          <w:sz w:val="18"/>
          <w:szCs w:val="18"/>
          <w:vertAlign w:val="superscript"/>
        </w:rPr>
        <w:t>th</w:t>
      </w:r>
      <w:r w:rsidRPr="00A92995">
        <w:rPr>
          <w:sz w:val="18"/>
          <w:szCs w:val="18"/>
        </w:rPr>
        <w:t>, 2002).</w:t>
      </w:r>
    </w:p>
  </w:footnote>
  <w:footnote w:id="28">
    <w:p w14:paraId="26285D27" w14:textId="1F5BE5A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D.F </w:t>
      </w:r>
      <w:proofErr w:type="spellStart"/>
      <w:r w:rsidRPr="00A92995">
        <w:rPr>
          <w:sz w:val="18"/>
          <w:szCs w:val="18"/>
        </w:rPr>
        <w:t>Musto</w:t>
      </w:r>
      <w:proofErr w:type="spellEnd"/>
      <w:r w:rsidRPr="00A92995">
        <w:rPr>
          <w:sz w:val="18"/>
          <w:szCs w:val="18"/>
        </w:rPr>
        <w:t xml:space="preserve">, </w:t>
      </w:r>
      <w:r w:rsidRPr="00A92995">
        <w:rPr>
          <w:i/>
          <w:sz w:val="18"/>
          <w:szCs w:val="18"/>
        </w:rPr>
        <w:t xml:space="preserve">A </w:t>
      </w:r>
      <w:r>
        <w:rPr>
          <w:i/>
          <w:sz w:val="18"/>
          <w:szCs w:val="18"/>
        </w:rPr>
        <w:t>H</w:t>
      </w:r>
      <w:r w:rsidRPr="00A92995">
        <w:rPr>
          <w:i/>
          <w:sz w:val="18"/>
          <w:szCs w:val="18"/>
        </w:rPr>
        <w:t xml:space="preserve">istorical </w:t>
      </w:r>
      <w:r>
        <w:rPr>
          <w:i/>
          <w:sz w:val="18"/>
          <w:szCs w:val="18"/>
        </w:rPr>
        <w:t>P</w:t>
      </w:r>
      <w:r w:rsidRPr="00A92995">
        <w:rPr>
          <w:i/>
          <w:sz w:val="18"/>
          <w:szCs w:val="18"/>
        </w:rPr>
        <w:t>erspective</w:t>
      </w:r>
      <w:r>
        <w:rPr>
          <w:sz w:val="18"/>
          <w:szCs w:val="18"/>
        </w:rPr>
        <w:t xml:space="preserve">, </w:t>
      </w:r>
      <w:r w:rsidRPr="00A92995">
        <w:rPr>
          <w:sz w:val="18"/>
          <w:szCs w:val="18"/>
        </w:rPr>
        <w:t>in Psychiatric Ethics (2009), p</w:t>
      </w:r>
      <w:r>
        <w:rPr>
          <w:sz w:val="18"/>
          <w:szCs w:val="18"/>
        </w:rPr>
        <w:t>.</w:t>
      </w:r>
      <w:r w:rsidRPr="00A92995">
        <w:rPr>
          <w:sz w:val="18"/>
          <w:szCs w:val="18"/>
        </w:rPr>
        <w:t xml:space="preserve"> 22.</w:t>
      </w:r>
    </w:p>
  </w:footnote>
  <w:footnote w:id="29">
    <w:p w14:paraId="25693BB9" w14:textId="08628A23" w:rsidR="00A63D1C" w:rsidRPr="00A92995" w:rsidRDefault="00A63D1C" w:rsidP="002B6031">
      <w:pPr>
        <w:ind w:right="-340"/>
        <w:rPr>
          <w:sz w:val="18"/>
          <w:szCs w:val="18"/>
        </w:rPr>
      </w:pPr>
      <w:r w:rsidRPr="00A92995">
        <w:rPr>
          <w:rStyle w:val="FootnoteReference"/>
          <w:szCs w:val="18"/>
        </w:rPr>
        <w:footnoteRef/>
      </w:r>
      <w:r w:rsidRPr="00A92995">
        <w:rPr>
          <w:sz w:val="18"/>
          <w:szCs w:val="18"/>
        </w:rPr>
        <w:t xml:space="preserve"> For instance: delusions of grandeur, elevated energy, and a diminished need for sleep are some examples of symptoms that undermine the patient’s autonomy in some way. Delusions are psychotic symptoms, energy levels are associated with mood, and sleep hygiene is a somatic concern. Evaluating these symptoms together, the severity of each and their relation to one another; the degree of control – if any – a patient has over any of these symptoms; provides the psychiatrist with relevant information for diagnosis.</w:t>
      </w:r>
    </w:p>
  </w:footnote>
  <w:footnote w:id="30">
    <w:p w14:paraId="2426CFA9" w14:textId="0E94A6E0" w:rsidR="00A63D1C" w:rsidRPr="00A92995" w:rsidRDefault="00A63D1C" w:rsidP="008203B8">
      <w:pPr>
        <w:pStyle w:val="HTMLPreformatted"/>
        <w:spacing w:before="150" w:after="150"/>
        <w:rPr>
          <w:rFonts w:ascii="Times New Roman" w:hAnsi="Times New Roman" w:cs="Times New Roman"/>
          <w:color w:val="333333"/>
          <w:sz w:val="18"/>
          <w:szCs w:val="18"/>
        </w:rPr>
      </w:pPr>
      <w:r w:rsidRPr="00A92995">
        <w:rPr>
          <w:rStyle w:val="FootnoteReference"/>
          <w:rFonts w:cs="Times New Roman"/>
          <w:szCs w:val="18"/>
        </w:rPr>
        <w:footnoteRef/>
      </w:r>
      <w:r w:rsidRPr="00A92995">
        <w:rPr>
          <w:rFonts w:ascii="Times New Roman" w:hAnsi="Times New Roman" w:cs="Times New Roman"/>
          <w:sz w:val="18"/>
          <w:szCs w:val="18"/>
        </w:rPr>
        <w:t xml:space="preserve"> American Psychiatric Association, </w:t>
      </w:r>
      <w:r w:rsidRPr="00A92995">
        <w:rPr>
          <w:rFonts w:ascii="Times New Roman" w:hAnsi="Times New Roman" w:cs="Times New Roman"/>
          <w:i/>
          <w:iCs/>
          <w:color w:val="333333"/>
          <w:sz w:val="18"/>
          <w:szCs w:val="18"/>
        </w:rPr>
        <w:t xml:space="preserve">Diagnostic and Statistical Manual of Mental Disorders </w:t>
      </w:r>
      <w:r w:rsidRPr="00A92995">
        <w:rPr>
          <w:rFonts w:ascii="Times New Roman" w:hAnsi="Times New Roman" w:cs="Times New Roman"/>
          <w:color w:val="333333"/>
          <w:sz w:val="18"/>
          <w:szCs w:val="18"/>
        </w:rPr>
        <w:t xml:space="preserve">(5th ed.; </w:t>
      </w:r>
      <w:r w:rsidRPr="00A92995">
        <w:rPr>
          <w:rFonts w:ascii="Times New Roman" w:hAnsi="Times New Roman" w:cs="Times New Roman"/>
          <w:i/>
          <w:iCs/>
          <w:color w:val="333333"/>
          <w:sz w:val="18"/>
          <w:szCs w:val="18"/>
        </w:rPr>
        <w:t>DSM–5</w:t>
      </w:r>
      <w:r w:rsidRPr="00A92995">
        <w:rPr>
          <w:rFonts w:ascii="Times New Roman" w:hAnsi="Times New Roman" w:cs="Times New Roman"/>
          <w:color w:val="333333"/>
          <w:sz w:val="18"/>
          <w:szCs w:val="18"/>
        </w:rPr>
        <w:t>; APA, 2013).</w:t>
      </w:r>
    </w:p>
  </w:footnote>
  <w:footnote w:id="31">
    <w:p w14:paraId="298C47E5" w14:textId="2DC8E20C" w:rsidR="00A63D1C" w:rsidRPr="00A92995" w:rsidRDefault="00A63D1C" w:rsidP="008203B8">
      <w:pPr>
        <w:pStyle w:val="ListParagraph"/>
        <w:ind w:left="0" w:right="-340"/>
        <w:outlineLvl w:val="0"/>
        <w:rPr>
          <w:rFonts w:ascii="Times New Roman" w:hAnsi="Times New Roman" w:cs="Times New Roman"/>
          <w:sz w:val="18"/>
          <w:szCs w:val="18"/>
          <w:u w:val="single"/>
        </w:rPr>
      </w:pPr>
      <w:r w:rsidRPr="00A92995">
        <w:rPr>
          <w:rStyle w:val="FootnoteReference"/>
          <w:rFonts w:cs="Times New Roman"/>
          <w:szCs w:val="18"/>
        </w:rPr>
        <w:footnoteRef/>
      </w:r>
      <w:r w:rsidRPr="00A92995">
        <w:rPr>
          <w:rFonts w:ascii="Times New Roman" w:hAnsi="Times New Roman" w:cs="Times New Roman"/>
          <w:sz w:val="18"/>
          <w:szCs w:val="18"/>
        </w:rPr>
        <w:t xml:space="preserve"> R.F. Krueger and S. </w:t>
      </w:r>
      <w:proofErr w:type="spellStart"/>
      <w:r w:rsidRPr="00A92995">
        <w:rPr>
          <w:rFonts w:ascii="Times New Roman" w:hAnsi="Times New Roman" w:cs="Times New Roman"/>
          <w:sz w:val="18"/>
          <w:szCs w:val="18"/>
        </w:rPr>
        <w:t>Bezdijan</w:t>
      </w:r>
      <w:proofErr w:type="spellEnd"/>
      <w:r w:rsidRPr="00A92995">
        <w:rPr>
          <w:rFonts w:ascii="Times New Roman" w:hAnsi="Times New Roman" w:cs="Times New Roman"/>
          <w:sz w:val="18"/>
          <w:szCs w:val="18"/>
        </w:rPr>
        <w:t xml:space="preserve"> in </w:t>
      </w:r>
      <w:r w:rsidRPr="00A92995">
        <w:rPr>
          <w:rFonts w:ascii="Times New Roman" w:hAnsi="Times New Roman" w:cs="Times New Roman"/>
          <w:i/>
          <w:sz w:val="18"/>
          <w:szCs w:val="18"/>
        </w:rPr>
        <w:t>Enhancing research and treatment of mental disorders with dimensional concepts: toward DSM-V and ICD-11.</w:t>
      </w:r>
    </w:p>
  </w:footnote>
  <w:footnote w:id="32">
    <w:p w14:paraId="05AEEF11" w14:textId="2ED9C8B3"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“Ongoing revisions of DSM-5 will make it a “living document”, adaptable to future discoveries in neurobiology, genetics, and epidemiology.” DSM V, p</w:t>
      </w:r>
      <w:r>
        <w:rPr>
          <w:sz w:val="18"/>
          <w:szCs w:val="18"/>
        </w:rPr>
        <w:t>.</w:t>
      </w:r>
      <w:r w:rsidRPr="00A92995">
        <w:rPr>
          <w:sz w:val="18"/>
          <w:szCs w:val="18"/>
        </w:rPr>
        <w:t xml:space="preserve"> 13.</w:t>
      </w:r>
    </w:p>
  </w:footnote>
  <w:footnote w:id="33">
    <w:p w14:paraId="23160E9C" w14:textId="73F53BF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DSM V, 2013, p</w:t>
      </w:r>
      <w:r>
        <w:rPr>
          <w:sz w:val="18"/>
          <w:szCs w:val="18"/>
        </w:rPr>
        <w:t>.</w:t>
      </w:r>
      <w:r w:rsidRPr="00A92995">
        <w:rPr>
          <w:sz w:val="18"/>
          <w:szCs w:val="18"/>
        </w:rPr>
        <w:t xml:space="preserve"> 20.</w:t>
      </w:r>
    </w:p>
  </w:footnote>
  <w:footnote w:id="34">
    <w:p w14:paraId="203B2953" w14:textId="7777777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D.H. Barlow and V.M. Durand (2009). </w:t>
      </w:r>
      <w:r w:rsidRPr="00A92995">
        <w:rPr>
          <w:i/>
          <w:sz w:val="18"/>
          <w:szCs w:val="18"/>
        </w:rPr>
        <w:t>Abnormal Psychology: An Integrative Approach</w:t>
      </w:r>
      <w:r w:rsidRPr="00A92995">
        <w:rPr>
          <w:sz w:val="18"/>
          <w:szCs w:val="18"/>
        </w:rPr>
        <w:t>: 5</w:t>
      </w:r>
      <w:r w:rsidRPr="00A92995">
        <w:rPr>
          <w:sz w:val="18"/>
          <w:szCs w:val="18"/>
          <w:vertAlign w:val="superscript"/>
        </w:rPr>
        <w:t>th</w:t>
      </w:r>
      <w:r w:rsidRPr="00A92995">
        <w:rPr>
          <w:sz w:val="18"/>
          <w:szCs w:val="18"/>
        </w:rPr>
        <w:t xml:space="preserve"> edition. Wadsworth, 2009.</w:t>
      </w:r>
    </w:p>
  </w:footnote>
  <w:footnote w:id="35">
    <w:p w14:paraId="18AD26E7" w14:textId="77777777" w:rsidR="00A63D1C" w:rsidRPr="00A92995" w:rsidRDefault="00A63D1C" w:rsidP="00AB73E0">
      <w:pPr>
        <w:rPr>
          <w:sz w:val="18"/>
          <w:szCs w:val="18"/>
        </w:rPr>
      </w:pPr>
      <w:r w:rsidRPr="00A92995">
        <w:rPr>
          <w:rStyle w:val="FootnoteReference"/>
          <w:szCs w:val="18"/>
        </w:rPr>
        <w:footnoteRef/>
      </w:r>
      <w:r w:rsidRPr="00A92995">
        <w:rPr>
          <w:sz w:val="18"/>
          <w:szCs w:val="18"/>
        </w:rPr>
        <w:t xml:space="preserve"> The latter is most notably used in cases of childhood and adolescence, but behavioral assessment in adults often takes the form of interviewing the patient’s family and friends about the patient’s atypical behavior. </w:t>
      </w:r>
    </w:p>
  </w:footnote>
  <w:footnote w:id="36">
    <w:p w14:paraId="45BA25EA" w14:textId="220B4542"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DSM V, 2013, p</w:t>
      </w:r>
      <w:r>
        <w:rPr>
          <w:sz w:val="18"/>
          <w:szCs w:val="18"/>
        </w:rPr>
        <w:t>.</w:t>
      </w:r>
      <w:r w:rsidRPr="00A92995">
        <w:rPr>
          <w:sz w:val="18"/>
          <w:szCs w:val="18"/>
        </w:rPr>
        <w:t xml:space="preserve"> 21.</w:t>
      </w:r>
    </w:p>
  </w:footnote>
  <w:footnote w:id="37">
    <w:p w14:paraId="114D4C1D" w14:textId="616AF804" w:rsidR="00A63D1C" w:rsidRPr="00A92995" w:rsidRDefault="00A63D1C" w:rsidP="00AB73E0">
      <w:pPr>
        <w:rPr>
          <w:rFonts w:eastAsia="Times New Roman"/>
          <w:sz w:val="18"/>
          <w:szCs w:val="18"/>
        </w:rPr>
      </w:pPr>
      <w:r w:rsidRPr="00A92995">
        <w:rPr>
          <w:rStyle w:val="FootnoteReference"/>
          <w:szCs w:val="18"/>
        </w:rPr>
        <w:footnoteRef/>
      </w:r>
      <w:r w:rsidRPr="00A92995">
        <w:rPr>
          <w:sz w:val="18"/>
          <w:szCs w:val="18"/>
        </w:rPr>
        <w:t xml:space="preserve"> J. Parnas,</w:t>
      </w:r>
      <w:r w:rsidRPr="00A92995">
        <w:rPr>
          <w:rFonts w:eastAsia="Times New Roman"/>
          <w:color w:val="333333"/>
          <w:sz w:val="18"/>
          <w:szCs w:val="18"/>
          <w:shd w:val="clear" w:color="auto" w:fill="FFFFFF"/>
        </w:rPr>
        <w:t xml:space="preserve"> “Differential diagnosis and current polythetic classification” in </w:t>
      </w:r>
      <w:r w:rsidRPr="00A92995">
        <w:rPr>
          <w:rFonts w:eastAsia="Times New Roman"/>
          <w:i/>
          <w:color w:val="333333"/>
          <w:sz w:val="18"/>
          <w:szCs w:val="18"/>
          <w:shd w:val="clear" w:color="auto" w:fill="FFFFFF"/>
        </w:rPr>
        <w:t>World Psychiatry</w:t>
      </w:r>
      <w:r w:rsidRPr="00A92995">
        <w:rPr>
          <w:rFonts w:eastAsia="Times New Roman"/>
          <w:color w:val="333333"/>
          <w:sz w:val="18"/>
          <w:szCs w:val="18"/>
          <w:shd w:val="clear" w:color="auto" w:fill="FFFFFF"/>
        </w:rPr>
        <w:t>,</w:t>
      </w:r>
      <w:r>
        <w:rPr>
          <w:rFonts w:eastAsia="Times New Roman"/>
          <w:color w:val="333333"/>
          <w:sz w:val="18"/>
          <w:szCs w:val="18"/>
          <w:shd w:val="clear" w:color="auto" w:fill="FFFFFF"/>
        </w:rPr>
        <w:t xml:space="preserve"> vol. </w:t>
      </w:r>
      <w:r w:rsidRPr="00A92995">
        <w:rPr>
          <w:rFonts w:eastAsia="Times New Roman"/>
          <w:color w:val="333333"/>
          <w:sz w:val="18"/>
          <w:szCs w:val="18"/>
          <w:shd w:val="clear" w:color="auto" w:fill="FFFFFF"/>
        </w:rPr>
        <w:t xml:space="preserve">14: </w:t>
      </w:r>
      <w:r>
        <w:rPr>
          <w:rFonts w:eastAsia="Times New Roman"/>
          <w:color w:val="333333"/>
          <w:sz w:val="18"/>
          <w:szCs w:val="18"/>
          <w:shd w:val="clear" w:color="auto" w:fill="FFFFFF"/>
        </w:rPr>
        <w:t xml:space="preserve">p. </w:t>
      </w:r>
      <w:r w:rsidRPr="00A92995">
        <w:rPr>
          <w:rFonts w:eastAsia="Times New Roman"/>
          <w:color w:val="333333"/>
          <w:sz w:val="18"/>
          <w:szCs w:val="18"/>
          <w:shd w:val="clear" w:color="auto" w:fill="FFFFFF"/>
        </w:rPr>
        <w:t>284–287. doi:10.1002/wps.20239.</w:t>
      </w:r>
      <w:r>
        <w:rPr>
          <w:rFonts w:eastAsia="Times New Roman"/>
          <w:color w:val="333333"/>
          <w:sz w:val="18"/>
          <w:szCs w:val="18"/>
          <w:shd w:val="clear" w:color="auto" w:fill="FFFFFF"/>
        </w:rPr>
        <w:t xml:space="preserve"> (2015)</w:t>
      </w:r>
    </w:p>
  </w:footnote>
  <w:footnote w:id="38">
    <w:p w14:paraId="5D6DC0A9" w14:textId="7257F3F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Pr>
          <w:i/>
          <w:sz w:val="18"/>
          <w:szCs w:val="18"/>
        </w:rPr>
        <w:t>Ibid</w:t>
      </w:r>
      <w:r w:rsidRPr="00A92995">
        <w:rPr>
          <w:sz w:val="18"/>
          <w:szCs w:val="18"/>
        </w:rPr>
        <w:t>.</w:t>
      </w:r>
    </w:p>
  </w:footnote>
  <w:footnote w:id="39">
    <w:p w14:paraId="56850236" w14:textId="074B985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8A701D">
        <w:rPr>
          <w:i/>
          <w:sz w:val="18"/>
          <w:szCs w:val="18"/>
        </w:rPr>
        <w:t>Ibid</w:t>
      </w:r>
      <w:r w:rsidRPr="00A92995">
        <w:rPr>
          <w:sz w:val="18"/>
          <w:szCs w:val="18"/>
        </w:rPr>
        <w:t>.</w:t>
      </w:r>
    </w:p>
  </w:footnote>
  <w:footnote w:id="40">
    <w:p w14:paraId="47B2C442" w14:textId="3B12455B"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“Self-Insight in the Time of Mood Disorders: After the Diagnosis, Beyond the Treatment”, in </w:t>
      </w:r>
      <w:r w:rsidRPr="00A92995">
        <w:rPr>
          <w:i/>
          <w:sz w:val="18"/>
          <w:szCs w:val="18"/>
        </w:rPr>
        <w:t>Philosophy, Psychology and Psychiatry</w:t>
      </w:r>
      <w:r w:rsidRPr="00A92995">
        <w:rPr>
          <w:sz w:val="18"/>
          <w:szCs w:val="18"/>
        </w:rPr>
        <w:t xml:space="preserve"> Vol. 21, No. 2, June 2014, p</w:t>
      </w:r>
      <w:r>
        <w:rPr>
          <w:sz w:val="18"/>
          <w:szCs w:val="18"/>
        </w:rPr>
        <w:t>.</w:t>
      </w:r>
      <w:r w:rsidRPr="00A92995">
        <w:rPr>
          <w:sz w:val="18"/>
          <w:szCs w:val="18"/>
        </w:rPr>
        <w:t xml:space="preserve"> 142.</w:t>
      </w:r>
    </w:p>
  </w:footnote>
  <w:footnote w:id="41">
    <w:p w14:paraId="301FEE5F" w14:textId="58D15934"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See J. Z. Sadler, 2005. </w:t>
      </w:r>
      <w:r w:rsidRPr="00A92995">
        <w:rPr>
          <w:i/>
          <w:sz w:val="18"/>
          <w:szCs w:val="18"/>
        </w:rPr>
        <w:t xml:space="preserve">Values and Psychiatric Diagnosis. </w:t>
      </w:r>
      <w:r w:rsidRPr="00A92995">
        <w:rPr>
          <w:sz w:val="18"/>
          <w:szCs w:val="18"/>
        </w:rPr>
        <w:t xml:space="preserve">Oxford: Oxford University Press. </w:t>
      </w:r>
      <w:r>
        <w:rPr>
          <w:sz w:val="18"/>
          <w:szCs w:val="18"/>
        </w:rPr>
        <w:t>p.</w:t>
      </w:r>
      <w:r w:rsidRPr="00A92995">
        <w:rPr>
          <w:sz w:val="18"/>
          <w:szCs w:val="18"/>
        </w:rPr>
        <w:t xml:space="preserve"> 177. </w:t>
      </w:r>
    </w:p>
  </w:footnote>
  <w:footnote w:id="42">
    <w:p w14:paraId="5408768C" w14:textId="4C3D49F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143.</w:t>
      </w:r>
    </w:p>
  </w:footnote>
  <w:footnote w:id="43">
    <w:p w14:paraId="63B8B000" w14:textId="4C38A4B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Pr>
          <w:i/>
          <w:sz w:val="18"/>
          <w:szCs w:val="18"/>
        </w:rPr>
        <w:t>Ibid.</w:t>
      </w:r>
      <w:r w:rsidRPr="00A92995">
        <w:rPr>
          <w:sz w:val="18"/>
          <w:szCs w:val="18"/>
        </w:rPr>
        <w:t xml:space="preserve"> </w:t>
      </w:r>
    </w:p>
    <w:p w14:paraId="3F44D35B" w14:textId="6BE61DD7" w:rsidR="00A63D1C" w:rsidRPr="00A92995" w:rsidRDefault="00A63D1C" w:rsidP="009B012B">
      <w:pPr>
        <w:pStyle w:val="FootnoteText"/>
        <w:rPr>
          <w:sz w:val="18"/>
          <w:szCs w:val="18"/>
        </w:rPr>
      </w:pPr>
      <w:r w:rsidRPr="00A92995">
        <w:rPr>
          <w:sz w:val="18"/>
          <w:szCs w:val="18"/>
        </w:rPr>
        <w:t>It should be made clear that the argument here is not one against psychiatrists who utilize the DSM as a diagnostic tool, the DSM as a medical resource, or psychiatry as a medical discipline. Rather, what needs to be underscored is that the tendency to treat mental illnesses as distilled lists of symptoms is a dangerous result of the descriptive nature of the DSM and its symptoms-based approach. This danger is not limited to the clinical encounter, because DSM knowledge is widely available and accessible across a range of media. Tekin refers to the ‘DSM-culture’ wherein DSM-knowledge is disseminated throughout various media such as television, film, internet sources, self-help books, drug companies, formal education and health care institutions.</w:t>
      </w:r>
      <w:r w:rsidRPr="00A92995">
        <w:rPr>
          <w:rStyle w:val="FootnoteReference"/>
          <w:szCs w:val="18"/>
        </w:rPr>
        <w:t xml:space="preserve"> </w:t>
      </w:r>
      <w:r w:rsidRPr="00A92995">
        <w:rPr>
          <w:sz w:val="18"/>
          <w:szCs w:val="18"/>
        </w:rPr>
        <w:t>Having been distributed widely via articles and blogs, diluted by non-medical opinions and inaccurate film portrayals, one unfortunate result is that “mental disorders are generally considered a list of symptoms running their course almost independent of the contingencies of the patient’s life.” For a patient to view herself through this perspective once receiving a diagnosis of mental illness would leave her with a diminished degree of self-insight and thus a diminished degree of autonomy.</w:t>
      </w:r>
    </w:p>
  </w:footnote>
  <w:footnote w:id="44">
    <w:p w14:paraId="279C78A8" w14:textId="2354BE80" w:rsidR="00A63D1C" w:rsidRPr="00A92995" w:rsidRDefault="00A63D1C" w:rsidP="00297253">
      <w:pPr>
        <w:spacing w:before="100" w:beforeAutospacing="1" w:after="120"/>
        <w:rPr>
          <w:rFonts w:eastAsia="Times New Roman"/>
          <w:color w:val="1A1A1A"/>
          <w:sz w:val="18"/>
          <w:szCs w:val="18"/>
        </w:rPr>
      </w:pPr>
      <w:r w:rsidRPr="00A92995">
        <w:rPr>
          <w:rStyle w:val="FootnoteReference"/>
          <w:szCs w:val="18"/>
        </w:rPr>
        <w:footnoteRef/>
      </w:r>
      <w:r w:rsidRPr="00A92995">
        <w:rPr>
          <w:sz w:val="18"/>
          <w:szCs w:val="18"/>
        </w:rPr>
        <w:t xml:space="preserve"> Kant, I. </w:t>
      </w:r>
      <w:r w:rsidRPr="00A92995">
        <w:rPr>
          <w:i/>
          <w:sz w:val="18"/>
          <w:szCs w:val="18"/>
        </w:rPr>
        <w:t xml:space="preserve">Groundwork of Metaphysics of Morals, </w:t>
      </w:r>
      <w:r w:rsidRPr="00A92995">
        <w:rPr>
          <w:sz w:val="18"/>
          <w:szCs w:val="18"/>
        </w:rPr>
        <w:t xml:space="preserve">trans. </w:t>
      </w:r>
      <w:r w:rsidRPr="00A92995">
        <w:rPr>
          <w:rFonts w:eastAsia="Times New Roman"/>
          <w:color w:val="1A1A1A"/>
          <w:sz w:val="18"/>
          <w:szCs w:val="18"/>
        </w:rPr>
        <w:t>Denis, Lara, 2005,</w:t>
      </w:r>
      <w:r w:rsidRPr="00A92995">
        <w:rPr>
          <w:rStyle w:val="apple-converted-space"/>
          <w:rFonts w:eastAsia="Times New Roman"/>
          <w:color w:val="1A1A1A"/>
          <w:sz w:val="18"/>
          <w:szCs w:val="18"/>
        </w:rPr>
        <w:t> </w:t>
      </w:r>
      <w:r w:rsidRPr="00A92995">
        <w:rPr>
          <w:rStyle w:val="Emphasis"/>
          <w:rFonts w:eastAsia="Times New Roman"/>
          <w:color w:val="1A1A1A"/>
          <w:sz w:val="18"/>
          <w:szCs w:val="18"/>
        </w:rPr>
        <w:t>Groundwork for the Metaphysics of Morals</w:t>
      </w:r>
      <w:r w:rsidRPr="00A92995">
        <w:rPr>
          <w:rFonts w:eastAsia="Times New Roman"/>
          <w:color w:val="1A1A1A"/>
          <w:sz w:val="18"/>
          <w:szCs w:val="18"/>
        </w:rPr>
        <w:t xml:space="preserve">, Peterborough, Ontario: Broadview Press. See also </w:t>
      </w:r>
      <w:proofErr w:type="spellStart"/>
      <w:r w:rsidRPr="00A92995">
        <w:rPr>
          <w:rFonts w:eastAsia="Times New Roman"/>
          <w:color w:val="1A1A1A"/>
          <w:sz w:val="18"/>
          <w:szCs w:val="18"/>
        </w:rPr>
        <w:t>Timmermann</w:t>
      </w:r>
      <w:proofErr w:type="spellEnd"/>
      <w:r w:rsidRPr="00A92995">
        <w:rPr>
          <w:rFonts w:eastAsia="Times New Roman"/>
          <w:color w:val="1A1A1A"/>
          <w:sz w:val="18"/>
          <w:szCs w:val="18"/>
        </w:rPr>
        <w:t>, Jens, 2007, </w:t>
      </w:r>
      <w:r w:rsidRPr="00A92995">
        <w:rPr>
          <w:rFonts w:eastAsia="Times New Roman"/>
          <w:i/>
          <w:iCs/>
          <w:color w:val="1A1A1A"/>
          <w:sz w:val="18"/>
          <w:szCs w:val="18"/>
        </w:rPr>
        <w:t>Kant’s Groundwork of the Metaphysics of Morals: A Commentary</w:t>
      </w:r>
      <w:r w:rsidRPr="00A92995">
        <w:rPr>
          <w:rFonts w:eastAsia="Times New Roman"/>
          <w:color w:val="1A1A1A"/>
          <w:sz w:val="18"/>
          <w:szCs w:val="18"/>
        </w:rPr>
        <w:t>, Cambridge: Cambridge University Press.</w:t>
      </w:r>
    </w:p>
  </w:footnote>
  <w:footnote w:id="45">
    <w:p w14:paraId="4B3249CC" w14:textId="0C6E420C" w:rsidR="00A63D1C" w:rsidRPr="00A92995" w:rsidRDefault="00A63D1C" w:rsidP="00297253">
      <w:pPr>
        <w:rPr>
          <w:rFonts w:eastAsia="Times New Roman"/>
          <w:sz w:val="18"/>
          <w:szCs w:val="18"/>
        </w:rPr>
      </w:pPr>
      <w:r w:rsidRPr="00A92995">
        <w:rPr>
          <w:rStyle w:val="FootnoteReference"/>
          <w:szCs w:val="18"/>
        </w:rPr>
        <w:footnoteRef/>
      </w:r>
      <w:r w:rsidRPr="00A92995">
        <w:rPr>
          <w:sz w:val="18"/>
          <w:szCs w:val="18"/>
        </w:rPr>
        <w:t xml:space="preserve"> </w:t>
      </w:r>
      <w:r w:rsidRPr="00A92995">
        <w:rPr>
          <w:rFonts w:eastAsia="Times New Roman"/>
          <w:color w:val="1A1A1A"/>
          <w:sz w:val="18"/>
          <w:szCs w:val="18"/>
        </w:rPr>
        <w:t>Christman, John, "Autonomy in Moral and Political Philosophy", </w:t>
      </w:r>
      <w:r w:rsidRPr="00A92995">
        <w:rPr>
          <w:rFonts w:eastAsia="Times New Roman"/>
          <w:i/>
          <w:iCs/>
          <w:color w:val="1A1A1A"/>
          <w:sz w:val="18"/>
          <w:szCs w:val="18"/>
        </w:rPr>
        <w:t xml:space="preserve">The Stanford Encyclopedia of Philosophy, </w:t>
      </w:r>
      <w:r w:rsidRPr="00A92995">
        <w:rPr>
          <w:rFonts w:eastAsia="Times New Roman"/>
          <w:iCs/>
          <w:color w:val="1A1A1A"/>
          <w:sz w:val="18"/>
          <w:szCs w:val="18"/>
        </w:rPr>
        <w:t>§3.5</w:t>
      </w:r>
      <w:r w:rsidRPr="00A92995">
        <w:rPr>
          <w:rFonts w:eastAsia="Times New Roman"/>
          <w:i/>
          <w:iCs/>
          <w:color w:val="1A1A1A"/>
          <w:sz w:val="18"/>
          <w:szCs w:val="18"/>
        </w:rPr>
        <w:t> </w:t>
      </w:r>
      <w:r w:rsidRPr="00A92995">
        <w:rPr>
          <w:rFonts w:eastAsia="Times New Roman"/>
          <w:color w:val="1A1A1A"/>
          <w:sz w:val="18"/>
          <w:szCs w:val="18"/>
        </w:rPr>
        <w:t xml:space="preserve">(Spring 2015 Edition), Edward N. </w:t>
      </w:r>
      <w:proofErr w:type="spellStart"/>
      <w:r w:rsidRPr="00A92995">
        <w:rPr>
          <w:rFonts w:eastAsia="Times New Roman"/>
          <w:color w:val="1A1A1A"/>
          <w:sz w:val="18"/>
          <w:szCs w:val="18"/>
        </w:rPr>
        <w:t>Zalta</w:t>
      </w:r>
      <w:proofErr w:type="spellEnd"/>
      <w:r w:rsidRPr="00A92995">
        <w:rPr>
          <w:rFonts w:eastAsia="Times New Roman"/>
          <w:color w:val="1A1A1A"/>
          <w:sz w:val="18"/>
          <w:szCs w:val="18"/>
        </w:rPr>
        <w:t> (ed.), URL = &lt;https://plato.stanford.edu/archives/spr2015/entries/autonomy-moral/&gt;.</w:t>
      </w:r>
      <w:r w:rsidRPr="00A92995">
        <w:rPr>
          <w:rFonts w:eastAsia="Times New Roman"/>
          <w:sz w:val="18"/>
          <w:szCs w:val="18"/>
        </w:rPr>
        <w:t xml:space="preserve"> Quoting: </w:t>
      </w:r>
      <w:r w:rsidRPr="00A92995">
        <w:rPr>
          <w:sz w:val="18"/>
          <w:szCs w:val="18"/>
        </w:rPr>
        <w:t>J. Rawls,</w:t>
      </w:r>
      <w:r w:rsidRPr="00A92995">
        <w:rPr>
          <w:rFonts w:eastAsia="Times New Roman"/>
          <w:color w:val="1A1A1A"/>
          <w:sz w:val="18"/>
          <w:szCs w:val="18"/>
        </w:rPr>
        <w:t> </w:t>
      </w:r>
      <w:r w:rsidRPr="00A92995">
        <w:rPr>
          <w:rFonts w:eastAsia="Times New Roman"/>
          <w:i/>
          <w:iCs/>
          <w:color w:val="1A1A1A"/>
          <w:sz w:val="18"/>
          <w:szCs w:val="18"/>
        </w:rPr>
        <w:t xml:space="preserve">A Theory of Justice </w:t>
      </w:r>
      <w:r w:rsidRPr="00A92995">
        <w:rPr>
          <w:rFonts w:eastAsia="Times New Roman"/>
          <w:iCs/>
          <w:color w:val="1A1A1A"/>
          <w:sz w:val="18"/>
          <w:szCs w:val="18"/>
        </w:rPr>
        <w:t>(1971)</w:t>
      </w:r>
      <w:r w:rsidRPr="00A92995">
        <w:rPr>
          <w:rFonts w:eastAsia="Times New Roman"/>
          <w:color w:val="1A1A1A"/>
          <w:sz w:val="18"/>
          <w:szCs w:val="18"/>
        </w:rPr>
        <w:t xml:space="preserve">, Revised edition (1999) Cambridge, MA: Harvard University Press. </w:t>
      </w:r>
    </w:p>
  </w:footnote>
  <w:footnote w:id="46">
    <w:p w14:paraId="6345EE8D" w14:textId="6C3C6587" w:rsidR="00A63D1C" w:rsidRPr="00A92995" w:rsidRDefault="00A63D1C" w:rsidP="00AB73E0">
      <w:pPr>
        <w:rPr>
          <w:rFonts w:eastAsia="Times New Roman"/>
          <w:sz w:val="18"/>
          <w:szCs w:val="18"/>
        </w:rPr>
      </w:pPr>
      <w:r w:rsidRPr="00A92995">
        <w:rPr>
          <w:rStyle w:val="FootnoteReference"/>
          <w:szCs w:val="18"/>
        </w:rPr>
        <w:footnoteRef/>
      </w:r>
      <w:r w:rsidRPr="00A92995">
        <w:rPr>
          <w:sz w:val="18"/>
          <w:szCs w:val="18"/>
        </w:rPr>
        <w:t xml:space="preserve"> </w:t>
      </w:r>
      <w:r w:rsidRPr="00A92995">
        <w:rPr>
          <w:rFonts w:eastAsia="Times New Roman"/>
          <w:color w:val="1A1A1A"/>
          <w:sz w:val="18"/>
          <w:szCs w:val="18"/>
        </w:rPr>
        <w:t>N. Stoljar, "Feminist Perspectives on Autonomy",</w:t>
      </w:r>
      <w:r w:rsidRPr="00A92995">
        <w:rPr>
          <w:rStyle w:val="apple-converted-space"/>
          <w:rFonts w:eastAsia="Times New Roman"/>
          <w:color w:val="1A1A1A"/>
          <w:sz w:val="18"/>
          <w:szCs w:val="18"/>
        </w:rPr>
        <w:t> </w:t>
      </w:r>
      <w:r w:rsidRPr="00A92995">
        <w:rPr>
          <w:rStyle w:val="Emphasis"/>
          <w:rFonts w:eastAsia="Times New Roman"/>
          <w:color w:val="1A1A1A"/>
          <w:sz w:val="18"/>
          <w:szCs w:val="18"/>
        </w:rPr>
        <w:t>The Stanford Encyclopedia of Philosophy</w:t>
      </w:r>
      <w:r w:rsidRPr="00A92995">
        <w:rPr>
          <w:rStyle w:val="apple-converted-space"/>
          <w:rFonts w:eastAsia="Times New Roman"/>
          <w:i/>
          <w:iCs/>
          <w:color w:val="1A1A1A"/>
          <w:sz w:val="18"/>
          <w:szCs w:val="18"/>
        </w:rPr>
        <w:t> </w:t>
      </w:r>
      <w:r w:rsidRPr="00A92995">
        <w:rPr>
          <w:rFonts w:eastAsia="Times New Roman"/>
          <w:color w:val="1A1A1A"/>
          <w:sz w:val="18"/>
          <w:szCs w:val="18"/>
        </w:rPr>
        <w:t>(Fall 2015 Edition).</w:t>
      </w:r>
    </w:p>
  </w:footnote>
  <w:footnote w:id="47">
    <w:p w14:paraId="0CDD7017" w14:textId="1F10B88A"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Thomas E. Hill, Jr., </w:t>
      </w:r>
      <w:r w:rsidRPr="00A92995">
        <w:rPr>
          <w:i/>
          <w:sz w:val="18"/>
          <w:szCs w:val="18"/>
        </w:rPr>
        <w:t xml:space="preserve">Autonomy, and Self-Respect </w:t>
      </w:r>
      <w:r w:rsidRPr="00A92995">
        <w:rPr>
          <w:sz w:val="18"/>
          <w:szCs w:val="18"/>
        </w:rPr>
        <w:t>(Cambridge: CUP, 1991)</w:t>
      </w:r>
      <w:r>
        <w:rPr>
          <w:sz w:val="18"/>
          <w:szCs w:val="18"/>
        </w:rPr>
        <w:t xml:space="preserve"> p</w:t>
      </w:r>
      <w:r w:rsidRPr="00A92995">
        <w:rPr>
          <w:sz w:val="18"/>
          <w:szCs w:val="18"/>
        </w:rPr>
        <w:t>p. 5-6 (emphasis in original) – quoted in Sonya Charles, 2010, p</w:t>
      </w:r>
      <w:r>
        <w:rPr>
          <w:sz w:val="18"/>
          <w:szCs w:val="18"/>
        </w:rPr>
        <w:t>,</w:t>
      </w:r>
      <w:r w:rsidRPr="00A92995">
        <w:rPr>
          <w:sz w:val="18"/>
          <w:szCs w:val="18"/>
        </w:rPr>
        <w:t xml:space="preserve"> 414.</w:t>
      </w:r>
    </w:p>
  </w:footnote>
  <w:footnote w:id="48">
    <w:p w14:paraId="2621E62B" w14:textId="7777777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It is unclear whether the process of adoptive preference formation is conscious or unconscious. It is plausible that it could occur either consciously or unconsciously. </w:t>
      </w:r>
    </w:p>
  </w:footnote>
  <w:footnote w:id="49">
    <w:p w14:paraId="7D87C1DB" w14:textId="27B1A159" w:rsidR="00A63D1C" w:rsidRPr="00A92995" w:rsidRDefault="00A63D1C" w:rsidP="00106DF9">
      <w:pPr>
        <w:rPr>
          <w:sz w:val="18"/>
          <w:szCs w:val="18"/>
        </w:rPr>
      </w:pPr>
      <w:r w:rsidRPr="00A92995">
        <w:rPr>
          <w:rStyle w:val="FootnoteReference"/>
          <w:szCs w:val="18"/>
        </w:rPr>
        <w:footnoteRef/>
      </w:r>
      <w:r w:rsidRPr="00A92995">
        <w:rPr>
          <w:sz w:val="18"/>
          <w:szCs w:val="18"/>
        </w:rPr>
        <w:t xml:space="preserve"> N. Stoljar, 2015. (§2.3).</w:t>
      </w:r>
    </w:p>
  </w:footnote>
  <w:footnote w:id="50">
    <w:p w14:paraId="5C24DE46" w14:textId="02460C93"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M. Nussbaum, 2001, “Adaptive Preferences and Women's Options”, </w:t>
      </w:r>
      <w:r w:rsidRPr="00A92995">
        <w:rPr>
          <w:i/>
          <w:iCs/>
          <w:sz w:val="18"/>
          <w:szCs w:val="18"/>
        </w:rPr>
        <w:t>Economics and Philosophy</w:t>
      </w:r>
      <w:r w:rsidRPr="00A92995">
        <w:rPr>
          <w:sz w:val="18"/>
          <w:szCs w:val="18"/>
        </w:rPr>
        <w:t xml:space="preserve">, </w:t>
      </w:r>
      <w:r>
        <w:rPr>
          <w:sz w:val="18"/>
          <w:szCs w:val="18"/>
        </w:rPr>
        <w:t xml:space="preserve">vol. </w:t>
      </w:r>
      <w:r w:rsidRPr="00A92995">
        <w:rPr>
          <w:sz w:val="18"/>
          <w:szCs w:val="18"/>
        </w:rPr>
        <w:t xml:space="preserve">17: </w:t>
      </w:r>
      <w:r>
        <w:rPr>
          <w:sz w:val="18"/>
          <w:szCs w:val="18"/>
        </w:rPr>
        <w:t xml:space="preserve">p. </w:t>
      </w:r>
      <w:r w:rsidRPr="00A92995">
        <w:rPr>
          <w:sz w:val="18"/>
          <w:szCs w:val="18"/>
        </w:rPr>
        <w:t xml:space="preserve">67–8. </w:t>
      </w:r>
    </w:p>
  </w:footnote>
  <w:footnote w:id="51">
    <w:p w14:paraId="0D701D0B" w14:textId="3E1ADC8B"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P. Benson, “Autonomy and Oppressive Socialization,” in </w:t>
      </w:r>
      <w:r w:rsidRPr="00A92995">
        <w:rPr>
          <w:i/>
          <w:sz w:val="18"/>
          <w:szCs w:val="18"/>
        </w:rPr>
        <w:t>Social Theory and Practice</w:t>
      </w:r>
      <w:r>
        <w:rPr>
          <w:sz w:val="18"/>
          <w:szCs w:val="18"/>
        </w:rPr>
        <w:t xml:space="preserve">, vol. </w:t>
      </w:r>
      <w:r w:rsidRPr="00A92995">
        <w:rPr>
          <w:sz w:val="18"/>
          <w:szCs w:val="18"/>
        </w:rPr>
        <w:t>17: 385-408. p. 386.</w:t>
      </w:r>
      <w:r>
        <w:rPr>
          <w:sz w:val="18"/>
          <w:szCs w:val="18"/>
        </w:rPr>
        <w:t xml:space="preserve"> (1991)</w:t>
      </w:r>
      <w:r w:rsidRPr="00A92995">
        <w:rPr>
          <w:sz w:val="18"/>
          <w:szCs w:val="18"/>
        </w:rPr>
        <w:t xml:space="preserve"> </w:t>
      </w:r>
    </w:p>
  </w:footnote>
  <w:footnote w:id="52">
    <w:p w14:paraId="2116DAE8" w14:textId="77777777" w:rsidR="00A63D1C" w:rsidRPr="00A92995" w:rsidRDefault="00A63D1C" w:rsidP="00AB73E0">
      <w:pPr>
        <w:ind w:right="373"/>
        <w:rPr>
          <w:sz w:val="18"/>
          <w:szCs w:val="18"/>
        </w:rPr>
      </w:pPr>
      <w:r w:rsidRPr="00A92995">
        <w:rPr>
          <w:rStyle w:val="FootnoteReference"/>
          <w:szCs w:val="18"/>
        </w:rPr>
        <w:footnoteRef/>
      </w:r>
      <w:r w:rsidRPr="00A92995">
        <w:rPr>
          <w:sz w:val="18"/>
          <w:szCs w:val="18"/>
        </w:rPr>
        <w:t xml:space="preserve"> I take Paul Benson’s example of beauty norms further to include intersecting identities:  I use the notion of white-washed beauty norms to illustrate how the experience of oppressive norms can be reinforced by those various identities (or, membership in various marginalized groups). A white woman may feel inadequate for not being as thin as the women on the billboard, but a black woman may feel inadequate for not being thin </w:t>
      </w:r>
      <w:r w:rsidRPr="00A92995">
        <w:rPr>
          <w:i/>
          <w:sz w:val="18"/>
          <w:szCs w:val="18"/>
        </w:rPr>
        <w:t xml:space="preserve">or </w:t>
      </w:r>
      <w:r w:rsidRPr="00A92995">
        <w:rPr>
          <w:sz w:val="18"/>
          <w:szCs w:val="18"/>
        </w:rPr>
        <w:t xml:space="preserve">white </w:t>
      </w:r>
      <w:r w:rsidRPr="00A92995">
        <w:rPr>
          <w:i/>
          <w:sz w:val="18"/>
          <w:szCs w:val="18"/>
        </w:rPr>
        <w:t xml:space="preserve">or </w:t>
      </w:r>
      <w:r w:rsidRPr="00A92995">
        <w:rPr>
          <w:sz w:val="18"/>
          <w:szCs w:val="18"/>
        </w:rPr>
        <w:t xml:space="preserve">having big blue eyes. Underrepresentation of women of color, transgendered people, people living with disabilities and various marginalized groups further reinforce the experience of inadequacy when faced with an oppressive norm. </w:t>
      </w:r>
    </w:p>
  </w:footnote>
  <w:footnote w:id="53">
    <w:p w14:paraId="04D8BAB2" w14:textId="278B853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Charles, 2010, p</w:t>
      </w:r>
      <w:r>
        <w:rPr>
          <w:sz w:val="18"/>
          <w:szCs w:val="18"/>
        </w:rPr>
        <w:t>.</w:t>
      </w:r>
      <w:r w:rsidRPr="00A92995">
        <w:rPr>
          <w:sz w:val="18"/>
          <w:szCs w:val="18"/>
        </w:rPr>
        <w:t xml:space="preserve"> 423. “How Should Feminist Autonomy Theorists Respond to the Problem of Internalized Oppression?” in </w:t>
      </w:r>
      <w:r w:rsidRPr="00A92995">
        <w:rPr>
          <w:i/>
          <w:sz w:val="18"/>
          <w:szCs w:val="18"/>
        </w:rPr>
        <w:t>Social Theory and Practice</w:t>
      </w:r>
      <w:r w:rsidRPr="00A92995">
        <w:rPr>
          <w:sz w:val="18"/>
          <w:szCs w:val="18"/>
        </w:rPr>
        <w:t xml:space="preserve">, Vol. 36, No. 3 (July 2010), pp. 409-428. </w:t>
      </w:r>
    </w:p>
  </w:footnote>
  <w:footnote w:id="54">
    <w:p w14:paraId="097EEBED" w14:textId="4DFB933B" w:rsidR="00A63D1C" w:rsidRPr="00A92995" w:rsidRDefault="00A63D1C" w:rsidP="00BE1A66">
      <w:pPr>
        <w:pStyle w:val="FootnoteText"/>
        <w:rPr>
          <w:sz w:val="18"/>
          <w:szCs w:val="18"/>
        </w:rPr>
      </w:pPr>
      <w:r w:rsidRPr="00A92995">
        <w:rPr>
          <w:rStyle w:val="FootnoteReference"/>
          <w:szCs w:val="18"/>
        </w:rPr>
        <w:footnoteRef/>
      </w:r>
      <w:r w:rsidRPr="00A92995">
        <w:rPr>
          <w:sz w:val="18"/>
          <w:szCs w:val="18"/>
        </w:rPr>
        <w:t xml:space="preserve"> C. Mackenzie, and N. Stoljar, “Autonomy Refigured”, in </w:t>
      </w:r>
      <w:r w:rsidRPr="00A92995">
        <w:rPr>
          <w:i/>
          <w:sz w:val="18"/>
          <w:szCs w:val="18"/>
        </w:rPr>
        <w:t xml:space="preserve">Relational Autonomy: Feminist Perspectives on Autonomy, Agency, and the Social Self. </w:t>
      </w:r>
      <w:r w:rsidRPr="00A92995">
        <w:rPr>
          <w:sz w:val="18"/>
          <w:szCs w:val="18"/>
        </w:rPr>
        <w:t>(2000) Oxford University Press.</w:t>
      </w:r>
      <w:r w:rsidRPr="00A92995">
        <w:rPr>
          <w:i/>
          <w:sz w:val="18"/>
          <w:szCs w:val="18"/>
        </w:rPr>
        <w:t xml:space="preserve"> </w:t>
      </w:r>
      <w:r w:rsidRPr="00A92995">
        <w:rPr>
          <w:sz w:val="18"/>
          <w:szCs w:val="18"/>
        </w:rPr>
        <w:t>p</w:t>
      </w:r>
      <w:r>
        <w:rPr>
          <w:sz w:val="18"/>
          <w:szCs w:val="18"/>
        </w:rPr>
        <w:t xml:space="preserve">. </w:t>
      </w:r>
      <w:r w:rsidRPr="00A92995">
        <w:rPr>
          <w:sz w:val="18"/>
          <w:szCs w:val="18"/>
        </w:rPr>
        <w:t>14.</w:t>
      </w:r>
    </w:p>
  </w:footnote>
  <w:footnote w:id="55">
    <w:p w14:paraId="1F4CEA37" w14:textId="101062EF" w:rsidR="00A63D1C" w:rsidRPr="00A92995" w:rsidRDefault="00A63D1C" w:rsidP="00BE1A66">
      <w:pPr>
        <w:spacing w:before="100" w:beforeAutospacing="1" w:after="120"/>
        <w:rPr>
          <w:rFonts w:eastAsia="Times New Roman"/>
          <w:color w:val="1A1A1A"/>
          <w:sz w:val="18"/>
          <w:szCs w:val="18"/>
        </w:rPr>
      </w:pPr>
      <w:r w:rsidRPr="00A92995">
        <w:rPr>
          <w:rStyle w:val="FootnoteReference"/>
          <w:szCs w:val="18"/>
        </w:rPr>
        <w:footnoteRef/>
      </w:r>
      <w:r w:rsidRPr="00A92995">
        <w:rPr>
          <w:sz w:val="18"/>
          <w:szCs w:val="18"/>
        </w:rPr>
        <w:t xml:space="preserve"> See also </w:t>
      </w:r>
      <w:r w:rsidRPr="00A92995">
        <w:rPr>
          <w:rFonts w:eastAsia="Times New Roman"/>
          <w:color w:val="1A1A1A"/>
          <w:sz w:val="18"/>
          <w:szCs w:val="18"/>
        </w:rPr>
        <w:t>Dworkin, G., 1988, </w:t>
      </w:r>
      <w:r w:rsidRPr="00A92995">
        <w:rPr>
          <w:rFonts w:eastAsia="Times New Roman"/>
          <w:i/>
          <w:iCs/>
          <w:color w:val="1A1A1A"/>
          <w:sz w:val="18"/>
          <w:szCs w:val="18"/>
        </w:rPr>
        <w:t>The Theory and Practice of Autonomy</w:t>
      </w:r>
      <w:r w:rsidRPr="00A92995">
        <w:rPr>
          <w:rFonts w:eastAsia="Times New Roman"/>
          <w:color w:val="1A1A1A"/>
          <w:sz w:val="18"/>
          <w:szCs w:val="18"/>
        </w:rPr>
        <w:t>, Cambridge: Cambridge University Press.</w:t>
      </w:r>
      <w:r w:rsidRPr="00A92995">
        <w:rPr>
          <w:sz w:val="18"/>
          <w:szCs w:val="18"/>
        </w:rPr>
        <w:t xml:space="preserve"> For the purposes of this research I will treat the terms ‘free-will’, ‘individual liberty’ as synonymous with personal autonomy. </w:t>
      </w:r>
    </w:p>
  </w:footnote>
  <w:footnote w:id="56">
    <w:p w14:paraId="64C21579" w14:textId="1C4C2220" w:rsidR="00A63D1C" w:rsidRPr="00A92995" w:rsidRDefault="00A63D1C" w:rsidP="00750E52">
      <w:pPr>
        <w:jc w:val="both"/>
        <w:rPr>
          <w:sz w:val="18"/>
          <w:szCs w:val="18"/>
        </w:rPr>
      </w:pPr>
      <w:r w:rsidRPr="00A92995">
        <w:rPr>
          <w:rStyle w:val="FootnoteReference"/>
          <w:szCs w:val="18"/>
        </w:rPr>
        <w:footnoteRef/>
      </w:r>
      <w:r w:rsidRPr="00A92995">
        <w:rPr>
          <w:sz w:val="18"/>
          <w:szCs w:val="18"/>
        </w:rPr>
        <w:t xml:space="preserve"> C. Mackenzie, and N. Stoljar, 2000,</w:t>
      </w:r>
      <w:r w:rsidRPr="00A92995">
        <w:rPr>
          <w:i/>
          <w:sz w:val="18"/>
          <w:szCs w:val="18"/>
        </w:rPr>
        <w:t xml:space="preserve"> </w:t>
      </w:r>
      <w:r w:rsidRPr="00A92995">
        <w:rPr>
          <w:sz w:val="18"/>
          <w:szCs w:val="18"/>
        </w:rPr>
        <w:t>p</w:t>
      </w:r>
      <w:r>
        <w:rPr>
          <w:sz w:val="18"/>
          <w:szCs w:val="18"/>
        </w:rPr>
        <w:t xml:space="preserve">. </w:t>
      </w:r>
      <w:r w:rsidRPr="00A92995">
        <w:rPr>
          <w:sz w:val="18"/>
          <w:szCs w:val="18"/>
        </w:rPr>
        <w:t xml:space="preserve">14. Frankfurt later specifies that patients must not only identify with their higher order volitions, but that they must do so whole-heartedly. See below. </w:t>
      </w:r>
    </w:p>
  </w:footnote>
  <w:footnote w:id="57">
    <w:p w14:paraId="5B8A5044" w14:textId="53CBE3E0" w:rsidR="00A63D1C" w:rsidRPr="00A92995" w:rsidRDefault="00A63D1C" w:rsidP="009B012B">
      <w:pPr>
        <w:pStyle w:val="FootnoteText"/>
        <w:rPr>
          <w:sz w:val="18"/>
          <w:szCs w:val="18"/>
        </w:rPr>
      </w:pPr>
      <w:r w:rsidRPr="008D1776">
        <w:rPr>
          <w:rStyle w:val="FootnoteReference"/>
          <w:szCs w:val="18"/>
        </w:rPr>
        <w:footnoteRef/>
      </w:r>
      <w:r w:rsidRPr="00A92995">
        <w:rPr>
          <w:sz w:val="18"/>
          <w:szCs w:val="18"/>
        </w:rPr>
        <w:t xml:space="preserve"> (See Frankfurt 1988, p</w:t>
      </w:r>
      <w:r>
        <w:rPr>
          <w:sz w:val="18"/>
          <w:szCs w:val="18"/>
        </w:rPr>
        <w:t>.</w:t>
      </w:r>
      <w:r w:rsidRPr="00A92995">
        <w:rPr>
          <w:sz w:val="18"/>
          <w:szCs w:val="18"/>
        </w:rPr>
        <w:t xml:space="preserve"> 163</w:t>
      </w:r>
      <w:r>
        <w:rPr>
          <w:sz w:val="18"/>
          <w:szCs w:val="18"/>
        </w:rPr>
        <w:t>,</w:t>
      </w:r>
      <w:r w:rsidRPr="00A92995">
        <w:rPr>
          <w:sz w:val="18"/>
          <w:szCs w:val="18"/>
        </w:rPr>
        <w:t xml:space="preserve"> and 2004, p</w:t>
      </w:r>
      <w:r>
        <w:rPr>
          <w:sz w:val="18"/>
          <w:szCs w:val="18"/>
        </w:rPr>
        <w:t>.</w:t>
      </w:r>
      <w:r w:rsidRPr="00A92995">
        <w:rPr>
          <w:sz w:val="18"/>
          <w:szCs w:val="18"/>
        </w:rPr>
        <w:t xml:space="preserve"> 91).</w:t>
      </w:r>
    </w:p>
  </w:footnote>
  <w:footnote w:id="58">
    <w:p w14:paraId="2104DF1A" w14:textId="5F017355" w:rsidR="00A63D1C" w:rsidRPr="00A92995" w:rsidRDefault="00A63D1C" w:rsidP="00605867">
      <w:pPr>
        <w:rPr>
          <w:rFonts w:eastAsia="Times New Roman"/>
          <w:color w:val="333333"/>
          <w:spacing w:val="4"/>
          <w:sz w:val="18"/>
          <w:szCs w:val="18"/>
        </w:rPr>
      </w:pPr>
      <w:r w:rsidRPr="00A92995">
        <w:rPr>
          <w:rStyle w:val="FootnoteReference"/>
          <w:szCs w:val="18"/>
        </w:rPr>
        <w:footnoteRef/>
      </w:r>
      <w:r w:rsidRPr="00A92995">
        <w:rPr>
          <w:sz w:val="18"/>
          <w:szCs w:val="18"/>
        </w:rPr>
        <w:t xml:space="preserve"> J. </w:t>
      </w:r>
      <w:r w:rsidRPr="00A92995">
        <w:rPr>
          <w:rFonts w:eastAsia="Times New Roman"/>
          <w:color w:val="333333"/>
          <w:spacing w:val="4"/>
          <w:sz w:val="18"/>
          <w:szCs w:val="18"/>
        </w:rPr>
        <w:t xml:space="preserve">Christman, </w:t>
      </w:r>
      <w:r w:rsidRPr="00A92995">
        <w:rPr>
          <w:rFonts w:eastAsia="Times New Roman"/>
          <w:color w:val="1A1A1A"/>
          <w:sz w:val="18"/>
          <w:szCs w:val="18"/>
          <w:shd w:val="clear" w:color="auto" w:fill="FFFFFF"/>
        </w:rPr>
        <w:t>“Relational Autonomy, Liberal Individualism, and the Social Constitution of Selves”</w:t>
      </w:r>
      <w:r>
        <w:rPr>
          <w:rFonts w:eastAsia="Times New Roman"/>
          <w:color w:val="1A1A1A"/>
          <w:sz w:val="18"/>
          <w:szCs w:val="18"/>
          <w:shd w:val="clear" w:color="auto" w:fill="FFFFFF"/>
        </w:rPr>
        <w:t>,</w:t>
      </w:r>
      <w:r w:rsidRPr="00A92995">
        <w:rPr>
          <w:rFonts w:eastAsia="Times New Roman"/>
          <w:color w:val="1A1A1A"/>
          <w:sz w:val="18"/>
          <w:szCs w:val="18"/>
          <w:shd w:val="clear" w:color="auto" w:fill="FFFFFF"/>
        </w:rPr>
        <w:t xml:space="preserve"> in </w:t>
      </w:r>
      <w:r w:rsidRPr="00A92995">
        <w:rPr>
          <w:rFonts w:eastAsia="Times New Roman"/>
          <w:i/>
          <w:color w:val="333333"/>
          <w:spacing w:val="4"/>
          <w:sz w:val="18"/>
          <w:szCs w:val="18"/>
        </w:rPr>
        <w:t>Philosophical Studies</w:t>
      </w:r>
      <w:r w:rsidRPr="00A92995">
        <w:rPr>
          <w:rFonts w:eastAsia="Times New Roman"/>
          <w:color w:val="333333"/>
          <w:spacing w:val="4"/>
          <w:sz w:val="18"/>
          <w:szCs w:val="18"/>
        </w:rPr>
        <w:t xml:space="preserve"> (2004) </w:t>
      </w:r>
      <w:r>
        <w:rPr>
          <w:rFonts w:eastAsia="Times New Roman"/>
          <w:color w:val="333333"/>
          <w:spacing w:val="4"/>
          <w:sz w:val="18"/>
          <w:szCs w:val="18"/>
        </w:rPr>
        <w:t xml:space="preserve">vol. </w:t>
      </w:r>
      <w:r w:rsidRPr="00A92995">
        <w:rPr>
          <w:rFonts w:eastAsia="Times New Roman"/>
          <w:color w:val="333333"/>
          <w:spacing w:val="4"/>
          <w:sz w:val="18"/>
          <w:szCs w:val="18"/>
        </w:rPr>
        <w:t>117: p</w:t>
      </w:r>
      <w:r>
        <w:rPr>
          <w:rFonts w:eastAsia="Times New Roman"/>
          <w:color w:val="333333"/>
          <w:spacing w:val="4"/>
          <w:sz w:val="18"/>
          <w:szCs w:val="18"/>
        </w:rPr>
        <w:t xml:space="preserve">. </w:t>
      </w:r>
      <w:r w:rsidRPr="00A92995">
        <w:rPr>
          <w:rFonts w:eastAsia="Times New Roman"/>
          <w:color w:val="333333"/>
          <w:spacing w:val="4"/>
          <w:sz w:val="18"/>
          <w:szCs w:val="18"/>
        </w:rPr>
        <w:t>147. https://doi.org/10.1023/B:PHIL.0000014532.56866.5c</w:t>
      </w:r>
    </w:p>
  </w:footnote>
  <w:footnote w:id="59">
    <w:p w14:paraId="2DA525CF" w14:textId="445AF69D" w:rsidR="00A63D1C" w:rsidRPr="00A92995" w:rsidRDefault="00A63D1C" w:rsidP="00605867">
      <w:pPr>
        <w:rPr>
          <w:rFonts w:eastAsia="Times New Roman"/>
          <w:sz w:val="18"/>
          <w:szCs w:val="18"/>
        </w:rPr>
      </w:pPr>
      <w:r w:rsidRPr="00A92995">
        <w:rPr>
          <w:rStyle w:val="FootnoteReference"/>
          <w:szCs w:val="18"/>
        </w:rPr>
        <w:footnoteRef/>
      </w:r>
      <w:r w:rsidRPr="00A92995">
        <w:rPr>
          <w:sz w:val="18"/>
          <w:szCs w:val="18"/>
        </w:rPr>
        <w:t xml:space="preserve"> Christman, 2009, </w:t>
      </w:r>
      <w:r w:rsidRPr="00A92995">
        <w:rPr>
          <w:rFonts w:eastAsia="Times New Roman"/>
          <w:i/>
          <w:iCs/>
          <w:color w:val="1A1A1A"/>
          <w:sz w:val="18"/>
          <w:szCs w:val="18"/>
        </w:rPr>
        <w:t>The Politics of Persons. Individual Autonomy and Socio-historical Selves</w:t>
      </w:r>
      <w:r w:rsidRPr="00A92995">
        <w:rPr>
          <w:rFonts w:eastAsia="Times New Roman"/>
          <w:color w:val="1A1A1A"/>
          <w:sz w:val="18"/>
          <w:szCs w:val="18"/>
          <w:shd w:val="clear" w:color="auto" w:fill="FFFFFF"/>
        </w:rPr>
        <w:t xml:space="preserve">, Cambridge: Cambridge University Press, </w:t>
      </w:r>
      <w:r w:rsidRPr="00A92995">
        <w:rPr>
          <w:sz w:val="18"/>
          <w:szCs w:val="18"/>
        </w:rPr>
        <w:t>p. 155-6.</w:t>
      </w:r>
      <w:r w:rsidRPr="00A92995">
        <w:rPr>
          <w:rFonts w:eastAsia="Times New Roman"/>
          <w:color w:val="1A1A1A"/>
          <w:sz w:val="18"/>
          <w:szCs w:val="18"/>
          <w:shd w:val="clear" w:color="auto" w:fill="FFFFFF"/>
        </w:rPr>
        <w:t> </w:t>
      </w:r>
    </w:p>
    <w:p w14:paraId="52EFA0F1" w14:textId="4AB78E52" w:rsidR="00A63D1C" w:rsidRPr="00A92995" w:rsidRDefault="00A63D1C" w:rsidP="009B012B">
      <w:pPr>
        <w:pStyle w:val="FootnoteText"/>
        <w:rPr>
          <w:sz w:val="18"/>
          <w:szCs w:val="18"/>
        </w:rPr>
      </w:pPr>
    </w:p>
  </w:footnote>
  <w:footnote w:id="60">
    <w:p w14:paraId="15B566C5" w14:textId="0284836A"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“Intersectional Identity and the Authentic Self? Opposites Attract!” in C. Mackenzie and N. Stoljar (eds.) </w:t>
      </w:r>
      <w:r w:rsidRPr="00A92995">
        <w:rPr>
          <w:i/>
          <w:sz w:val="18"/>
          <w:szCs w:val="18"/>
        </w:rPr>
        <w:t xml:space="preserve">Relational Autonomy: Feminist Perspectives on Autonomy, Agency, and the Social Self. </w:t>
      </w:r>
      <w:r w:rsidRPr="00A92995">
        <w:rPr>
          <w:sz w:val="18"/>
          <w:szCs w:val="18"/>
        </w:rPr>
        <w:t xml:space="preserve">(2000), p. 169. </w:t>
      </w:r>
    </w:p>
  </w:footnote>
  <w:footnote w:id="61">
    <w:p w14:paraId="4DFE15BE" w14:textId="72C93D64" w:rsidR="00A63D1C" w:rsidRPr="00A92995" w:rsidRDefault="00A63D1C" w:rsidP="00AB73E0">
      <w:pPr>
        <w:jc w:val="both"/>
        <w:rPr>
          <w:sz w:val="18"/>
          <w:szCs w:val="18"/>
        </w:rPr>
      </w:pPr>
      <w:r w:rsidRPr="00A92995">
        <w:rPr>
          <w:rStyle w:val="FootnoteReference"/>
          <w:szCs w:val="18"/>
        </w:rPr>
        <w:footnoteRef/>
      </w:r>
      <w:r w:rsidRPr="00A92995">
        <w:rPr>
          <w:sz w:val="18"/>
          <w:szCs w:val="18"/>
        </w:rPr>
        <w:t xml:space="preserve"> </w:t>
      </w:r>
      <w:r w:rsidRPr="00A92995">
        <w:rPr>
          <w:i/>
          <w:sz w:val="18"/>
          <w:szCs w:val="18"/>
        </w:rPr>
        <w:t xml:space="preserve">Ibid. </w:t>
      </w:r>
      <w:r w:rsidRPr="00A92995">
        <w:rPr>
          <w:sz w:val="18"/>
          <w:szCs w:val="18"/>
        </w:rPr>
        <w:t xml:space="preserve">Meyers further paraphrases Frankfurt: “To have an authentic self is to be wholeheartedly committed to a rank ordering of the desires one has decided to satisfy and to be wholeheartedly disassociated from those of one’s desires that one has decided against satisfying. Autonomous individuals act only on their authentic desires; hence they have free will.” </w:t>
      </w:r>
      <w:r>
        <w:rPr>
          <w:sz w:val="18"/>
          <w:szCs w:val="18"/>
        </w:rPr>
        <w:t xml:space="preserve">p. </w:t>
      </w:r>
      <w:r w:rsidRPr="00A92995">
        <w:rPr>
          <w:sz w:val="18"/>
          <w:szCs w:val="18"/>
        </w:rPr>
        <w:t>169, 170.</w:t>
      </w:r>
    </w:p>
  </w:footnote>
  <w:footnote w:id="62">
    <w:p w14:paraId="2794EBD9" w14:textId="5F31380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2005, p. 49.</w:t>
      </w:r>
    </w:p>
  </w:footnote>
  <w:footnote w:id="63">
    <w:p w14:paraId="0A47369F" w14:textId="7CCE824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2000, p</w:t>
      </w:r>
      <w:r>
        <w:rPr>
          <w:sz w:val="18"/>
          <w:szCs w:val="18"/>
        </w:rPr>
        <w:t>.</w:t>
      </w:r>
      <w:r w:rsidRPr="00A92995">
        <w:rPr>
          <w:sz w:val="18"/>
          <w:szCs w:val="18"/>
        </w:rPr>
        <w:t xml:space="preserve"> 166.</w:t>
      </w:r>
    </w:p>
  </w:footnote>
  <w:footnote w:id="64">
    <w:p w14:paraId="0D46EC19" w14:textId="6305854B"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C. Mackenzie, and N. Stoljar, 2000, p</w:t>
      </w:r>
      <w:r>
        <w:rPr>
          <w:i/>
          <w:sz w:val="18"/>
          <w:szCs w:val="18"/>
        </w:rPr>
        <w:t>.</w:t>
      </w:r>
      <w:r w:rsidRPr="00A92995">
        <w:rPr>
          <w:i/>
          <w:sz w:val="18"/>
          <w:szCs w:val="18"/>
        </w:rPr>
        <w:t xml:space="preserve"> </w:t>
      </w:r>
      <w:r w:rsidRPr="00A92995">
        <w:rPr>
          <w:sz w:val="18"/>
          <w:szCs w:val="18"/>
        </w:rPr>
        <w:t>17-18.</w:t>
      </w:r>
    </w:p>
  </w:footnote>
  <w:footnote w:id="65">
    <w:p w14:paraId="74DC2138" w14:textId="732B666E"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2005, p</w:t>
      </w:r>
      <w:r>
        <w:rPr>
          <w:sz w:val="18"/>
          <w:szCs w:val="18"/>
        </w:rPr>
        <w:t>.</w:t>
      </w:r>
      <w:r w:rsidRPr="00A92995">
        <w:rPr>
          <w:sz w:val="18"/>
          <w:szCs w:val="18"/>
        </w:rPr>
        <w:t xml:space="preserve"> 165. </w:t>
      </w:r>
    </w:p>
  </w:footnote>
  <w:footnote w:id="66">
    <w:p w14:paraId="3BF34CA4" w14:textId="5472F268"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C. Mackenzie, and N. Stoljar, 2000, p</w:t>
      </w:r>
      <w:r>
        <w:rPr>
          <w:i/>
          <w:sz w:val="18"/>
          <w:szCs w:val="18"/>
        </w:rPr>
        <w:t>.</w:t>
      </w:r>
      <w:r w:rsidRPr="00A92995">
        <w:rPr>
          <w:i/>
          <w:sz w:val="18"/>
          <w:szCs w:val="18"/>
        </w:rPr>
        <w:t xml:space="preserve"> </w:t>
      </w:r>
      <w:r w:rsidRPr="00A92995">
        <w:rPr>
          <w:sz w:val="18"/>
          <w:szCs w:val="18"/>
        </w:rPr>
        <w:t>18</w:t>
      </w:r>
    </w:p>
  </w:footnote>
  <w:footnote w:id="67">
    <w:p w14:paraId="7FD00D9C" w14:textId="7804350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p. 624 “Autonomy and the Paradox of Feminine Socialization” in </w:t>
      </w:r>
      <w:r w:rsidRPr="00A92995">
        <w:rPr>
          <w:i/>
          <w:sz w:val="18"/>
          <w:szCs w:val="18"/>
        </w:rPr>
        <w:t xml:space="preserve">The Journal of Philosophy, </w:t>
      </w:r>
      <w:r>
        <w:rPr>
          <w:sz w:val="18"/>
          <w:szCs w:val="18"/>
        </w:rPr>
        <w:t>v</w:t>
      </w:r>
      <w:r w:rsidRPr="00A92995">
        <w:rPr>
          <w:sz w:val="18"/>
          <w:szCs w:val="18"/>
        </w:rPr>
        <w:t xml:space="preserve">ol. 84, No. 11, (Nov. 1987), pp. 619-628. </w:t>
      </w:r>
    </w:p>
  </w:footnote>
  <w:footnote w:id="68">
    <w:p w14:paraId="053F65EA" w14:textId="58CA67B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D.T. Meyers, 1987, p</w:t>
      </w:r>
      <w:r>
        <w:rPr>
          <w:sz w:val="18"/>
          <w:szCs w:val="18"/>
        </w:rPr>
        <w:t>.</w:t>
      </w:r>
      <w:r w:rsidRPr="00A92995">
        <w:rPr>
          <w:sz w:val="18"/>
          <w:szCs w:val="18"/>
        </w:rPr>
        <w:t xml:space="preserve"> 624.</w:t>
      </w:r>
    </w:p>
  </w:footnote>
  <w:footnote w:id="69">
    <w:p w14:paraId="6BA7184C" w14:textId="432B7A4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C. Mackenzie, and N. Stoljar, 2000, p.</w:t>
      </w:r>
      <w:r w:rsidRPr="00A92995">
        <w:rPr>
          <w:i/>
          <w:sz w:val="18"/>
          <w:szCs w:val="18"/>
        </w:rPr>
        <w:t xml:space="preserve"> </w:t>
      </w:r>
      <w:r w:rsidRPr="00A92995">
        <w:rPr>
          <w:sz w:val="18"/>
          <w:szCs w:val="18"/>
        </w:rPr>
        <w:t>19.</w:t>
      </w:r>
    </w:p>
  </w:footnote>
  <w:footnote w:id="70">
    <w:p w14:paraId="045C1AEB" w14:textId="3AB11674"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 Hill, 1991, p. 15.</w:t>
      </w:r>
    </w:p>
  </w:footnote>
  <w:footnote w:id="71">
    <w:p w14:paraId="5C814DDC" w14:textId="46AE040C" w:rsidR="00A63D1C" w:rsidRPr="00A92995" w:rsidRDefault="00A63D1C" w:rsidP="00A1428F">
      <w:pPr>
        <w:spacing w:before="100" w:beforeAutospacing="1" w:after="120"/>
        <w:rPr>
          <w:rFonts w:eastAsia="Times New Roman"/>
          <w:color w:val="1A1A1A"/>
          <w:sz w:val="18"/>
          <w:szCs w:val="18"/>
        </w:rPr>
      </w:pPr>
      <w:r w:rsidRPr="00A92995">
        <w:rPr>
          <w:rStyle w:val="FootnoteReference"/>
          <w:szCs w:val="18"/>
        </w:rPr>
        <w:footnoteRef/>
      </w:r>
      <w:r w:rsidRPr="00A92995">
        <w:rPr>
          <w:sz w:val="18"/>
          <w:szCs w:val="18"/>
        </w:rPr>
        <w:t xml:space="preserve"> S. Babbitt, 1993, p. 246. </w:t>
      </w:r>
      <w:r w:rsidRPr="00A92995">
        <w:rPr>
          <w:rFonts w:eastAsia="Times New Roman"/>
          <w:color w:val="1A1A1A"/>
          <w:sz w:val="18"/>
          <w:szCs w:val="18"/>
        </w:rPr>
        <w:t xml:space="preserve">Babbitt, S. E., 1993, “Feminism and Objective Interests: The Role of Transformation Experiences in Rational Deliberation”, in L. </w:t>
      </w:r>
      <w:proofErr w:type="spellStart"/>
      <w:r w:rsidRPr="00A92995">
        <w:rPr>
          <w:rFonts w:eastAsia="Times New Roman"/>
          <w:color w:val="1A1A1A"/>
          <w:sz w:val="18"/>
          <w:szCs w:val="18"/>
        </w:rPr>
        <w:t>Alcoff</w:t>
      </w:r>
      <w:proofErr w:type="spellEnd"/>
      <w:r w:rsidRPr="00A92995">
        <w:rPr>
          <w:rFonts w:eastAsia="Times New Roman"/>
          <w:color w:val="1A1A1A"/>
          <w:sz w:val="18"/>
          <w:szCs w:val="18"/>
        </w:rPr>
        <w:t xml:space="preserve"> and E. Potter (eds.), </w:t>
      </w:r>
      <w:r w:rsidRPr="00A92995">
        <w:rPr>
          <w:rFonts w:eastAsia="Times New Roman"/>
          <w:i/>
          <w:iCs/>
          <w:color w:val="1A1A1A"/>
          <w:sz w:val="18"/>
          <w:szCs w:val="18"/>
        </w:rPr>
        <w:t>Feminist Epistemologies</w:t>
      </w:r>
      <w:r w:rsidRPr="00A92995">
        <w:rPr>
          <w:rFonts w:eastAsia="Times New Roman"/>
          <w:color w:val="1A1A1A"/>
          <w:sz w:val="18"/>
          <w:szCs w:val="18"/>
        </w:rPr>
        <w:t>, New York: Routledge pp. 245–264.</w:t>
      </w:r>
    </w:p>
  </w:footnote>
  <w:footnote w:id="72">
    <w:p w14:paraId="6794DC5E" w14:textId="45CA3DF4" w:rsidR="00A63D1C" w:rsidRPr="00A92995" w:rsidRDefault="00A63D1C" w:rsidP="00F40A70">
      <w:pPr>
        <w:rPr>
          <w:rFonts w:eastAsia="Times New Roman"/>
          <w:sz w:val="18"/>
          <w:szCs w:val="18"/>
        </w:rPr>
      </w:pPr>
      <w:r w:rsidRPr="00CA2300">
        <w:rPr>
          <w:rStyle w:val="FootnoteReference"/>
          <w:szCs w:val="18"/>
        </w:rPr>
        <w:footnoteRef/>
      </w:r>
      <w:r w:rsidRPr="00CA2300">
        <w:rPr>
          <w:sz w:val="18"/>
          <w:szCs w:val="18"/>
        </w:rPr>
        <w:t xml:space="preserve"> M. Oshana 2007, p. 41. “</w:t>
      </w:r>
      <w:r w:rsidRPr="00CA2300">
        <w:rPr>
          <w:rFonts w:eastAsia="Times New Roman"/>
          <w:bCs/>
          <w:sz w:val="18"/>
          <w:szCs w:val="18"/>
        </w:rPr>
        <w:t>Autonomy and the Question of Authenticity</w:t>
      </w:r>
      <w:r w:rsidRPr="00CA2300">
        <w:rPr>
          <w:rFonts w:eastAsia="Times New Roman"/>
          <w:b/>
          <w:bCs/>
          <w:sz w:val="18"/>
          <w:szCs w:val="18"/>
        </w:rPr>
        <w:t>”</w:t>
      </w:r>
      <w:r w:rsidRPr="00CA2300">
        <w:rPr>
          <w:rFonts w:eastAsia="Times New Roman"/>
          <w:sz w:val="18"/>
          <w:szCs w:val="18"/>
        </w:rPr>
        <w:t xml:space="preserve"> in</w:t>
      </w:r>
      <w:r w:rsidRPr="00CA2300">
        <w:rPr>
          <w:rFonts w:eastAsia="Times New Roman"/>
          <w:sz w:val="18"/>
          <w:szCs w:val="18"/>
          <w:shd w:val="clear" w:color="auto" w:fill="FFFFFF"/>
        </w:rPr>
        <w:t> </w:t>
      </w:r>
      <w:r w:rsidRPr="00CA2300">
        <w:rPr>
          <w:rFonts w:eastAsia="Times New Roman"/>
          <w:i/>
          <w:iCs/>
          <w:sz w:val="18"/>
          <w:szCs w:val="18"/>
        </w:rPr>
        <w:t>Social Theory and Practice</w:t>
      </w:r>
      <w:r w:rsidRPr="00CA2300">
        <w:rPr>
          <w:rFonts w:eastAsia="Times New Roman"/>
          <w:sz w:val="18"/>
          <w:szCs w:val="18"/>
        </w:rPr>
        <w:t>, 2007, vol. 33, No. 3, pp. 411-429.</w:t>
      </w:r>
    </w:p>
  </w:footnote>
  <w:footnote w:id="73">
    <w:p w14:paraId="54D6EE1F" w14:textId="561F3363" w:rsidR="00A63D1C" w:rsidRPr="00A92995" w:rsidRDefault="00A63D1C" w:rsidP="00BE1A66">
      <w:pPr>
        <w:rPr>
          <w:sz w:val="18"/>
          <w:szCs w:val="18"/>
        </w:rPr>
      </w:pPr>
      <w:r w:rsidRPr="00A92995">
        <w:rPr>
          <w:rStyle w:val="FootnoteReference"/>
          <w:szCs w:val="18"/>
        </w:rPr>
        <w:footnoteRef/>
      </w:r>
      <w:r w:rsidRPr="00A92995">
        <w:rPr>
          <w:sz w:val="18"/>
          <w:szCs w:val="18"/>
        </w:rPr>
        <w:t xml:space="preserve"> M. Oshana, </w:t>
      </w:r>
      <w:r w:rsidRPr="00A92995">
        <w:rPr>
          <w:rFonts w:eastAsia="Times New Roman"/>
          <w:color w:val="1A1A1A"/>
          <w:sz w:val="18"/>
          <w:szCs w:val="18"/>
          <w:shd w:val="clear" w:color="auto" w:fill="FFFFFF"/>
        </w:rPr>
        <w:t>2006, </w:t>
      </w:r>
      <w:r w:rsidRPr="00A92995">
        <w:rPr>
          <w:rFonts w:eastAsia="Times New Roman"/>
          <w:i/>
          <w:iCs/>
          <w:color w:val="1A1A1A"/>
          <w:sz w:val="18"/>
          <w:szCs w:val="18"/>
        </w:rPr>
        <w:t>Personal Autonomy in Society</w:t>
      </w:r>
      <w:r w:rsidRPr="00A92995">
        <w:rPr>
          <w:rFonts w:eastAsia="Times New Roman"/>
          <w:color w:val="1A1A1A"/>
          <w:sz w:val="18"/>
          <w:szCs w:val="18"/>
          <w:shd w:val="clear" w:color="auto" w:fill="FFFFFF"/>
        </w:rPr>
        <w:t xml:space="preserve">, Aldershot: Ashgate Publishing. </w:t>
      </w:r>
      <w:r>
        <w:rPr>
          <w:rFonts w:eastAsia="Times New Roman"/>
          <w:color w:val="1A1A1A"/>
          <w:sz w:val="18"/>
          <w:szCs w:val="18"/>
          <w:shd w:val="clear" w:color="auto" w:fill="FFFFFF"/>
        </w:rPr>
        <w:t>p</w:t>
      </w:r>
      <w:r w:rsidRPr="00A92995">
        <w:rPr>
          <w:rFonts w:eastAsia="Times New Roman"/>
          <w:color w:val="1A1A1A"/>
          <w:sz w:val="18"/>
          <w:szCs w:val="18"/>
          <w:shd w:val="clear" w:color="auto" w:fill="FFFFFF"/>
        </w:rPr>
        <w:t>. 62.</w:t>
      </w:r>
    </w:p>
  </w:footnote>
  <w:footnote w:id="74">
    <w:p w14:paraId="5479EB49" w14:textId="7AB79C9E" w:rsidR="00A63D1C" w:rsidRPr="00A92995" w:rsidRDefault="00A63D1C" w:rsidP="000C3662">
      <w:pPr>
        <w:pStyle w:val="Heading1"/>
      </w:pPr>
      <w:r w:rsidRPr="000C3662">
        <w:rPr>
          <w:rStyle w:val="FootnoteReference"/>
        </w:rPr>
        <w:footnoteRef/>
      </w:r>
      <w:r w:rsidRPr="000C3662">
        <w:rPr>
          <w:sz w:val="18"/>
        </w:rPr>
        <w:t xml:space="preserve"> Brison 2000, “Relational Autonomy and Freedom of Expression” in C. Mackenzie and N. Stoljar (eds.) </w:t>
      </w:r>
      <w:r w:rsidRPr="000C3662">
        <w:rPr>
          <w:i/>
          <w:sz w:val="18"/>
        </w:rPr>
        <w:t>Relational Autonomy: Feminist Perspectives on Autonomy, Agency, and the Social Self.</w:t>
      </w:r>
      <w:r w:rsidRPr="000C3662">
        <w:rPr>
          <w:sz w:val="18"/>
        </w:rPr>
        <w:t xml:space="preserve"> See also J. Raz (1988) </w:t>
      </w:r>
      <w:r w:rsidRPr="000C3662">
        <w:rPr>
          <w:i/>
          <w:sz w:val="18"/>
        </w:rPr>
        <w:t xml:space="preserve">The Morality of Freedom, </w:t>
      </w:r>
      <w:r w:rsidRPr="000C3662">
        <w:rPr>
          <w:sz w:val="18"/>
        </w:rPr>
        <w:t xml:space="preserve">Oxford: Oxford University Press. See also T. Hurka, (1987) “Why Value Autonomy?” in </w:t>
      </w:r>
      <w:r w:rsidRPr="000C3662">
        <w:rPr>
          <w:i/>
          <w:sz w:val="18"/>
        </w:rPr>
        <w:t xml:space="preserve">Social Theory and Practice </w:t>
      </w:r>
      <w:r w:rsidRPr="000C3662">
        <w:rPr>
          <w:sz w:val="18"/>
        </w:rPr>
        <w:t>13 (3), pp</w:t>
      </w:r>
      <w:r>
        <w:rPr>
          <w:sz w:val="18"/>
        </w:rPr>
        <w:t>.</w:t>
      </w:r>
      <w:r w:rsidRPr="000C3662">
        <w:rPr>
          <w:sz w:val="18"/>
        </w:rPr>
        <w:t xml:space="preserve"> 361-382. </w:t>
      </w:r>
    </w:p>
  </w:footnote>
  <w:footnote w:id="75">
    <w:p w14:paraId="25E8009D" w14:textId="033818BA" w:rsidR="00A63D1C" w:rsidRPr="00A92995" w:rsidRDefault="00A63D1C" w:rsidP="00AD2BAC">
      <w:pPr>
        <w:spacing w:before="100" w:beforeAutospacing="1" w:after="120"/>
        <w:rPr>
          <w:rFonts w:eastAsia="Times New Roman"/>
          <w:color w:val="1A1A1A"/>
          <w:sz w:val="18"/>
          <w:szCs w:val="18"/>
        </w:rPr>
      </w:pPr>
      <w:r w:rsidRPr="00A92995">
        <w:rPr>
          <w:rStyle w:val="FootnoteReference"/>
          <w:szCs w:val="18"/>
        </w:rPr>
        <w:footnoteRef/>
      </w:r>
      <w:r w:rsidRPr="00A92995">
        <w:rPr>
          <w:sz w:val="18"/>
          <w:szCs w:val="18"/>
        </w:rPr>
        <w:t xml:space="preserve"> C. McLeod</w:t>
      </w:r>
      <w:r w:rsidRPr="00A92995">
        <w:rPr>
          <w:rFonts w:eastAsia="Times New Roman"/>
          <w:color w:val="1A1A1A"/>
          <w:sz w:val="18"/>
          <w:szCs w:val="18"/>
        </w:rPr>
        <w:t>, 2002, </w:t>
      </w:r>
      <w:r w:rsidRPr="00A92995">
        <w:rPr>
          <w:rFonts w:eastAsia="Times New Roman"/>
          <w:i/>
          <w:iCs/>
          <w:color w:val="1A1A1A"/>
          <w:sz w:val="18"/>
          <w:szCs w:val="18"/>
        </w:rPr>
        <w:t>Self-Trust and Reproductive Autonomy</w:t>
      </w:r>
      <w:r w:rsidRPr="00A92995">
        <w:rPr>
          <w:rFonts w:eastAsia="Times New Roman"/>
          <w:color w:val="1A1A1A"/>
          <w:sz w:val="18"/>
          <w:szCs w:val="18"/>
        </w:rPr>
        <w:t>, Cambridge, MA: MIT Press.</w:t>
      </w:r>
    </w:p>
  </w:footnote>
  <w:footnote w:id="76">
    <w:p w14:paraId="506C4A8B" w14:textId="1A3E2A08"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For McLeod, “</w:t>
      </w:r>
      <w:r>
        <w:rPr>
          <w:sz w:val="18"/>
          <w:szCs w:val="18"/>
        </w:rPr>
        <w:t xml:space="preserve">In </w:t>
      </w:r>
      <w:r w:rsidRPr="00A92995">
        <w:rPr>
          <w:sz w:val="18"/>
          <w:szCs w:val="18"/>
        </w:rPr>
        <w:t>acting autonomously, we strive to meet moral responsibilities to the self”</w:t>
      </w:r>
      <w:r>
        <w:rPr>
          <w:sz w:val="18"/>
          <w:szCs w:val="18"/>
        </w:rPr>
        <w:t>,</w:t>
      </w:r>
      <w:r w:rsidRPr="00A92995">
        <w:rPr>
          <w:sz w:val="18"/>
          <w:szCs w:val="18"/>
        </w:rPr>
        <w:t xml:space="preserve"> (C. McLeod 2002, p. 122).</w:t>
      </w:r>
      <w:r w:rsidRPr="00A92995">
        <w:rPr>
          <w:b/>
          <w:sz w:val="18"/>
          <w:szCs w:val="18"/>
        </w:rPr>
        <w:t xml:space="preserve"> </w:t>
      </w:r>
    </w:p>
  </w:footnote>
  <w:footnote w:id="77">
    <w:p w14:paraId="6574A996" w14:textId="5CCC39B2"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C. McLeod, 2002, p. 104.</w:t>
      </w:r>
    </w:p>
  </w:footnote>
  <w:footnote w:id="78">
    <w:p w14:paraId="479AB955" w14:textId="63F063ED" w:rsidR="00A63D1C" w:rsidRPr="00A92995" w:rsidRDefault="00A63D1C" w:rsidP="001A57DA">
      <w:pPr>
        <w:spacing w:before="100" w:beforeAutospacing="1" w:after="120" w:line="300" w:lineRule="atLeast"/>
        <w:rPr>
          <w:sz w:val="18"/>
          <w:szCs w:val="18"/>
        </w:rPr>
      </w:pPr>
      <w:r w:rsidRPr="00A92995">
        <w:rPr>
          <w:rStyle w:val="FootnoteReference"/>
          <w:szCs w:val="18"/>
        </w:rPr>
        <w:footnoteRef/>
      </w:r>
      <w:r w:rsidRPr="00A92995">
        <w:rPr>
          <w:sz w:val="18"/>
          <w:szCs w:val="18"/>
        </w:rPr>
        <w:t xml:space="preserve"> C. McLeod and S. Sherwin, 2000, p 266. </w:t>
      </w:r>
      <w:r w:rsidRPr="00A92995">
        <w:rPr>
          <w:rFonts w:eastAsia="Times New Roman"/>
          <w:color w:val="1A1A1A"/>
          <w:sz w:val="18"/>
          <w:szCs w:val="18"/>
        </w:rPr>
        <w:t>“Relational Autonomy, Self-Trust and Health Care for Patients who are Oppressed”, in Mackenzie and Stoljar 2000, pp. 259–279.</w:t>
      </w:r>
    </w:p>
  </w:footnote>
  <w:footnote w:id="79">
    <w:p w14:paraId="15C4C38E" w14:textId="5152241D" w:rsidR="00A63D1C" w:rsidRPr="00A92995" w:rsidRDefault="00A63D1C" w:rsidP="001A57DA">
      <w:pPr>
        <w:rPr>
          <w:sz w:val="18"/>
          <w:szCs w:val="18"/>
        </w:rPr>
      </w:pPr>
      <w:r w:rsidRPr="00A92995">
        <w:rPr>
          <w:rStyle w:val="FootnoteReference"/>
          <w:szCs w:val="18"/>
        </w:rPr>
        <w:footnoteRef/>
      </w:r>
      <w:r w:rsidRPr="00A92995">
        <w:rPr>
          <w:sz w:val="18"/>
          <w:szCs w:val="18"/>
        </w:rPr>
        <w:t xml:space="preserve"> S. Joannou, </w:t>
      </w:r>
      <w:r w:rsidRPr="00A92995">
        <w:rPr>
          <w:i/>
          <w:sz w:val="18"/>
          <w:szCs w:val="18"/>
        </w:rPr>
        <w:t>“</w:t>
      </w:r>
      <w:r w:rsidRPr="00A92995">
        <w:rPr>
          <w:sz w:val="18"/>
          <w:szCs w:val="18"/>
        </w:rPr>
        <w:t>Toward a Relational Account of Autonomy in Healthcare and Treatment Settings”,</w:t>
      </w:r>
      <w:r w:rsidRPr="00A92995">
        <w:rPr>
          <w:i/>
          <w:sz w:val="18"/>
          <w:szCs w:val="18"/>
        </w:rPr>
        <w:t xml:space="preserve"> </w:t>
      </w:r>
      <w:r w:rsidRPr="00A92995">
        <w:rPr>
          <w:sz w:val="18"/>
          <w:szCs w:val="18"/>
        </w:rPr>
        <w:t xml:space="preserve">in </w:t>
      </w:r>
      <w:r w:rsidRPr="00A92995">
        <w:rPr>
          <w:rFonts w:eastAsia="Times New Roman"/>
          <w:i/>
          <w:color w:val="231F20"/>
          <w:sz w:val="18"/>
          <w:szCs w:val="18"/>
          <w:bdr w:val="none" w:sz="0" w:space="0" w:color="auto" w:frame="1"/>
        </w:rPr>
        <w:t>Essays in the Philosophy of Humanism</w:t>
      </w:r>
      <w:r w:rsidRPr="00A92995">
        <w:rPr>
          <w:rFonts w:eastAsia="Times New Roman"/>
          <w:sz w:val="18"/>
          <w:szCs w:val="18"/>
        </w:rPr>
        <w:t>, Vol.</w:t>
      </w:r>
      <w:r w:rsidRPr="00A92995">
        <w:rPr>
          <w:rFonts w:eastAsia="Times New Roman"/>
          <w:color w:val="231F20"/>
          <w:sz w:val="18"/>
          <w:szCs w:val="18"/>
          <w:bdr w:val="none" w:sz="0" w:space="0" w:color="auto" w:frame="1"/>
        </w:rPr>
        <w:t> 24, No. 1 (2016)</w:t>
      </w:r>
      <w:r>
        <w:rPr>
          <w:rFonts w:eastAsia="Times New Roman"/>
          <w:color w:val="231F20"/>
          <w:sz w:val="18"/>
          <w:szCs w:val="18"/>
          <w:bdr w:val="none" w:sz="0" w:space="0" w:color="auto" w:frame="1"/>
        </w:rPr>
        <w:t>, p.</w:t>
      </w:r>
      <w:r w:rsidRPr="00A92995">
        <w:rPr>
          <w:rFonts w:eastAsia="Times New Roman"/>
          <w:color w:val="231F20"/>
          <w:sz w:val="18"/>
          <w:szCs w:val="18"/>
          <w:bdr w:val="none" w:sz="0" w:space="0" w:color="auto" w:frame="1"/>
        </w:rPr>
        <w:t> 1–20.</w:t>
      </w:r>
    </w:p>
  </w:footnote>
  <w:footnote w:id="80">
    <w:p w14:paraId="388ED19D" w14:textId="3CFDB126" w:rsidR="00A63D1C" w:rsidRPr="00A92995" w:rsidRDefault="00A63D1C" w:rsidP="00E71D78">
      <w:pPr>
        <w:rPr>
          <w:rFonts w:eastAsia="Times New Roman"/>
          <w:sz w:val="18"/>
          <w:szCs w:val="18"/>
        </w:rPr>
      </w:pPr>
      <w:r w:rsidRPr="00A92995">
        <w:rPr>
          <w:rStyle w:val="FootnoteReference"/>
          <w:szCs w:val="18"/>
        </w:rPr>
        <w:footnoteRef/>
      </w:r>
      <w:r w:rsidRPr="00A92995">
        <w:rPr>
          <w:sz w:val="18"/>
          <w:szCs w:val="18"/>
        </w:rPr>
        <w:t xml:space="preserve"> P. Benson, 1994, p. 660. </w:t>
      </w:r>
      <w:r w:rsidRPr="00A92995">
        <w:rPr>
          <w:rFonts w:eastAsia="Times New Roman"/>
          <w:color w:val="1A1A1A"/>
          <w:sz w:val="18"/>
          <w:szCs w:val="18"/>
          <w:shd w:val="clear" w:color="auto" w:fill="FFFFFF"/>
        </w:rPr>
        <w:t>“Free Agency and Self-Worth”, </w:t>
      </w:r>
      <w:r w:rsidRPr="00A92995">
        <w:rPr>
          <w:rFonts w:eastAsia="Times New Roman"/>
          <w:i/>
          <w:iCs/>
          <w:color w:val="1A1A1A"/>
          <w:sz w:val="18"/>
          <w:szCs w:val="18"/>
        </w:rPr>
        <w:t>Journal of Philosophy</w:t>
      </w:r>
      <w:r w:rsidRPr="00A92995">
        <w:rPr>
          <w:rFonts w:eastAsia="Times New Roman"/>
          <w:color w:val="1A1A1A"/>
          <w:sz w:val="18"/>
          <w:szCs w:val="18"/>
          <w:shd w:val="clear" w:color="auto" w:fill="FFFFFF"/>
        </w:rPr>
        <w:t xml:space="preserve">, </w:t>
      </w:r>
      <w:r>
        <w:rPr>
          <w:rFonts w:eastAsia="Times New Roman"/>
          <w:color w:val="1A1A1A"/>
          <w:sz w:val="18"/>
          <w:szCs w:val="18"/>
          <w:shd w:val="clear" w:color="auto" w:fill="FFFFFF"/>
        </w:rPr>
        <w:t xml:space="preserve">vol. </w:t>
      </w:r>
      <w:r w:rsidRPr="00A92995">
        <w:rPr>
          <w:rFonts w:eastAsia="Times New Roman"/>
          <w:color w:val="1A1A1A"/>
          <w:sz w:val="18"/>
          <w:szCs w:val="18"/>
          <w:shd w:val="clear" w:color="auto" w:fill="FFFFFF"/>
        </w:rPr>
        <w:t xml:space="preserve">91: </w:t>
      </w:r>
      <w:r>
        <w:rPr>
          <w:rFonts w:eastAsia="Times New Roman"/>
          <w:color w:val="1A1A1A"/>
          <w:sz w:val="18"/>
          <w:szCs w:val="18"/>
          <w:shd w:val="clear" w:color="auto" w:fill="FFFFFF"/>
        </w:rPr>
        <w:t xml:space="preserve">pp. </w:t>
      </w:r>
      <w:r w:rsidRPr="00A92995">
        <w:rPr>
          <w:rFonts w:eastAsia="Times New Roman"/>
          <w:color w:val="1A1A1A"/>
          <w:sz w:val="18"/>
          <w:szCs w:val="18"/>
          <w:shd w:val="clear" w:color="auto" w:fill="FFFFFF"/>
        </w:rPr>
        <w:t>650–668.</w:t>
      </w:r>
    </w:p>
  </w:footnote>
  <w:footnote w:id="81">
    <w:p w14:paraId="5A0C4242" w14:textId="2595E86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P. Benson, 1994, p. 555–7.</w:t>
      </w:r>
    </w:p>
  </w:footnote>
  <w:footnote w:id="82">
    <w:p w14:paraId="5479F4B2" w14:textId="57404746"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P. Benson, 1994, p</w:t>
      </w:r>
      <w:r>
        <w:rPr>
          <w:sz w:val="18"/>
          <w:szCs w:val="18"/>
        </w:rPr>
        <w:t>.</w:t>
      </w:r>
      <w:r w:rsidRPr="00A92995">
        <w:rPr>
          <w:sz w:val="18"/>
          <w:szCs w:val="18"/>
        </w:rPr>
        <w:t xml:space="preserve"> 659.</w:t>
      </w:r>
    </w:p>
  </w:footnote>
  <w:footnote w:id="83">
    <w:p w14:paraId="665BCD7B" w14:textId="5AA9FBB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DSM V, p</w:t>
      </w:r>
      <w:r>
        <w:rPr>
          <w:sz w:val="18"/>
          <w:szCs w:val="18"/>
        </w:rPr>
        <w:t>.</w:t>
      </w:r>
      <w:r w:rsidRPr="00A92995">
        <w:rPr>
          <w:sz w:val="18"/>
          <w:szCs w:val="18"/>
        </w:rPr>
        <w:t xml:space="preserve"> 163.</w:t>
      </w:r>
    </w:p>
  </w:footnote>
  <w:footnote w:id="84">
    <w:p w14:paraId="6AE6C3C5" w14:textId="7777777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An update of the DSM V in August 2015 has removed the criterion of “goal directed activity” from the diagnosis for a manic episode. </w:t>
      </w:r>
    </w:p>
  </w:footnote>
  <w:footnote w:id="85">
    <w:p w14:paraId="31F13F79" w14:textId="462ABC5A"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DSM V, p</w:t>
      </w:r>
      <w:r>
        <w:rPr>
          <w:sz w:val="18"/>
          <w:szCs w:val="18"/>
        </w:rPr>
        <w:t>.</w:t>
      </w:r>
      <w:r w:rsidRPr="00A92995">
        <w:rPr>
          <w:sz w:val="18"/>
          <w:szCs w:val="18"/>
        </w:rPr>
        <w:t xml:space="preserve"> 124. Further, the episode must not be attributable to the physiological effects of a substance, a medication, or another medical condition.</w:t>
      </w:r>
    </w:p>
  </w:footnote>
  <w:footnote w:id="86">
    <w:p w14:paraId="65D9BEB2" w14:textId="44B6549B" w:rsidR="00A63D1C" w:rsidRPr="00A92995" w:rsidRDefault="00A63D1C" w:rsidP="009B012B">
      <w:pPr>
        <w:pStyle w:val="FootnoteText"/>
        <w:rPr>
          <w:sz w:val="18"/>
          <w:szCs w:val="18"/>
        </w:rPr>
      </w:pPr>
      <w:r w:rsidRPr="00A92995">
        <w:rPr>
          <w:rStyle w:val="FootnoteReference"/>
          <w:color w:val="000000" w:themeColor="text1"/>
          <w:szCs w:val="18"/>
        </w:rPr>
        <w:footnoteRef/>
      </w:r>
      <w:r w:rsidRPr="00A92995">
        <w:rPr>
          <w:sz w:val="18"/>
          <w:szCs w:val="18"/>
        </w:rPr>
        <w:t xml:space="preserve"> M. Reimer, “Reflections of Insight Dilemmas, Paradoxes, and Puzzles”, in </w:t>
      </w:r>
      <w:r w:rsidRPr="00A92995">
        <w:rPr>
          <w:i/>
          <w:sz w:val="18"/>
          <w:szCs w:val="18"/>
        </w:rPr>
        <w:t>Philosophy, Psychiatry, &amp; Psychology</w:t>
      </w:r>
      <w:r w:rsidRPr="00A92995">
        <w:rPr>
          <w:sz w:val="18"/>
          <w:szCs w:val="18"/>
        </w:rPr>
        <w:t xml:space="preserve">, </w:t>
      </w:r>
      <w:r>
        <w:rPr>
          <w:sz w:val="18"/>
          <w:szCs w:val="18"/>
        </w:rPr>
        <w:t>v</w:t>
      </w:r>
      <w:r w:rsidRPr="00A92995">
        <w:rPr>
          <w:sz w:val="18"/>
          <w:szCs w:val="18"/>
        </w:rPr>
        <w:t>ol. 17, No. 1, March 2010, pp. 85-89.</w:t>
      </w:r>
    </w:p>
  </w:footnote>
  <w:footnote w:id="87">
    <w:p w14:paraId="4339AD0C" w14:textId="5C9D862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 Erler and T. Hope, “Mental Disorder and the Concept of Authenticity”, in </w:t>
      </w:r>
      <w:r w:rsidRPr="00A92995">
        <w:rPr>
          <w:i/>
          <w:sz w:val="18"/>
          <w:szCs w:val="18"/>
        </w:rPr>
        <w:t>Philosophy, Psychiatry, &amp; Psychology</w:t>
      </w:r>
      <w:r w:rsidRPr="00A92995">
        <w:rPr>
          <w:sz w:val="18"/>
          <w:szCs w:val="18"/>
        </w:rPr>
        <w:t xml:space="preserve">, </w:t>
      </w:r>
      <w:r>
        <w:rPr>
          <w:sz w:val="18"/>
          <w:szCs w:val="18"/>
        </w:rPr>
        <w:t>v</w:t>
      </w:r>
      <w:r w:rsidRPr="00A92995">
        <w:rPr>
          <w:sz w:val="18"/>
          <w:szCs w:val="18"/>
        </w:rPr>
        <w:t>ol. 21, No. 3. September 2014, pp</w:t>
      </w:r>
      <w:r>
        <w:rPr>
          <w:sz w:val="18"/>
          <w:szCs w:val="18"/>
        </w:rPr>
        <w:t xml:space="preserve">. </w:t>
      </w:r>
      <w:r w:rsidRPr="00A92995">
        <w:rPr>
          <w:sz w:val="18"/>
          <w:szCs w:val="18"/>
        </w:rPr>
        <w:t>219-231.</w:t>
      </w:r>
    </w:p>
  </w:footnote>
  <w:footnote w:id="88">
    <w:p w14:paraId="3543F3CF" w14:textId="710A506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 147.</w:t>
      </w:r>
    </w:p>
  </w:footnote>
  <w:footnote w:id="89">
    <w:p w14:paraId="221E7B4D" w14:textId="327D5649" w:rsidR="00A63D1C" w:rsidRPr="00A92995" w:rsidRDefault="00A63D1C" w:rsidP="009B012B">
      <w:pPr>
        <w:pStyle w:val="FootnoteText"/>
        <w:rPr>
          <w:rStyle w:val="FootnoteReference"/>
          <w:szCs w:val="18"/>
          <w:vertAlign w:val="baseline"/>
        </w:rPr>
      </w:pPr>
      <w:r w:rsidRPr="00A92995">
        <w:rPr>
          <w:rStyle w:val="FootnoteReference"/>
          <w:szCs w:val="18"/>
        </w:rPr>
        <w:footnoteRef/>
      </w:r>
      <w:r w:rsidRPr="00A92995">
        <w:rPr>
          <w:rStyle w:val="FootnoteReference"/>
          <w:szCs w:val="18"/>
          <w:vertAlign w:val="baseline"/>
        </w:rPr>
        <w:t xml:space="preserve"> S. Tekin, 2014, </w:t>
      </w:r>
      <w:r w:rsidRPr="006F7A80">
        <w:rPr>
          <w:sz w:val="18"/>
          <w:szCs w:val="18"/>
        </w:rPr>
        <w:t xml:space="preserve">p. </w:t>
      </w:r>
      <w:r w:rsidRPr="006F7A80">
        <w:rPr>
          <w:rStyle w:val="FootnoteReference"/>
          <w:szCs w:val="18"/>
          <w:vertAlign w:val="baseline"/>
        </w:rPr>
        <w:t>147</w:t>
      </w:r>
      <w:r w:rsidRPr="00A92995">
        <w:rPr>
          <w:rStyle w:val="FootnoteReference"/>
          <w:szCs w:val="18"/>
          <w:vertAlign w:val="baseline"/>
        </w:rPr>
        <w:t>.</w:t>
      </w:r>
    </w:p>
  </w:footnote>
  <w:footnote w:id="90">
    <w:p w14:paraId="667CFDB3" w14:textId="0D6400B8"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141. Tekin quotes R.E. Thayer, ‘The Biopsychology of Mood and Arousal’. New York, New York: Oxford University Press (1998).</w:t>
      </w:r>
    </w:p>
  </w:footnote>
  <w:footnote w:id="91">
    <w:p w14:paraId="641D9BA2" w14:textId="507C504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141.</w:t>
      </w:r>
    </w:p>
  </w:footnote>
  <w:footnote w:id="92">
    <w:p w14:paraId="5EE88D5C" w14:textId="4C20D843"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140.</w:t>
      </w:r>
    </w:p>
  </w:footnote>
  <w:footnote w:id="93">
    <w:p w14:paraId="5AE2AF3C" w14:textId="03C6562C"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p</w:t>
      </w:r>
      <w:r>
        <w:rPr>
          <w:sz w:val="18"/>
          <w:szCs w:val="18"/>
        </w:rPr>
        <w:t>.</w:t>
      </w:r>
      <w:r w:rsidRPr="00A92995">
        <w:rPr>
          <w:sz w:val="18"/>
          <w:szCs w:val="18"/>
        </w:rPr>
        <w:t xml:space="preserve"> 142. See also J. Z. Sadler, 2005. </w:t>
      </w:r>
      <w:r w:rsidRPr="00A92995">
        <w:rPr>
          <w:i/>
          <w:sz w:val="18"/>
          <w:szCs w:val="18"/>
        </w:rPr>
        <w:t xml:space="preserve">Values and Psychiatric Diagnosis. </w:t>
      </w:r>
      <w:r w:rsidRPr="00A92995">
        <w:rPr>
          <w:sz w:val="18"/>
          <w:szCs w:val="18"/>
        </w:rPr>
        <w:t>Oxford: Oxford University Press. p</w:t>
      </w:r>
      <w:r>
        <w:rPr>
          <w:sz w:val="18"/>
          <w:szCs w:val="18"/>
        </w:rPr>
        <w:t>.</w:t>
      </w:r>
      <w:r w:rsidRPr="00A92995">
        <w:rPr>
          <w:sz w:val="18"/>
          <w:szCs w:val="18"/>
        </w:rPr>
        <w:t xml:space="preserve"> 177.</w:t>
      </w:r>
    </w:p>
  </w:footnote>
  <w:footnote w:id="94">
    <w:p w14:paraId="1A83F7C3" w14:textId="5EEA097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citing J. Sadler, 2014</w:t>
      </w:r>
      <w:r>
        <w:rPr>
          <w:sz w:val="18"/>
          <w:szCs w:val="18"/>
        </w:rPr>
        <w:t>,</w:t>
      </w:r>
      <w:r w:rsidRPr="00A92995">
        <w:rPr>
          <w:sz w:val="18"/>
          <w:szCs w:val="18"/>
        </w:rPr>
        <w:t xml:space="preserve"> p</w:t>
      </w:r>
      <w:r>
        <w:rPr>
          <w:sz w:val="18"/>
          <w:szCs w:val="18"/>
        </w:rPr>
        <w:t>.</w:t>
      </w:r>
      <w:r w:rsidRPr="00A92995">
        <w:rPr>
          <w:sz w:val="18"/>
          <w:szCs w:val="18"/>
        </w:rPr>
        <w:t xml:space="preserve"> 143.</w:t>
      </w:r>
    </w:p>
  </w:footnote>
  <w:footnote w:id="95">
    <w:p w14:paraId="53C4B88C" w14:textId="537A5AD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144.</w:t>
      </w:r>
    </w:p>
  </w:footnote>
  <w:footnote w:id="96">
    <w:p w14:paraId="3CE8C25A" w14:textId="17FCF6C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 </w:t>
      </w:r>
      <w:r>
        <w:rPr>
          <w:sz w:val="18"/>
          <w:szCs w:val="18"/>
        </w:rPr>
        <w:t>.</w:t>
      </w:r>
      <w:r w:rsidRPr="00A92995">
        <w:rPr>
          <w:sz w:val="18"/>
          <w:szCs w:val="18"/>
        </w:rPr>
        <w:t>144.</w:t>
      </w:r>
    </w:p>
  </w:footnote>
  <w:footnote w:id="97">
    <w:p w14:paraId="4874DB53" w14:textId="5E93FAFF"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w:t>
      </w:r>
      <w:r>
        <w:rPr>
          <w:sz w:val="18"/>
          <w:szCs w:val="18"/>
        </w:rPr>
        <w:t>.</w:t>
      </w:r>
      <w:r w:rsidRPr="00A92995">
        <w:rPr>
          <w:sz w:val="18"/>
          <w:szCs w:val="18"/>
        </w:rPr>
        <w:t xml:space="preserve"> 145.</w:t>
      </w:r>
    </w:p>
  </w:footnote>
  <w:footnote w:id="98">
    <w:p w14:paraId="4151C378" w14:textId="788F782A"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 147.</w:t>
      </w:r>
    </w:p>
  </w:footnote>
  <w:footnote w:id="99">
    <w:p w14:paraId="460ED6D2" w14:textId="3237B1C7"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 Tekin, 2014, p. 147.</w:t>
      </w:r>
    </w:p>
  </w:footnote>
  <w:footnote w:id="100">
    <w:p w14:paraId="4253FDB2" w14:textId="35680431"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This line of reasoning reflects Frankfurt’s later amendments to his account of personal autonomy, where he requires that an agent wholeheartedly identifies with, or correlatively, wholeheartedly dissociates from, any motivational structures which he does not endorse, or which have been formulated as the result of coercion or other undue external manipulation. I maintain the response to this which argues that there is no higher-order motivational structure that is immune to the effects of socialization and cognitive bias. Further, the requirement of wholeheartedness eliminates the possibility of ambivalence which is a feature that must be accounted for, especially if agents accept their identities as intersectional, thus open to conflicting beliefs and desires. </w:t>
      </w:r>
    </w:p>
  </w:footnote>
  <w:footnote w:id="101">
    <w:p w14:paraId="2B38737A" w14:textId="711A5691" w:rsidR="00A63D1C" w:rsidRPr="006F7A80" w:rsidRDefault="00A63D1C" w:rsidP="009B012B">
      <w:pPr>
        <w:pStyle w:val="FootnoteText"/>
        <w:rPr>
          <w:sz w:val="18"/>
          <w:szCs w:val="18"/>
        </w:rPr>
      </w:pPr>
      <w:r w:rsidRPr="006F7A80">
        <w:rPr>
          <w:rStyle w:val="FootnoteReference"/>
          <w:szCs w:val="18"/>
        </w:rPr>
        <w:footnoteRef/>
      </w:r>
      <w:r w:rsidRPr="006F7A80">
        <w:rPr>
          <w:sz w:val="18"/>
          <w:szCs w:val="18"/>
        </w:rPr>
        <w:t xml:space="preserve"> S. Tekin, 2014, p. 149.</w:t>
      </w:r>
    </w:p>
  </w:footnote>
  <w:footnote w:id="102">
    <w:p w14:paraId="5944C392" w14:textId="1DABFC48" w:rsidR="00A63D1C" w:rsidRPr="00A92995" w:rsidRDefault="00A63D1C" w:rsidP="003A6F14">
      <w:pPr>
        <w:rPr>
          <w:rFonts w:eastAsia="Times New Roman"/>
          <w:sz w:val="18"/>
          <w:szCs w:val="18"/>
        </w:rPr>
      </w:pPr>
      <w:r w:rsidRPr="006F7A80">
        <w:rPr>
          <w:rStyle w:val="FootnoteReference"/>
          <w:szCs w:val="18"/>
        </w:rPr>
        <w:footnoteRef/>
      </w:r>
      <w:r w:rsidRPr="006F7A80">
        <w:rPr>
          <w:sz w:val="18"/>
          <w:szCs w:val="18"/>
        </w:rPr>
        <w:t xml:space="preserve"> Perhaps the most noteworthy authors in the field of anti-psychiatry are Thomas Szasz, </w:t>
      </w:r>
      <w:r w:rsidRPr="006F7A80">
        <w:rPr>
          <w:rFonts w:eastAsia="Times New Roman"/>
          <w:i/>
          <w:iCs/>
          <w:sz w:val="18"/>
          <w:szCs w:val="18"/>
        </w:rPr>
        <w:t>The Myth of Mental Illness: Foundations of a Theory of Personal Conduct</w:t>
      </w:r>
      <w:r w:rsidRPr="006F7A80">
        <w:rPr>
          <w:rFonts w:eastAsia="Times New Roman"/>
          <w:sz w:val="18"/>
          <w:szCs w:val="18"/>
          <w:shd w:val="clear" w:color="auto" w:fill="FFFFFF"/>
        </w:rPr>
        <w:t>. Harper &amp; Row. 1974 [1961]</w:t>
      </w:r>
      <w:r w:rsidRPr="00F67089">
        <w:rPr>
          <w:rFonts w:eastAsia="Times New Roman"/>
          <w:sz w:val="18"/>
          <w:szCs w:val="18"/>
        </w:rPr>
        <w:t xml:space="preserve">, </w:t>
      </w:r>
      <w:r w:rsidRPr="003E2781">
        <w:rPr>
          <w:sz w:val="18"/>
          <w:szCs w:val="18"/>
        </w:rPr>
        <w:t>and R.D. Laing,</w:t>
      </w:r>
      <w:r w:rsidRPr="003E2781">
        <w:rPr>
          <w:rStyle w:val="apple-converted-space"/>
          <w:rFonts w:eastAsia="Times New Roman"/>
          <w:sz w:val="18"/>
          <w:szCs w:val="18"/>
          <w:shd w:val="clear" w:color="auto" w:fill="FFFFFF"/>
        </w:rPr>
        <w:t> </w:t>
      </w:r>
      <w:hyperlink r:id="rId3" w:tooltip="The Politics of Experience and the Bird of Paradise" w:history="1">
        <w:r w:rsidRPr="006F7A80">
          <w:rPr>
            <w:rStyle w:val="Hyperlink"/>
            <w:rFonts w:eastAsia="Times New Roman"/>
            <w:i/>
            <w:iCs/>
            <w:color w:val="auto"/>
            <w:sz w:val="18"/>
            <w:szCs w:val="18"/>
            <w:u w:val="none"/>
          </w:rPr>
          <w:t>The Politics of Experience and the Bird of Paradise</w:t>
        </w:r>
      </w:hyperlink>
      <w:r w:rsidRPr="006F7A80">
        <w:rPr>
          <w:rFonts w:eastAsia="Times New Roman"/>
          <w:sz w:val="18"/>
          <w:szCs w:val="18"/>
          <w:shd w:val="clear" w:color="auto" w:fill="FFFFFF"/>
        </w:rPr>
        <w:t xml:space="preserve">. </w:t>
      </w:r>
      <w:proofErr w:type="spellStart"/>
      <w:r w:rsidRPr="006F7A80">
        <w:rPr>
          <w:rFonts w:eastAsia="Times New Roman"/>
          <w:sz w:val="18"/>
          <w:szCs w:val="18"/>
          <w:shd w:val="clear" w:color="auto" w:fill="FFFFFF"/>
        </w:rPr>
        <w:t>Harmondsworth</w:t>
      </w:r>
      <w:proofErr w:type="spellEnd"/>
      <w:r w:rsidRPr="006F7A80">
        <w:rPr>
          <w:rFonts w:eastAsia="Times New Roman"/>
          <w:sz w:val="18"/>
          <w:szCs w:val="18"/>
          <w:shd w:val="clear" w:color="auto" w:fill="FFFFFF"/>
        </w:rPr>
        <w:t xml:space="preserve">: Penguin (1967). For a review of their arguments, where they agreed, and the effects of their work on the subsequent rise of the anti-psychiatry movement, see R. Roberts and T. </w:t>
      </w:r>
      <w:proofErr w:type="spellStart"/>
      <w:r w:rsidRPr="006F7A80">
        <w:rPr>
          <w:rFonts w:eastAsia="Times New Roman"/>
          <w:sz w:val="18"/>
          <w:szCs w:val="18"/>
          <w:shd w:val="clear" w:color="auto" w:fill="FFFFFF"/>
        </w:rPr>
        <w:t>Itten</w:t>
      </w:r>
      <w:proofErr w:type="spellEnd"/>
      <w:r w:rsidRPr="006F7A80">
        <w:rPr>
          <w:rFonts w:eastAsia="Times New Roman"/>
          <w:sz w:val="18"/>
          <w:szCs w:val="18"/>
          <w:shd w:val="clear" w:color="auto" w:fill="FFFFFF"/>
        </w:rPr>
        <w:t>, “Laing and Szasz: Anti-Psychiatry,</w:t>
      </w:r>
      <w:r w:rsidRPr="00A92995">
        <w:rPr>
          <w:rFonts w:eastAsia="Times New Roman"/>
          <w:sz w:val="18"/>
          <w:szCs w:val="18"/>
          <w:shd w:val="clear" w:color="auto" w:fill="FFFFFF"/>
        </w:rPr>
        <w:t xml:space="preserve"> Capitalism, and Therapy”,</w:t>
      </w:r>
      <w:r w:rsidRPr="00A92995">
        <w:rPr>
          <w:rFonts w:eastAsia="Times New Roman"/>
          <w:sz w:val="18"/>
          <w:szCs w:val="18"/>
        </w:rPr>
        <w:t xml:space="preserve"> in </w:t>
      </w:r>
      <w:r w:rsidRPr="00A92995">
        <w:rPr>
          <w:rFonts w:eastAsia="Times New Roman"/>
          <w:i/>
          <w:sz w:val="18"/>
          <w:szCs w:val="18"/>
        </w:rPr>
        <w:t xml:space="preserve">Psychoanalytic Review, </w:t>
      </w:r>
      <w:r w:rsidRPr="00A92995">
        <w:rPr>
          <w:rFonts w:eastAsia="Times New Roman"/>
          <w:sz w:val="18"/>
          <w:szCs w:val="18"/>
        </w:rPr>
        <w:t xml:space="preserve">vol. 93, No. 5., October 2006. For a look into the popularization of anti-psychiatry sentiments, see L. R. </w:t>
      </w:r>
      <w:r w:rsidRPr="00A92995">
        <w:rPr>
          <w:rFonts w:eastAsia="Times New Roman"/>
          <w:spacing w:val="2"/>
          <w:sz w:val="18"/>
          <w:szCs w:val="18"/>
          <w:shd w:val="clear" w:color="auto" w:fill="FCFCFC"/>
        </w:rPr>
        <w:t xml:space="preserve">Hubbard, “Dianetics: The Modern Science of Mental Health; A handbook of dianetic therapy”, </w:t>
      </w:r>
      <w:r w:rsidRPr="00A92995">
        <w:rPr>
          <w:rFonts w:eastAsia="Times New Roman"/>
          <w:sz w:val="18"/>
          <w:szCs w:val="18"/>
          <w:shd w:val="clear" w:color="auto" w:fill="FFFFFF"/>
        </w:rPr>
        <w:t xml:space="preserve">Bridge Publications, Inc., 1968; and </w:t>
      </w:r>
      <w:r w:rsidRPr="00A92995">
        <w:rPr>
          <w:rFonts w:eastAsia="Times New Roman"/>
          <w:sz w:val="18"/>
          <w:szCs w:val="18"/>
        </w:rPr>
        <w:t xml:space="preserve">W. Vaughn McCall, “Psychiatry and Psychology in the Writings of L. Ron Hubbard” in </w:t>
      </w:r>
      <w:r w:rsidRPr="00A92995">
        <w:rPr>
          <w:rFonts w:eastAsia="Times New Roman"/>
          <w:i/>
          <w:sz w:val="18"/>
          <w:szCs w:val="18"/>
        </w:rPr>
        <w:t xml:space="preserve">Journal of Religion and Health, </w:t>
      </w:r>
      <w:r>
        <w:rPr>
          <w:rFonts w:eastAsia="Times New Roman"/>
          <w:sz w:val="18"/>
          <w:szCs w:val="18"/>
        </w:rPr>
        <w:t>v</w:t>
      </w:r>
      <w:r w:rsidRPr="00A92995">
        <w:rPr>
          <w:rFonts w:eastAsia="Times New Roman"/>
          <w:sz w:val="18"/>
          <w:szCs w:val="18"/>
        </w:rPr>
        <w:t>ol. 46. No. 3, pp. 437 – 447.</w:t>
      </w:r>
    </w:p>
  </w:footnote>
  <w:footnote w:id="103">
    <w:p w14:paraId="2FB2D2AF" w14:textId="0D09BF46"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K.R. Jamison, </w:t>
      </w:r>
      <w:r w:rsidRPr="00A92995">
        <w:rPr>
          <w:i/>
          <w:sz w:val="18"/>
          <w:szCs w:val="18"/>
        </w:rPr>
        <w:t xml:space="preserve">An Unquiet Mind, </w:t>
      </w:r>
      <w:r w:rsidRPr="00A92995">
        <w:rPr>
          <w:sz w:val="18"/>
          <w:szCs w:val="18"/>
        </w:rPr>
        <w:t>1995, p</w:t>
      </w:r>
      <w:r>
        <w:rPr>
          <w:sz w:val="18"/>
          <w:szCs w:val="18"/>
        </w:rPr>
        <w:t xml:space="preserve">. </w:t>
      </w:r>
      <w:r w:rsidRPr="00A92995">
        <w:rPr>
          <w:sz w:val="18"/>
          <w:szCs w:val="18"/>
        </w:rPr>
        <w:t>15.</w:t>
      </w:r>
    </w:p>
  </w:footnote>
  <w:footnote w:id="104">
    <w:p w14:paraId="7A49425C" w14:textId="49FB945B"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 Erler and T. Hope, 2014, p</w:t>
      </w:r>
      <w:r>
        <w:rPr>
          <w:sz w:val="18"/>
          <w:szCs w:val="18"/>
        </w:rPr>
        <w:t>.</w:t>
      </w:r>
      <w:r w:rsidRPr="00A92995">
        <w:rPr>
          <w:sz w:val="18"/>
          <w:szCs w:val="18"/>
        </w:rPr>
        <w:t xml:space="preserve"> 119.</w:t>
      </w:r>
    </w:p>
  </w:footnote>
  <w:footnote w:id="105">
    <w:p w14:paraId="6783CBDD" w14:textId="53773C2D"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A92995">
        <w:rPr>
          <w:i/>
          <w:sz w:val="18"/>
          <w:szCs w:val="18"/>
        </w:rPr>
        <w:t>Ibid</w:t>
      </w:r>
      <w:r w:rsidRPr="00A92995">
        <w:rPr>
          <w:sz w:val="18"/>
          <w:szCs w:val="18"/>
        </w:rPr>
        <w:t>, 2014, p</w:t>
      </w:r>
      <w:r>
        <w:rPr>
          <w:sz w:val="18"/>
          <w:szCs w:val="18"/>
        </w:rPr>
        <w:t>.</w:t>
      </w:r>
      <w:r w:rsidRPr="00A92995">
        <w:rPr>
          <w:sz w:val="18"/>
          <w:szCs w:val="18"/>
        </w:rPr>
        <w:t xml:space="preserve"> 221.</w:t>
      </w:r>
    </w:p>
  </w:footnote>
  <w:footnote w:id="106">
    <w:p w14:paraId="4630D4A5" w14:textId="204C7160"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A. Erler and T. Hope, 2014, p</w:t>
      </w:r>
      <w:r>
        <w:rPr>
          <w:sz w:val="18"/>
          <w:szCs w:val="18"/>
        </w:rPr>
        <w:t>.</w:t>
      </w:r>
      <w:r w:rsidRPr="00A92995">
        <w:rPr>
          <w:sz w:val="18"/>
          <w:szCs w:val="18"/>
        </w:rPr>
        <w:t xml:space="preserve"> 220.</w:t>
      </w:r>
    </w:p>
  </w:footnote>
  <w:footnote w:id="107">
    <w:p w14:paraId="5A5AA557" w14:textId="17FF7352"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D. A. Karp, </w:t>
      </w:r>
      <w:r w:rsidRPr="00A92995">
        <w:rPr>
          <w:i/>
          <w:sz w:val="18"/>
          <w:szCs w:val="18"/>
        </w:rPr>
        <w:t xml:space="preserve">Is it me or My Meds? </w:t>
      </w:r>
      <w:r w:rsidRPr="00A92995">
        <w:rPr>
          <w:sz w:val="18"/>
          <w:szCs w:val="18"/>
        </w:rPr>
        <w:t>Cambridge, MA: Harvard University Press, 2006, p</w:t>
      </w:r>
      <w:r>
        <w:rPr>
          <w:sz w:val="18"/>
          <w:szCs w:val="18"/>
        </w:rPr>
        <w:t xml:space="preserve">. </w:t>
      </w:r>
      <w:r w:rsidRPr="00A92995">
        <w:rPr>
          <w:sz w:val="18"/>
          <w:szCs w:val="18"/>
        </w:rPr>
        <w:t xml:space="preserve">119. </w:t>
      </w:r>
    </w:p>
  </w:footnote>
  <w:footnote w:id="108">
    <w:p w14:paraId="6285EDEB" w14:textId="3DF7D43A"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Smith and Newton, 1984, p</w:t>
      </w:r>
      <w:r>
        <w:rPr>
          <w:sz w:val="18"/>
          <w:szCs w:val="18"/>
        </w:rPr>
        <w:t>.</w:t>
      </w:r>
      <w:r w:rsidRPr="00A92995">
        <w:rPr>
          <w:sz w:val="18"/>
          <w:szCs w:val="18"/>
        </w:rPr>
        <w:t xml:space="preserve"> 50.</w:t>
      </w:r>
    </w:p>
  </w:footnote>
  <w:footnote w:id="109">
    <w:p w14:paraId="3F38ABB8" w14:textId="58CFEB33" w:rsidR="00A63D1C" w:rsidRPr="00A92995" w:rsidRDefault="00A63D1C" w:rsidP="009B012B">
      <w:pPr>
        <w:pStyle w:val="FootnoteText"/>
        <w:rPr>
          <w:i/>
          <w:sz w:val="18"/>
          <w:szCs w:val="18"/>
        </w:rPr>
      </w:pPr>
      <w:r w:rsidRPr="00A92995">
        <w:rPr>
          <w:rStyle w:val="FootnoteReference"/>
          <w:szCs w:val="18"/>
        </w:rPr>
        <w:footnoteRef/>
      </w:r>
      <w:r w:rsidRPr="00A92995">
        <w:rPr>
          <w:sz w:val="18"/>
          <w:szCs w:val="18"/>
        </w:rPr>
        <w:t xml:space="preserve"> M. Greenspan, </w:t>
      </w:r>
      <w:r w:rsidRPr="00A92995">
        <w:rPr>
          <w:i/>
          <w:sz w:val="18"/>
          <w:szCs w:val="18"/>
        </w:rPr>
        <w:t>A New Approach to Women and Therapy,</w:t>
      </w:r>
      <w:r w:rsidRPr="00A92995">
        <w:rPr>
          <w:sz w:val="18"/>
          <w:szCs w:val="18"/>
        </w:rPr>
        <w:t xml:space="preserve"> (1983).</w:t>
      </w:r>
      <w:r w:rsidRPr="00A92995">
        <w:rPr>
          <w:i/>
          <w:sz w:val="18"/>
          <w:szCs w:val="18"/>
        </w:rPr>
        <w:t xml:space="preserve"> </w:t>
      </w:r>
      <w:r w:rsidRPr="00A92995">
        <w:rPr>
          <w:sz w:val="18"/>
          <w:szCs w:val="18"/>
        </w:rPr>
        <w:t xml:space="preserve">New York, NY, McGraw Hill as quoted in M. Hill and M. Ballou, </w:t>
      </w:r>
      <w:r w:rsidRPr="00A92995">
        <w:rPr>
          <w:i/>
          <w:sz w:val="18"/>
          <w:szCs w:val="18"/>
        </w:rPr>
        <w:t>The Foundation, and Future of Feminist Therapy,</w:t>
      </w:r>
      <w:r w:rsidRPr="00A92995">
        <w:rPr>
          <w:sz w:val="18"/>
          <w:szCs w:val="18"/>
        </w:rPr>
        <w:t xml:space="preserve"> (2005). Haworth Press, p. 16-18. </w:t>
      </w:r>
    </w:p>
  </w:footnote>
  <w:footnote w:id="110">
    <w:p w14:paraId="364A9BE5" w14:textId="6C95F4F9"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Hill and Ballou, 2005, p</w:t>
      </w:r>
      <w:r>
        <w:rPr>
          <w:sz w:val="18"/>
          <w:szCs w:val="18"/>
        </w:rPr>
        <w:t xml:space="preserve">. </w:t>
      </w:r>
      <w:r w:rsidRPr="00A92995">
        <w:rPr>
          <w:sz w:val="18"/>
          <w:szCs w:val="18"/>
        </w:rPr>
        <w:t>17.</w:t>
      </w:r>
    </w:p>
  </w:footnote>
  <w:footnote w:id="111">
    <w:p w14:paraId="0297BE73" w14:textId="75E617E2"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Hill and Ballou, 2005, p</w:t>
      </w:r>
      <w:r>
        <w:rPr>
          <w:sz w:val="18"/>
          <w:szCs w:val="18"/>
        </w:rPr>
        <w:t xml:space="preserve">. </w:t>
      </w:r>
      <w:r w:rsidRPr="00A92995">
        <w:rPr>
          <w:sz w:val="18"/>
          <w:szCs w:val="18"/>
        </w:rPr>
        <w:t>17.</w:t>
      </w:r>
    </w:p>
  </w:footnote>
  <w:footnote w:id="112">
    <w:p w14:paraId="674B729C" w14:textId="0F917335" w:rsidR="00A63D1C" w:rsidRPr="00A92995" w:rsidRDefault="00A63D1C" w:rsidP="009B012B">
      <w:pPr>
        <w:pStyle w:val="FootnoteText"/>
        <w:rPr>
          <w:sz w:val="18"/>
          <w:szCs w:val="18"/>
        </w:rPr>
      </w:pPr>
      <w:r w:rsidRPr="00A92995">
        <w:rPr>
          <w:rStyle w:val="FootnoteReference"/>
          <w:szCs w:val="18"/>
        </w:rPr>
        <w:footnoteRef/>
      </w:r>
      <w:r w:rsidRPr="00A92995">
        <w:rPr>
          <w:sz w:val="18"/>
          <w:szCs w:val="18"/>
        </w:rPr>
        <w:t xml:space="preserve"> </w:t>
      </w:r>
      <w:r w:rsidRPr="00A92995">
        <w:rPr>
          <w:i/>
          <w:sz w:val="18"/>
          <w:szCs w:val="18"/>
        </w:rPr>
        <w:t>Ibid</w:t>
      </w:r>
      <w:r w:rsidRPr="00A92995">
        <w:rPr>
          <w:sz w:val="18"/>
          <w:szCs w:val="18"/>
        </w:rPr>
        <w:t>.</w:t>
      </w:r>
    </w:p>
  </w:footnote>
  <w:footnote w:id="113">
    <w:p w14:paraId="5478C361" w14:textId="10328988" w:rsidR="00A63D1C" w:rsidRPr="00A92995" w:rsidRDefault="00A63D1C" w:rsidP="008C12DB">
      <w:pPr>
        <w:rPr>
          <w:sz w:val="18"/>
          <w:szCs w:val="18"/>
        </w:rPr>
      </w:pPr>
      <w:r w:rsidRPr="003E2781">
        <w:rPr>
          <w:rStyle w:val="FootnoteReference"/>
          <w:szCs w:val="18"/>
        </w:rPr>
        <w:footnoteRef/>
      </w:r>
      <w:r w:rsidRPr="003E2781">
        <w:rPr>
          <w:sz w:val="18"/>
          <w:szCs w:val="18"/>
        </w:rPr>
        <w:t xml:space="preserve"> I. Kidd and H. Carel, “Epistemic Injustice and Illness”,</w:t>
      </w:r>
      <w:r w:rsidRPr="003E2781">
        <w:rPr>
          <w:i/>
          <w:sz w:val="18"/>
          <w:szCs w:val="18"/>
        </w:rPr>
        <w:t xml:space="preserve"> </w:t>
      </w:r>
      <w:r w:rsidRPr="003E2781">
        <w:rPr>
          <w:sz w:val="18"/>
          <w:szCs w:val="18"/>
        </w:rPr>
        <w:t xml:space="preserve">in the </w:t>
      </w:r>
      <w:r w:rsidRPr="003E2781">
        <w:rPr>
          <w:i/>
          <w:sz w:val="18"/>
          <w:szCs w:val="18"/>
        </w:rPr>
        <w:t xml:space="preserve">Journal of Applied Philosophy, </w:t>
      </w:r>
      <w:r w:rsidRPr="003E2781">
        <w:rPr>
          <w:sz w:val="18"/>
          <w:szCs w:val="18"/>
        </w:rPr>
        <w:t xml:space="preserve">Vol. 34, No. 2. February 2017. </w:t>
      </w:r>
      <w:r w:rsidRPr="003E2781">
        <w:rPr>
          <w:rFonts w:eastAsia="Times New Roman"/>
          <w:sz w:val="18"/>
          <w:szCs w:val="18"/>
        </w:rPr>
        <w:br/>
      </w:r>
      <w:r w:rsidRPr="003E2781">
        <w:rPr>
          <w:rFonts w:eastAsia="Times New Roman"/>
          <w:sz w:val="18"/>
          <w:szCs w:val="18"/>
          <w:shd w:val="clear" w:color="auto" w:fill="FFFFFF"/>
        </w:rPr>
        <w:t xml:space="preserve">p. 5.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619FA" w14:textId="77777777" w:rsidR="00A63D1C" w:rsidRDefault="00A63D1C" w:rsidP="008B50D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D6F4A77" w14:textId="77777777" w:rsidR="00A63D1C" w:rsidRDefault="00A63D1C" w:rsidP="005069EB">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97FD41" w14:textId="77777777" w:rsidR="00A63D1C" w:rsidRDefault="00A63D1C" w:rsidP="00AB73E0">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42F82"/>
    <w:multiLevelType w:val="hybridMultilevel"/>
    <w:tmpl w:val="7D7EE9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B1609A"/>
    <w:multiLevelType w:val="multilevel"/>
    <w:tmpl w:val="A0F44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E34C2D"/>
    <w:multiLevelType w:val="hybridMultilevel"/>
    <w:tmpl w:val="B9520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EE1556D"/>
    <w:multiLevelType w:val="hybridMultilevel"/>
    <w:tmpl w:val="DBEEE3A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886223"/>
    <w:multiLevelType w:val="multilevel"/>
    <w:tmpl w:val="3AD0B51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FCB670B"/>
    <w:multiLevelType w:val="multilevel"/>
    <w:tmpl w:val="D7A21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9A7E22"/>
    <w:multiLevelType w:val="multilevel"/>
    <w:tmpl w:val="5EE29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5712378"/>
    <w:multiLevelType w:val="multilevel"/>
    <w:tmpl w:val="B9D6D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7E2133F"/>
    <w:multiLevelType w:val="multilevel"/>
    <w:tmpl w:val="3E1AC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A9C2BD6"/>
    <w:multiLevelType w:val="multilevel"/>
    <w:tmpl w:val="B39E3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B1670E3"/>
    <w:multiLevelType w:val="hybridMultilevel"/>
    <w:tmpl w:val="17A679D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626690"/>
    <w:multiLevelType w:val="multilevel"/>
    <w:tmpl w:val="EE306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9AF57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648E794E"/>
    <w:multiLevelType w:val="multilevel"/>
    <w:tmpl w:val="03DC8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43E4926"/>
    <w:multiLevelType w:val="multilevel"/>
    <w:tmpl w:val="07F48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93F2C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5"/>
  </w:num>
  <w:num w:numId="3">
    <w:abstractNumId w:val="3"/>
  </w:num>
  <w:num w:numId="4">
    <w:abstractNumId w:val="6"/>
  </w:num>
  <w:num w:numId="5">
    <w:abstractNumId w:val="10"/>
  </w:num>
  <w:num w:numId="6">
    <w:abstractNumId w:val="8"/>
  </w:num>
  <w:num w:numId="7">
    <w:abstractNumId w:val="7"/>
  </w:num>
  <w:num w:numId="8">
    <w:abstractNumId w:val="1"/>
  </w:num>
  <w:num w:numId="9">
    <w:abstractNumId w:val="5"/>
  </w:num>
  <w:num w:numId="10">
    <w:abstractNumId w:val="11"/>
  </w:num>
  <w:num w:numId="11">
    <w:abstractNumId w:val="0"/>
  </w:num>
  <w:num w:numId="12">
    <w:abstractNumId w:val="9"/>
  </w:num>
  <w:num w:numId="13">
    <w:abstractNumId w:val="13"/>
  </w:num>
  <w:num w:numId="14">
    <w:abstractNumId w:val="2"/>
  </w:num>
  <w:num w:numId="15">
    <w:abstractNumId w:val="4"/>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3E0"/>
    <w:rsid w:val="0000225E"/>
    <w:rsid w:val="000029BF"/>
    <w:rsid w:val="000051AA"/>
    <w:rsid w:val="00005737"/>
    <w:rsid w:val="000114EC"/>
    <w:rsid w:val="00015FD0"/>
    <w:rsid w:val="00022D44"/>
    <w:rsid w:val="0002477D"/>
    <w:rsid w:val="000252DB"/>
    <w:rsid w:val="00030A95"/>
    <w:rsid w:val="000320FC"/>
    <w:rsid w:val="00036465"/>
    <w:rsid w:val="00041326"/>
    <w:rsid w:val="000504E5"/>
    <w:rsid w:val="000520A5"/>
    <w:rsid w:val="00063C51"/>
    <w:rsid w:val="00071E2A"/>
    <w:rsid w:val="00073342"/>
    <w:rsid w:val="00073633"/>
    <w:rsid w:val="000760E9"/>
    <w:rsid w:val="00076508"/>
    <w:rsid w:val="000775D3"/>
    <w:rsid w:val="00077F9D"/>
    <w:rsid w:val="00081755"/>
    <w:rsid w:val="00083162"/>
    <w:rsid w:val="00085257"/>
    <w:rsid w:val="0009263D"/>
    <w:rsid w:val="00094105"/>
    <w:rsid w:val="00094633"/>
    <w:rsid w:val="00095324"/>
    <w:rsid w:val="00097380"/>
    <w:rsid w:val="000A0432"/>
    <w:rsid w:val="000A0C9F"/>
    <w:rsid w:val="000A2C29"/>
    <w:rsid w:val="000B0FFB"/>
    <w:rsid w:val="000B35D5"/>
    <w:rsid w:val="000C2747"/>
    <w:rsid w:val="000C27B6"/>
    <w:rsid w:val="000C2DE1"/>
    <w:rsid w:val="000C3662"/>
    <w:rsid w:val="000C4A0B"/>
    <w:rsid w:val="000C7059"/>
    <w:rsid w:val="000D16AC"/>
    <w:rsid w:val="000D3117"/>
    <w:rsid w:val="000D548F"/>
    <w:rsid w:val="000D7A00"/>
    <w:rsid w:val="000F178E"/>
    <w:rsid w:val="000F2F20"/>
    <w:rsid w:val="000F3378"/>
    <w:rsid w:val="000F50C9"/>
    <w:rsid w:val="000F7B4E"/>
    <w:rsid w:val="00105F88"/>
    <w:rsid w:val="00106DF9"/>
    <w:rsid w:val="001072CA"/>
    <w:rsid w:val="001165FF"/>
    <w:rsid w:val="00120075"/>
    <w:rsid w:val="001204F1"/>
    <w:rsid w:val="00121C31"/>
    <w:rsid w:val="001246F9"/>
    <w:rsid w:val="001307A9"/>
    <w:rsid w:val="00132AC9"/>
    <w:rsid w:val="00134CE9"/>
    <w:rsid w:val="00136E58"/>
    <w:rsid w:val="00141EFF"/>
    <w:rsid w:val="0014241E"/>
    <w:rsid w:val="00146FD2"/>
    <w:rsid w:val="00147C50"/>
    <w:rsid w:val="00156FD1"/>
    <w:rsid w:val="0015757A"/>
    <w:rsid w:val="001615AD"/>
    <w:rsid w:val="00161660"/>
    <w:rsid w:val="001645FF"/>
    <w:rsid w:val="00176A62"/>
    <w:rsid w:val="001778EB"/>
    <w:rsid w:val="00187E1D"/>
    <w:rsid w:val="001909FB"/>
    <w:rsid w:val="001A03AB"/>
    <w:rsid w:val="001A57DA"/>
    <w:rsid w:val="001B5894"/>
    <w:rsid w:val="001B70C7"/>
    <w:rsid w:val="001B7A6C"/>
    <w:rsid w:val="001C22F6"/>
    <w:rsid w:val="001C6CE5"/>
    <w:rsid w:val="001E25B4"/>
    <w:rsid w:val="001E2FE2"/>
    <w:rsid w:val="001F16C4"/>
    <w:rsid w:val="001F20E3"/>
    <w:rsid w:val="0020671D"/>
    <w:rsid w:val="00221BC2"/>
    <w:rsid w:val="00227E96"/>
    <w:rsid w:val="002364D9"/>
    <w:rsid w:val="00254AE5"/>
    <w:rsid w:val="00255BB2"/>
    <w:rsid w:val="00275BC5"/>
    <w:rsid w:val="00276306"/>
    <w:rsid w:val="00282382"/>
    <w:rsid w:val="00290C8B"/>
    <w:rsid w:val="00290F9A"/>
    <w:rsid w:val="00292099"/>
    <w:rsid w:val="00296CE7"/>
    <w:rsid w:val="00297253"/>
    <w:rsid w:val="00297CFA"/>
    <w:rsid w:val="002A1049"/>
    <w:rsid w:val="002A28B7"/>
    <w:rsid w:val="002B6031"/>
    <w:rsid w:val="002B74F6"/>
    <w:rsid w:val="002C09C3"/>
    <w:rsid w:val="002C460C"/>
    <w:rsid w:val="002D2604"/>
    <w:rsid w:val="002D30B5"/>
    <w:rsid w:val="002D6DB3"/>
    <w:rsid w:val="002D7FD2"/>
    <w:rsid w:val="002E07F6"/>
    <w:rsid w:val="002E2BE6"/>
    <w:rsid w:val="002E4481"/>
    <w:rsid w:val="002E530F"/>
    <w:rsid w:val="002F1163"/>
    <w:rsid w:val="002F2208"/>
    <w:rsid w:val="002F29AE"/>
    <w:rsid w:val="002F3039"/>
    <w:rsid w:val="003067FD"/>
    <w:rsid w:val="003149EE"/>
    <w:rsid w:val="00315868"/>
    <w:rsid w:val="003208CD"/>
    <w:rsid w:val="00320917"/>
    <w:rsid w:val="0032320E"/>
    <w:rsid w:val="00324DA0"/>
    <w:rsid w:val="00337456"/>
    <w:rsid w:val="0033750E"/>
    <w:rsid w:val="003467F1"/>
    <w:rsid w:val="00347E2A"/>
    <w:rsid w:val="00347E5A"/>
    <w:rsid w:val="00354D54"/>
    <w:rsid w:val="00357FF4"/>
    <w:rsid w:val="00360448"/>
    <w:rsid w:val="00361212"/>
    <w:rsid w:val="00361224"/>
    <w:rsid w:val="0036367D"/>
    <w:rsid w:val="003679CF"/>
    <w:rsid w:val="00370D02"/>
    <w:rsid w:val="0037181D"/>
    <w:rsid w:val="00372CED"/>
    <w:rsid w:val="003739BF"/>
    <w:rsid w:val="00381E99"/>
    <w:rsid w:val="00386A0C"/>
    <w:rsid w:val="00387B4C"/>
    <w:rsid w:val="00391800"/>
    <w:rsid w:val="0039199D"/>
    <w:rsid w:val="00392244"/>
    <w:rsid w:val="00392FF3"/>
    <w:rsid w:val="0039651A"/>
    <w:rsid w:val="003978A1"/>
    <w:rsid w:val="003A6F14"/>
    <w:rsid w:val="003A7552"/>
    <w:rsid w:val="003B485E"/>
    <w:rsid w:val="003B5162"/>
    <w:rsid w:val="003D09B7"/>
    <w:rsid w:val="003D0A33"/>
    <w:rsid w:val="003D1F59"/>
    <w:rsid w:val="003D401C"/>
    <w:rsid w:val="003D6CD6"/>
    <w:rsid w:val="003E1772"/>
    <w:rsid w:val="003E2781"/>
    <w:rsid w:val="003E5637"/>
    <w:rsid w:val="003E7FC3"/>
    <w:rsid w:val="004002B6"/>
    <w:rsid w:val="004016ED"/>
    <w:rsid w:val="00402BE0"/>
    <w:rsid w:val="00402D36"/>
    <w:rsid w:val="0040597C"/>
    <w:rsid w:val="004107B6"/>
    <w:rsid w:val="00410BAE"/>
    <w:rsid w:val="004124A9"/>
    <w:rsid w:val="00414C7C"/>
    <w:rsid w:val="00417948"/>
    <w:rsid w:val="00424210"/>
    <w:rsid w:val="004254DF"/>
    <w:rsid w:val="00430956"/>
    <w:rsid w:val="00430FEB"/>
    <w:rsid w:val="004362E4"/>
    <w:rsid w:val="00445F99"/>
    <w:rsid w:val="0044637E"/>
    <w:rsid w:val="00447C7F"/>
    <w:rsid w:val="004524A3"/>
    <w:rsid w:val="00452E63"/>
    <w:rsid w:val="004553E5"/>
    <w:rsid w:val="00455891"/>
    <w:rsid w:val="004645C9"/>
    <w:rsid w:val="00465900"/>
    <w:rsid w:val="0046715F"/>
    <w:rsid w:val="0046737F"/>
    <w:rsid w:val="00470AD6"/>
    <w:rsid w:val="0047682B"/>
    <w:rsid w:val="00490E1C"/>
    <w:rsid w:val="00493590"/>
    <w:rsid w:val="004960C2"/>
    <w:rsid w:val="004976B6"/>
    <w:rsid w:val="004A61D7"/>
    <w:rsid w:val="004B4232"/>
    <w:rsid w:val="004B63C9"/>
    <w:rsid w:val="004B6703"/>
    <w:rsid w:val="004C6651"/>
    <w:rsid w:val="004C7865"/>
    <w:rsid w:val="004E0587"/>
    <w:rsid w:val="004F134B"/>
    <w:rsid w:val="004F5176"/>
    <w:rsid w:val="00503964"/>
    <w:rsid w:val="005039C6"/>
    <w:rsid w:val="005069EB"/>
    <w:rsid w:val="005070EB"/>
    <w:rsid w:val="0051111F"/>
    <w:rsid w:val="005115FA"/>
    <w:rsid w:val="00512C0F"/>
    <w:rsid w:val="00513152"/>
    <w:rsid w:val="00513EE9"/>
    <w:rsid w:val="00514193"/>
    <w:rsid w:val="00515E3C"/>
    <w:rsid w:val="005277D9"/>
    <w:rsid w:val="005305F0"/>
    <w:rsid w:val="005325B1"/>
    <w:rsid w:val="00532E6E"/>
    <w:rsid w:val="005365FB"/>
    <w:rsid w:val="00544B82"/>
    <w:rsid w:val="00546458"/>
    <w:rsid w:val="00546DB8"/>
    <w:rsid w:val="00547F59"/>
    <w:rsid w:val="00554F02"/>
    <w:rsid w:val="00562987"/>
    <w:rsid w:val="00563580"/>
    <w:rsid w:val="0057058E"/>
    <w:rsid w:val="005706E6"/>
    <w:rsid w:val="00571F7D"/>
    <w:rsid w:val="00576465"/>
    <w:rsid w:val="00581760"/>
    <w:rsid w:val="0058704A"/>
    <w:rsid w:val="005951B9"/>
    <w:rsid w:val="00596A18"/>
    <w:rsid w:val="005A0452"/>
    <w:rsid w:val="005A1A18"/>
    <w:rsid w:val="005B5CBF"/>
    <w:rsid w:val="005B7000"/>
    <w:rsid w:val="005C21F1"/>
    <w:rsid w:val="005C45A0"/>
    <w:rsid w:val="005C52BB"/>
    <w:rsid w:val="005C620B"/>
    <w:rsid w:val="005C6CC2"/>
    <w:rsid w:val="005D0509"/>
    <w:rsid w:val="005D7045"/>
    <w:rsid w:val="005E2779"/>
    <w:rsid w:val="005E2AAC"/>
    <w:rsid w:val="005E6BD1"/>
    <w:rsid w:val="005E7CED"/>
    <w:rsid w:val="005F4084"/>
    <w:rsid w:val="006053B3"/>
    <w:rsid w:val="00605867"/>
    <w:rsid w:val="00611070"/>
    <w:rsid w:val="006126FA"/>
    <w:rsid w:val="00615A15"/>
    <w:rsid w:val="0062021F"/>
    <w:rsid w:val="00620751"/>
    <w:rsid w:val="00626756"/>
    <w:rsid w:val="006300E4"/>
    <w:rsid w:val="00635E6D"/>
    <w:rsid w:val="0064150E"/>
    <w:rsid w:val="00644C29"/>
    <w:rsid w:val="006475DB"/>
    <w:rsid w:val="00653DEF"/>
    <w:rsid w:val="00655EDB"/>
    <w:rsid w:val="006561F7"/>
    <w:rsid w:val="00664B4F"/>
    <w:rsid w:val="00664D4C"/>
    <w:rsid w:val="0066636A"/>
    <w:rsid w:val="00671EFA"/>
    <w:rsid w:val="0068186E"/>
    <w:rsid w:val="00681E93"/>
    <w:rsid w:val="006843BB"/>
    <w:rsid w:val="00684A54"/>
    <w:rsid w:val="00691AA9"/>
    <w:rsid w:val="006A53CC"/>
    <w:rsid w:val="006B0908"/>
    <w:rsid w:val="006B18A7"/>
    <w:rsid w:val="006B43F8"/>
    <w:rsid w:val="006B5B50"/>
    <w:rsid w:val="006C3B30"/>
    <w:rsid w:val="006D42BF"/>
    <w:rsid w:val="006E0111"/>
    <w:rsid w:val="006E52B2"/>
    <w:rsid w:val="006E5B8E"/>
    <w:rsid w:val="006F04EE"/>
    <w:rsid w:val="006F5704"/>
    <w:rsid w:val="006F7A80"/>
    <w:rsid w:val="00700CA2"/>
    <w:rsid w:val="007022A4"/>
    <w:rsid w:val="007042C4"/>
    <w:rsid w:val="0070594D"/>
    <w:rsid w:val="007139D1"/>
    <w:rsid w:val="00714213"/>
    <w:rsid w:val="00723CD6"/>
    <w:rsid w:val="0073689A"/>
    <w:rsid w:val="00740A77"/>
    <w:rsid w:val="00740D88"/>
    <w:rsid w:val="00741C80"/>
    <w:rsid w:val="00743BC4"/>
    <w:rsid w:val="0074564F"/>
    <w:rsid w:val="00750E52"/>
    <w:rsid w:val="00753BCE"/>
    <w:rsid w:val="007616D3"/>
    <w:rsid w:val="00762EC4"/>
    <w:rsid w:val="00763249"/>
    <w:rsid w:val="0077088B"/>
    <w:rsid w:val="00771964"/>
    <w:rsid w:val="007768FD"/>
    <w:rsid w:val="0077754C"/>
    <w:rsid w:val="00780190"/>
    <w:rsid w:val="00780FD9"/>
    <w:rsid w:val="00783980"/>
    <w:rsid w:val="007859D3"/>
    <w:rsid w:val="00787E98"/>
    <w:rsid w:val="0079061C"/>
    <w:rsid w:val="00790B50"/>
    <w:rsid w:val="00794B20"/>
    <w:rsid w:val="007A3CB6"/>
    <w:rsid w:val="007A65A7"/>
    <w:rsid w:val="007B1633"/>
    <w:rsid w:val="007B2641"/>
    <w:rsid w:val="007C18F2"/>
    <w:rsid w:val="007C1B1D"/>
    <w:rsid w:val="007D3652"/>
    <w:rsid w:val="007D447C"/>
    <w:rsid w:val="007D4959"/>
    <w:rsid w:val="007E147B"/>
    <w:rsid w:val="007E2812"/>
    <w:rsid w:val="007E2A41"/>
    <w:rsid w:val="007F1511"/>
    <w:rsid w:val="007F676C"/>
    <w:rsid w:val="00805810"/>
    <w:rsid w:val="00815B2C"/>
    <w:rsid w:val="00816CB8"/>
    <w:rsid w:val="008203B8"/>
    <w:rsid w:val="00821D6C"/>
    <w:rsid w:val="00822271"/>
    <w:rsid w:val="00823079"/>
    <w:rsid w:val="0082488A"/>
    <w:rsid w:val="00827B56"/>
    <w:rsid w:val="008328E0"/>
    <w:rsid w:val="0083666A"/>
    <w:rsid w:val="00837C20"/>
    <w:rsid w:val="00841E6C"/>
    <w:rsid w:val="008470BB"/>
    <w:rsid w:val="008475AA"/>
    <w:rsid w:val="008503AC"/>
    <w:rsid w:val="00852203"/>
    <w:rsid w:val="008557F3"/>
    <w:rsid w:val="008609E8"/>
    <w:rsid w:val="008619A0"/>
    <w:rsid w:val="00863D2B"/>
    <w:rsid w:val="008824C4"/>
    <w:rsid w:val="008828AB"/>
    <w:rsid w:val="00882D42"/>
    <w:rsid w:val="0088519A"/>
    <w:rsid w:val="00894A96"/>
    <w:rsid w:val="00896323"/>
    <w:rsid w:val="0089720E"/>
    <w:rsid w:val="008A05AD"/>
    <w:rsid w:val="008A546F"/>
    <w:rsid w:val="008A701D"/>
    <w:rsid w:val="008A7E13"/>
    <w:rsid w:val="008B3B25"/>
    <w:rsid w:val="008B42F8"/>
    <w:rsid w:val="008B4947"/>
    <w:rsid w:val="008B50D9"/>
    <w:rsid w:val="008B51E0"/>
    <w:rsid w:val="008B521A"/>
    <w:rsid w:val="008B7CD9"/>
    <w:rsid w:val="008C12DB"/>
    <w:rsid w:val="008C448C"/>
    <w:rsid w:val="008C7AFF"/>
    <w:rsid w:val="008D1776"/>
    <w:rsid w:val="008D5438"/>
    <w:rsid w:val="008D5C87"/>
    <w:rsid w:val="008D6E62"/>
    <w:rsid w:val="008E039F"/>
    <w:rsid w:val="008E0526"/>
    <w:rsid w:val="008E1FDC"/>
    <w:rsid w:val="008E34FB"/>
    <w:rsid w:val="008E63AB"/>
    <w:rsid w:val="008F4DF1"/>
    <w:rsid w:val="008F55A9"/>
    <w:rsid w:val="008F7FD4"/>
    <w:rsid w:val="009144B0"/>
    <w:rsid w:val="00916803"/>
    <w:rsid w:val="00916E07"/>
    <w:rsid w:val="00920822"/>
    <w:rsid w:val="00932FF0"/>
    <w:rsid w:val="00941CC2"/>
    <w:rsid w:val="00942B39"/>
    <w:rsid w:val="00944D7B"/>
    <w:rsid w:val="0094595E"/>
    <w:rsid w:val="00946D1B"/>
    <w:rsid w:val="00952DCF"/>
    <w:rsid w:val="0095772C"/>
    <w:rsid w:val="00961327"/>
    <w:rsid w:val="00961F07"/>
    <w:rsid w:val="00961FC6"/>
    <w:rsid w:val="00967FA0"/>
    <w:rsid w:val="0097091B"/>
    <w:rsid w:val="00970D86"/>
    <w:rsid w:val="00980036"/>
    <w:rsid w:val="009818C2"/>
    <w:rsid w:val="00982D07"/>
    <w:rsid w:val="009914D4"/>
    <w:rsid w:val="00992B60"/>
    <w:rsid w:val="00993855"/>
    <w:rsid w:val="009A1A23"/>
    <w:rsid w:val="009A295B"/>
    <w:rsid w:val="009B012B"/>
    <w:rsid w:val="009B44BA"/>
    <w:rsid w:val="009B47C4"/>
    <w:rsid w:val="009B502B"/>
    <w:rsid w:val="009C2C27"/>
    <w:rsid w:val="009C4D7F"/>
    <w:rsid w:val="009C7128"/>
    <w:rsid w:val="009C73B2"/>
    <w:rsid w:val="009D16B8"/>
    <w:rsid w:val="009D19F7"/>
    <w:rsid w:val="009D4901"/>
    <w:rsid w:val="009D4C09"/>
    <w:rsid w:val="009D6BB9"/>
    <w:rsid w:val="009D7FD7"/>
    <w:rsid w:val="009E4464"/>
    <w:rsid w:val="009E5F1D"/>
    <w:rsid w:val="009F2AE1"/>
    <w:rsid w:val="00A10508"/>
    <w:rsid w:val="00A11652"/>
    <w:rsid w:val="00A1428F"/>
    <w:rsid w:val="00A14C11"/>
    <w:rsid w:val="00A22469"/>
    <w:rsid w:val="00A25320"/>
    <w:rsid w:val="00A3744A"/>
    <w:rsid w:val="00A43077"/>
    <w:rsid w:val="00A45B1B"/>
    <w:rsid w:val="00A63D1C"/>
    <w:rsid w:val="00A64315"/>
    <w:rsid w:val="00A660BB"/>
    <w:rsid w:val="00A72D3A"/>
    <w:rsid w:val="00A82B5E"/>
    <w:rsid w:val="00A852D4"/>
    <w:rsid w:val="00A92995"/>
    <w:rsid w:val="00A930CB"/>
    <w:rsid w:val="00A9424F"/>
    <w:rsid w:val="00AA0305"/>
    <w:rsid w:val="00AA703D"/>
    <w:rsid w:val="00AB0DF3"/>
    <w:rsid w:val="00AB5774"/>
    <w:rsid w:val="00AB64BC"/>
    <w:rsid w:val="00AB73E0"/>
    <w:rsid w:val="00AC2504"/>
    <w:rsid w:val="00AC4568"/>
    <w:rsid w:val="00AC64BF"/>
    <w:rsid w:val="00AD1D6D"/>
    <w:rsid w:val="00AD2BAC"/>
    <w:rsid w:val="00AE708B"/>
    <w:rsid w:val="00AF127A"/>
    <w:rsid w:val="00AF3045"/>
    <w:rsid w:val="00AF5540"/>
    <w:rsid w:val="00AF64ED"/>
    <w:rsid w:val="00AF7B36"/>
    <w:rsid w:val="00AF7B9C"/>
    <w:rsid w:val="00B00183"/>
    <w:rsid w:val="00B02CDB"/>
    <w:rsid w:val="00B03AA0"/>
    <w:rsid w:val="00B05CCB"/>
    <w:rsid w:val="00B115A6"/>
    <w:rsid w:val="00B2562F"/>
    <w:rsid w:val="00B2700C"/>
    <w:rsid w:val="00B27294"/>
    <w:rsid w:val="00B300DB"/>
    <w:rsid w:val="00B30FF8"/>
    <w:rsid w:val="00B3546A"/>
    <w:rsid w:val="00B36AF1"/>
    <w:rsid w:val="00B37589"/>
    <w:rsid w:val="00B37C36"/>
    <w:rsid w:val="00B429DC"/>
    <w:rsid w:val="00B44C53"/>
    <w:rsid w:val="00B46553"/>
    <w:rsid w:val="00B502C9"/>
    <w:rsid w:val="00B5500E"/>
    <w:rsid w:val="00B60988"/>
    <w:rsid w:val="00B6103D"/>
    <w:rsid w:val="00B613D2"/>
    <w:rsid w:val="00B62FE6"/>
    <w:rsid w:val="00B64527"/>
    <w:rsid w:val="00B677CF"/>
    <w:rsid w:val="00B71555"/>
    <w:rsid w:val="00B734DB"/>
    <w:rsid w:val="00B7660A"/>
    <w:rsid w:val="00B870C6"/>
    <w:rsid w:val="00BA18A0"/>
    <w:rsid w:val="00BA2032"/>
    <w:rsid w:val="00BB3DDD"/>
    <w:rsid w:val="00BC0544"/>
    <w:rsid w:val="00BC1666"/>
    <w:rsid w:val="00BD5566"/>
    <w:rsid w:val="00BD6F00"/>
    <w:rsid w:val="00BD7D33"/>
    <w:rsid w:val="00BE0A6F"/>
    <w:rsid w:val="00BE1A66"/>
    <w:rsid w:val="00BE21D7"/>
    <w:rsid w:val="00BF3909"/>
    <w:rsid w:val="00BF5CC5"/>
    <w:rsid w:val="00BF5DB3"/>
    <w:rsid w:val="00C11CC8"/>
    <w:rsid w:val="00C12873"/>
    <w:rsid w:val="00C1451B"/>
    <w:rsid w:val="00C32CC8"/>
    <w:rsid w:val="00C4003E"/>
    <w:rsid w:val="00C42394"/>
    <w:rsid w:val="00C44AE8"/>
    <w:rsid w:val="00C479A6"/>
    <w:rsid w:val="00C47FBF"/>
    <w:rsid w:val="00C55211"/>
    <w:rsid w:val="00C56BCE"/>
    <w:rsid w:val="00C57C7D"/>
    <w:rsid w:val="00C659C8"/>
    <w:rsid w:val="00C65D5D"/>
    <w:rsid w:val="00C6694F"/>
    <w:rsid w:val="00C671AE"/>
    <w:rsid w:val="00C67508"/>
    <w:rsid w:val="00C7012B"/>
    <w:rsid w:val="00C7012E"/>
    <w:rsid w:val="00C73C18"/>
    <w:rsid w:val="00C740CD"/>
    <w:rsid w:val="00C805B1"/>
    <w:rsid w:val="00C90F00"/>
    <w:rsid w:val="00C91303"/>
    <w:rsid w:val="00C92692"/>
    <w:rsid w:val="00CA2300"/>
    <w:rsid w:val="00CA27FF"/>
    <w:rsid w:val="00CA4641"/>
    <w:rsid w:val="00CB1674"/>
    <w:rsid w:val="00CC0666"/>
    <w:rsid w:val="00CD2FAB"/>
    <w:rsid w:val="00CD778B"/>
    <w:rsid w:val="00CE2F3F"/>
    <w:rsid w:val="00CF1CA1"/>
    <w:rsid w:val="00CF42BE"/>
    <w:rsid w:val="00CF4777"/>
    <w:rsid w:val="00CF7476"/>
    <w:rsid w:val="00D0245D"/>
    <w:rsid w:val="00D058F9"/>
    <w:rsid w:val="00D06296"/>
    <w:rsid w:val="00D07A4B"/>
    <w:rsid w:val="00D15CBF"/>
    <w:rsid w:val="00D16DE0"/>
    <w:rsid w:val="00D17999"/>
    <w:rsid w:val="00D2056C"/>
    <w:rsid w:val="00D20B00"/>
    <w:rsid w:val="00D36D3B"/>
    <w:rsid w:val="00D44801"/>
    <w:rsid w:val="00D55F1B"/>
    <w:rsid w:val="00D55FD5"/>
    <w:rsid w:val="00D70963"/>
    <w:rsid w:val="00D738C4"/>
    <w:rsid w:val="00D75FB7"/>
    <w:rsid w:val="00D77852"/>
    <w:rsid w:val="00D82DEE"/>
    <w:rsid w:val="00D87923"/>
    <w:rsid w:val="00D91275"/>
    <w:rsid w:val="00DA1014"/>
    <w:rsid w:val="00DA21FD"/>
    <w:rsid w:val="00DA2E96"/>
    <w:rsid w:val="00DB1FD2"/>
    <w:rsid w:val="00DB49B4"/>
    <w:rsid w:val="00DC491E"/>
    <w:rsid w:val="00DC4EEF"/>
    <w:rsid w:val="00DE6639"/>
    <w:rsid w:val="00E04818"/>
    <w:rsid w:val="00E04FDE"/>
    <w:rsid w:val="00E05C9D"/>
    <w:rsid w:val="00E116CF"/>
    <w:rsid w:val="00E129E1"/>
    <w:rsid w:val="00E13D49"/>
    <w:rsid w:val="00E1572B"/>
    <w:rsid w:val="00E15BE6"/>
    <w:rsid w:val="00E16CF6"/>
    <w:rsid w:val="00E17123"/>
    <w:rsid w:val="00E17BBE"/>
    <w:rsid w:val="00E2046B"/>
    <w:rsid w:val="00E22C7D"/>
    <w:rsid w:val="00E23ED8"/>
    <w:rsid w:val="00E27FE7"/>
    <w:rsid w:val="00E3119D"/>
    <w:rsid w:val="00E34D5F"/>
    <w:rsid w:val="00E35899"/>
    <w:rsid w:val="00E36102"/>
    <w:rsid w:val="00E362F1"/>
    <w:rsid w:val="00E41141"/>
    <w:rsid w:val="00E45099"/>
    <w:rsid w:val="00E51CBD"/>
    <w:rsid w:val="00E52884"/>
    <w:rsid w:val="00E6432B"/>
    <w:rsid w:val="00E6528F"/>
    <w:rsid w:val="00E677C1"/>
    <w:rsid w:val="00E71D78"/>
    <w:rsid w:val="00E73FB8"/>
    <w:rsid w:val="00E7431E"/>
    <w:rsid w:val="00E80BA7"/>
    <w:rsid w:val="00E814A3"/>
    <w:rsid w:val="00E83DB3"/>
    <w:rsid w:val="00E84003"/>
    <w:rsid w:val="00E860A3"/>
    <w:rsid w:val="00E906E8"/>
    <w:rsid w:val="00E921E5"/>
    <w:rsid w:val="00E92E23"/>
    <w:rsid w:val="00E94256"/>
    <w:rsid w:val="00E94321"/>
    <w:rsid w:val="00E954F3"/>
    <w:rsid w:val="00E96FBA"/>
    <w:rsid w:val="00EA2998"/>
    <w:rsid w:val="00EA7298"/>
    <w:rsid w:val="00EB5112"/>
    <w:rsid w:val="00EB648A"/>
    <w:rsid w:val="00EC0089"/>
    <w:rsid w:val="00EC1C9A"/>
    <w:rsid w:val="00EC425B"/>
    <w:rsid w:val="00ED2759"/>
    <w:rsid w:val="00ED2D7F"/>
    <w:rsid w:val="00EF1501"/>
    <w:rsid w:val="00EF153B"/>
    <w:rsid w:val="00EF45B9"/>
    <w:rsid w:val="00F11C26"/>
    <w:rsid w:val="00F1309E"/>
    <w:rsid w:val="00F17F75"/>
    <w:rsid w:val="00F22DBA"/>
    <w:rsid w:val="00F22DD7"/>
    <w:rsid w:val="00F257D5"/>
    <w:rsid w:val="00F26432"/>
    <w:rsid w:val="00F34F91"/>
    <w:rsid w:val="00F36896"/>
    <w:rsid w:val="00F36D01"/>
    <w:rsid w:val="00F40A70"/>
    <w:rsid w:val="00F41A8D"/>
    <w:rsid w:val="00F52AB8"/>
    <w:rsid w:val="00F61726"/>
    <w:rsid w:val="00F63DF3"/>
    <w:rsid w:val="00F67089"/>
    <w:rsid w:val="00F71C71"/>
    <w:rsid w:val="00F72BBA"/>
    <w:rsid w:val="00F738EA"/>
    <w:rsid w:val="00F74618"/>
    <w:rsid w:val="00F7635A"/>
    <w:rsid w:val="00F852B5"/>
    <w:rsid w:val="00F869DE"/>
    <w:rsid w:val="00F87157"/>
    <w:rsid w:val="00F92691"/>
    <w:rsid w:val="00F950EC"/>
    <w:rsid w:val="00FA3C86"/>
    <w:rsid w:val="00FA4D39"/>
    <w:rsid w:val="00FA64C0"/>
    <w:rsid w:val="00FA7AD3"/>
    <w:rsid w:val="00FB3B2C"/>
    <w:rsid w:val="00FB6540"/>
    <w:rsid w:val="00FC1C03"/>
    <w:rsid w:val="00FC2AB7"/>
    <w:rsid w:val="00FC376D"/>
    <w:rsid w:val="00FC38B2"/>
    <w:rsid w:val="00FE3C6E"/>
    <w:rsid w:val="00FF2A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3569F3"/>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EEF"/>
    <w:rPr>
      <w:rFonts w:ascii="Times New Roman" w:hAnsi="Times New Roman" w:cs="Times New Roman"/>
    </w:rPr>
  </w:style>
  <w:style w:type="paragraph" w:styleId="Heading1">
    <w:name w:val="heading 1"/>
    <w:basedOn w:val="Normal"/>
    <w:next w:val="Normal"/>
    <w:link w:val="Heading1Char"/>
    <w:autoRedefine/>
    <w:uiPriority w:val="9"/>
    <w:qFormat/>
    <w:rsid w:val="000C3662"/>
    <w:pPr>
      <w:keepNext/>
      <w:keepLines/>
      <w:spacing w:before="240"/>
      <w:outlineLvl w:val="0"/>
    </w:pPr>
    <w:rPr>
      <w:rFonts w:eastAsiaTheme="majorEastAsia"/>
      <w:sz w:val="28"/>
      <w:szCs w:val="18"/>
    </w:rPr>
  </w:style>
  <w:style w:type="paragraph" w:styleId="Heading2">
    <w:name w:val="heading 2"/>
    <w:basedOn w:val="Normal"/>
    <w:next w:val="Normal"/>
    <w:link w:val="Heading2Char"/>
    <w:autoRedefine/>
    <w:uiPriority w:val="9"/>
    <w:unhideWhenUsed/>
    <w:qFormat/>
    <w:rsid w:val="00360448"/>
    <w:pPr>
      <w:keepNext/>
      <w:keepLines/>
      <w:spacing w:before="40"/>
      <w:outlineLvl w:val="1"/>
    </w:pPr>
    <w:rPr>
      <w:rFonts w:eastAsiaTheme="majorEastAsia"/>
    </w:rPr>
  </w:style>
  <w:style w:type="paragraph" w:styleId="Heading3">
    <w:name w:val="heading 3"/>
    <w:basedOn w:val="Normal"/>
    <w:next w:val="Normal"/>
    <w:link w:val="Heading3Char"/>
    <w:autoRedefine/>
    <w:uiPriority w:val="9"/>
    <w:unhideWhenUsed/>
    <w:qFormat/>
    <w:rsid w:val="006F7A80"/>
    <w:pPr>
      <w:keepNext/>
      <w:keepLines/>
      <w:spacing w:before="40"/>
      <w:outlineLvl w:val="2"/>
    </w:pPr>
    <w:rPr>
      <w:rFonts w:eastAsiaTheme="maj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3662"/>
    <w:rPr>
      <w:rFonts w:ascii="Times New Roman" w:eastAsiaTheme="majorEastAsia" w:hAnsi="Times New Roman" w:cs="Times New Roman"/>
      <w:sz w:val="28"/>
      <w:szCs w:val="18"/>
    </w:rPr>
  </w:style>
  <w:style w:type="paragraph" w:styleId="Revision">
    <w:name w:val="Revision"/>
    <w:hidden/>
    <w:uiPriority w:val="99"/>
    <w:semiHidden/>
    <w:rsid w:val="00AB73E0"/>
  </w:style>
  <w:style w:type="paragraph" w:styleId="BalloonText">
    <w:name w:val="Balloon Text"/>
    <w:basedOn w:val="Normal"/>
    <w:link w:val="BalloonTextChar"/>
    <w:uiPriority w:val="99"/>
    <w:semiHidden/>
    <w:unhideWhenUsed/>
    <w:rsid w:val="00AB73E0"/>
    <w:rPr>
      <w:sz w:val="18"/>
      <w:szCs w:val="18"/>
    </w:rPr>
  </w:style>
  <w:style w:type="character" w:customStyle="1" w:styleId="BalloonTextChar">
    <w:name w:val="Balloon Text Char"/>
    <w:basedOn w:val="DefaultParagraphFont"/>
    <w:link w:val="BalloonText"/>
    <w:uiPriority w:val="99"/>
    <w:semiHidden/>
    <w:rsid w:val="00AB73E0"/>
    <w:rPr>
      <w:rFonts w:ascii="Times New Roman" w:hAnsi="Times New Roman" w:cs="Times New Roman"/>
      <w:sz w:val="18"/>
      <w:szCs w:val="18"/>
    </w:rPr>
  </w:style>
  <w:style w:type="character" w:customStyle="1" w:styleId="Heading2Char">
    <w:name w:val="Heading 2 Char"/>
    <w:basedOn w:val="DefaultParagraphFont"/>
    <w:link w:val="Heading2"/>
    <w:uiPriority w:val="9"/>
    <w:rsid w:val="00360448"/>
    <w:rPr>
      <w:rFonts w:ascii="Times New Roman" w:eastAsiaTheme="majorEastAsia" w:hAnsi="Times New Roman" w:cs="Times New Roman"/>
    </w:rPr>
  </w:style>
  <w:style w:type="character" w:customStyle="1" w:styleId="Heading3Char">
    <w:name w:val="Heading 3 Char"/>
    <w:basedOn w:val="DefaultParagraphFont"/>
    <w:link w:val="Heading3"/>
    <w:uiPriority w:val="9"/>
    <w:rsid w:val="006F7A80"/>
    <w:rPr>
      <w:rFonts w:ascii="Times New Roman" w:eastAsiaTheme="majorEastAsia" w:hAnsi="Times New Roman" w:cs="Times New Roman"/>
    </w:rPr>
  </w:style>
  <w:style w:type="paragraph" w:styleId="FootnoteText">
    <w:name w:val="footnote text"/>
    <w:basedOn w:val="Normal"/>
    <w:link w:val="FootnoteTextChar"/>
    <w:autoRedefine/>
    <w:uiPriority w:val="99"/>
    <w:unhideWhenUsed/>
    <w:rsid w:val="009B012B"/>
  </w:style>
  <w:style w:type="character" w:customStyle="1" w:styleId="FootnoteTextChar">
    <w:name w:val="Footnote Text Char"/>
    <w:basedOn w:val="DefaultParagraphFont"/>
    <w:link w:val="FootnoteText"/>
    <w:uiPriority w:val="99"/>
    <w:rsid w:val="009B012B"/>
    <w:rPr>
      <w:rFonts w:ascii="Times New Roman" w:hAnsi="Times New Roman" w:cs="Times New Roman"/>
    </w:rPr>
  </w:style>
  <w:style w:type="character" w:styleId="FootnoteReference">
    <w:name w:val="footnote reference"/>
    <w:basedOn w:val="DefaultParagraphFont"/>
    <w:uiPriority w:val="99"/>
    <w:unhideWhenUsed/>
    <w:rsid w:val="001165FF"/>
    <w:rPr>
      <w:rFonts w:ascii="Times New Roman" w:hAnsi="Times New Roman"/>
      <w:sz w:val="18"/>
      <w:vertAlign w:val="superscript"/>
    </w:rPr>
  </w:style>
  <w:style w:type="paragraph" w:styleId="ListParagraph">
    <w:name w:val="List Paragraph"/>
    <w:basedOn w:val="Normal"/>
    <w:uiPriority w:val="34"/>
    <w:qFormat/>
    <w:rsid w:val="00AB73E0"/>
    <w:pPr>
      <w:ind w:left="720"/>
      <w:contextualSpacing/>
    </w:pPr>
    <w:rPr>
      <w:rFonts w:asciiTheme="minorHAnsi" w:hAnsiTheme="minorHAnsi" w:cstheme="minorBidi"/>
    </w:rPr>
  </w:style>
  <w:style w:type="paragraph" w:styleId="HTMLPreformatted">
    <w:name w:val="HTML Preformatted"/>
    <w:basedOn w:val="Normal"/>
    <w:link w:val="HTMLPreformattedChar"/>
    <w:uiPriority w:val="99"/>
    <w:unhideWhenUsed/>
    <w:rsid w:val="00AB73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B73E0"/>
    <w:rPr>
      <w:rFonts w:ascii="Courier New" w:hAnsi="Courier New" w:cs="Courier New"/>
      <w:sz w:val="20"/>
      <w:szCs w:val="20"/>
    </w:rPr>
  </w:style>
  <w:style w:type="paragraph" w:styleId="CommentText">
    <w:name w:val="annotation text"/>
    <w:basedOn w:val="Normal"/>
    <w:link w:val="CommentTextChar"/>
    <w:uiPriority w:val="99"/>
    <w:unhideWhenUsed/>
    <w:rsid w:val="00AB73E0"/>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AB73E0"/>
    <w:rPr>
      <w:sz w:val="20"/>
      <w:szCs w:val="20"/>
    </w:rPr>
  </w:style>
  <w:style w:type="character" w:styleId="CommentReference">
    <w:name w:val="annotation reference"/>
    <w:basedOn w:val="DefaultParagraphFont"/>
    <w:uiPriority w:val="99"/>
    <w:semiHidden/>
    <w:unhideWhenUsed/>
    <w:rsid w:val="00AB73E0"/>
    <w:rPr>
      <w:sz w:val="18"/>
      <w:szCs w:val="18"/>
    </w:rPr>
  </w:style>
  <w:style w:type="paragraph" w:styleId="Header">
    <w:name w:val="header"/>
    <w:basedOn w:val="Normal"/>
    <w:link w:val="HeaderChar"/>
    <w:uiPriority w:val="99"/>
    <w:unhideWhenUsed/>
    <w:rsid w:val="00AB73E0"/>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AB73E0"/>
  </w:style>
  <w:style w:type="paragraph" w:styleId="Footer">
    <w:name w:val="footer"/>
    <w:basedOn w:val="Normal"/>
    <w:link w:val="FooterChar"/>
    <w:uiPriority w:val="99"/>
    <w:unhideWhenUsed/>
    <w:rsid w:val="000760E9"/>
    <w:pPr>
      <w:tabs>
        <w:tab w:val="center" w:pos="4680"/>
        <w:tab w:val="right" w:pos="9360"/>
      </w:tabs>
    </w:pPr>
    <w:rPr>
      <w:rFonts w:cstheme="minorBidi"/>
    </w:rPr>
  </w:style>
  <w:style w:type="character" w:customStyle="1" w:styleId="FooterChar">
    <w:name w:val="Footer Char"/>
    <w:basedOn w:val="DefaultParagraphFont"/>
    <w:link w:val="Footer"/>
    <w:uiPriority w:val="99"/>
    <w:rsid w:val="000760E9"/>
    <w:rPr>
      <w:rFonts w:ascii="Times New Roman" w:hAnsi="Times New Roman"/>
    </w:rPr>
  </w:style>
  <w:style w:type="character" w:styleId="PageNumber">
    <w:name w:val="page number"/>
    <w:basedOn w:val="DefaultParagraphFont"/>
    <w:uiPriority w:val="99"/>
    <w:semiHidden/>
    <w:unhideWhenUsed/>
    <w:rsid w:val="00AB73E0"/>
  </w:style>
  <w:style w:type="paragraph" w:styleId="EndnoteText">
    <w:name w:val="endnote text"/>
    <w:basedOn w:val="Normal"/>
    <w:link w:val="EndnoteTextChar"/>
    <w:uiPriority w:val="99"/>
    <w:unhideWhenUsed/>
    <w:rsid w:val="00626756"/>
    <w:rPr>
      <w:rFonts w:asciiTheme="minorHAnsi" w:hAnsiTheme="minorHAnsi" w:cstheme="minorBidi"/>
    </w:rPr>
  </w:style>
  <w:style w:type="character" w:customStyle="1" w:styleId="EndnoteTextChar">
    <w:name w:val="Endnote Text Char"/>
    <w:basedOn w:val="DefaultParagraphFont"/>
    <w:link w:val="EndnoteText"/>
    <w:uiPriority w:val="99"/>
    <w:rsid w:val="00626756"/>
  </w:style>
  <w:style w:type="character" w:styleId="EndnoteReference">
    <w:name w:val="endnote reference"/>
    <w:basedOn w:val="DefaultParagraphFont"/>
    <w:uiPriority w:val="99"/>
    <w:unhideWhenUsed/>
    <w:rsid w:val="00626756"/>
    <w:rPr>
      <w:vertAlign w:val="superscript"/>
    </w:rPr>
  </w:style>
  <w:style w:type="character" w:customStyle="1" w:styleId="apple-converted-space">
    <w:name w:val="apple-converted-space"/>
    <w:basedOn w:val="DefaultParagraphFont"/>
    <w:rsid w:val="000F178E"/>
  </w:style>
  <w:style w:type="character" w:styleId="Emphasis">
    <w:name w:val="Emphasis"/>
    <w:basedOn w:val="DefaultParagraphFont"/>
    <w:uiPriority w:val="20"/>
    <w:qFormat/>
    <w:rsid w:val="000F178E"/>
    <w:rPr>
      <w:i/>
      <w:iCs/>
    </w:rPr>
  </w:style>
  <w:style w:type="paragraph" w:styleId="TOCHeading">
    <w:name w:val="TOC Heading"/>
    <w:basedOn w:val="Heading1"/>
    <w:next w:val="Normal"/>
    <w:uiPriority w:val="39"/>
    <w:unhideWhenUsed/>
    <w:qFormat/>
    <w:rsid w:val="00FA64C0"/>
    <w:pPr>
      <w:spacing w:before="480" w:line="276" w:lineRule="auto"/>
      <w:outlineLvl w:val="9"/>
    </w:pPr>
    <w:rPr>
      <w:b/>
      <w:bCs/>
      <w:szCs w:val="28"/>
    </w:rPr>
  </w:style>
  <w:style w:type="paragraph" w:styleId="TOC1">
    <w:name w:val="toc 1"/>
    <w:basedOn w:val="Normal"/>
    <w:next w:val="Normal"/>
    <w:autoRedefine/>
    <w:uiPriority w:val="39"/>
    <w:unhideWhenUsed/>
    <w:rsid w:val="00513EE9"/>
    <w:pPr>
      <w:tabs>
        <w:tab w:val="right" w:leader="dot" w:pos="9350"/>
      </w:tabs>
      <w:spacing w:before="120"/>
    </w:pPr>
    <w:rPr>
      <w:rFonts w:asciiTheme="minorHAnsi" w:hAnsiTheme="minorHAnsi" w:cstheme="minorBidi"/>
      <w:b/>
      <w:bCs/>
    </w:rPr>
  </w:style>
  <w:style w:type="paragraph" w:styleId="TOC2">
    <w:name w:val="toc 2"/>
    <w:basedOn w:val="Normal"/>
    <w:next w:val="Normal"/>
    <w:autoRedefine/>
    <w:uiPriority w:val="39"/>
    <w:unhideWhenUsed/>
    <w:rsid w:val="00513EE9"/>
    <w:pPr>
      <w:tabs>
        <w:tab w:val="right" w:leader="dot" w:pos="9350"/>
      </w:tabs>
      <w:ind w:left="240"/>
    </w:pPr>
    <w:rPr>
      <w:rFonts w:asciiTheme="minorHAnsi" w:hAnsiTheme="minorHAnsi" w:cstheme="minorBidi"/>
      <w:b/>
      <w:bCs/>
      <w:sz w:val="22"/>
      <w:szCs w:val="22"/>
    </w:rPr>
  </w:style>
  <w:style w:type="paragraph" w:styleId="TOC3">
    <w:name w:val="toc 3"/>
    <w:basedOn w:val="Normal"/>
    <w:next w:val="Normal"/>
    <w:autoRedefine/>
    <w:uiPriority w:val="39"/>
    <w:unhideWhenUsed/>
    <w:rsid w:val="00FA64C0"/>
    <w:pPr>
      <w:ind w:left="480"/>
    </w:pPr>
    <w:rPr>
      <w:rFonts w:asciiTheme="minorHAnsi" w:hAnsiTheme="minorHAnsi" w:cstheme="minorBidi"/>
      <w:sz w:val="22"/>
      <w:szCs w:val="22"/>
    </w:rPr>
  </w:style>
  <w:style w:type="character" w:styleId="Hyperlink">
    <w:name w:val="Hyperlink"/>
    <w:basedOn w:val="DefaultParagraphFont"/>
    <w:uiPriority w:val="99"/>
    <w:unhideWhenUsed/>
    <w:rsid w:val="00FA64C0"/>
    <w:rPr>
      <w:color w:val="0563C1" w:themeColor="hyperlink"/>
      <w:u w:val="single"/>
    </w:rPr>
  </w:style>
  <w:style w:type="paragraph" w:styleId="TOC4">
    <w:name w:val="toc 4"/>
    <w:basedOn w:val="Normal"/>
    <w:next w:val="Normal"/>
    <w:autoRedefine/>
    <w:uiPriority w:val="39"/>
    <w:semiHidden/>
    <w:unhideWhenUsed/>
    <w:rsid w:val="00FA64C0"/>
    <w:pPr>
      <w:ind w:left="720"/>
    </w:pPr>
    <w:rPr>
      <w:sz w:val="20"/>
      <w:szCs w:val="20"/>
    </w:rPr>
  </w:style>
  <w:style w:type="paragraph" w:styleId="TOC5">
    <w:name w:val="toc 5"/>
    <w:basedOn w:val="Normal"/>
    <w:next w:val="Normal"/>
    <w:autoRedefine/>
    <w:uiPriority w:val="39"/>
    <w:semiHidden/>
    <w:unhideWhenUsed/>
    <w:rsid w:val="00FA64C0"/>
    <w:pPr>
      <w:ind w:left="960"/>
    </w:pPr>
    <w:rPr>
      <w:sz w:val="20"/>
      <w:szCs w:val="20"/>
    </w:rPr>
  </w:style>
  <w:style w:type="paragraph" w:styleId="TOC6">
    <w:name w:val="toc 6"/>
    <w:basedOn w:val="Normal"/>
    <w:next w:val="Normal"/>
    <w:autoRedefine/>
    <w:uiPriority w:val="39"/>
    <w:semiHidden/>
    <w:unhideWhenUsed/>
    <w:rsid w:val="00FA64C0"/>
    <w:pPr>
      <w:ind w:left="1200"/>
    </w:pPr>
    <w:rPr>
      <w:sz w:val="20"/>
      <w:szCs w:val="20"/>
    </w:rPr>
  </w:style>
  <w:style w:type="paragraph" w:styleId="TOC7">
    <w:name w:val="toc 7"/>
    <w:basedOn w:val="Normal"/>
    <w:next w:val="Normal"/>
    <w:autoRedefine/>
    <w:uiPriority w:val="39"/>
    <w:semiHidden/>
    <w:unhideWhenUsed/>
    <w:rsid w:val="00FA64C0"/>
    <w:pPr>
      <w:ind w:left="1440"/>
    </w:pPr>
    <w:rPr>
      <w:sz w:val="20"/>
      <w:szCs w:val="20"/>
    </w:rPr>
  </w:style>
  <w:style w:type="paragraph" w:styleId="TOC8">
    <w:name w:val="toc 8"/>
    <w:basedOn w:val="Normal"/>
    <w:next w:val="Normal"/>
    <w:autoRedefine/>
    <w:uiPriority w:val="39"/>
    <w:semiHidden/>
    <w:unhideWhenUsed/>
    <w:rsid w:val="00FA64C0"/>
    <w:pPr>
      <w:ind w:left="1680"/>
    </w:pPr>
    <w:rPr>
      <w:sz w:val="20"/>
      <w:szCs w:val="20"/>
    </w:rPr>
  </w:style>
  <w:style w:type="paragraph" w:styleId="TOC9">
    <w:name w:val="toc 9"/>
    <w:basedOn w:val="Normal"/>
    <w:next w:val="Normal"/>
    <w:autoRedefine/>
    <w:uiPriority w:val="39"/>
    <w:semiHidden/>
    <w:unhideWhenUsed/>
    <w:rsid w:val="00FA64C0"/>
    <w:pPr>
      <w:ind w:left="1920"/>
    </w:pPr>
    <w:rPr>
      <w:sz w:val="20"/>
      <w:szCs w:val="20"/>
    </w:rPr>
  </w:style>
  <w:style w:type="character" w:customStyle="1" w:styleId="name">
    <w:name w:val="name"/>
    <w:basedOn w:val="DefaultParagraphFont"/>
    <w:rsid w:val="00EC0089"/>
  </w:style>
  <w:style w:type="character" w:styleId="FollowedHyperlink">
    <w:name w:val="FollowedHyperlink"/>
    <w:basedOn w:val="DefaultParagraphFont"/>
    <w:uiPriority w:val="99"/>
    <w:semiHidden/>
    <w:unhideWhenUsed/>
    <w:rsid w:val="00EC0089"/>
    <w:rPr>
      <w:color w:val="954F72" w:themeColor="followedHyperlink"/>
      <w:u w:val="single"/>
    </w:rPr>
  </w:style>
  <w:style w:type="character" w:customStyle="1" w:styleId="a">
    <w:name w:val="a"/>
    <w:basedOn w:val="DefaultParagraphFont"/>
    <w:rsid w:val="00134CE9"/>
  </w:style>
  <w:style w:type="character" w:customStyle="1" w:styleId="l6">
    <w:name w:val="l6"/>
    <w:basedOn w:val="DefaultParagraphFont"/>
    <w:rsid w:val="00134CE9"/>
  </w:style>
  <w:style w:type="character" w:customStyle="1" w:styleId="l9">
    <w:name w:val="l9"/>
    <w:basedOn w:val="DefaultParagraphFont"/>
    <w:rsid w:val="00134CE9"/>
  </w:style>
  <w:style w:type="character" w:customStyle="1" w:styleId="l7">
    <w:name w:val="l7"/>
    <w:basedOn w:val="DefaultParagraphFont"/>
    <w:rsid w:val="00134CE9"/>
  </w:style>
  <w:style w:type="character" w:customStyle="1" w:styleId="articletitle">
    <w:name w:val="articletitle"/>
    <w:basedOn w:val="DefaultParagraphFont"/>
    <w:rsid w:val="00F40A70"/>
  </w:style>
  <w:style w:type="character" w:customStyle="1" w:styleId="pubyear">
    <w:name w:val="pubyear"/>
    <w:basedOn w:val="DefaultParagraphFont"/>
    <w:rsid w:val="00F40A70"/>
  </w:style>
  <w:style w:type="character" w:customStyle="1" w:styleId="pubinfo">
    <w:name w:val="pubinfo"/>
    <w:basedOn w:val="DefaultParagraphFont"/>
    <w:rsid w:val="00F40A70"/>
  </w:style>
  <w:style w:type="paragraph" w:styleId="CommentSubject">
    <w:name w:val="annotation subject"/>
    <w:basedOn w:val="CommentText"/>
    <w:next w:val="CommentText"/>
    <w:link w:val="CommentSubjectChar"/>
    <w:uiPriority w:val="99"/>
    <w:semiHidden/>
    <w:unhideWhenUsed/>
    <w:rsid w:val="00B6103D"/>
    <w:rPr>
      <w:b/>
      <w:bCs/>
    </w:rPr>
  </w:style>
  <w:style w:type="character" w:customStyle="1" w:styleId="CommentSubjectChar">
    <w:name w:val="Comment Subject Char"/>
    <w:basedOn w:val="CommentTextChar"/>
    <w:link w:val="CommentSubject"/>
    <w:uiPriority w:val="99"/>
    <w:semiHidden/>
    <w:rsid w:val="00B6103D"/>
    <w:rPr>
      <w:b/>
      <w:bCs/>
      <w:sz w:val="20"/>
      <w:szCs w:val="20"/>
    </w:rPr>
  </w:style>
  <w:style w:type="paragraph" w:customStyle="1" w:styleId="highwire-cite-authors">
    <w:name w:val="highwire-cite-authors"/>
    <w:basedOn w:val="Normal"/>
    <w:rsid w:val="00A14C11"/>
    <w:pPr>
      <w:spacing w:before="100" w:beforeAutospacing="1" w:after="100" w:afterAutospacing="1"/>
    </w:pPr>
  </w:style>
  <w:style w:type="character" w:customStyle="1" w:styleId="highwire-citation-author">
    <w:name w:val="highwire-citation-author"/>
    <w:basedOn w:val="DefaultParagraphFont"/>
    <w:rsid w:val="00A14C11"/>
  </w:style>
  <w:style w:type="paragraph" w:customStyle="1" w:styleId="highwire-cite-metadata">
    <w:name w:val="highwire-cite-metadata"/>
    <w:basedOn w:val="Normal"/>
    <w:rsid w:val="00A14C11"/>
    <w:pPr>
      <w:spacing w:before="100" w:beforeAutospacing="1" w:after="100" w:afterAutospacing="1"/>
    </w:pPr>
  </w:style>
  <w:style w:type="character" w:customStyle="1" w:styleId="ref-journal">
    <w:name w:val="ref-journal"/>
    <w:basedOn w:val="DefaultParagraphFont"/>
    <w:rsid w:val="00BF5DB3"/>
  </w:style>
  <w:style w:type="paragraph" w:styleId="NormalWeb">
    <w:name w:val="Normal (Web)"/>
    <w:basedOn w:val="Normal"/>
    <w:uiPriority w:val="99"/>
    <w:semiHidden/>
    <w:unhideWhenUsed/>
    <w:rsid w:val="003D6CD6"/>
    <w:pPr>
      <w:spacing w:before="100" w:beforeAutospacing="1" w:after="100" w:afterAutospacing="1"/>
    </w:pPr>
  </w:style>
  <w:style w:type="character" w:styleId="Strong">
    <w:name w:val="Strong"/>
    <w:basedOn w:val="DefaultParagraphFont"/>
    <w:uiPriority w:val="22"/>
    <w:qFormat/>
    <w:rsid w:val="00E4509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EEF"/>
    <w:rPr>
      <w:rFonts w:ascii="Times New Roman" w:hAnsi="Times New Roman" w:cs="Times New Roman"/>
    </w:rPr>
  </w:style>
  <w:style w:type="paragraph" w:styleId="Heading1">
    <w:name w:val="heading 1"/>
    <w:basedOn w:val="Normal"/>
    <w:next w:val="Normal"/>
    <w:link w:val="Heading1Char"/>
    <w:autoRedefine/>
    <w:uiPriority w:val="9"/>
    <w:qFormat/>
    <w:rsid w:val="000C3662"/>
    <w:pPr>
      <w:keepNext/>
      <w:keepLines/>
      <w:spacing w:before="240"/>
      <w:outlineLvl w:val="0"/>
    </w:pPr>
    <w:rPr>
      <w:rFonts w:eastAsiaTheme="majorEastAsia"/>
      <w:sz w:val="28"/>
      <w:szCs w:val="18"/>
    </w:rPr>
  </w:style>
  <w:style w:type="paragraph" w:styleId="Heading2">
    <w:name w:val="heading 2"/>
    <w:basedOn w:val="Normal"/>
    <w:next w:val="Normal"/>
    <w:link w:val="Heading2Char"/>
    <w:autoRedefine/>
    <w:uiPriority w:val="9"/>
    <w:unhideWhenUsed/>
    <w:qFormat/>
    <w:rsid w:val="00360448"/>
    <w:pPr>
      <w:keepNext/>
      <w:keepLines/>
      <w:spacing w:before="40"/>
      <w:outlineLvl w:val="1"/>
    </w:pPr>
    <w:rPr>
      <w:rFonts w:eastAsiaTheme="majorEastAsia"/>
    </w:rPr>
  </w:style>
  <w:style w:type="paragraph" w:styleId="Heading3">
    <w:name w:val="heading 3"/>
    <w:basedOn w:val="Normal"/>
    <w:next w:val="Normal"/>
    <w:link w:val="Heading3Char"/>
    <w:autoRedefine/>
    <w:uiPriority w:val="9"/>
    <w:unhideWhenUsed/>
    <w:qFormat/>
    <w:rsid w:val="006F7A80"/>
    <w:pPr>
      <w:keepNext/>
      <w:keepLines/>
      <w:spacing w:before="40"/>
      <w:outlineLvl w:val="2"/>
    </w:pPr>
    <w:rPr>
      <w:rFonts w:eastAsiaTheme="maj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3662"/>
    <w:rPr>
      <w:rFonts w:ascii="Times New Roman" w:eastAsiaTheme="majorEastAsia" w:hAnsi="Times New Roman" w:cs="Times New Roman"/>
      <w:sz w:val="28"/>
      <w:szCs w:val="18"/>
    </w:rPr>
  </w:style>
  <w:style w:type="paragraph" w:styleId="Revision">
    <w:name w:val="Revision"/>
    <w:hidden/>
    <w:uiPriority w:val="99"/>
    <w:semiHidden/>
    <w:rsid w:val="00AB73E0"/>
  </w:style>
  <w:style w:type="paragraph" w:styleId="BalloonText">
    <w:name w:val="Balloon Text"/>
    <w:basedOn w:val="Normal"/>
    <w:link w:val="BalloonTextChar"/>
    <w:uiPriority w:val="99"/>
    <w:semiHidden/>
    <w:unhideWhenUsed/>
    <w:rsid w:val="00AB73E0"/>
    <w:rPr>
      <w:sz w:val="18"/>
      <w:szCs w:val="18"/>
    </w:rPr>
  </w:style>
  <w:style w:type="character" w:customStyle="1" w:styleId="BalloonTextChar">
    <w:name w:val="Balloon Text Char"/>
    <w:basedOn w:val="DefaultParagraphFont"/>
    <w:link w:val="BalloonText"/>
    <w:uiPriority w:val="99"/>
    <w:semiHidden/>
    <w:rsid w:val="00AB73E0"/>
    <w:rPr>
      <w:rFonts w:ascii="Times New Roman" w:hAnsi="Times New Roman" w:cs="Times New Roman"/>
      <w:sz w:val="18"/>
      <w:szCs w:val="18"/>
    </w:rPr>
  </w:style>
  <w:style w:type="character" w:customStyle="1" w:styleId="Heading2Char">
    <w:name w:val="Heading 2 Char"/>
    <w:basedOn w:val="DefaultParagraphFont"/>
    <w:link w:val="Heading2"/>
    <w:uiPriority w:val="9"/>
    <w:rsid w:val="00360448"/>
    <w:rPr>
      <w:rFonts w:ascii="Times New Roman" w:eastAsiaTheme="majorEastAsia" w:hAnsi="Times New Roman" w:cs="Times New Roman"/>
    </w:rPr>
  </w:style>
  <w:style w:type="character" w:customStyle="1" w:styleId="Heading3Char">
    <w:name w:val="Heading 3 Char"/>
    <w:basedOn w:val="DefaultParagraphFont"/>
    <w:link w:val="Heading3"/>
    <w:uiPriority w:val="9"/>
    <w:rsid w:val="006F7A80"/>
    <w:rPr>
      <w:rFonts w:ascii="Times New Roman" w:eastAsiaTheme="majorEastAsia" w:hAnsi="Times New Roman" w:cs="Times New Roman"/>
    </w:rPr>
  </w:style>
  <w:style w:type="paragraph" w:styleId="FootnoteText">
    <w:name w:val="footnote text"/>
    <w:basedOn w:val="Normal"/>
    <w:link w:val="FootnoteTextChar"/>
    <w:autoRedefine/>
    <w:uiPriority w:val="99"/>
    <w:unhideWhenUsed/>
    <w:rsid w:val="009B012B"/>
  </w:style>
  <w:style w:type="character" w:customStyle="1" w:styleId="FootnoteTextChar">
    <w:name w:val="Footnote Text Char"/>
    <w:basedOn w:val="DefaultParagraphFont"/>
    <w:link w:val="FootnoteText"/>
    <w:uiPriority w:val="99"/>
    <w:rsid w:val="009B012B"/>
    <w:rPr>
      <w:rFonts w:ascii="Times New Roman" w:hAnsi="Times New Roman" w:cs="Times New Roman"/>
    </w:rPr>
  </w:style>
  <w:style w:type="character" w:styleId="FootnoteReference">
    <w:name w:val="footnote reference"/>
    <w:basedOn w:val="DefaultParagraphFont"/>
    <w:uiPriority w:val="99"/>
    <w:unhideWhenUsed/>
    <w:rsid w:val="001165FF"/>
    <w:rPr>
      <w:rFonts w:ascii="Times New Roman" w:hAnsi="Times New Roman"/>
      <w:sz w:val="18"/>
      <w:vertAlign w:val="superscript"/>
    </w:rPr>
  </w:style>
  <w:style w:type="paragraph" w:styleId="ListParagraph">
    <w:name w:val="List Paragraph"/>
    <w:basedOn w:val="Normal"/>
    <w:uiPriority w:val="34"/>
    <w:qFormat/>
    <w:rsid w:val="00AB73E0"/>
    <w:pPr>
      <w:ind w:left="720"/>
      <w:contextualSpacing/>
    </w:pPr>
    <w:rPr>
      <w:rFonts w:asciiTheme="minorHAnsi" w:hAnsiTheme="minorHAnsi" w:cstheme="minorBidi"/>
    </w:rPr>
  </w:style>
  <w:style w:type="paragraph" w:styleId="HTMLPreformatted">
    <w:name w:val="HTML Preformatted"/>
    <w:basedOn w:val="Normal"/>
    <w:link w:val="HTMLPreformattedChar"/>
    <w:uiPriority w:val="99"/>
    <w:unhideWhenUsed/>
    <w:rsid w:val="00AB73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B73E0"/>
    <w:rPr>
      <w:rFonts w:ascii="Courier New" w:hAnsi="Courier New" w:cs="Courier New"/>
      <w:sz w:val="20"/>
      <w:szCs w:val="20"/>
    </w:rPr>
  </w:style>
  <w:style w:type="paragraph" w:styleId="CommentText">
    <w:name w:val="annotation text"/>
    <w:basedOn w:val="Normal"/>
    <w:link w:val="CommentTextChar"/>
    <w:uiPriority w:val="99"/>
    <w:unhideWhenUsed/>
    <w:rsid w:val="00AB73E0"/>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AB73E0"/>
    <w:rPr>
      <w:sz w:val="20"/>
      <w:szCs w:val="20"/>
    </w:rPr>
  </w:style>
  <w:style w:type="character" w:styleId="CommentReference">
    <w:name w:val="annotation reference"/>
    <w:basedOn w:val="DefaultParagraphFont"/>
    <w:uiPriority w:val="99"/>
    <w:semiHidden/>
    <w:unhideWhenUsed/>
    <w:rsid w:val="00AB73E0"/>
    <w:rPr>
      <w:sz w:val="18"/>
      <w:szCs w:val="18"/>
    </w:rPr>
  </w:style>
  <w:style w:type="paragraph" w:styleId="Header">
    <w:name w:val="header"/>
    <w:basedOn w:val="Normal"/>
    <w:link w:val="HeaderChar"/>
    <w:uiPriority w:val="99"/>
    <w:unhideWhenUsed/>
    <w:rsid w:val="00AB73E0"/>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AB73E0"/>
  </w:style>
  <w:style w:type="paragraph" w:styleId="Footer">
    <w:name w:val="footer"/>
    <w:basedOn w:val="Normal"/>
    <w:link w:val="FooterChar"/>
    <w:uiPriority w:val="99"/>
    <w:unhideWhenUsed/>
    <w:rsid w:val="000760E9"/>
    <w:pPr>
      <w:tabs>
        <w:tab w:val="center" w:pos="4680"/>
        <w:tab w:val="right" w:pos="9360"/>
      </w:tabs>
    </w:pPr>
    <w:rPr>
      <w:rFonts w:cstheme="minorBidi"/>
    </w:rPr>
  </w:style>
  <w:style w:type="character" w:customStyle="1" w:styleId="FooterChar">
    <w:name w:val="Footer Char"/>
    <w:basedOn w:val="DefaultParagraphFont"/>
    <w:link w:val="Footer"/>
    <w:uiPriority w:val="99"/>
    <w:rsid w:val="000760E9"/>
    <w:rPr>
      <w:rFonts w:ascii="Times New Roman" w:hAnsi="Times New Roman"/>
    </w:rPr>
  </w:style>
  <w:style w:type="character" w:styleId="PageNumber">
    <w:name w:val="page number"/>
    <w:basedOn w:val="DefaultParagraphFont"/>
    <w:uiPriority w:val="99"/>
    <w:semiHidden/>
    <w:unhideWhenUsed/>
    <w:rsid w:val="00AB73E0"/>
  </w:style>
  <w:style w:type="paragraph" w:styleId="EndnoteText">
    <w:name w:val="endnote text"/>
    <w:basedOn w:val="Normal"/>
    <w:link w:val="EndnoteTextChar"/>
    <w:uiPriority w:val="99"/>
    <w:unhideWhenUsed/>
    <w:rsid w:val="00626756"/>
    <w:rPr>
      <w:rFonts w:asciiTheme="minorHAnsi" w:hAnsiTheme="minorHAnsi" w:cstheme="minorBidi"/>
    </w:rPr>
  </w:style>
  <w:style w:type="character" w:customStyle="1" w:styleId="EndnoteTextChar">
    <w:name w:val="Endnote Text Char"/>
    <w:basedOn w:val="DefaultParagraphFont"/>
    <w:link w:val="EndnoteText"/>
    <w:uiPriority w:val="99"/>
    <w:rsid w:val="00626756"/>
  </w:style>
  <w:style w:type="character" w:styleId="EndnoteReference">
    <w:name w:val="endnote reference"/>
    <w:basedOn w:val="DefaultParagraphFont"/>
    <w:uiPriority w:val="99"/>
    <w:unhideWhenUsed/>
    <w:rsid w:val="00626756"/>
    <w:rPr>
      <w:vertAlign w:val="superscript"/>
    </w:rPr>
  </w:style>
  <w:style w:type="character" w:customStyle="1" w:styleId="apple-converted-space">
    <w:name w:val="apple-converted-space"/>
    <w:basedOn w:val="DefaultParagraphFont"/>
    <w:rsid w:val="000F178E"/>
  </w:style>
  <w:style w:type="character" w:styleId="Emphasis">
    <w:name w:val="Emphasis"/>
    <w:basedOn w:val="DefaultParagraphFont"/>
    <w:uiPriority w:val="20"/>
    <w:qFormat/>
    <w:rsid w:val="000F178E"/>
    <w:rPr>
      <w:i/>
      <w:iCs/>
    </w:rPr>
  </w:style>
  <w:style w:type="paragraph" w:styleId="TOCHeading">
    <w:name w:val="TOC Heading"/>
    <w:basedOn w:val="Heading1"/>
    <w:next w:val="Normal"/>
    <w:uiPriority w:val="39"/>
    <w:unhideWhenUsed/>
    <w:qFormat/>
    <w:rsid w:val="00FA64C0"/>
    <w:pPr>
      <w:spacing w:before="480" w:line="276" w:lineRule="auto"/>
      <w:outlineLvl w:val="9"/>
    </w:pPr>
    <w:rPr>
      <w:b/>
      <w:bCs/>
      <w:szCs w:val="28"/>
    </w:rPr>
  </w:style>
  <w:style w:type="paragraph" w:styleId="TOC1">
    <w:name w:val="toc 1"/>
    <w:basedOn w:val="Normal"/>
    <w:next w:val="Normal"/>
    <w:autoRedefine/>
    <w:uiPriority w:val="39"/>
    <w:unhideWhenUsed/>
    <w:rsid w:val="00513EE9"/>
    <w:pPr>
      <w:tabs>
        <w:tab w:val="right" w:leader="dot" w:pos="9350"/>
      </w:tabs>
      <w:spacing w:before="120"/>
    </w:pPr>
    <w:rPr>
      <w:rFonts w:asciiTheme="minorHAnsi" w:hAnsiTheme="minorHAnsi" w:cstheme="minorBidi"/>
      <w:b/>
      <w:bCs/>
    </w:rPr>
  </w:style>
  <w:style w:type="paragraph" w:styleId="TOC2">
    <w:name w:val="toc 2"/>
    <w:basedOn w:val="Normal"/>
    <w:next w:val="Normal"/>
    <w:autoRedefine/>
    <w:uiPriority w:val="39"/>
    <w:unhideWhenUsed/>
    <w:rsid w:val="00513EE9"/>
    <w:pPr>
      <w:tabs>
        <w:tab w:val="right" w:leader="dot" w:pos="9350"/>
      </w:tabs>
      <w:ind w:left="240"/>
    </w:pPr>
    <w:rPr>
      <w:rFonts w:asciiTheme="minorHAnsi" w:hAnsiTheme="minorHAnsi" w:cstheme="minorBidi"/>
      <w:b/>
      <w:bCs/>
      <w:sz w:val="22"/>
      <w:szCs w:val="22"/>
    </w:rPr>
  </w:style>
  <w:style w:type="paragraph" w:styleId="TOC3">
    <w:name w:val="toc 3"/>
    <w:basedOn w:val="Normal"/>
    <w:next w:val="Normal"/>
    <w:autoRedefine/>
    <w:uiPriority w:val="39"/>
    <w:unhideWhenUsed/>
    <w:rsid w:val="00FA64C0"/>
    <w:pPr>
      <w:ind w:left="480"/>
    </w:pPr>
    <w:rPr>
      <w:rFonts w:asciiTheme="minorHAnsi" w:hAnsiTheme="minorHAnsi" w:cstheme="minorBidi"/>
      <w:sz w:val="22"/>
      <w:szCs w:val="22"/>
    </w:rPr>
  </w:style>
  <w:style w:type="character" w:styleId="Hyperlink">
    <w:name w:val="Hyperlink"/>
    <w:basedOn w:val="DefaultParagraphFont"/>
    <w:uiPriority w:val="99"/>
    <w:unhideWhenUsed/>
    <w:rsid w:val="00FA64C0"/>
    <w:rPr>
      <w:color w:val="0563C1" w:themeColor="hyperlink"/>
      <w:u w:val="single"/>
    </w:rPr>
  </w:style>
  <w:style w:type="paragraph" w:styleId="TOC4">
    <w:name w:val="toc 4"/>
    <w:basedOn w:val="Normal"/>
    <w:next w:val="Normal"/>
    <w:autoRedefine/>
    <w:uiPriority w:val="39"/>
    <w:semiHidden/>
    <w:unhideWhenUsed/>
    <w:rsid w:val="00FA64C0"/>
    <w:pPr>
      <w:ind w:left="720"/>
    </w:pPr>
    <w:rPr>
      <w:sz w:val="20"/>
      <w:szCs w:val="20"/>
    </w:rPr>
  </w:style>
  <w:style w:type="paragraph" w:styleId="TOC5">
    <w:name w:val="toc 5"/>
    <w:basedOn w:val="Normal"/>
    <w:next w:val="Normal"/>
    <w:autoRedefine/>
    <w:uiPriority w:val="39"/>
    <w:semiHidden/>
    <w:unhideWhenUsed/>
    <w:rsid w:val="00FA64C0"/>
    <w:pPr>
      <w:ind w:left="960"/>
    </w:pPr>
    <w:rPr>
      <w:sz w:val="20"/>
      <w:szCs w:val="20"/>
    </w:rPr>
  </w:style>
  <w:style w:type="paragraph" w:styleId="TOC6">
    <w:name w:val="toc 6"/>
    <w:basedOn w:val="Normal"/>
    <w:next w:val="Normal"/>
    <w:autoRedefine/>
    <w:uiPriority w:val="39"/>
    <w:semiHidden/>
    <w:unhideWhenUsed/>
    <w:rsid w:val="00FA64C0"/>
    <w:pPr>
      <w:ind w:left="1200"/>
    </w:pPr>
    <w:rPr>
      <w:sz w:val="20"/>
      <w:szCs w:val="20"/>
    </w:rPr>
  </w:style>
  <w:style w:type="paragraph" w:styleId="TOC7">
    <w:name w:val="toc 7"/>
    <w:basedOn w:val="Normal"/>
    <w:next w:val="Normal"/>
    <w:autoRedefine/>
    <w:uiPriority w:val="39"/>
    <w:semiHidden/>
    <w:unhideWhenUsed/>
    <w:rsid w:val="00FA64C0"/>
    <w:pPr>
      <w:ind w:left="1440"/>
    </w:pPr>
    <w:rPr>
      <w:sz w:val="20"/>
      <w:szCs w:val="20"/>
    </w:rPr>
  </w:style>
  <w:style w:type="paragraph" w:styleId="TOC8">
    <w:name w:val="toc 8"/>
    <w:basedOn w:val="Normal"/>
    <w:next w:val="Normal"/>
    <w:autoRedefine/>
    <w:uiPriority w:val="39"/>
    <w:semiHidden/>
    <w:unhideWhenUsed/>
    <w:rsid w:val="00FA64C0"/>
    <w:pPr>
      <w:ind w:left="1680"/>
    </w:pPr>
    <w:rPr>
      <w:sz w:val="20"/>
      <w:szCs w:val="20"/>
    </w:rPr>
  </w:style>
  <w:style w:type="paragraph" w:styleId="TOC9">
    <w:name w:val="toc 9"/>
    <w:basedOn w:val="Normal"/>
    <w:next w:val="Normal"/>
    <w:autoRedefine/>
    <w:uiPriority w:val="39"/>
    <w:semiHidden/>
    <w:unhideWhenUsed/>
    <w:rsid w:val="00FA64C0"/>
    <w:pPr>
      <w:ind w:left="1920"/>
    </w:pPr>
    <w:rPr>
      <w:sz w:val="20"/>
      <w:szCs w:val="20"/>
    </w:rPr>
  </w:style>
  <w:style w:type="character" w:customStyle="1" w:styleId="name">
    <w:name w:val="name"/>
    <w:basedOn w:val="DefaultParagraphFont"/>
    <w:rsid w:val="00EC0089"/>
  </w:style>
  <w:style w:type="character" w:styleId="FollowedHyperlink">
    <w:name w:val="FollowedHyperlink"/>
    <w:basedOn w:val="DefaultParagraphFont"/>
    <w:uiPriority w:val="99"/>
    <w:semiHidden/>
    <w:unhideWhenUsed/>
    <w:rsid w:val="00EC0089"/>
    <w:rPr>
      <w:color w:val="954F72" w:themeColor="followedHyperlink"/>
      <w:u w:val="single"/>
    </w:rPr>
  </w:style>
  <w:style w:type="character" w:customStyle="1" w:styleId="a">
    <w:name w:val="a"/>
    <w:basedOn w:val="DefaultParagraphFont"/>
    <w:rsid w:val="00134CE9"/>
  </w:style>
  <w:style w:type="character" w:customStyle="1" w:styleId="l6">
    <w:name w:val="l6"/>
    <w:basedOn w:val="DefaultParagraphFont"/>
    <w:rsid w:val="00134CE9"/>
  </w:style>
  <w:style w:type="character" w:customStyle="1" w:styleId="l9">
    <w:name w:val="l9"/>
    <w:basedOn w:val="DefaultParagraphFont"/>
    <w:rsid w:val="00134CE9"/>
  </w:style>
  <w:style w:type="character" w:customStyle="1" w:styleId="l7">
    <w:name w:val="l7"/>
    <w:basedOn w:val="DefaultParagraphFont"/>
    <w:rsid w:val="00134CE9"/>
  </w:style>
  <w:style w:type="character" w:customStyle="1" w:styleId="articletitle">
    <w:name w:val="articletitle"/>
    <w:basedOn w:val="DefaultParagraphFont"/>
    <w:rsid w:val="00F40A70"/>
  </w:style>
  <w:style w:type="character" w:customStyle="1" w:styleId="pubyear">
    <w:name w:val="pubyear"/>
    <w:basedOn w:val="DefaultParagraphFont"/>
    <w:rsid w:val="00F40A70"/>
  </w:style>
  <w:style w:type="character" w:customStyle="1" w:styleId="pubinfo">
    <w:name w:val="pubinfo"/>
    <w:basedOn w:val="DefaultParagraphFont"/>
    <w:rsid w:val="00F40A70"/>
  </w:style>
  <w:style w:type="paragraph" w:styleId="CommentSubject">
    <w:name w:val="annotation subject"/>
    <w:basedOn w:val="CommentText"/>
    <w:next w:val="CommentText"/>
    <w:link w:val="CommentSubjectChar"/>
    <w:uiPriority w:val="99"/>
    <w:semiHidden/>
    <w:unhideWhenUsed/>
    <w:rsid w:val="00B6103D"/>
    <w:rPr>
      <w:b/>
      <w:bCs/>
    </w:rPr>
  </w:style>
  <w:style w:type="character" w:customStyle="1" w:styleId="CommentSubjectChar">
    <w:name w:val="Comment Subject Char"/>
    <w:basedOn w:val="CommentTextChar"/>
    <w:link w:val="CommentSubject"/>
    <w:uiPriority w:val="99"/>
    <w:semiHidden/>
    <w:rsid w:val="00B6103D"/>
    <w:rPr>
      <w:b/>
      <w:bCs/>
      <w:sz w:val="20"/>
      <w:szCs w:val="20"/>
    </w:rPr>
  </w:style>
  <w:style w:type="paragraph" w:customStyle="1" w:styleId="highwire-cite-authors">
    <w:name w:val="highwire-cite-authors"/>
    <w:basedOn w:val="Normal"/>
    <w:rsid w:val="00A14C11"/>
    <w:pPr>
      <w:spacing w:before="100" w:beforeAutospacing="1" w:after="100" w:afterAutospacing="1"/>
    </w:pPr>
  </w:style>
  <w:style w:type="character" w:customStyle="1" w:styleId="highwire-citation-author">
    <w:name w:val="highwire-citation-author"/>
    <w:basedOn w:val="DefaultParagraphFont"/>
    <w:rsid w:val="00A14C11"/>
  </w:style>
  <w:style w:type="paragraph" w:customStyle="1" w:styleId="highwire-cite-metadata">
    <w:name w:val="highwire-cite-metadata"/>
    <w:basedOn w:val="Normal"/>
    <w:rsid w:val="00A14C11"/>
    <w:pPr>
      <w:spacing w:before="100" w:beforeAutospacing="1" w:after="100" w:afterAutospacing="1"/>
    </w:pPr>
  </w:style>
  <w:style w:type="character" w:customStyle="1" w:styleId="ref-journal">
    <w:name w:val="ref-journal"/>
    <w:basedOn w:val="DefaultParagraphFont"/>
    <w:rsid w:val="00BF5DB3"/>
  </w:style>
  <w:style w:type="paragraph" w:styleId="NormalWeb">
    <w:name w:val="Normal (Web)"/>
    <w:basedOn w:val="Normal"/>
    <w:uiPriority w:val="99"/>
    <w:semiHidden/>
    <w:unhideWhenUsed/>
    <w:rsid w:val="003D6CD6"/>
    <w:pPr>
      <w:spacing w:before="100" w:beforeAutospacing="1" w:after="100" w:afterAutospacing="1"/>
    </w:pPr>
  </w:style>
  <w:style w:type="character" w:styleId="Strong">
    <w:name w:val="Strong"/>
    <w:basedOn w:val="DefaultParagraphFont"/>
    <w:uiPriority w:val="22"/>
    <w:qFormat/>
    <w:rsid w:val="00E450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6963">
      <w:bodyDiv w:val="1"/>
      <w:marLeft w:val="0"/>
      <w:marRight w:val="0"/>
      <w:marTop w:val="0"/>
      <w:marBottom w:val="0"/>
      <w:divBdr>
        <w:top w:val="none" w:sz="0" w:space="0" w:color="auto"/>
        <w:left w:val="none" w:sz="0" w:space="0" w:color="auto"/>
        <w:bottom w:val="none" w:sz="0" w:space="0" w:color="auto"/>
        <w:right w:val="none" w:sz="0" w:space="0" w:color="auto"/>
      </w:divBdr>
    </w:div>
    <w:div w:id="100422191">
      <w:bodyDiv w:val="1"/>
      <w:marLeft w:val="0"/>
      <w:marRight w:val="0"/>
      <w:marTop w:val="0"/>
      <w:marBottom w:val="0"/>
      <w:divBdr>
        <w:top w:val="none" w:sz="0" w:space="0" w:color="auto"/>
        <w:left w:val="none" w:sz="0" w:space="0" w:color="auto"/>
        <w:bottom w:val="none" w:sz="0" w:space="0" w:color="auto"/>
        <w:right w:val="none" w:sz="0" w:space="0" w:color="auto"/>
      </w:divBdr>
    </w:div>
    <w:div w:id="274487509">
      <w:bodyDiv w:val="1"/>
      <w:marLeft w:val="0"/>
      <w:marRight w:val="0"/>
      <w:marTop w:val="0"/>
      <w:marBottom w:val="0"/>
      <w:divBdr>
        <w:top w:val="none" w:sz="0" w:space="0" w:color="auto"/>
        <w:left w:val="none" w:sz="0" w:space="0" w:color="auto"/>
        <w:bottom w:val="none" w:sz="0" w:space="0" w:color="auto"/>
        <w:right w:val="none" w:sz="0" w:space="0" w:color="auto"/>
      </w:divBdr>
    </w:div>
    <w:div w:id="278953592">
      <w:bodyDiv w:val="1"/>
      <w:marLeft w:val="0"/>
      <w:marRight w:val="0"/>
      <w:marTop w:val="0"/>
      <w:marBottom w:val="0"/>
      <w:divBdr>
        <w:top w:val="none" w:sz="0" w:space="0" w:color="auto"/>
        <w:left w:val="none" w:sz="0" w:space="0" w:color="auto"/>
        <w:bottom w:val="none" w:sz="0" w:space="0" w:color="auto"/>
        <w:right w:val="none" w:sz="0" w:space="0" w:color="auto"/>
      </w:divBdr>
    </w:div>
    <w:div w:id="365061218">
      <w:bodyDiv w:val="1"/>
      <w:marLeft w:val="0"/>
      <w:marRight w:val="0"/>
      <w:marTop w:val="0"/>
      <w:marBottom w:val="0"/>
      <w:divBdr>
        <w:top w:val="none" w:sz="0" w:space="0" w:color="auto"/>
        <w:left w:val="none" w:sz="0" w:space="0" w:color="auto"/>
        <w:bottom w:val="none" w:sz="0" w:space="0" w:color="auto"/>
        <w:right w:val="none" w:sz="0" w:space="0" w:color="auto"/>
      </w:divBdr>
    </w:div>
    <w:div w:id="499732555">
      <w:bodyDiv w:val="1"/>
      <w:marLeft w:val="0"/>
      <w:marRight w:val="0"/>
      <w:marTop w:val="0"/>
      <w:marBottom w:val="0"/>
      <w:divBdr>
        <w:top w:val="none" w:sz="0" w:space="0" w:color="auto"/>
        <w:left w:val="none" w:sz="0" w:space="0" w:color="auto"/>
        <w:bottom w:val="none" w:sz="0" w:space="0" w:color="auto"/>
        <w:right w:val="none" w:sz="0" w:space="0" w:color="auto"/>
      </w:divBdr>
    </w:div>
    <w:div w:id="577523617">
      <w:bodyDiv w:val="1"/>
      <w:marLeft w:val="0"/>
      <w:marRight w:val="0"/>
      <w:marTop w:val="0"/>
      <w:marBottom w:val="0"/>
      <w:divBdr>
        <w:top w:val="none" w:sz="0" w:space="0" w:color="auto"/>
        <w:left w:val="none" w:sz="0" w:space="0" w:color="auto"/>
        <w:bottom w:val="none" w:sz="0" w:space="0" w:color="auto"/>
        <w:right w:val="none" w:sz="0" w:space="0" w:color="auto"/>
      </w:divBdr>
    </w:div>
    <w:div w:id="594821985">
      <w:bodyDiv w:val="1"/>
      <w:marLeft w:val="0"/>
      <w:marRight w:val="0"/>
      <w:marTop w:val="0"/>
      <w:marBottom w:val="0"/>
      <w:divBdr>
        <w:top w:val="none" w:sz="0" w:space="0" w:color="auto"/>
        <w:left w:val="none" w:sz="0" w:space="0" w:color="auto"/>
        <w:bottom w:val="none" w:sz="0" w:space="0" w:color="auto"/>
        <w:right w:val="none" w:sz="0" w:space="0" w:color="auto"/>
      </w:divBdr>
      <w:divsChild>
        <w:div w:id="325090024">
          <w:marLeft w:val="0"/>
          <w:marRight w:val="0"/>
          <w:marTop w:val="75"/>
          <w:marBottom w:val="75"/>
          <w:divBdr>
            <w:top w:val="none" w:sz="0" w:space="0" w:color="auto"/>
            <w:left w:val="none" w:sz="0" w:space="0" w:color="auto"/>
            <w:bottom w:val="none" w:sz="0" w:space="0" w:color="auto"/>
            <w:right w:val="none" w:sz="0" w:space="0" w:color="auto"/>
          </w:divBdr>
        </w:div>
        <w:div w:id="833566358">
          <w:marLeft w:val="0"/>
          <w:marRight w:val="0"/>
          <w:marTop w:val="0"/>
          <w:marBottom w:val="0"/>
          <w:divBdr>
            <w:top w:val="none" w:sz="0" w:space="0" w:color="auto"/>
            <w:left w:val="none" w:sz="0" w:space="0" w:color="auto"/>
            <w:bottom w:val="none" w:sz="0" w:space="0" w:color="auto"/>
            <w:right w:val="none" w:sz="0" w:space="0" w:color="auto"/>
          </w:divBdr>
        </w:div>
      </w:divsChild>
    </w:div>
    <w:div w:id="622005644">
      <w:bodyDiv w:val="1"/>
      <w:marLeft w:val="0"/>
      <w:marRight w:val="0"/>
      <w:marTop w:val="0"/>
      <w:marBottom w:val="0"/>
      <w:divBdr>
        <w:top w:val="none" w:sz="0" w:space="0" w:color="auto"/>
        <w:left w:val="none" w:sz="0" w:space="0" w:color="auto"/>
        <w:bottom w:val="none" w:sz="0" w:space="0" w:color="auto"/>
        <w:right w:val="none" w:sz="0" w:space="0" w:color="auto"/>
      </w:divBdr>
      <w:divsChild>
        <w:div w:id="906571224">
          <w:marLeft w:val="0"/>
          <w:marRight w:val="0"/>
          <w:marTop w:val="0"/>
          <w:marBottom w:val="0"/>
          <w:divBdr>
            <w:top w:val="none" w:sz="0" w:space="0" w:color="auto"/>
            <w:left w:val="none" w:sz="0" w:space="0" w:color="auto"/>
            <w:bottom w:val="none" w:sz="0" w:space="0" w:color="auto"/>
            <w:right w:val="none" w:sz="0" w:space="0" w:color="auto"/>
          </w:divBdr>
        </w:div>
        <w:div w:id="1463039791">
          <w:marLeft w:val="0"/>
          <w:marRight w:val="0"/>
          <w:marTop w:val="0"/>
          <w:marBottom w:val="0"/>
          <w:divBdr>
            <w:top w:val="none" w:sz="0" w:space="0" w:color="auto"/>
            <w:left w:val="none" w:sz="0" w:space="0" w:color="auto"/>
            <w:bottom w:val="none" w:sz="0" w:space="0" w:color="auto"/>
            <w:right w:val="none" w:sz="0" w:space="0" w:color="auto"/>
          </w:divBdr>
        </w:div>
        <w:div w:id="687029230">
          <w:marLeft w:val="0"/>
          <w:marRight w:val="0"/>
          <w:marTop w:val="0"/>
          <w:marBottom w:val="0"/>
          <w:divBdr>
            <w:top w:val="none" w:sz="0" w:space="0" w:color="auto"/>
            <w:left w:val="none" w:sz="0" w:space="0" w:color="auto"/>
            <w:bottom w:val="none" w:sz="0" w:space="0" w:color="auto"/>
            <w:right w:val="none" w:sz="0" w:space="0" w:color="auto"/>
          </w:divBdr>
        </w:div>
      </w:divsChild>
    </w:div>
    <w:div w:id="635329709">
      <w:bodyDiv w:val="1"/>
      <w:marLeft w:val="0"/>
      <w:marRight w:val="0"/>
      <w:marTop w:val="0"/>
      <w:marBottom w:val="0"/>
      <w:divBdr>
        <w:top w:val="none" w:sz="0" w:space="0" w:color="auto"/>
        <w:left w:val="none" w:sz="0" w:space="0" w:color="auto"/>
        <w:bottom w:val="none" w:sz="0" w:space="0" w:color="auto"/>
        <w:right w:val="none" w:sz="0" w:space="0" w:color="auto"/>
      </w:divBdr>
    </w:div>
    <w:div w:id="716247980">
      <w:bodyDiv w:val="1"/>
      <w:marLeft w:val="0"/>
      <w:marRight w:val="0"/>
      <w:marTop w:val="0"/>
      <w:marBottom w:val="0"/>
      <w:divBdr>
        <w:top w:val="none" w:sz="0" w:space="0" w:color="auto"/>
        <w:left w:val="none" w:sz="0" w:space="0" w:color="auto"/>
        <w:bottom w:val="none" w:sz="0" w:space="0" w:color="auto"/>
        <w:right w:val="none" w:sz="0" w:space="0" w:color="auto"/>
      </w:divBdr>
    </w:div>
    <w:div w:id="748621528">
      <w:bodyDiv w:val="1"/>
      <w:marLeft w:val="0"/>
      <w:marRight w:val="0"/>
      <w:marTop w:val="0"/>
      <w:marBottom w:val="0"/>
      <w:divBdr>
        <w:top w:val="none" w:sz="0" w:space="0" w:color="auto"/>
        <w:left w:val="none" w:sz="0" w:space="0" w:color="auto"/>
        <w:bottom w:val="none" w:sz="0" w:space="0" w:color="auto"/>
        <w:right w:val="none" w:sz="0" w:space="0" w:color="auto"/>
      </w:divBdr>
    </w:div>
    <w:div w:id="750735267">
      <w:bodyDiv w:val="1"/>
      <w:marLeft w:val="0"/>
      <w:marRight w:val="0"/>
      <w:marTop w:val="0"/>
      <w:marBottom w:val="0"/>
      <w:divBdr>
        <w:top w:val="none" w:sz="0" w:space="0" w:color="auto"/>
        <w:left w:val="none" w:sz="0" w:space="0" w:color="auto"/>
        <w:bottom w:val="none" w:sz="0" w:space="0" w:color="auto"/>
        <w:right w:val="none" w:sz="0" w:space="0" w:color="auto"/>
      </w:divBdr>
    </w:div>
    <w:div w:id="756484407">
      <w:bodyDiv w:val="1"/>
      <w:marLeft w:val="0"/>
      <w:marRight w:val="0"/>
      <w:marTop w:val="0"/>
      <w:marBottom w:val="0"/>
      <w:divBdr>
        <w:top w:val="none" w:sz="0" w:space="0" w:color="auto"/>
        <w:left w:val="none" w:sz="0" w:space="0" w:color="auto"/>
        <w:bottom w:val="none" w:sz="0" w:space="0" w:color="auto"/>
        <w:right w:val="none" w:sz="0" w:space="0" w:color="auto"/>
      </w:divBdr>
    </w:div>
    <w:div w:id="761728246">
      <w:bodyDiv w:val="1"/>
      <w:marLeft w:val="0"/>
      <w:marRight w:val="0"/>
      <w:marTop w:val="0"/>
      <w:marBottom w:val="0"/>
      <w:divBdr>
        <w:top w:val="none" w:sz="0" w:space="0" w:color="auto"/>
        <w:left w:val="none" w:sz="0" w:space="0" w:color="auto"/>
        <w:bottom w:val="none" w:sz="0" w:space="0" w:color="auto"/>
        <w:right w:val="none" w:sz="0" w:space="0" w:color="auto"/>
      </w:divBdr>
    </w:div>
    <w:div w:id="833685359">
      <w:bodyDiv w:val="1"/>
      <w:marLeft w:val="0"/>
      <w:marRight w:val="0"/>
      <w:marTop w:val="0"/>
      <w:marBottom w:val="0"/>
      <w:divBdr>
        <w:top w:val="none" w:sz="0" w:space="0" w:color="auto"/>
        <w:left w:val="none" w:sz="0" w:space="0" w:color="auto"/>
        <w:bottom w:val="none" w:sz="0" w:space="0" w:color="auto"/>
        <w:right w:val="none" w:sz="0" w:space="0" w:color="auto"/>
      </w:divBdr>
    </w:div>
    <w:div w:id="872613910">
      <w:bodyDiv w:val="1"/>
      <w:marLeft w:val="0"/>
      <w:marRight w:val="0"/>
      <w:marTop w:val="0"/>
      <w:marBottom w:val="0"/>
      <w:divBdr>
        <w:top w:val="none" w:sz="0" w:space="0" w:color="auto"/>
        <w:left w:val="none" w:sz="0" w:space="0" w:color="auto"/>
        <w:bottom w:val="none" w:sz="0" w:space="0" w:color="auto"/>
        <w:right w:val="none" w:sz="0" w:space="0" w:color="auto"/>
      </w:divBdr>
      <w:divsChild>
        <w:div w:id="2139493072">
          <w:marLeft w:val="0"/>
          <w:marRight w:val="0"/>
          <w:marTop w:val="0"/>
          <w:marBottom w:val="0"/>
          <w:divBdr>
            <w:top w:val="none" w:sz="0" w:space="0" w:color="auto"/>
            <w:left w:val="none" w:sz="0" w:space="0" w:color="auto"/>
            <w:bottom w:val="none" w:sz="0" w:space="0" w:color="auto"/>
            <w:right w:val="none" w:sz="0" w:space="0" w:color="auto"/>
          </w:divBdr>
          <w:divsChild>
            <w:div w:id="1727677028">
              <w:marLeft w:val="0"/>
              <w:marRight w:val="0"/>
              <w:marTop w:val="0"/>
              <w:marBottom w:val="0"/>
              <w:divBdr>
                <w:top w:val="none" w:sz="0" w:space="0" w:color="auto"/>
                <w:left w:val="none" w:sz="0" w:space="0" w:color="auto"/>
                <w:bottom w:val="none" w:sz="0" w:space="0" w:color="auto"/>
                <w:right w:val="none" w:sz="0" w:space="0" w:color="auto"/>
              </w:divBdr>
              <w:divsChild>
                <w:div w:id="58183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857269">
      <w:bodyDiv w:val="1"/>
      <w:marLeft w:val="0"/>
      <w:marRight w:val="0"/>
      <w:marTop w:val="0"/>
      <w:marBottom w:val="0"/>
      <w:divBdr>
        <w:top w:val="none" w:sz="0" w:space="0" w:color="auto"/>
        <w:left w:val="none" w:sz="0" w:space="0" w:color="auto"/>
        <w:bottom w:val="none" w:sz="0" w:space="0" w:color="auto"/>
        <w:right w:val="none" w:sz="0" w:space="0" w:color="auto"/>
      </w:divBdr>
    </w:div>
    <w:div w:id="988631589">
      <w:bodyDiv w:val="1"/>
      <w:marLeft w:val="0"/>
      <w:marRight w:val="0"/>
      <w:marTop w:val="0"/>
      <w:marBottom w:val="0"/>
      <w:divBdr>
        <w:top w:val="none" w:sz="0" w:space="0" w:color="auto"/>
        <w:left w:val="none" w:sz="0" w:space="0" w:color="auto"/>
        <w:bottom w:val="none" w:sz="0" w:space="0" w:color="auto"/>
        <w:right w:val="none" w:sz="0" w:space="0" w:color="auto"/>
      </w:divBdr>
    </w:div>
    <w:div w:id="1000766643">
      <w:bodyDiv w:val="1"/>
      <w:marLeft w:val="0"/>
      <w:marRight w:val="0"/>
      <w:marTop w:val="0"/>
      <w:marBottom w:val="0"/>
      <w:divBdr>
        <w:top w:val="none" w:sz="0" w:space="0" w:color="auto"/>
        <w:left w:val="none" w:sz="0" w:space="0" w:color="auto"/>
        <w:bottom w:val="none" w:sz="0" w:space="0" w:color="auto"/>
        <w:right w:val="none" w:sz="0" w:space="0" w:color="auto"/>
      </w:divBdr>
    </w:div>
    <w:div w:id="1025014789">
      <w:bodyDiv w:val="1"/>
      <w:marLeft w:val="0"/>
      <w:marRight w:val="0"/>
      <w:marTop w:val="0"/>
      <w:marBottom w:val="0"/>
      <w:divBdr>
        <w:top w:val="none" w:sz="0" w:space="0" w:color="auto"/>
        <w:left w:val="none" w:sz="0" w:space="0" w:color="auto"/>
        <w:bottom w:val="none" w:sz="0" w:space="0" w:color="auto"/>
        <w:right w:val="none" w:sz="0" w:space="0" w:color="auto"/>
      </w:divBdr>
    </w:div>
    <w:div w:id="1225411243">
      <w:bodyDiv w:val="1"/>
      <w:marLeft w:val="0"/>
      <w:marRight w:val="0"/>
      <w:marTop w:val="0"/>
      <w:marBottom w:val="0"/>
      <w:divBdr>
        <w:top w:val="none" w:sz="0" w:space="0" w:color="auto"/>
        <w:left w:val="none" w:sz="0" w:space="0" w:color="auto"/>
        <w:bottom w:val="none" w:sz="0" w:space="0" w:color="auto"/>
        <w:right w:val="none" w:sz="0" w:space="0" w:color="auto"/>
      </w:divBdr>
    </w:div>
    <w:div w:id="1288512938">
      <w:bodyDiv w:val="1"/>
      <w:marLeft w:val="0"/>
      <w:marRight w:val="0"/>
      <w:marTop w:val="0"/>
      <w:marBottom w:val="0"/>
      <w:divBdr>
        <w:top w:val="none" w:sz="0" w:space="0" w:color="auto"/>
        <w:left w:val="none" w:sz="0" w:space="0" w:color="auto"/>
        <w:bottom w:val="none" w:sz="0" w:space="0" w:color="auto"/>
        <w:right w:val="none" w:sz="0" w:space="0" w:color="auto"/>
      </w:divBdr>
    </w:div>
    <w:div w:id="1404988029">
      <w:bodyDiv w:val="1"/>
      <w:marLeft w:val="0"/>
      <w:marRight w:val="0"/>
      <w:marTop w:val="0"/>
      <w:marBottom w:val="0"/>
      <w:divBdr>
        <w:top w:val="none" w:sz="0" w:space="0" w:color="auto"/>
        <w:left w:val="none" w:sz="0" w:space="0" w:color="auto"/>
        <w:bottom w:val="none" w:sz="0" w:space="0" w:color="auto"/>
        <w:right w:val="none" w:sz="0" w:space="0" w:color="auto"/>
      </w:divBdr>
    </w:div>
    <w:div w:id="1474105844">
      <w:bodyDiv w:val="1"/>
      <w:marLeft w:val="0"/>
      <w:marRight w:val="0"/>
      <w:marTop w:val="0"/>
      <w:marBottom w:val="0"/>
      <w:divBdr>
        <w:top w:val="none" w:sz="0" w:space="0" w:color="auto"/>
        <w:left w:val="none" w:sz="0" w:space="0" w:color="auto"/>
        <w:bottom w:val="none" w:sz="0" w:space="0" w:color="auto"/>
        <w:right w:val="none" w:sz="0" w:space="0" w:color="auto"/>
      </w:divBdr>
    </w:div>
    <w:div w:id="1515609186">
      <w:bodyDiv w:val="1"/>
      <w:marLeft w:val="0"/>
      <w:marRight w:val="0"/>
      <w:marTop w:val="0"/>
      <w:marBottom w:val="0"/>
      <w:divBdr>
        <w:top w:val="none" w:sz="0" w:space="0" w:color="auto"/>
        <w:left w:val="none" w:sz="0" w:space="0" w:color="auto"/>
        <w:bottom w:val="none" w:sz="0" w:space="0" w:color="auto"/>
        <w:right w:val="none" w:sz="0" w:space="0" w:color="auto"/>
      </w:divBdr>
      <w:divsChild>
        <w:div w:id="1798139227">
          <w:marLeft w:val="0"/>
          <w:marRight w:val="0"/>
          <w:marTop w:val="0"/>
          <w:marBottom w:val="0"/>
          <w:divBdr>
            <w:top w:val="none" w:sz="0" w:space="0" w:color="auto"/>
            <w:left w:val="none" w:sz="0" w:space="0" w:color="auto"/>
            <w:bottom w:val="none" w:sz="0" w:space="0" w:color="auto"/>
            <w:right w:val="none" w:sz="0" w:space="0" w:color="auto"/>
          </w:divBdr>
        </w:div>
      </w:divsChild>
    </w:div>
    <w:div w:id="1560706970">
      <w:bodyDiv w:val="1"/>
      <w:marLeft w:val="0"/>
      <w:marRight w:val="0"/>
      <w:marTop w:val="0"/>
      <w:marBottom w:val="0"/>
      <w:divBdr>
        <w:top w:val="none" w:sz="0" w:space="0" w:color="auto"/>
        <w:left w:val="none" w:sz="0" w:space="0" w:color="auto"/>
        <w:bottom w:val="none" w:sz="0" w:space="0" w:color="auto"/>
        <w:right w:val="none" w:sz="0" w:space="0" w:color="auto"/>
      </w:divBdr>
      <w:divsChild>
        <w:div w:id="1795248800">
          <w:marLeft w:val="0"/>
          <w:marRight w:val="0"/>
          <w:marTop w:val="0"/>
          <w:marBottom w:val="0"/>
          <w:divBdr>
            <w:top w:val="none" w:sz="0" w:space="0" w:color="auto"/>
            <w:left w:val="none" w:sz="0" w:space="0" w:color="auto"/>
            <w:bottom w:val="none" w:sz="0" w:space="0" w:color="auto"/>
            <w:right w:val="none" w:sz="0" w:space="0" w:color="auto"/>
          </w:divBdr>
          <w:divsChild>
            <w:div w:id="1102847471">
              <w:marLeft w:val="0"/>
              <w:marRight w:val="0"/>
              <w:marTop w:val="0"/>
              <w:marBottom w:val="0"/>
              <w:divBdr>
                <w:top w:val="none" w:sz="0" w:space="0" w:color="auto"/>
                <w:left w:val="none" w:sz="0" w:space="0" w:color="auto"/>
                <w:bottom w:val="none" w:sz="0" w:space="0" w:color="auto"/>
                <w:right w:val="none" w:sz="0" w:space="0" w:color="auto"/>
              </w:divBdr>
              <w:divsChild>
                <w:div w:id="50077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902308">
      <w:bodyDiv w:val="1"/>
      <w:marLeft w:val="0"/>
      <w:marRight w:val="0"/>
      <w:marTop w:val="0"/>
      <w:marBottom w:val="0"/>
      <w:divBdr>
        <w:top w:val="none" w:sz="0" w:space="0" w:color="auto"/>
        <w:left w:val="none" w:sz="0" w:space="0" w:color="auto"/>
        <w:bottom w:val="none" w:sz="0" w:space="0" w:color="auto"/>
        <w:right w:val="none" w:sz="0" w:space="0" w:color="auto"/>
      </w:divBdr>
    </w:div>
    <w:div w:id="1816797944">
      <w:bodyDiv w:val="1"/>
      <w:marLeft w:val="0"/>
      <w:marRight w:val="0"/>
      <w:marTop w:val="0"/>
      <w:marBottom w:val="0"/>
      <w:divBdr>
        <w:top w:val="none" w:sz="0" w:space="0" w:color="auto"/>
        <w:left w:val="none" w:sz="0" w:space="0" w:color="auto"/>
        <w:bottom w:val="none" w:sz="0" w:space="0" w:color="auto"/>
        <w:right w:val="none" w:sz="0" w:space="0" w:color="auto"/>
      </w:divBdr>
      <w:divsChild>
        <w:div w:id="443967708">
          <w:marLeft w:val="0"/>
          <w:marRight w:val="0"/>
          <w:marTop w:val="0"/>
          <w:marBottom w:val="0"/>
          <w:divBdr>
            <w:top w:val="none" w:sz="0" w:space="0" w:color="auto"/>
            <w:left w:val="none" w:sz="0" w:space="0" w:color="auto"/>
            <w:bottom w:val="none" w:sz="0" w:space="0" w:color="auto"/>
            <w:right w:val="none" w:sz="0" w:space="0" w:color="auto"/>
          </w:divBdr>
        </w:div>
      </w:divsChild>
    </w:div>
    <w:div w:id="1820998345">
      <w:bodyDiv w:val="1"/>
      <w:marLeft w:val="0"/>
      <w:marRight w:val="0"/>
      <w:marTop w:val="0"/>
      <w:marBottom w:val="0"/>
      <w:divBdr>
        <w:top w:val="none" w:sz="0" w:space="0" w:color="auto"/>
        <w:left w:val="none" w:sz="0" w:space="0" w:color="auto"/>
        <w:bottom w:val="none" w:sz="0" w:space="0" w:color="auto"/>
        <w:right w:val="none" w:sz="0" w:space="0" w:color="auto"/>
      </w:divBdr>
    </w:div>
    <w:div w:id="1962760098">
      <w:bodyDiv w:val="1"/>
      <w:marLeft w:val="0"/>
      <w:marRight w:val="0"/>
      <w:marTop w:val="0"/>
      <w:marBottom w:val="0"/>
      <w:divBdr>
        <w:top w:val="none" w:sz="0" w:space="0" w:color="auto"/>
        <w:left w:val="none" w:sz="0" w:space="0" w:color="auto"/>
        <w:bottom w:val="none" w:sz="0" w:space="0" w:color="auto"/>
        <w:right w:val="none" w:sz="0" w:space="0" w:color="auto"/>
      </w:divBdr>
    </w:div>
    <w:div w:id="2008364837">
      <w:bodyDiv w:val="1"/>
      <w:marLeft w:val="0"/>
      <w:marRight w:val="0"/>
      <w:marTop w:val="0"/>
      <w:marBottom w:val="0"/>
      <w:divBdr>
        <w:top w:val="none" w:sz="0" w:space="0" w:color="auto"/>
        <w:left w:val="none" w:sz="0" w:space="0" w:color="auto"/>
        <w:bottom w:val="none" w:sz="0" w:space="0" w:color="auto"/>
        <w:right w:val="none" w:sz="0" w:space="0" w:color="auto"/>
      </w:divBdr>
    </w:div>
    <w:div w:id="2144689224">
      <w:bodyDiv w:val="1"/>
      <w:marLeft w:val="0"/>
      <w:marRight w:val="0"/>
      <w:marTop w:val="0"/>
      <w:marBottom w:val="0"/>
      <w:divBdr>
        <w:top w:val="none" w:sz="0" w:space="0" w:color="auto"/>
        <w:left w:val="none" w:sz="0" w:space="0" w:color="auto"/>
        <w:bottom w:val="none" w:sz="0" w:space="0" w:color="auto"/>
        <w:right w:val="none" w:sz="0" w:space="0" w:color="auto"/>
      </w:divBdr>
      <w:divsChild>
        <w:div w:id="305209086">
          <w:marLeft w:val="0"/>
          <w:marRight w:val="0"/>
          <w:marTop w:val="0"/>
          <w:marBottom w:val="0"/>
          <w:divBdr>
            <w:top w:val="none" w:sz="0" w:space="0" w:color="auto"/>
            <w:left w:val="none" w:sz="0" w:space="0" w:color="auto"/>
            <w:bottom w:val="none" w:sz="0" w:space="0" w:color="auto"/>
            <w:right w:val="none" w:sz="0" w:space="0" w:color="auto"/>
          </w:divBdr>
          <w:divsChild>
            <w:div w:id="843861341">
              <w:marLeft w:val="0"/>
              <w:marRight w:val="0"/>
              <w:marTop w:val="0"/>
              <w:marBottom w:val="0"/>
              <w:divBdr>
                <w:top w:val="none" w:sz="0" w:space="0" w:color="auto"/>
                <w:left w:val="none" w:sz="0" w:space="0" w:color="auto"/>
                <w:bottom w:val="none" w:sz="0" w:space="0" w:color="auto"/>
                <w:right w:val="none" w:sz="0" w:space="0" w:color="auto"/>
              </w:divBdr>
              <w:divsChild>
                <w:div w:id="62469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amazon.com/s/ref=dp_byline_sr_book_2?ie=UTF8&amp;field-author=Natalie+Stoljar&amp;search-alias=books&amp;text=Natalie+Stoljar&amp;sort=relevancerank"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amazon.com/s/ref=dp_byline_sr_book_1?ie=UTF8&amp;field-author=Catriona+Mackenzie&amp;search-alias=books&amp;text=Catriona+Mackenzie&amp;sort=relevanceran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n.wikipedia.org/wiki/The_Politics_of_Experience_and_the_Bird_of_Paradise" TargetMode="External"/><Relationship Id="rId2" Type="http://schemas.openxmlformats.org/officeDocument/2006/relationships/hyperlink" Target="http://www.legislation.gov.uk/ukpga/2005/9/pdfs/ukpga_20050009_en.pdf)" TargetMode="External"/><Relationship Id="rId1" Type="http://schemas.openxmlformats.org/officeDocument/2006/relationships/hyperlink" Target="http://ps.psychiatryonline.org/toc/ps/48/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C3B166E-91E8-45B1-8FCE-535BC032C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96</Pages>
  <Words>35137</Words>
  <Characters>201899</Characters>
  <Application>Microsoft Office Word</Application>
  <DocSecurity>4</DocSecurity>
  <Lines>1682</Lines>
  <Paragraphs>473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236563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Simone</dc:creator>
  <cp:lastModifiedBy>Administrator</cp:lastModifiedBy>
  <cp:revision>2</cp:revision>
  <dcterms:created xsi:type="dcterms:W3CDTF">2018-08-02T10:25:00Z</dcterms:created>
  <dcterms:modified xsi:type="dcterms:W3CDTF">2018-08-02T10:25:00Z</dcterms:modified>
</cp:coreProperties>
</file>