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oter3.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6A36" w:rsidRPr="008633D2" w:rsidRDefault="00406A36">
      <w:pPr>
        <w:jc w:val="center"/>
        <w:rPr>
          <w:b/>
          <w:sz w:val="36"/>
          <w:lang w:val="en-ZA"/>
        </w:rPr>
      </w:pPr>
    </w:p>
    <w:p w:rsidR="00A45D97" w:rsidRPr="008633D2" w:rsidRDefault="0051718F" w:rsidP="00406A36">
      <w:pPr>
        <w:jc w:val="center"/>
        <w:rPr>
          <w:b/>
          <w:bCs/>
          <w:sz w:val="48"/>
          <w:lang w:val="en-ZA"/>
        </w:rPr>
      </w:pPr>
      <w:r w:rsidRPr="008633D2">
        <w:rPr>
          <w:b/>
          <w:bCs/>
          <w:sz w:val="48"/>
          <w:lang w:val="en-ZA"/>
        </w:rPr>
        <w:t>Performance of unit trusts managed by females versus those managed by their male counterparts in               South Africa</w:t>
      </w:r>
    </w:p>
    <w:p w:rsidR="00AF556A" w:rsidRDefault="00AF556A" w:rsidP="00CA1EE3">
      <w:pPr>
        <w:pStyle w:val="FrontPage"/>
        <w:spacing w:before="300" w:after="300" w:line="384" w:lineRule="auto"/>
        <w:rPr>
          <w:iCs/>
          <w:sz w:val="36"/>
          <w:lang w:val="en-ZA"/>
        </w:rPr>
      </w:pPr>
    </w:p>
    <w:p w:rsidR="00684860" w:rsidRPr="008633D2" w:rsidRDefault="00684860" w:rsidP="00CA1EE3">
      <w:pPr>
        <w:pStyle w:val="FrontPage"/>
        <w:spacing w:before="300" w:after="300" w:line="384" w:lineRule="auto"/>
        <w:rPr>
          <w:iCs/>
          <w:sz w:val="36"/>
          <w:lang w:val="en-ZA"/>
        </w:rPr>
      </w:pPr>
    </w:p>
    <w:p w:rsidR="0051718F" w:rsidRPr="008633D2" w:rsidRDefault="0051718F" w:rsidP="0051718F">
      <w:pPr>
        <w:jc w:val="center"/>
        <w:rPr>
          <w:b/>
          <w:i/>
          <w:iCs/>
          <w:sz w:val="36"/>
          <w:lang w:val="en-ZA"/>
        </w:rPr>
      </w:pPr>
      <w:r w:rsidRPr="008633D2">
        <w:rPr>
          <w:b/>
          <w:i/>
          <w:iCs/>
          <w:sz w:val="36"/>
          <w:lang w:val="en-ZA"/>
        </w:rPr>
        <w:t>Nirissa Archary</w:t>
      </w:r>
    </w:p>
    <w:p w:rsidR="0051718F" w:rsidRDefault="0051718F" w:rsidP="00CA1EE3">
      <w:pPr>
        <w:pStyle w:val="FrontPage"/>
        <w:spacing w:before="300" w:after="300" w:line="384" w:lineRule="auto"/>
        <w:rPr>
          <w:iCs/>
          <w:sz w:val="36"/>
          <w:lang w:val="en-ZA"/>
        </w:rPr>
      </w:pPr>
    </w:p>
    <w:p w:rsidR="00684860" w:rsidRPr="008633D2" w:rsidRDefault="00684860" w:rsidP="00CA1EE3">
      <w:pPr>
        <w:pStyle w:val="FrontPage"/>
        <w:spacing w:before="300" w:after="300" w:line="384" w:lineRule="auto"/>
        <w:rPr>
          <w:iCs/>
          <w:sz w:val="36"/>
          <w:lang w:val="en-ZA"/>
        </w:rPr>
      </w:pPr>
    </w:p>
    <w:p w:rsidR="00CA1EE3" w:rsidRPr="008633D2" w:rsidRDefault="00CA1EE3" w:rsidP="00D05A2E">
      <w:pPr>
        <w:pStyle w:val="FrontPage"/>
        <w:spacing w:before="300" w:after="300" w:line="384" w:lineRule="auto"/>
        <w:rPr>
          <w:szCs w:val="24"/>
          <w:lang w:val="en-ZA"/>
        </w:rPr>
      </w:pPr>
      <w:r w:rsidRPr="008633D2">
        <w:rPr>
          <w:szCs w:val="24"/>
          <w:lang w:val="en-ZA"/>
        </w:rPr>
        <w:t>A research report submitted to the Faculty of Commerce, Law and Management, University of the Witwatersrand, in partial fulfilment of the requirements for the degree of Master of Business Administration</w:t>
      </w:r>
    </w:p>
    <w:p w:rsidR="00CA1EE3" w:rsidRPr="008633D2" w:rsidRDefault="00CA1EE3" w:rsidP="00CA1EE3">
      <w:pPr>
        <w:pStyle w:val="FrontPage"/>
        <w:spacing w:before="300" w:after="300" w:line="384" w:lineRule="auto"/>
        <w:jc w:val="left"/>
        <w:rPr>
          <w:szCs w:val="24"/>
          <w:lang w:val="en-ZA"/>
        </w:rPr>
      </w:pPr>
    </w:p>
    <w:p w:rsidR="00CA1EE3" w:rsidRPr="008633D2" w:rsidRDefault="0051718F" w:rsidP="00D05A2E">
      <w:pPr>
        <w:pStyle w:val="FrontPage"/>
        <w:spacing w:before="300" w:after="300" w:line="384" w:lineRule="auto"/>
        <w:rPr>
          <w:szCs w:val="24"/>
          <w:lang w:val="en-ZA"/>
        </w:rPr>
      </w:pPr>
      <w:r w:rsidRPr="008633D2">
        <w:rPr>
          <w:szCs w:val="24"/>
          <w:lang w:val="en-ZA"/>
        </w:rPr>
        <w:t>Johannesburg, 2016</w:t>
      </w:r>
    </w:p>
    <w:p w:rsidR="002D282A" w:rsidRPr="008633D2" w:rsidRDefault="002D282A" w:rsidP="00D05A2E">
      <w:pPr>
        <w:pStyle w:val="FrontPage"/>
        <w:spacing w:before="300" w:after="300" w:line="384" w:lineRule="auto"/>
        <w:rPr>
          <w:szCs w:val="24"/>
          <w:lang w:val="en-ZA"/>
        </w:rPr>
      </w:pPr>
    </w:p>
    <w:p w:rsidR="002D282A" w:rsidRPr="008633D2" w:rsidRDefault="002D282A" w:rsidP="00D05A2E">
      <w:pPr>
        <w:pStyle w:val="FrontPage"/>
        <w:spacing w:before="300" w:after="300" w:line="384" w:lineRule="auto"/>
        <w:rPr>
          <w:szCs w:val="24"/>
          <w:lang w:val="en-ZA"/>
        </w:rPr>
      </w:pPr>
    </w:p>
    <w:p w:rsidR="00CA1EE3" w:rsidRPr="008633D2" w:rsidRDefault="00CA1EE3" w:rsidP="0035051A">
      <w:pPr>
        <w:pStyle w:val="Heading1"/>
        <w:numPr>
          <w:ilvl w:val="0"/>
          <w:numId w:val="0"/>
        </w:numPr>
        <w:rPr>
          <w:lang w:val="en-ZA"/>
        </w:rPr>
      </w:pPr>
      <w:bookmarkStart w:id="0" w:name="_Toc458610755"/>
      <w:r w:rsidRPr="008633D2">
        <w:rPr>
          <w:lang w:val="en-ZA"/>
        </w:rPr>
        <w:t>ABSTRACT</w:t>
      </w:r>
      <w:bookmarkEnd w:id="0"/>
      <w:r w:rsidR="0035051A" w:rsidRPr="008633D2">
        <w:rPr>
          <w:lang w:val="en-ZA"/>
        </w:rPr>
        <w:tab/>
      </w:r>
    </w:p>
    <w:p w:rsidR="00A71D85" w:rsidRPr="008633D2" w:rsidRDefault="00A71D85" w:rsidP="00CA1EE3">
      <w:pPr>
        <w:rPr>
          <w:color w:val="333399"/>
          <w:lang w:val="en-ZA"/>
        </w:rPr>
      </w:pPr>
    </w:p>
    <w:p w:rsidR="005E7016" w:rsidRDefault="00A71D85" w:rsidP="005E7016">
      <w:pPr>
        <w:rPr>
          <w:lang w:val="en-ZA"/>
        </w:rPr>
      </w:pPr>
      <w:r w:rsidRPr="008633D2">
        <w:rPr>
          <w:lang w:val="en-ZA"/>
        </w:rPr>
        <w:t>The So</w:t>
      </w:r>
      <w:r w:rsidR="00A5489A">
        <w:rPr>
          <w:lang w:val="en-ZA"/>
        </w:rPr>
        <w:t xml:space="preserve">uth African financial system is </w:t>
      </w:r>
      <w:r w:rsidRPr="008633D2">
        <w:rPr>
          <w:lang w:val="en-ZA"/>
        </w:rPr>
        <w:t xml:space="preserve">known to be amongst the most sophisticated and fundamentally sound in the world. This research looks at the </w:t>
      </w:r>
      <w:r w:rsidR="00A5489A">
        <w:rPr>
          <w:lang w:val="en-ZA"/>
        </w:rPr>
        <w:t xml:space="preserve">role </w:t>
      </w:r>
      <w:r w:rsidR="005E7016" w:rsidRPr="008633D2">
        <w:rPr>
          <w:lang w:val="en-ZA"/>
        </w:rPr>
        <w:t xml:space="preserve">of gender </w:t>
      </w:r>
      <w:r w:rsidR="00A5489A">
        <w:rPr>
          <w:lang w:val="en-ZA"/>
        </w:rPr>
        <w:t>with</w:t>
      </w:r>
      <w:r w:rsidR="005E7016" w:rsidRPr="008633D2">
        <w:rPr>
          <w:lang w:val="en-ZA"/>
        </w:rPr>
        <w:t xml:space="preserve">in the unit trust industry </w:t>
      </w:r>
      <w:r w:rsidR="00A5489A">
        <w:rPr>
          <w:lang w:val="en-ZA"/>
        </w:rPr>
        <w:t>of the</w:t>
      </w:r>
      <w:r w:rsidR="005E7016" w:rsidRPr="008633D2">
        <w:rPr>
          <w:lang w:val="en-ZA"/>
        </w:rPr>
        <w:t xml:space="preserve"> South African financial market and the influence of </w:t>
      </w:r>
      <w:r w:rsidR="00EE23F6">
        <w:rPr>
          <w:lang w:val="en-ZA"/>
        </w:rPr>
        <w:t xml:space="preserve">a </w:t>
      </w:r>
      <w:r w:rsidR="00A5489A">
        <w:rPr>
          <w:lang w:val="en-ZA"/>
        </w:rPr>
        <w:t xml:space="preserve">fund </w:t>
      </w:r>
      <w:r w:rsidR="00EE23F6">
        <w:rPr>
          <w:lang w:val="en-ZA"/>
        </w:rPr>
        <w:t>manager’s gender</w:t>
      </w:r>
      <w:r w:rsidR="00474E72">
        <w:rPr>
          <w:lang w:val="en-ZA"/>
        </w:rPr>
        <w:t xml:space="preserve"> o</w:t>
      </w:r>
      <w:r w:rsidR="005E7016" w:rsidRPr="008633D2">
        <w:rPr>
          <w:lang w:val="en-ZA"/>
        </w:rPr>
        <w:t xml:space="preserve">n the performance of </w:t>
      </w:r>
      <w:r w:rsidR="00474E72">
        <w:rPr>
          <w:lang w:val="en-ZA"/>
        </w:rPr>
        <w:t>the</w:t>
      </w:r>
      <w:r w:rsidR="005E7016" w:rsidRPr="008633D2">
        <w:rPr>
          <w:lang w:val="en-ZA"/>
        </w:rPr>
        <w:t xml:space="preserve"> unit trust. </w:t>
      </w:r>
    </w:p>
    <w:p w:rsidR="00EE23F6" w:rsidRPr="008633D2" w:rsidRDefault="00EE23F6" w:rsidP="005E7016">
      <w:pPr>
        <w:rPr>
          <w:lang w:val="en-ZA"/>
        </w:rPr>
      </w:pPr>
    </w:p>
    <w:p w:rsidR="0044489A" w:rsidRPr="008633D2" w:rsidRDefault="00A71D85" w:rsidP="00CA1EE3">
      <w:pPr>
        <w:rPr>
          <w:lang w:val="en-ZA"/>
        </w:rPr>
      </w:pPr>
      <w:r w:rsidRPr="008633D2">
        <w:rPr>
          <w:lang w:val="en-ZA"/>
        </w:rPr>
        <w:t xml:space="preserve">Unit </w:t>
      </w:r>
      <w:r w:rsidR="0044489A" w:rsidRPr="008633D2">
        <w:rPr>
          <w:lang w:val="en-ZA"/>
        </w:rPr>
        <w:t>t</w:t>
      </w:r>
      <w:r w:rsidRPr="008633D2">
        <w:rPr>
          <w:lang w:val="en-ZA"/>
        </w:rPr>
        <w:t>rust data is publically available in South Africa. For this research</w:t>
      </w:r>
      <w:r w:rsidR="000D4B39" w:rsidRPr="008633D2">
        <w:rPr>
          <w:lang w:val="en-ZA"/>
        </w:rPr>
        <w:t>,</w:t>
      </w:r>
      <w:r w:rsidRPr="008633D2">
        <w:rPr>
          <w:lang w:val="en-ZA"/>
        </w:rPr>
        <w:t xml:space="preserve"> data </w:t>
      </w:r>
      <w:r w:rsidR="00A5489A">
        <w:rPr>
          <w:lang w:val="en-ZA"/>
        </w:rPr>
        <w:t>was</w:t>
      </w:r>
      <w:r w:rsidRPr="008633D2">
        <w:rPr>
          <w:lang w:val="en-ZA"/>
        </w:rPr>
        <w:t xml:space="preserve"> obtained from </w:t>
      </w:r>
      <w:r w:rsidR="0044489A" w:rsidRPr="008633D2">
        <w:rPr>
          <w:lang w:val="en-ZA"/>
        </w:rPr>
        <w:t>Morning</w:t>
      </w:r>
      <w:r w:rsidR="00474E72">
        <w:rPr>
          <w:lang w:val="en-ZA"/>
        </w:rPr>
        <w:t>S</w:t>
      </w:r>
      <w:r w:rsidR="0044489A" w:rsidRPr="008633D2">
        <w:rPr>
          <w:lang w:val="en-ZA"/>
        </w:rPr>
        <w:t>tar</w:t>
      </w:r>
      <w:r w:rsidRPr="008633D2">
        <w:rPr>
          <w:lang w:val="en-ZA"/>
        </w:rPr>
        <w:t xml:space="preserve"> SA and the FundData website.</w:t>
      </w:r>
      <w:r w:rsidR="0044489A" w:rsidRPr="008633D2">
        <w:rPr>
          <w:lang w:val="en-ZA"/>
        </w:rPr>
        <w:t xml:space="preserve"> To </w:t>
      </w:r>
      <w:r w:rsidR="005D463C">
        <w:rPr>
          <w:lang w:val="en-ZA"/>
        </w:rPr>
        <w:t xml:space="preserve">determine whether </w:t>
      </w:r>
      <w:r w:rsidR="00474E72">
        <w:rPr>
          <w:lang w:val="en-ZA"/>
        </w:rPr>
        <w:t xml:space="preserve">the </w:t>
      </w:r>
      <w:r w:rsidR="005D463C">
        <w:rPr>
          <w:lang w:val="en-ZA"/>
        </w:rPr>
        <w:t>g</w:t>
      </w:r>
      <w:r w:rsidR="0044489A" w:rsidRPr="008633D2">
        <w:rPr>
          <w:lang w:val="en-ZA"/>
        </w:rPr>
        <w:t>ender</w:t>
      </w:r>
      <w:r w:rsidR="00474E72">
        <w:rPr>
          <w:lang w:val="en-ZA"/>
        </w:rPr>
        <w:t xml:space="preserve"> of a unit trust’s manager </w:t>
      </w:r>
      <w:r w:rsidR="005D463C">
        <w:rPr>
          <w:lang w:val="en-ZA"/>
        </w:rPr>
        <w:t xml:space="preserve">could be a factor in </w:t>
      </w:r>
      <w:r w:rsidR="00474E72">
        <w:rPr>
          <w:lang w:val="en-ZA"/>
        </w:rPr>
        <w:t>its</w:t>
      </w:r>
      <w:r w:rsidR="0044489A" w:rsidRPr="008633D2">
        <w:rPr>
          <w:lang w:val="en-ZA"/>
        </w:rPr>
        <w:t xml:space="preserve"> performance, each female managed unit trust </w:t>
      </w:r>
      <w:r w:rsidR="00A5489A">
        <w:rPr>
          <w:lang w:val="en-ZA"/>
        </w:rPr>
        <w:t>in South Africa was</w:t>
      </w:r>
      <w:r w:rsidR="0044489A" w:rsidRPr="008633D2">
        <w:rPr>
          <w:lang w:val="en-ZA"/>
        </w:rPr>
        <w:t xml:space="preserve"> matched with a male managed unit trust</w:t>
      </w:r>
      <w:r w:rsidR="00474E72">
        <w:rPr>
          <w:lang w:val="en-ZA"/>
        </w:rPr>
        <w:t xml:space="preserve">. The pairing of funds </w:t>
      </w:r>
      <w:r w:rsidR="00A5489A">
        <w:rPr>
          <w:lang w:val="en-ZA"/>
        </w:rPr>
        <w:t xml:space="preserve">followed strict criteria, which considered </w:t>
      </w:r>
      <w:r w:rsidR="005D463C">
        <w:rPr>
          <w:lang w:val="en-ZA"/>
        </w:rPr>
        <w:t xml:space="preserve">the </w:t>
      </w:r>
      <w:r w:rsidR="00474E72">
        <w:rPr>
          <w:lang w:val="en-ZA"/>
        </w:rPr>
        <w:t>sector</w:t>
      </w:r>
      <w:r w:rsidR="00EE23F6">
        <w:rPr>
          <w:lang w:val="en-ZA"/>
        </w:rPr>
        <w:t xml:space="preserve"> of the fund</w:t>
      </w:r>
      <w:r w:rsidR="00474E72">
        <w:rPr>
          <w:lang w:val="en-ZA"/>
        </w:rPr>
        <w:t xml:space="preserve">, </w:t>
      </w:r>
      <w:r w:rsidR="00EE23F6">
        <w:rPr>
          <w:lang w:val="en-ZA"/>
        </w:rPr>
        <w:t xml:space="preserve">the calculated fund </w:t>
      </w:r>
      <w:r w:rsidR="0044489A" w:rsidRPr="008633D2">
        <w:rPr>
          <w:lang w:val="en-ZA"/>
        </w:rPr>
        <w:t xml:space="preserve">beta, </w:t>
      </w:r>
      <w:r w:rsidR="00A5489A">
        <w:rPr>
          <w:lang w:val="en-ZA"/>
        </w:rPr>
        <w:t xml:space="preserve">the </w:t>
      </w:r>
      <w:r w:rsidR="0044489A" w:rsidRPr="008633D2">
        <w:rPr>
          <w:lang w:val="en-ZA"/>
        </w:rPr>
        <w:t>tenor</w:t>
      </w:r>
      <w:r w:rsidR="00EE23F6">
        <w:rPr>
          <w:lang w:val="en-ZA"/>
        </w:rPr>
        <w:t xml:space="preserve"> of the funds manager</w:t>
      </w:r>
      <w:r w:rsidR="0044489A" w:rsidRPr="008633D2">
        <w:rPr>
          <w:lang w:val="en-ZA"/>
        </w:rPr>
        <w:t xml:space="preserve"> and </w:t>
      </w:r>
      <w:r w:rsidR="00A5489A">
        <w:rPr>
          <w:lang w:val="en-ZA"/>
        </w:rPr>
        <w:t xml:space="preserve">the size of the </w:t>
      </w:r>
      <w:r w:rsidR="0044489A" w:rsidRPr="008633D2">
        <w:rPr>
          <w:lang w:val="en-ZA"/>
        </w:rPr>
        <w:t xml:space="preserve">fund. </w:t>
      </w:r>
    </w:p>
    <w:p w:rsidR="00EE23F6" w:rsidRDefault="00EE23F6" w:rsidP="00CA1EE3">
      <w:pPr>
        <w:rPr>
          <w:lang w:val="en-ZA"/>
        </w:rPr>
      </w:pPr>
    </w:p>
    <w:p w:rsidR="0044489A" w:rsidRDefault="00A71D85" w:rsidP="00CA1EE3">
      <w:pPr>
        <w:rPr>
          <w:lang w:val="en-ZA"/>
        </w:rPr>
      </w:pPr>
      <w:r w:rsidRPr="008633D2">
        <w:rPr>
          <w:lang w:val="en-ZA"/>
        </w:rPr>
        <w:t>The</w:t>
      </w:r>
      <w:r w:rsidR="0044489A" w:rsidRPr="008633D2">
        <w:rPr>
          <w:lang w:val="en-ZA"/>
        </w:rPr>
        <w:t xml:space="preserve"> results </w:t>
      </w:r>
      <w:r w:rsidR="00474E72">
        <w:rPr>
          <w:lang w:val="en-ZA"/>
        </w:rPr>
        <w:t>indicate</w:t>
      </w:r>
      <w:r w:rsidR="0044489A" w:rsidRPr="008633D2">
        <w:rPr>
          <w:lang w:val="en-ZA"/>
        </w:rPr>
        <w:t xml:space="preserve"> that less than 10% of all fund managers in South Africa are female. When </w:t>
      </w:r>
      <w:r w:rsidR="00474E72">
        <w:rPr>
          <w:lang w:val="en-ZA"/>
        </w:rPr>
        <w:t xml:space="preserve">comparing the performance </w:t>
      </w:r>
      <w:r w:rsidR="00F126A7">
        <w:rPr>
          <w:lang w:val="en-ZA"/>
        </w:rPr>
        <w:t xml:space="preserve">of </w:t>
      </w:r>
      <w:r w:rsidR="0044489A" w:rsidRPr="008633D2">
        <w:rPr>
          <w:lang w:val="en-ZA"/>
        </w:rPr>
        <w:t xml:space="preserve">male managed funds </w:t>
      </w:r>
      <w:r w:rsidR="00474E72">
        <w:rPr>
          <w:lang w:val="en-ZA"/>
        </w:rPr>
        <w:t>to</w:t>
      </w:r>
      <w:r w:rsidR="0044489A" w:rsidRPr="008633D2">
        <w:rPr>
          <w:lang w:val="en-ZA"/>
        </w:rPr>
        <w:t xml:space="preserve"> female managed funds</w:t>
      </w:r>
      <w:r w:rsidR="00634F5B" w:rsidRPr="008633D2">
        <w:rPr>
          <w:lang w:val="en-ZA"/>
        </w:rPr>
        <w:t>,</w:t>
      </w:r>
      <w:r w:rsidR="0044489A" w:rsidRPr="008633D2">
        <w:rPr>
          <w:lang w:val="en-ZA"/>
        </w:rPr>
        <w:t xml:space="preserve"> there </w:t>
      </w:r>
      <w:r w:rsidR="00474E72">
        <w:rPr>
          <w:lang w:val="en-ZA"/>
        </w:rPr>
        <w:t>are</w:t>
      </w:r>
      <w:r w:rsidR="00634F5B" w:rsidRPr="008633D2">
        <w:rPr>
          <w:lang w:val="en-ZA"/>
        </w:rPr>
        <w:t xml:space="preserve"> no significant results</w:t>
      </w:r>
      <w:r w:rsidR="005D463C">
        <w:rPr>
          <w:lang w:val="en-ZA"/>
        </w:rPr>
        <w:t xml:space="preserve"> to </w:t>
      </w:r>
      <w:r w:rsidR="00DB09D1">
        <w:rPr>
          <w:lang w:val="en-ZA"/>
        </w:rPr>
        <w:t>indicate</w:t>
      </w:r>
      <w:r w:rsidR="0044489A" w:rsidRPr="008633D2">
        <w:rPr>
          <w:lang w:val="en-ZA"/>
        </w:rPr>
        <w:t xml:space="preserve"> that one group consistently </w:t>
      </w:r>
      <w:r w:rsidR="005E7016" w:rsidRPr="008633D2">
        <w:rPr>
          <w:lang w:val="en-ZA"/>
        </w:rPr>
        <w:t>outperforms</w:t>
      </w:r>
      <w:r w:rsidR="0044489A" w:rsidRPr="008633D2">
        <w:rPr>
          <w:lang w:val="en-ZA"/>
        </w:rPr>
        <w:t xml:space="preserve"> the</w:t>
      </w:r>
      <w:r w:rsidR="005D463C">
        <w:rPr>
          <w:lang w:val="en-ZA"/>
        </w:rPr>
        <w:t xml:space="preserve"> other</w:t>
      </w:r>
      <w:r w:rsidR="0044489A" w:rsidRPr="008633D2">
        <w:rPr>
          <w:lang w:val="en-ZA"/>
        </w:rPr>
        <w:t xml:space="preserve">. In addition, contrary to the popular belief that females are more risk averse, this research </w:t>
      </w:r>
      <w:r w:rsidR="00474E72">
        <w:rPr>
          <w:lang w:val="en-ZA"/>
        </w:rPr>
        <w:t>indicates</w:t>
      </w:r>
      <w:r w:rsidR="0044489A" w:rsidRPr="008633D2">
        <w:rPr>
          <w:lang w:val="en-ZA"/>
        </w:rPr>
        <w:t xml:space="preserve"> that in South Africa</w:t>
      </w:r>
      <w:r w:rsidR="005D463C">
        <w:rPr>
          <w:lang w:val="en-ZA"/>
        </w:rPr>
        <w:t>,</w:t>
      </w:r>
      <w:r w:rsidR="0044489A" w:rsidRPr="008633D2">
        <w:rPr>
          <w:lang w:val="en-ZA"/>
        </w:rPr>
        <w:t xml:space="preserve"> </w:t>
      </w:r>
      <w:r w:rsidR="005D463C">
        <w:rPr>
          <w:lang w:val="en-ZA"/>
        </w:rPr>
        <w:t xml:space="preserve">when using beta as the measure of risk, </w:t>
      </w:r>
      <w:r w:rsidR="0044489A" w:rsidRPr="008633D2">
        <w:rPr>
          <w:lang w:val="en-ZA"/>
        </w:rPr>
        <w:t xml:space="preserve">the distribution of the riskiness of a fund is similar for both </w:t>
      </w:r>
      <w:r w:rsidR="00A5489A">
        <w:rPr>
          <w:lang w:val="en-ZA"/>
        </w:rPr>
        <w:t>male managed an</w:t>
      </w:r>
      <w:r w:rsidR="0044489A" w:rsidRPr="008633D2">
        <w:rPr>
          <w:lang w:val="en-ZA"/>
        </w:rPr>
        <w:t>d female</w:t>
      </w:r>
      <w:r w:rsidR="00A5489A">
        <w:rPr>
          <w:lang w:val="en-ZA"/>
        </w:rPr>
        <w:t xml:space="preserve"> managed funds</w:t>
      </w:r>
      <w:r w:rsidR="0044489A" w:rsidRPr="008633D2">
        <w:rPr>
          <w:lang w:val="en-ZA"/>
        </w:rPr>
        <w:t>.</w:t>
      </w:r>
    </w:p>
    <w:p w:rsidR="00EE23F6" w:rsidRDefault="00EE23F6" w:rsidP="00CA1EE3">
      <w:pPr>
        <w:rPr>
          <w:lang w:val="en-ZA"/>
        </w:rPr>
      </w:pPr>
    </w:p>
    <w:p w:rsidR="008B40C3" w:rsidRPr="008633D2" w:rsidRDefault="00634F5B" w:rsidP="008B40C3">
      <w:pPr>
        <w:rPr>
          <w:color w:val="333399"/>
          <w:lang w:val="en-ZA"/>
        </w:rPr>
      </w:pPr>
      <w:r>
        <w:rPr>
          <w:lang w:val="en-ZA"/>
        </w:rPr>
        <w:t xml:space="preserve">The results also indicate that funds </w:t>
      </w:r>
      <w:r w:rsidR="00474E72">
        <w:rPr>
          <w:lang w:val="en-ZA"/>
        </w:rPr>
        <w:t xml:space="preserve">in South Africa </w:t>
      </w:r>
      <w:r>
        <w:rPr>
          <w:lang w:val="en-ZA"/>
        </w:rPr>
        <w:t xml:space="preserve">produce returns in excess of the FTSE/JSE all share index in the short-term; however, this is not the case in the medium to long term. </w:t>
      </w:r>
    </w:p>
    <w:p w:rsidR="00CA1EE3" w:rsidRPr="008633D2" w:rsidRDefault="00CA1EE3" w:rsidP="0035051A">
      <w:pPr>
        <w:pStyle w:val="Heading1"/>
        <w:numPr>
          <w:ilvl w:val="0"/>
          <w:numId w:val="0"/>
        </w:numPr>
        <w:rPr>
          <w:lang w:val="en-ZA"/>
        </w:rPr>
      </w:pPr>
      <w:bookmarkStart w:id="1" w:name="_Toc458610756"/>
      <w:r w:rsidRPr="008633D2">
        <w:rPr>
          <w:lang w:val="en-ZA"/>
        </w:rPr>
        <w:t>DECLARATION</w:t>
      </w:r>
      <w:bookmarkEnd w:id="1"/>
    </w:p>
    <w:p w:rsidR="00AF556A" w:rsidRPr="008633D2" w:rsidRDefault="00AF556A" w:rsidP="00CA1EE3">
      <w:pPr>
        <w:rPr>
          <w:lang w:val="en-ZA"/>
        </w:rPr>
      </w:pPr>
    </w:p>
    <w:p w:rsidR="00CA1EE3" w:rsidRPr="008633D2" w:rsidRDefault="00CA1EE3" w:rsidP="00CA1EE3">
      <w:pPr>
        <w:rPr>
          <w:lang w:val="en-ZA"/>
        </w:rPr>
      </w:pPr>
      <w:r w:rsidRPr="008633D2">
        <w:rPr>
          <w:lang w:val="en-ZA"/>
        </w:rPr>
        <w:t xml:space="preserve">I, </w:t>
      </w:r>
      <w:r w:rsidR="0051718F" w:rsidRPr="008633D2">
        <w:rPr>
          <w:lang w:val="en-ZA"/>
        </w:rPr>
        <w:t>Nirissa Archary</w:t>
      </w:r>
      <w:r w:rsidRPr="008633D2">
        <w:rPr>
          <w:lang w:val="en-ZA"/>
        </w:rPr>
        <w:t>, declare that this research report is my own work</w:t>
      </w:r>
      <w:r w:rsidR="006F2C0B" w:rsidRPr="008633D2">
        <w:rPr>
          <w:lang w:val="en-ZA"/>
        </w:rPr>
        <w:t xml:space="preserve"> except as indicated in the references and acknowledgements</w:t>
      </w:r>
      <w:r w:rsidRPr="008633D2">
        <w:rPr>
          <w:lang w:val="en-ZA"/>
        </w:rPr>
        <w:t>. It is submitted in partial fulfilment of the requirements for the degree of Master of Business Administration in the University of the Witwatersrand, Johannesburg. It has not been submitted before for any degree or examination in this or any other university.</w:t>
      </w:r>
    </w:p>
    <w:p w:rsidR="00CA1EE3" w:rsidRPr="008633D2" w:rsidRDefault="00CA1EE3" w:rsidP="00CA1EE3">
      <w:pPr>
        <w:rPr>
          <w:lang w:val="en-ZA"/>
        </w:rPr>
      </w:pPr>
    </w:p>
    <w:p w:rsidR="00CA1EE3" w:rsidRPr="008633D2" w:rsidRDefault="00CA1EE3" w:rsidP="00CA1EE3">
      <w:pPr>
        <w:pBdr>
          <w:bottom w:val="single" w:sz="6" w:space="1" w:color="auto"/>
        </w:pBdr>
        <w:rPr>
          <w:lang w:val="en-ZA"/>
        </w:rPr>
      </w:pPr>
    </w:p>
    <w:p w:rsidR="00CA1EE3" w:rsidRPr="008633D2" w:rsidRDefault="0051718F" w:rsidP="00CA1EE3">
      <w:pPr>
        <w:rPr>
          <w:lang w:val="en-ZA"/>
        </w:rPr>
      </w:pPr>
      <w:r w:rsidRPr="008633D2">
        <w:rPr>
          <w:lang w:val="en-ZA"/>
        </w:rPr>
        <w:t>Miss Nirissa Archary</w:t>
      </w:r>
    </w:p>
    <w:p w:rsidR="006F2C0B" w:rsidRPr="008633D2" w:rsidRDefault="006F2C0B" w:rsidP="00CA1EE3">
      <w:pPr>
        <w:rPr>
          <w:lang w:val="en-ZA"/>
        </w:rPr>
      </w:pPr>
    </w:p>
    <w:p w:rsidR="006F2C0B" w:rsidRPr="008633D2" w:rsidRDefault="006F2C0B" w:rsidP="00CA1EE3">
      <w:pPr>
        <w:rPr>
          <w:lang w:val="en-ZA"/>
        </w:rPr>
      </w:pPr>
      <w:r w:rsidRPr="008633D2">
        <w:rPr>
          <w:lang w:val="en-ZA"/>
        </w:rPr>
        <w:t>Signed at ……………………………………………………</w:t>
      </w:r>
    </w:p>
    <w:p w:rsidR="006F2C0B" w:rsidRPr="008633D2" w:rsidRDefault="006F2C0B" w:rsidP="00CA1EE3">
      <w:pPr>
        <w:rPr>
          <w:lang w:val="en-ZA"/>
        </w:rPr>
      </w:pPr>
    </w:p>
    <w:p w:rsidR="006F2C0B" w:rsidRPr="008633D2" w:rsidRDefault="006F2C0B" w:rsidP="00CA1EE3">
      <w:pPr>
        <w:rPr>
          <w:lang w:val="en-ZA"/>
        </w:rPr>
      </w:pPr>
      <w:r w:rsidRPr="008633D2">
        <w:rPr>
          <w:lang w:val="en-ZA"/>
        </w:rPr>
        <w:t>On the …………………………….. day of ………………………… 20</w:t>
      </w:r>
      <w:r w:rsidR="00AF556A" w:rsidRPr="008633D2">
        <w:rPr>
          <w:lang w:val="en-ZA"/>
        </w:rPr>
        <w:t>…..</w:t>
      </w:r>
    </w:p>
    <w:p w:rsidR="006F2C0B" w:rsidRPr="008633D2" w:rsidRDefault="006F2C0B" w:rsidP="00CA1EE3">
      <w:pPr>
        <w:rPr>
          <w:lang w:val="en-ZA"/>
        </w:rPr>
      </w:pPr>
    </w:p>
    <w:p w:rsidR="00CA1EE3" w:rsidRPr="008633D2" w:rsidRDefault="00CA1EE3" w:rsidP="0035051A">
      <w:pPr>
        <w:pStyle w:val="Heading1"/>
        <w:numPr>
          <w:ilvl w:val="0"/>
          <w:numId w:val="0"/>
        </w:numPr>
        <w:rPr>
          <w:lang w:val="en-ZA"/>
        </w:rPr>
      </w:pPr>
      <w:bookmarkStart w:id="2" w:name="_Toc458610757"/>
      <w:r w:rsidRPr="008633D2">
        <w:rPr>
          <w:lang w:val="en-ZA"/>
        </w:rPr>
        <w:t>DEDICATION</w:t>
      </w:r>
      <w:bookmarkEnd w:id="2"/>
      <w:r w:rsidR="00BE67F5" w:rsidRPr="008633D2">
        <w:rPr>
          <w:lang w:val="en-ZA"/>
        </w:rPr>
        <w:t xml:space="preserve"> </w:t>
      </w:r>
    </w:p>
    <w:p w:rsidR="00BE67F5" w:rsidRPr="008633D2" w:rsidRDefault="00474E72" w:rsidP="00BE67F5">
      <w:pPr>
        <w:rPr>
          <w:lang w:val="en-ZA"/>
        </w:rPr>
      </w:pPr>
      <w:r>
        <w:rPr>
          <w:lang w:val="en-ZA"/>
        </w:rPr>
        <w:t xml:space="preserve">This research is </w:t>
      </w:r>
      <w:r w:rsidR="00BE67F5" w:rsidRPr="008633D2">
        <w:rPr>
          <w:lang w:val="en-ZA"/>
        </w:rPr>
        <w:t>dedicated to my late grandmother, who</w:t>
      </w:r>
      <w:r w:rsidR="00527456">
        <w:rPr>
          <w:lang w:val="en-ZA"/>
        </w:rPr>
        <w:t xml:space="preserve"> had</w:t>
      </w:r>
      <w:r w:rsidR="00BE67F5" w:rsidRPr="008633D2">
        <w:rPr>
          <w:lang w:val="en-ZA"/>
        </w:rPr>
        <w:t xml:space="preserve"> always emphasised the importance of education</w:t>
      </w:r>
      <w:r w:rsidR="005E7A98" w:rsidRPr="008633D2">
        <w:rPr>
          <w:lang w:val="en-ZA"/>
        </w:rPr>
        <w:t>.</w:t>
      </w:r>
    </w:p>
    <w:p w:rsidR="00CA1EE3" w:rsidRPr="008633D2" w:rsidRDefault="00CA1EE3" w:rsidP="0035051A">
      <w:pPr>
        <w:pStyle w:val="Heading1"/>
        <w:numPr>
          <w:ilvl w:val="0"/>
          <w:numId w:val="0"/>
        </w:numPr>
        <w:rPr>
          <w:lang w:val="en-ZA"/>
        </w:rPr>
      </w:pPr>
      <w:bookmarkStart w:id="3" w:name="_Toc458610758"/>
      <w:r w:rsidRPr="008633D2">
        <w:rPr>
          <w:lang w:val="en-ZA"/>
        </w:rPr>
        <w:t>ACKNOWLEDGEMENTS</w:t>
      </w:r>
      <w:bookmarkEnd w:id="3"/>
    </w:p>
    <w:p w:rsidR="00CA1EE3" w:rsidRPr="008633D2" w:rsidRDefault="00635F52" w:rsidP="00CA1EE3">
      <w:pPr>
        <w:rPr>
          <w:lang w:val="en-ZA"/>
        </w:rPr>
      </w:pPr>
      <w:r w:rsidRPr="008633D2">
        <w:rPr>
          <w:lang w:val="en-ZA"/>
        </w:rPr>
        <w:t>It is with sincere gratitude and appreciation I acknowledge the following people</w:t>
      </w:r>
      <w:r w:rsidR="005C2EA9" w:rsidRPr="008633D2">
        <w:rPr>
          <w:lang w:val="en-ZA"/>
        </w:rPr>
        <w:t>/organisations</w:t>
      </w:r>
      <w:r w:rsidRPr="008633D2">
        <w:rPr>
          <w:lang w:val="en-ZA"/>
        </w:rPr>
        <w:t xml:space="preserve"> </w:t>
      </w:r>
      <w:r w:rsidR="005C2EA9" w:rsidRPr="008633D2">
        <w:rPr>
          <w:lang w:val="en-ZA"/>
        </w:rPr>
        <w:t>that</w:t>
      </w:r>
      <w:r w:rsidRPr="008633D2">
        <w:rPr>
          <w:lang w:val="en-ZA"/>
        </w:rPr>
        <w:t xml:space="preserve"> have made the completion of </w:t>
      </w:r>
      <w:r w:rsidR="005B5FE1" w:rsidRPr="008633D2">
        <w:rPr>
          <w:lang w:val="en-ZA"/>
        </w:rPr>
        <w:t>my</w:t>
      </w:r>
      <w:r w:rsidRPr="008633D2">
        <w:rPr>
          <w:lang w:val="en-ZA"/>
        </w:rPr>
        <w:t xml:space="preserve"> MBA possible:</w:t>
      </w:r>
    </w:p>
    <w:p w:rsidR="005B5FE1" w:rsidRPr="0093504E" w:rsidRDefault="0093504E" w:rsidP="0093504E">
      <w:pPr>
        <w:pStyle w:val="ListParagraph"/>
        <w:numPr>
          <w:ilvl w:val="0"/>
          <w:numId w:val="15"/>
        </w:numPr>
        <w:jc w:val="left"/>
        <w:rPr>
          <w:i/>
          <w:sz w:val="32"/>
          <w:lang w:val="en-ZA"/>
        </w:rPr>
      </w:pPr>
      <w:r w:rsidRPr="008633D2">
        <w:rPr>
          <w:i/>
          <w:lang w:val="en-ZA"/>
        </w:rPr>
        <w:t xml:space="preserve">The </w:t>
      </w:r>
      <w:r>
        <w:rPr>
          <w:i/>
          <w:lang w:val="en-ZA"/>
        </w:rPr>
        <w:t xml:space="preserve">academics and staff of </w:t>
      </w:r>
      <w:r w:rsidRPr="008633D2">
        <w:rPr>
          <w:i/>
          <w:lang w:val="en-ZA"/>
        </w:rPr>
        <w:t xml:space="preserve">Wits Business </w:t>
      </w:r>
      <w:r w:rsidR="00527456" w:rsidRPr="008633D2">
        <w:rPr>
          <w:i/>
          <w:lang w:val="en-ZA"/>
        </w:rPr>
        <w:t xml:space="preserve">School, </w:t>
      </w:r>
      <w:r w:rsidR="00527456">
        <w:rPr>
          <w:i/>
          <w:lang w:val="en-ZA"/>
        </w:rPr>
        <w:t>including</w:t>
      </w:r>
      <w:r w:rsidR="005C2EA9" w:rsidRPr="0093504E">
        <w:rPr>
          <w:i/>
          <w:lang w:val="en-ZA"/>
        </w:rPr>
        <w:t xml:space="preserve">, </w:t>
      </w:r>
    </w:p>
    <w:p w:rsidR="005B5FE1" w:rsidRPr="00674D3C" w:rsidRDefault="005E7A98" w:rsidP="00674D3C">
      <w:pPr>
        <w:pStyle w:val="ListParagraph"/>
        <w:numPr>
          <w:ilvl w:val="0"/>
          <w:numId w:val="23"/>
        </w:numPr>
        <w:jc w:val="left"/>
        <w:rPr>
          <w:lang w:val="en-ZA"/>
        </w:rPr>
      </w:pPr>
      <w:r w:rsidRPr="00674D3C">
        <w:rPr>
          <w:lang w:val="en-ZA"/>
        </w:rPr>
        <w:t>My supervisor, Mr Doug</w:t>
      </w:r>
      <w:r w:rsidR="005B5FE1" w:rsidRPr="00674D3C">
        <w:rPr>
          <w:lang w:val="en-ZA"/>
        </w:rPr>
        <w:t>las</w:t>
      </w:r>
      <w:r w:rsidRPr="00674D3C">
        <w:rPr>
          <w:lang w:val="en-ZA"/>
        </w:rPr>
        <w:t xml:space="preserve"> Taylor, for always being the calming force when m</w:t>
      </w:r>
      <w:r w:rsidR="005B5FE1" w:rsidRPr="00674D3C">
        <w:rPr>
          <w:lang w:val="en-ZA"/>
        </w:rPr>
        <w:t xml:space="preserve">y mind ran wild with ideas and concerns. </w:t>
      </w:r>
    </w:p>
    <w:p w:rsidR="00BE67F5" w:rsidRPr="00674D3C" w:rsidRDefault="005E7A98" w:rsidP="00674D3C">
      <w:pPr>
        <w:pStyle w:val="ListParagraph"/>
        <w:numPr>
          <w:ilvl w:val="0"/>
          <w:numId w:val="23"/>
        </w:numPr>
        <w:jc w:val="left"/>
        <w:rPr>
          <w:b/>
          <w:sz w:val="32"/>
          <w:lang w:val="en-ZA"/>
        </w:rPr>
      </w:pPr>
      <w:r w:rsidRPr="00674D3C">
        <w:rPr>
          <w:lang w:val="en-ZA"/>
        </w:rPr>
        <w:t>Prof</w:t>
      </w:r>
      <w:r w:rsidR="005C2EA9" w:rsidRPr="00674D3C">
        <w:rPr>
          <w:lang w:val="en-ZA"/>
        </w:rPr>
        <w:t>essor Antony</w:t>
      </w:r>
      <w:r w:rsidR="00674D3C">
        <w:rPr>
          <w:lang w:val="en-ZA"/>
        </w:rPr>
        <w:t xml:space="preserve"> Stacey for the</w:t>
      </w:r>
      <w:r w:rsidR="005B5FE1" w:rsidRPr="00674D3C">
        <w:rPr>
          <w:lang w:val="en-ZA"/>
        </w:rPr>
        <w:t xml:space="preserve"> brilliant boot camp</w:t>
      </w:r>
      <w:r w:rsidR="00674D3C">
        <w:rPr>
          <w:lang w:val="en-ZA"/>
        </w:rPr>
        <w:t>, without which</w:t>
      </w:r>
      <w:r w:rsidR="005B5FE1" w:rsidRPr="00674D3C">
        <w:rPr>
          <w:lang w:val="en-ZA"/>
        </w:rPr>
        <w:t xml:space="preserve"> I would still be analysing my results. Your patience and willingness to assist </w:t>
      </w:r>
      <w:r w:rsidR="00674D3C" w:rsidRPr="00674D3C">
        <w:rPr>
          <w:lang w:val="en-ZA"/>
        </w:rPr>
        <w:t xml:space="preserve">throughout the process </w:t>
      </w:r>
      <w:r w:rsidR="005B5FE1" w:rsidRPr="00674D3C">
        <w:rPr>
          <w:lang w:val="en-ZA"/>
        </w:rPr>
        <w:t xml:space="preserve">is greatly appreciated. </w:t>
      </w:r>
    </w:p>
    <w:p w:rsidR="005B5FE1" w:rsidRPr="00674D3C" w:rsidRDefault="005B5FE1" w:rsidP="00674D3C">
      <w:pPr>
        <w:pStyle w:val="ListParagraph"/>
        <w:numPr>
          <w:ilvl w:val="0"/>
          <w:numId w:val="23"/>
        </w:numPr>
        <w:jc w:val="left"/>
        <w:rPr>
          <w:b/>
          <w:sz w:val="32"/>
          <w:lang w:val="en-ZA"/>
        </w:rPr>
      </w:pPr>
      <w:r w:rsidRPr="00674D3C">
        <w:rPr>
          <w:lang w:val="en-ZA"/>
        </w:rPr>
        <w:t xml:space="preserve">Dr Zanele Ndaba, </w:t>
      </w:r>
      <w:r w:rsidR="00674D3C">
        <w:rPr>
          <w:lang w:val="en-ZA"/>
        </w:rPr>
        <w:t>for</w:t>
      </w:r>
      <w:r w:rsidRPr="00674D3C">
        <w:rPr>
          <w:lang w:val="en-ZA"/>
        </w:rPr>
        <w:t xml:space="preserve"> assistance with providing additional reading material and guidance on the gender aspect of </w:t>
      </w:r>
      <w:r w:rsidR="00674D3C">
        <w:rPr>
          <w:lang w:val="en-ZA"/>
        </w:rPr>
        <w:t>this</w:t>
      </w:r>
      <w:r w:rsidRPr="00674D3C">
        <w:rPr>
          <w:lang w:val="en-ZA"/>
        </w:rPr>
        <w:t xml:space="preserve"> </w:t>
      </w:r>
      <w:r w:rsidR="00674D3C">
        <w:rPr>
          <w:lang w:val="en-ZA"/>
        </w:rPr>
        <w:t>research.</w:t>
      </w:r>
    </w:p>
    <w:p w:rsidR="00A07672" w:rsidRPr="00674D3C" w:rsidRDefault="00A07672" w:rsidP="00A07672">
      <w:pPr>
        <w:pStyle w:val="ListParagraph"/>
        <w:ind w:left="1080"/>
        <w:jc w:val="left"/>
        <w:rPr>
          <w:b/>
          <w:lang w:val="en-ZA"/>
        </w:rPr>
      </w:pPr>
    </w:p>
    <w:p w:rsidR="005B5FE1" w:rsidRPr="008633D2" w:rsidRDefault="005B5FE1" w:rsidP="005B5FE1">
      <w:pPr>
        <w:pStyle w:val="ListParagraph"/>
        <w:numPr>
          <w:ilvl w:val="0"/>
          <w:numId w:val="15"/>
        </w:numPr>
        <w:jc w:val="left"/>
        <w:rPr>
          <w:i/>
          <w:sz w:val="32"/>
          <w:lang w:val="en-ZA"/>
        </w:rPr>
      </w:pPr>
      <w:r w:rsidRPr="008633D2">
        <w:rPr>
          <w:i/>
          <w:lang w:val="en-ZA"/>
        </w:rPr>
        <w:t xml:space="preserve">The corporate </w:t>
      </w:r>
      <w:r w:rsidR="005C2EA9" w:rsidRPr="008633D2">
        <w:rPr>
          <w:i/>
          <w:lang w:val="en-ZA"/>
        </w:rPr>
        <w:t xml:space="preserve">professionals </w:t>
      </w:r>
      <w:r w:rsidR="00674D3C">
        <w:rPr>
          <w:i/>
          <w:lang w:val="en-ZA"/>
        </w:rPr>
        <w:t>who</w:t>
      </w:r>
      <w:r w:rsidR="005C2EA9" w:rsidRPr="008633D2">
        <w:rPr>
          <w:i/>
          <w:lang w:val="en-ZA"/>
        </w:rPr>
        <w:t xml:space="preserve"> have provided information and guidance, in particular, </w:t>
      </w:r>
    </w:p>
    <w:p w:rsidR="00BE67F5" w:rsidRPr="00674D3C" w:rsidRDefault="00093481" w:rsidP="00674D3C">
      <w:pPr>
        <w:pStyle w:val="ListParagraph"/>
        <w:numPr>
          <w:ilvl w:val="0"/>
          <w:numId w:val="22"/>
        </w:numPr>
        <w:jc w:val="left"/>
        <w:rPr>
          <w:b/>
          <w:sz w:val="32"/>
          <w:lang w:val="en-ZA"/>
        </w:rPr>
      </w:pPr>
      <w:r w:rsidRPr="00674D3C">
        <w:rPr>
          <w:lang w:val="en-ZA"/>
        </w:rPr>
        <w:t>Kyle</w:t>
      </w:r>
      <w:r w:rsidR="000D4D3C" w:rsidRPr="00674D3C">
        <w:rPr>
          <w:lang w:val="en-ZA"/>
        </w:rPr>
        <w:t xml:space="preserve"> C</w:t>
      </w:r>
      <w:r w:rsidR="00BE67F5" w:rsidRPr="00674D3C">
        <w:rPr>
          <w:lang w:val="en-ZA"/>
        </w:rPr>
        <w:t xml:space="preserve">ox and </w:t>
      </w:r>
      <w:r w:rsidRPr="00674D3C">
        <w:rPr>
          <w:lang w:val="en-ZA"/>
        </w:rPr>
        <w:t>David</w:t>
      </w:r>
      <w:r w:rsidR="00BE67F5" w:rsidRPr="00674D3C">
        <w:rPr>
          <w:lang w:val="en-ZA"/>
        </w:rPr>
        <w:t xml:space="preserve"> </w:t>
      </w:r>
      <w:r w:rsidR="005C2EA9" w:rsidRPr="00674D3C">
        <w:rPr>
          <w:lang w:val="en-ZA"/>
        </w:rPr>
        <w:t xml:space="preserve">O’Leary from MorningStar for providing the required data, </w:t>
      </w:r>
      <w:r w:rsidR="00634F5B" w:rsidRPr="00674D3C">
        <w:rPr>
          <w:lang w:val="en-ZA"/>
        </w:rPr>
        <w:t>information,</w:t>
      </w:r>
      <w:r w:rsidR="005C2EA9" w:rsidRPr="00674D3C">
        <w:rPr>
          <w:lang w:val="en-ZA"/>
        </w:rPr>
        <w:t xml:space="preserve"> and guidance.</w:t>
      </w:r>
    </w:p>
    <w:p w:rsidR="0093504E" w:rsidRPr="00674D3C" w:rsidRDefault="0093504E" w:rsidP="00674D3C">
      <w:pPr>
        <w:pStyle w:val="ListParagraph"/>
        <w:numPr>
          <w:ilvl w:val="0"/>
          <w:numId w:val="22"/>
        </w:numPr>
        <w:jc w:val="left"/>
        <w:rPr>
          <w:b/>
          <w:sz w:val="32"/>
          <w:lang w:val="en-ZA"/>
        </w:rPr>
      </w:pPr>
      <w:r w:rsidRPr="00674D3C">
        <w:rPr>
          <w:rFonts w:cs="Arial"/>
          <w:lang w:val="en-ZA"/>
        </w:rPr>
        <w:t>Anne Cabot-Alletzhauser, for the many interesting market articles that assisted in shaping this research.</w:t>
      </w:r>
    </w:p>
    <w:p w:rsidR="00A07672" w:rsidRPr="00674D3C" w:rsidRDefault="00A07672" w:rsidP="00A07672">
      <w:pPr>
        <w:pStyle w:val="ListParagraph"/>
        <w:ind w:left="1080"/>
        <w:jc w:val="left"/>
        <w:rPr>
          <w:b/>
          <w:lang w:val="en-ZA"/>
        </w:rPr>
      </w:pPr>
    </w:p>
    <w:p w:rsidR="00635F52" w:rsidRPr="008633D2" w:rsidRDefault="005C2EA9" w:rsidP="005E5901">
      <w:pPr>
        <w:pStyle w:val="ListParagraph"/>
        <w:numPr>
          <w:ilvl w:val="0"/>
          <w:numId w:val="15"/>
        </w:numPr>
        <w:jc w:val="left"/>
        <w:rPr>
          <w:b/>
          <w:i/>
          <w:sz w:val="32"/>
          <w:lang w:val="en-ZA"/>
        </w:rPr>
      </w:pPr>
      <w:r w:rsidRPr="008633D2">
        <w:rPr>
          <w:i/>
          <w:lang w:val="en-ZA"/>
        </w:rPr>
        <w:t xml:space="preserve">My employers at </w:t>
      </w:r>
      <w:r w:rsidR="00635F52" w:rsidRPr="008633D2">
        <w:rPr>
          <w:i/>
          <w:lang w:val="en-ZA"/>
        </w:rPr>
        <w:t>Standard Bank</w:t>
      </w:r>
    </w:p>
    <w:p w:rsidR="005C2EA9" w:rsidRPr="00674D3C" w:rsidRDefault="00674D3C" w:rsidP="00674D3C">
      <w:pPr>
        <w:pStyle w:val="ListParagraph"/>
        <w:numPr>
          <w:ilvl w:val="0"/>
          <w:numId w:val="24"/>
        </w:numPr>
        <w:jc w:val="left"/>
        <w:rPr>
          <w:b/>
          <w:sz w:val="32"/>
          <w:lang w:val="en-ZA"/>
        </w:rPr>
      </w:pPr>
      <w:r>
        <w:rPr>
          <w:lang w:val="en-ZA"/>
        </w:rPr>
        <w:t>For the p</w:t>
      </w:r>
      <w:r w:rsidR="005C2EA9" w:rsidRPr="00674D3C">
        <w:rPr>
          <w:lang w:val="en-ZA"/>
        </w:rPr>
        <w:t xml:space="preserve">atience and </w:t>
      </w:r>
      <w:r w:rsidR="00527456" w:rsidRPr="00674D3C">
        <w:rPr>
          <w:lang w:val="en-ZA"/>
        </w:rPr>
        <w:t>generosity,</w:t>
      </w:r>
      <w:r>
        <w:rPr>
          <w:lang w:val="en-ZA"/>
        </w:rPr>
        <w:t xml:space="preserve"> I have received </w:t>
      </w:r>
      <w:r w:rsidR="005C2EA9" w:rsidRPr="00674D3C">
        <w:rPr>
          <w:lang w:val="en-ZA"/>
        </w:rPr>
        <w:t>from the outset of this journey. I would have not been</w:t>
      </w:r>
      <w:r w:rsidR="0046753E" w:rsidRPr="00674D3C">
        <w:rPr>
          <w:lang w:val="en-ZA"/>
        </w:rPr>
        <w:t xml:space="preserve"> able </w:t>
      </w:r>
      <w:r w:rsidR="005C2EA9" w:rsidRPr="00674D3C">
        <w:rPr>
          <w:lang w:val="en-ZA"/>
        </w:rPr>
        <w:t xml:space="preserve">to complete this MBA without your support. </w:t>
      </w:r>
    </w:p>
    <w:p w:rsidR="00674D3C" w:rsidRPr="00674D3C" w:rsidRDefault="00674D3C" w:rsidP="00674D3C">
      <w:pPr>
        <w:pStyle w:val="ListParagraph"/>
        <w:ind w:left="644"/>
        <w:jc w:val="left"/>
        <w:rPr>
          <w:b/>
          <w:lang w:val="en-ZA"/>
        </w:rPr>
      </w:pPr>
    </w:p>
    <w:p w:rsidR="00BE67F5" w:rsidRPr="008633D2" w:rsidRDefault="00BE67F5" w:rsidP="005E5901">
      <w:pPr>
        <w:pStyle w:val="ListParagraph"/>
        <w:numPr>
          <w:ilvl w:val="0"/>
          <w:numId w:val="15"/>
        </w:numPr>
        <w:jc w:val="left"/>
        <w:rPr>
          <w:b/>
          <w:i/>
          <w:sz w:val="32"/>
          <w:lang w:val="en-ZA"/>
        </w:rPr>
      </w:pPr>
      <w:r w:rsidRPr="008633D2">
        <w:rPr>
          <w:i/>
          <w:lang w:val="en-ZA"/>
        </w:rPr>
        <w:t xml:space="preserve">My </w:t>
      </w:r>
      <w:r w:rsidR="005C2EA9" w:rsidRPr="008633D2">
        <w:rPr>
          <w:i/>
          <w:lang w:val="en-ZA"/>
        </w:rPr>
        <w:t>loved ones</w:t>
      </w:r>
    </w:p>
    <w:p w:rsidR="005C2EA9" w:rsidRPr="00674D3C" w:rsidRDefault="005C2EA9" w:rsidP="00674D3C">
      <w:pPr>
        <w:pStyle w:val="ListParagraph"/>
        <w:numPr>
          <w:ilvl w:val="0"/>
          <w:numId w:val="24"/>
        </w:numPr>
        <w:jc w:val="left"/>
        <w:rPr>
          <w:b/>
          <w:sz w:val="32"/>
          <w:lang w:val="en-ZA"/>
        </w:rPr>
      </w:pPr>
      <w:r w:rsidRPr="00674D3C">
        <w:rPr>
          <w:lang w:val="en-ZA"/>
        </w:rPr>
        <w:t xml:space="preserve">My greatest appreciation and a big </w:t>
      </w:r>
      <w:r w:rsidR="00F126A7" w:rsidRPr="00674D3C">
        <w:rPr>
          <w:lang w:val="en-ZA"/>
        </w:rPr>
        <w:t>‘</w:t>
      </w:r>
      <w:r w:rsidRPr="00674D3C">
        <w:rPr>
          <w:lang w:val="en-ZA"/>
        </w:rPr>
        <w:t>thank you</w:t>
      </w:r>
      <w:r w:rsidR="00F126A7" w:rsidRPr="00674D3C">
        <w:rPr>
          <w:lang w:val="en-ZA"/>
        </w:rPr>
        <w:t>’</w:t>
      </w:r>
      <w:r w:rsidRPr="00674D3C">
        <w:rPr>
          <w:lang w:val="en-ZA"/>
        </w:rPr>
        <w:t xml:space="preserve"> go</w:t>
      </w:r>
      <w:r w:rsidR="00AF5A1A" w:rsidRPr="00674D3C">
        <w:rPr>
          <w:lang w:val="en-ZA"/>
        </w:rPr>
        <w:t>es</w:t>
      </w:r>
      <w:r w:rsidRPr="00674D3C">
        <w:rPr>
          <w:lang w:val="en-ZA"/>
        </w:rPr>
        <w:t xml:space="preserve"> to my family and </w:t>
      </w:r>
      <w:r w:rsidR="00ED61B2" w:rsidRPr="00674D3C">
        <w:rPr>
          <w:lang w:val="en-ZA"/>
        </w:rPr>
        <w:t xml:space="preserve">to </w:t>
      </w:r>
      <w:r w:rsidRPr="00674D3C">
        <w:rPr>
          <w:lang w:val="en-ZA"/>
        </w:rPr>
        <w:t>my partner in life. Your support in every regard during the past year will never be forgotten</w:t>
      </w:r>
      <w:r w:rsidR="00CC6274" w:rsidRPr="00674D3C">
        <w:rPr>
          <w:lang w:val="en-ZA"/>
        </w:rPr>
        <w:t xml:space="preserve">. </w:t>
      </w:r>
      <w:r w:rsidRPr="00674D3C">
        <w:rPr>
          <w:lang w:val="en-ZA"/>
        </w:rPr>
        <w:t xml:space="preserve">I love you all very much. </w:t>
      </w:r>
    </w:p>
    <w:p w:rsidR="00A45D97" w:rsidRPr="008633D2" w:rsidRDefault="00CA1EE3" w:rsidP="00635F52">
      <w:pPr>
        <w:jc w:val="left"/>
        <w:rPr>
          <w:b/>
          <w:sz w:val="32"/>
          <w:lang w:val="en-ZA"/>
        </w:rPr>
      </w:pPr>
      <w:r w:rsidRPr="008633D2">
        <w:rPr>
          <w:b/>
          <w:sz w:val="32"/>
          <w:lang w:val="en-ZA"/>
        </w:rPr>
        <w:t>TA</w:t>
      </w:r>
      <w:r w:rsidR="00A45D97" w:rsidRPr="008633D2">
        <w:rPr>
          <w:b/>
          <w:sz w:val="32"/>
          <w:lang w:val="en-ZA"/>
        </w:rPr>
        <w:t>BLE OF CONTENTS</w:t>
      </w:r>
    </w:p>
    <w:p w:rsidR="00527456" w:rsidRDefault="00D36938">
      <w:pPr>
        <w:pStyle w:val="TOC1"/>
        <w:rPr>
          <w:rFonts w:asciiTheme="minorHAnsi" w:eastAsiaTheme="minorEastAsia" w:hAnsiTheme="minorHAnsi" w:cstheme="minorBidi"/>
          <w:b w:val="0"/>
          <w:sz w:val="22"/>
          <w:szCs w:val="22"/>
          <w:lang w:val="en-ZA" w:eastAsia="en-ZA"/>
        </w:rPr>
      </w:pPr>
      <w:r w:rsidRPr="008633D2">
        <w:rPr>
          <w:bCs/>
          <w:noProof w:val="0"/>
          <w:lang w:val="en-ZA"/>
        </w:rPr>
        <w:fldChar w:fldCharType="begin"/>
      </w:r>
      <w:r w:rsidRPr="008633D2">
        <w:rPr>
          <w:bCs/>
          <w:noProof w:val="0"/>
          <w:lang w:val="en-ZA"/>
        </w:rPr>
        <w:instrText xml:space="preserve"> TOC \o "1-3" \h \z \u </w:instrText>
      </w:r>
      <w:r w:rsidRPr="008633D2">
        <w:rPr>
          <w:bCs/>
          <w:noProof w:val="0"/>
          <w:lang w:val="en-ZA"/>
        </w:rPr>
        <w:fldChar w:fldCharType="separate"/>
      </w:r>
      <w:hyperlink w:anchor="_Toc458610755" w:history="1">
        <w:r w:rsidR="00527456" w:rsidRPr="009A1F77">
          <w:rPr>
            <w:rStyle w:val="Hyperlink"/>
            <w:lang w:val="en-ZA"/>
          </w:rPr>
          <w:t>ABSTRACT</w:t>
        </w:r>
        <w:r w:rsidR="00527456">
          <w:rPr>
            <w:webHidden/>
          </w:rPr>
          <w:tab/>
        </w:r>
        <w:r w:rsidR="00527456">
          <w:rPr>
            <w:webHidden/>
          </w:rPr>
          <w:fldChar w:fldCharType="begin"/>
        </w:r>
        <w:r w:rsidR="00527456">
          <w:rPr>
            <w:webHidden/>
          </w:rPr>
          <w:instrText xml:space="preserve"> PAGEREF _Toc458610755 \h </w:instrText>
        </w:r>
        <w:r w:rsidR="00527456">
          <w:rPr>
            <w:webHidden/>
          </w:rPr>
        </w:r>
        <w:r w:rsidR="00527456">
          <w:rPr>
            <w:webHidden/>
          </w:rPr>
          <w:fldChar w:fldCharType="separate"/>
        </w:r>
        <w:r w:rsidR="00527456">
          <w:rPr>
            <w:webHidden/>
          </w:rPr>
          <w:t>ii</w:t>
        </w:r>
        <w:r w:rsidR="00527456">
          <w:rPr>
            <w:webHidden/>
          </w:rPr>
          <w:fldChar w:fldCharType="end"/>
        </w:r>
      </w:hyperlink>
    </w:p>
    <w:p w:rsidR="00527456" w:rsidRDefault="003323B7">
      <w:pPr>
        <w:pStyle w:val="TOC1"/>
        <w:rPr>
          <w:rFonts w:asciiTheme="minorHAnsi" w:eastAsiaTheme="minorEastAsia" w:hAnsiTheme="minorHAnsi" w:cstheme="minorBidi"/>
          <w:b w:val="0"/>
          <w:sz w:val="22"/>
          <w:szCs w:val="22"/>
          <w:lang w:val="en-ZA" w:eastAsia="en-ZA"/>
        </w:rPr>
      </w:pPr>
      <w:hyperlink w:anchor="_Toc458610756" w:history="1">
        <w:r w:rsidR="00527456" w:rsidRPr="009A1F77">
          <w:rPr>
            <w:rStyle w:val="Hyperlink"/>
            <w:lang w:val="en-ZA"/>
          </w:rPr>
          <w:t>DECLARATION</w:t>
        </w:r>
        <w:r w:rsidR="00527456">
          <w:rPr>
            <w:webHidden/>
          </w:rPr>
          <w:tab/>
        </w:r>
        <w:r w:rsidR="00527456">
          <w:rPr>
            <w:webHidden/>
          </w:rPr>
          <w:fldChar w:fldCharType="begin"/>
        </w:r>
        <w:r w:rsidR="00527456">
          <w:rPr>
            <w:webHidden/>
          </w:rPr>
          <w:instrText xml:space="preserve"> PAGEREF _Toc458610756 \h </w:instrText>
        </w:r>
        <w:r w:rsidR="00527456">
          <w:rPr>
            <w:webHidden/>
          </w:rPr>
        </w:r>
        <w:r w:rsidR="00527456">
          <w:rPr>
            <w:webHidden/>
          </w:rPr>
          <w:fldChar w:fldCharType="separate"/>
        </w:r>
        <w:r w:rsidR="00527456">
          <w:rPr>
            <w:webHidden/>
          </w:rPr>
          <w:t>iii</w:t>
        </w:r>
        <w:r w:rsidR="00527456">
          <w:rPr>
            <w:webHidden/>
          </w:rPr>
          <w:fldChar w:fldCharType="end"/>
        </w:r>
      </w:hyperlink>
    </w:p>
    <w:p w:rsidR="00527456" w:rsidRDefault="003323B7">
      <w:pPr>
        <w:pStyle w:val="TOC1"/>
        <w:rPr>
          <w:rFonts w:asciiTheme="minorHAnsi" w:eastAsiaTheme="minorEastAsia" w:hAnsiTheme="minorHAnsi" w:cstheme="minorBidi"/>
          <w:b w:val="0"/>
          <w:sz w:val="22"/>
          <w:szCs w:val="22"/>
          <w:lang w:val="en-ZA" w:eastAsia="en-ZA"/>
        </w:rPr>
      </w:pPr>
      <w:hyperlink w:anchor="_Toc458610757" w:history="1">
        <w:r w:rsidR="00527456" w:rsidRPr="009A1F77">
          <w:rPr>
            <w:rStyle w:val="Hyperlink"/>
            <w:lang w:val="en-ZA"/>
          </w:rPr>
          <w:t>DEDICATION</w:t>
        </w:r>
        <w:r w:rsidR="00527456">
          <w:rPr>
            <w:webHidden/>
          </w:rPr>
          <w:tab/>
        </w:r>
        <w:r w:rsidR="00527456">
          <w:rPr>
            <w:webHidden/>
          </w:rPr>
          <w:fldChar w:fldCharType="begin"/>
        </w:r>
        <w:r w:rsidR="00527456">
          <w:rPr>
            <w:webHidden/>
          </w:rPr>
          <w:instrText xml:space="preserve"> PAGEREF _Toc458610757 \h </w:instrText>
        </w:r>
        <w:r w:rsidR="00527456">
          <w:rPr>
            <w:webHidden/>
          </w:rPr>
        </w:r>
        <w:r w:rsidR="00527456">
          <w:rPr>
            <w:webHidden/>
          </w:rPr>
          <w:fldChar w:fldCharType="separate"/>
        </w:r>
        <w:r w:rsidR="00527456">
          <w:rPr>
            <w:webHidden/>
          </w:rPr>
          <w:t>iv</w:t>
        </w:r>
        <w:r w:rsidR="00527456">
          <w:rPr>
            <w:webHidden/>
          </w:rPr>
          <w:fldChar w:fldCharType="end"/>
        </w:r>
      </w:hyperlink>
    </w:p>
    <w:p w:rsidR="00527456" w:rsidRDefault="003323B7">
      <w:pPr>
        <w:pStyle w:val="TOC1"/>
        <w:rPr>
          <w:rFonts w:asciiTheme="minorHAnsi" w:eastAsiaTheme="minorEastAsia" w:hAnsiTheme="minorHAnsi" w:cstheme="minorBidi"/>
          <w:b w:val="0"/>
          <w:sz w:val="22"/>
          <w:szCs w:val="22"/>
          <w:lang w:val="en-ZA" w:eastAsia="en-ZA"/>
        </w:rPr>
      </w:pPr>
      <w:hyperlink w:anchor="_Toc458610758" w:history="1">
        <w:r w:rsidR="00527456" w:rsidRPr="009A1F77">
          <w:rPr>
            <w:rStyle w:val="Hyperlink"/>
            <w:lang w:val="en-ZA"/>
          </w:rPr>
          <w:t>ACKNOWLEDGEMENTS</w:t>
        </w:r>
        <w:r w:rsidR="00527456">
          <w:rPr>
            <w:webHidden/>
          </w:rPr>
          <w:tab/>
        </w:r>
        <w:r w:rsidR="00527456">
          <w:rPr>
            <w:webHidden/>
          </w:rPr>
          <w:fldChar w:fldCharType="begin"/>
        </w:r>
        <w:r w:rsidR="00527456">
          <w:rPr>
            <w:webHidden/>
          </w:rPr>
          <w:instrText xml:space="preserve"> PAGEREF _Toc458610758 \h </w:instrText>
        </w:r>
        <w:r w:rsidR="00527456">
          <w:rPr>
            <w:webHidden/>
          </w:rPr>
        </w:r>
        <w:r w:rsidR="00527456">
          <w:rPr>
            <w:webHidden/>
          </w:rPr>
          <w:fldChar w:fldCharType="separate"/>
        </w:r>
        <w:r w:rsidR="00527456">
          <w:rPr>
            <w:webHidden/>
          </w:rPr>
          <w:t>v</w:t>
        </w:r>
        <w:r w:rsidR="00527456">
          <w:rPr>
            <w:webHidden/>
          </w:rPr>
          <w:fldChar w:fldCharType="end"/>
        </w:r>
      </w:hyperlink>
    </w:p>
    <w:p w:rsidR="00527456" w:rsidRDefault="003323B7">
      <w:pPr>
        <w:pStyle w:val="TOC1"/>
        <w:rPr>
          <w:rFonts w:asciiTheme="minorHAnsi" w:eastAsiaTheme="minorEastAsia" w:hAnsiTheme="minorHAnsi" w:cstheme="minorBidi"/>
          <w:b w:val="0"/>
          <w:sz w:val="22"/>
          <w:szCs w:val="22"/>
          <w:lang w:val="en-ZA" w:eastAsia="en-ZA"/>
        </w:rPr>
      </w:pPr>
      <w:hyperlink w:anchor="_Toc458610759" w:history="1">
        <w:r w:rsidR="00527456" w:rsidRPr="009A1F77">
          <w:rPr>
            <w:rStyle w:val="Hyperlink"/>
            <w:lang w:val="en-ZA"/>
          </w:rPr>
          <w:t>LIST OF TABLES</w:t>
        </w:r>
        <w:r w:rsidR="00527456">
          <w:rPr>
            <w:webHidden/>
          </w:rPr>
          <w:tab/>
        </w:r>
        <w:r w:rsidR="00527456">
          <w:rPr>
            <w:webHidden/>
          </w:rPr>
          <w:fldChar w:fldCharType="begin"/>
        </w:r>
        <w:r w:rsidR="00527456">
          <w:rPr>
            <w:webHidden/>
          </w:rPr>
          <w:instrText xml:space="preserve"> PAGEREF _Toc458610759 \h </w:instrText>
        </w:r>
        <w:r w:rsidR="00527456">
          <w:rPr>
            <w:webHidden/>
          </w:rPr>
        </w:r>
        <w:r w:rsidR="00527456">
          <w:rPr>
            <w:webHidden/>
          </w:rPr>
          <w:fldChar w:fldCharType="separate"/>
        </w:r>
        <w:r w:rsidR="00527456">
          <w:rPr>
            <w:webHidden/>
          </w:rPr>
          <w:t>x</w:t>
        </w:r>
        <w:r w:rsidR="00527456">
          <w:rPr>
            <w:webHidden/>
          </w:rPr>
          <w:fldChar w:fldCharType="end"/>
        </w:r>
      </w:hyperlink>
    </w:p>
    <w:p w:rsidR="00527456" w:rsidRDefault="003323B7">
      <w:pPr>
        <w:pStyle w:val="TOC1"/>
        <w:rPr>
          <w:rFonts w:asciiTheme="minorHAnsi" w:eastAsiaTheme="minorEastAsia" w:hAnsiTheme="minorHAnsi" w:cstheme="minorBidi"/>
          <w:b w:val="0"/>
          <w:sz w:val="22"/>
          <w:szCs w:val="22"/>
          <w:lang w:val="en-ZA" w:eastAsia="en-ZA"/>
        </w:rPr>
      </w:pPr>
      <w:hyperlink w:anchor="_Toc458610760" w:history="1">
        <w:r w:rsidR="00527456" w:rsidRPr="009A1F77">
          <w:rPr>
            <w:rStyle w:val="Hyperlink"/>
            <w:lang w:val="en-ZA"/>
          </w:rPr>
          <w:t>LIST OF FIGURES</w:t>
        </w:r>
        <w:r w:rsidR="00527456">
          <w:rPr>
            <w:webHidden/>
          </w:rPr>
          <w:tab/>
        </w:r>
        <w:r w:rsidR="00527456">
          <w:rPr>
            <w:webHidden/>
          </w:rPr>
          <w:fldChar w:fldCharType="begin"/>
        </w:r>
        <w:r w:rsidR="00527456">
          <w:rPr>
            <w:webHidden/>
          </w:rPr>
          <w:instrText xml:space="preserve"> PAGEREF _Toc458610760 \h </w:instrText>
        </w:r>
        <w:r w:rsidR="00527456">
          <w:rPr>
            <w:webHidden/>
          </w:rPr>
        </w:r>
        <w:r w:rsidR="00527456">
          <w:rPr>
            <w:webHidden/>
          </w:rPr>
          <w:fldChar w:fldCharType="separate"/>
        </w:r>
        <w:r w:rsidR="00527456">
          <w:rPr>
            <w:webHidden/>
          </w:rPr>
          <w:t>xii</w:t>
        </w:r>
        <w:r w:rsidR="00527456">
          <w:rPr>
            <w:webHidden/>
          </w:rPr>
          <w:fldChar w:fldCharType="end"/>
        </w:r>
      </w:hyperlink>
    </w:p>
    <w:p w:rsidR="00527456" w:rsidRDefault="003323B7">
      <w:pPr>
        <w:pStyle w:val="TOC1"/>
        <w:tabs>
          <w:tab w:val="left" w:pos="1885"/>
        </w:tabs>
        <w:rPr>
          <w:rFonts w:asciiTheme="minorHAnsi" w:eastAsiaTheme="minorEastAsia" w:hAnsiTheme="minorHAnsi" w:cstheme="minorBidi"/>
          <w:b w:val="0"/>
          <w:sz w:val="22"/>
          <w:szCs w:val="22"/>
          <w:lang w:val="en-ZA" w:eastAsia="en-ZA"/>
        </w:rPr>
      </w:pPr>
      <w:hyperlink w:anchor="_Toc458610761" w:history="1">
        <w:r w:rsidR="00527456" w:rsidRPr="009A1F77">
          <w:rPr>
            <w:rStyle w:val="Hyperlink"/>
            <w:lang w:val="en-ZA"/>
          </w:rPr>
          <w:t>CHAPTER 1.</w:t>
        </w:r>
        <w:r w:rsidR="00527456">
          <w:rPr>
            <w:rFonts w:asciiTheme="minorHAnsi" w:eastAsiaTheme="minorEastAsia" w:hAnsiTheme="minorHAnsi" w:cstheme="minorBidi"/>
            <w:b w:val="0"/>
            <w:sz w:val="22"/>
            <w:szCs w:val="22"/>
            <w:lang w:val="en-ZA" w:eastAsia="en-ZA"/>
          </w:rPr>
          <w:tab/>
        </w:r>
        <w:r w:rsidR="00527456" w:rsidRPr="009A1F77">
          <w:rPr>
            <w:rStyle w:val="Hyperlink"/>
            <w:lang w:val="en-ZA"/>
          </w:rPr>
          <w:t>INTRODUCTION</w:t>
        </w:r>
        <w:r w:rsidR="00527456">
          <w:rPr>
            <w:webHidden/>
          </w:rPr>
          <w:tab/>
        </w:r>
        <w:r w:rsidR="00527456">
          <w:rPr>
            <w:webHidden/>
          </w:rPr>
          <w:fldChar w:fldCharType="begin"/>
        </w:r>
        <w:r w:rsidR="00527456">
          <w:rPr>
            <w:webHidden/>
          </w:rPr>
          <w:instrText xml:space="preserve"> PAGEREF _Toc458610761 \h </w:instrText>
        </w:r>
        <w:r w:rsidR="00527456">
          <w:rPr>
            <w:webHidden/>
          </w:rPr>
        </w:r>
        <w:r w:rsidR="00527456">
          <w:rPr>
            <w:webHidden/>
          </w:rPr>
          <w:fldChar w:fldCharType="separate"/>
        </w:r>
        <w:r w:rsidR="00527456">
          <w:rPr>
            <w:webHidden/>
          </w:rPr>
          <w:t>1</w:t>
        </w:r>
        <w:r w:rsidR="00527456">
          <w:rPr>
            <w:webHidden/>
          </w:rPr>
          <w:fldChar w:fldCharType="end"/>
        </w:r>
      </w:hyperlink>
    </w:p>
    <w:p w:rsidR="00527456" w:rsidRDefault="003323B7">
      <w:pPr>
        <w:pStyle w:val="TOC2"/>
        <w:rPr>
          <w:rFonts w:asciiTheme="minorHAnsi" w:eastAsiaTheme="minorEastAsia" w:hAnsiTheme="minorHAnsi" w:cstheme="minorBidi"/>
          <w:smallCaps w:val="0"/>
          <w:sz w:val="22"/>
          <w:szCs w:val="22"/>
          <w:lang w:val="en-ZA" w:eastAsia="en-ZA"/>
        </w:rPr>
      </w:pPr>
      <w:hyperlink w:anchor="_Toc458610762" w:history="1">
        <w:r w:rsidR="00527456" w:rsidRPr="009A1F77">
          <w:rPr>
            <w:rStyle w:val="Hyperlink"/>
            <w:lang w:val="en-ZA"/>
          </w:rPr>
          <w:t>1.1</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Purpose of the study</w:t>
        </w:r>
        <w:r w:rsidR="00527456">
          <w:rPr>
            <w:webHidden/>
          </w:rPr>
          <w:tab/>
        </w:r>
        <w:r w:rsidR="00527456">
          <w:rPr>
            <w:webHidden/>
          </w:rPr>
          <w:fldChar w:fldCharType="begin"/>
        </w:r>
        <w:r w:rsidR="00527456">
          <w:rPr>
            <w:webHidden/>
          </w:rPr>
          <w:instrText xml:space="preserve"> PAGEREF _Toc458610762 \h </w:instrText>
        </w:r>
        <w:r w:rsidR="00527456">
          <w:rPr>
            <w:webHidden/>
          </w:rPr>
        </w:r>
        <w:r w:rsidR="00527456">
          <w:rPr>
            <w:webHidden/>
          </w:rPr>
          <w:fldChar w:fldCharType="separate"/>
        </w:r>
        <w:r w:rsidR="00527456">
          <w:rPr>
            <w:webHidden/>
          </w:rPr>
          <w:t>1</w:t>
        </w:r>
        <w:r w:rsidR="00527456">
          <w:rPr>
            <w:webHidden/>
          </w:rPr>
          <w:fldChar w:fldCharType="end"/>
        </w:r>
      </w:hyperlink>
    </w:p>
    <w:p w:rsidR="00527456" w:rsidRDefault="003323B7">
      <w:pPr>
        <w:pStyle w:val="TOC2"/>
        <w:rPr>
          <w:rFonts w:asciiTheme="minorHAnsi" w:eastAsiaTheme="minorEastAsia" w:hAnsiTheme="minorHAnsi" w:cstheme="minorBidi"/>
          <w:smallCaps w:val="0"/>
          <w:sz w:val="22"/>
          <w:szCs w:val="22"/>
          <w:lang w:val="en-ZA" w:eastAsia="en-ZA"/>
        </w:rPr>
      </w:pPr>
      <w:hyperlink w:anchor="_Toc458610763" w:history="1">
        <w:r w:rsidR="00527456" w:rsidRPr="009A1F77">
          <w:rPr>
            <w:rStyle w:val="Hyperlink"/>
            <w:lang w:val="en-ZA"/>
          </w:rPr>
          <w:t>1.2</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Context of the study</w:t>
        </w:r>
        <w:r w:rsidR="00527456">
          <w:rPr>
            <w:webHidden/>
          </w:rPr>
          <w:tab/>
        </w:r>
        <w:r w:rsidR="00527456">
          <w:rPr>
            <w:webHidden/>
          </w:rPr>
          <w:fldChar w:fldCharType="begin"/>
        </w:r>
        <w:r w:rsidR="00527456">
          <w:rPr>
            <w:webHidden/>
          </w:rPr>
          <w:instrText xml:space="preserve"> PAGEREF _Toc458610763 \h </w:instrText>
        </w:r>
        <w:r w:rsidR="00527456">
          <w:rPr>
            <w:webHidden/>
          </w:rPr>
        </w:r>
        <w:r w:rsidR="00527456">
          <w:rPr>
            <w:webHidden/>
          </w:rPr>
          <w:fldChar w:fldCharType="separate"/>
        </w:r>
        <w:r w:rsidR="00527456">
          <w:rPr>
            <w:webHidden/>
          </w:rPr>
          <w:t>1</w:t>
        </w:r>
        <w:r w:rsidR="00527456">
          <w:rPr>
            <w:webHidden/>
          </w:rPr>
          <w:fldChar w:fldCharType="end"/>
        </w:r>
      </w:hyperlink>
    </w:p>
    <w:p w:rsidR="00527456" w:rsidRDefault="003323B7">
      <w:pPr>
        <w:pStyle w:val="TOC2"/>
        <w:rPr>
          <w:rFonts w:asciiTheme="minorHAnsi" w:eastAsiaTheme="minorEastAsia" w:hAnsiTheme="minorHAnsi" w:cstheme="minorBidi"/>
          <w:smallCaps w:val="0"/>
          <w:sz w:val="22"/>
          <w:szCs w:val="22"/>
          <w:lang w:val="en-ZA" w:eastAsia="en-ZA"/>
        </w:rPr>
      </w:pPr>
      <w:hyperlink w:anchor="_Toc458610764" w:history="1">
        <w:r w:rsidR="00527456" w:rsidRPr="009A1F77">
          <w:rPr>
            <w:rStyle w:val="Hyperlink"/>
            <w:lang w:val="en-ZA"/>
          </w:rPr>
          <w:t>1.3</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Problem statement</w:t>
        </w:r>
        <w:r w:rsidR="00527456">
          <w:rPr>
            <w:webHidden/>
          </w:rPr>
          <w:tab/>
        </w:r>
        <w:r w:rsidR="00527456">
          <w:rPr>
            <w:webHidden/>
          </w:rPr>
          <w:fldChar w:fldCharType="begin"/>
        </w:r>
        <w:r w:rsidR="00527456">
          <w:rPr>
            <w:webHidden/>
          </w:rPr>
          <w:instrText xml:space="preserve"> PAGEREF _Toc458610764 \h </w:instrText>
        </w:r>
        <w:r w:rsidR="00527456">
          <w:rPr>
            <w:webHidden/>
          </w:rPr>
        </w:r>
        <w:r w:rsidR="00527456">
          <w:rPr>
            <w:webHidden/>
          </w:rPr>
          <w:fldChar w:fldCharType="separate"/>
        </w:r>
        <w:r w:rsidR="00527456">
          <w:rPr>
            <w:webHidden/>
          </w:rPr>
          <w:t>5</w:t>
        </w:r>
        <w:r w:rsidR="00527456">
          <w:rPr>
            <w:webHidden/>
          </w:rPr>
          <w:fldChar w:fldCharType="end"/>
        </w:r>
      </w:hyperlink>
    </w:p>
    <w:p w:rsidR="00527456" w:rsidRDefault="003323B7">
      <w:pPr>
        <w:pStyle w:val="TOC3"/>
        <w:tabs>
          <w:tab w:val="left" w:pos="1400"/>
          <w:tab w:val="right" w:leader="dot" w:pos="8494"/>
        </w:tabs>
        <w:rPr>
          <w:rFonts w:asciiTheme="minorHAnsi" w:eastAsiaTheme="minorEastAsia" w:hAnsiTheme="minorHAnsi" w:cstheme="minorBidi"/>
          <w:smallCaps w:val="0"/>
          <w:sz w:val="22"/>
          <w:szCs w:val="22"/>
          <w:lang w:val="en-ZA" w:eastAsia="en-ZA"/>
        </w:rPr>
      </w:pPr>
      <w:hyperlink w:anchor="_Toc458610765" w:history="1">
        <w:r w:rsidR="00527456" w:rsidRPr="009A1F77">
          <w:rPr>
            <w:rStyle w:val="Hyperlink"/>
            <w:lang w:val="en-ZA"/>
            <w14:scene3d>
              <w14:camera w14:prst="orthographicFront"/>
              <w14:lightRig w14:rig="threePt" w14:dir="t">
                <w14:rot w14:lat="0" w14:lon="0" w14:rev="0"/>
              </w14:lightRig>
            </w14:scene3d>
          </w:rPr>
          <w:t>1.3.1</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Main problem</w:t>
        </w:r>
        <w:r w:rsidR="00527456">
          <w:rPr>
            <w:webHidden/>
          </w:rPr>
          <w:tab/>
        </w:r>
        <w:r w:rsidR="00527456">
          <w:rPr>
            <w:webHidden/>
          </w:rPr>
          <w:fldChar w:fldCharType="begin"/>
        </w:r>
        <w:r w:rsidR="00527456">
          <w:rPr>
            <w:webHidden/>
          </w:rPr>
          <w:instrText xml:space="preserve"> PAGEREF _Toc458610765 \h </w:instrText>
        </w:r>
        <w:r w:rsidR="00527456">
          <w:rPr>
            <w:webHidden/>
          </w:rPr>
        </w:r>
        <w:r w:rsidR="00527456">
          <w:rPr>
            <w:webHidden/>
          </w:rPr>
          <w:fldChar w:fldCharType="separate"/>
        </w:r>
        <w:r w:rsidR="00527456">
          <w:rPr>
            <w:webHidden/>
          </w:rPr>
          <w:t>5</w:t>
        </w:r>
        <w:r w:rsidR="00527456">
          <w:rPr>
            <w:webHidden/>
          </w:rPr>
          <w:fldChar w:fldCharType="end"/>
        </w:r>
      </w:hyperlink>
    </w:p>
    <w:p w:rsidR="00527456" w:rsidRDefault="003323B7">
      <w:pPr>
        <w:pStyle w:val="TOC2"/>
        <w:rPr>
          <w:rFonts w:asciiTheme="minorHAnsi" w:eastAsiaTheme="minorEastAsia" w:hAnsiTheme="minorHAnsi" w:cstheme="minorBidi"/>
          <w:smallCaps w:val="0"/>
          <w:sz w:val="22"/>
          <w:szCs w:val="22"/>
          <w:lang w:val="en-ZA" w:eastAsia="en-ZA"/>
        </w:rPr>
      </w:pPr>
      <w:hyperlink w:anchor="_Toc458610766" w:history="1">
        <w:r w:rsidR="00527456" w:rsidRPr="009A1F77">
          <w:rPr>
            <w:rStyle w:val="Hyperlink"/>
            <w:lang w:val="en-ZA"/>
          </w:rPr>
          <w:t>1.4</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Significance of the study</w:t>
        </w:r>
        <w:r w:rsidR="00527456">
          <w:rPr>
            <w:webHidden/>
          </w:rPr>
          <w:tab/>
        </w:r>
        <w:r w:rsidR="00527456">
          <w:rPr>
            <w:webHidden/>
          </w:rPr>
          <w:fldChar w:fldCharType="begin"/>
        </w:r>
        <w:r w:rsidR="00527456">
          <w:rPr>
            <w:webHidden/>
          </w:rPr>
          <w:instrText xml:space="preserve"> PAGEREF _Toc458610766 \h </w:instrText>
        </w:r>
        <w:r w:rsidR="00527456">
          <w:rPr>
            <w:webHidden/>
          </w:rPr>
        </w:r>
        <w:r w:rsidR="00527456">
          <w:rPr>
            <w:webHidden/>
          </w:rPr>
          <w:fldChar w:fldCharType="separate"/>
        </w:r>
        <w:r w:rsidR="00527456">
          <w:rPr>
            <w:webHidden/>
          </w:rPr>
          <w:t>5</w:t>
        </w:r>
        <w:r w:rsidR="00527456">
          <w:rPr>
            <w:webHidden/>
          </w:rPr>
          <w:fldChar w:fldCharType="end"/>
        </w:r>
      </w:hyperlink>
    </w:p>
    <w:p w:rsidR="00527456" w:rsidRDefault="003323B7">
      <w:pPr>
        <w:pStyle w:val="TOC2"/>
        <w:rPr>
          <w:rFonts w:asciiTheme="minorHAnsi" w:eastAsiaTheme="minorEastAsia" w:hAnsiTheme="minorHAnsi" w:cstheme="minorBidi"/>
          <w:smallCaps w:val="0"/>
          <w:sz w:val="22"/>
          <w:szCs w:val="22"/>
          <w:lang w:val="en-ZA" w:eastAsia="en-ZA"/>
        </w:rPr>
      </w:pPr>
      <w:hyperlink w:anchor="_Toc458610767" w:history="1">
        <w:r w:rsidR="00527456" w:rsidRPr="009A1F77">
          <w:rPr>
            <w:rStyle w:val="Hyperlink"/>
            <w:lang w:val="en-ZA"/>
          </w:rPr>
          <w:t>1.5</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Delimitations of the study</w:t>
        </w:r>
        <w:r w:rsidR="00527456">
          <w:rPr>
            <w:webHidden/>
          </w:rPr>
          <w:tab/>
        </w:r>
        <w:r w:rsidR="00527456">
          <w:rPr>
            <w:webHidden/>
          </w:rPr>
          <w:fldChar w:fldCharType="begin"/>
        </w:r>
        <w:r w:rsidR="00527456">
          <w:rPr>
            <w:webHidden/>
          </w:rPr>
          <w:instrText xml:space="preserve"> PAGEREF _Toc458610767 \h </w:instrText>
        </w:r>
        <w:r w:rsidR="00527456">
          <w:rPr>
            <w:webHidden/>
          </w:rPr>
        </w:r>
        <w:r w:rsidR="00527456">
          <w:rPr>
            <w:webHidden/>
          </w:rPr>
          <w:fldChar w:fldCharType="separate"/>
        </w:r>
        <w:r w:rsidR="00527456">
          <w:rPr>
            <w:webHidden/>
          </w:rPr>
          <w:t>6</w:t>
        </w:r>
        <w:r w:rsidR="00527456">
          <w:rPr>
            <w:webHidden/>
          </w:rPr>
          <w:fldChar w:fldCharType="end"/>
        </w:r>
      </w:hyperlink>
    </w:p>
    <w:p w:rsidR="00527456" w:rsidRDefault="003323B7">
      <w:pPr>
        <w:pStyle w:val="TOC2"/>
        <w:rPr>
          <w:rFonts w:asciiTheme="minorHAnsi" w:eastAsiaTheme="minorEastAsia" w:hAnsiTheme="minorHAnsi" w:cstheme="minorBidi"/>
          <w:smallCaps w:val="0"/>
          <w:sz w:val="22"/>
          <w:szCs w:val="22"/>
          <w:lang w:val="en-ZA" w:eastAsia="en-ZA"/>
        </w:rPr>
      </w:pPr>
      <w:hyperlink w:anchor="_Toc458610768" w:history="1">
        <w:r w:rsidR="00527456" w:rsidRPr="009A1F77">
          <w:rPr>
            <w:rStyle w:val="Hyperlink"/>
            <w:lang w:val="en-ZA"/>
          </w:rPr>
          <w:t>1.6</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Definition of terminology</w:t>
        </w:r>
        <w:r w:rsidR="00527456">
          <w:rPr>
            <w:webHidden/>
          </w:rPr>
          <w:tab/>
        </w:r>
        <w:r w:rsidR="00527456">
          <w:rPr>
            <w:webHidden/>
          </w:rPr>
          <w:fldChar w:fldCharType="begin"/>
        </w:r>
        <w:r w:rsidR="00527456">
          <w:rPr>
            <w:webHidden/>
          </w:rPr>
          <w:instrText xml:space="preserve"> PAGEREF _Toc458610768 \h </w:instrText>
        </w:r>
        <w:r w:rsidR="00527456">
          <w:rPr>
            <w:webHidden/>
          </w:rPr>
        </w:r>
        <w:r w:rsidR="00527456">
          <w:rPr>
            <w:webHidden/>
          </w:rPr>
          <w:fldChar w:fldCharType="separate"/>
        </w:r>
        <w:r w:rsidR="00527456">
          <w:rPr>
            <w:webHidden/>
          </w:rPr>
          <w:t>6</w:t>
        </w:r>
        <w:r w:rsidR="00527456">
          <w:rPr>
            <w:webHidden/>
          </w:rPr>
          <w:fldChar w:fldCharType="end"/>
        </w:r>
      </w:hyperlink>
    </w:p>
    <w:p w:rsidR="00527456" w:rsidRDefault="003323B7">
      <w:pPr>
        <w:pStyle w:val="TOC2"/>
        <w:rPr>
          <w:rFonts w:asciiTheme="minorHAnsi" w:eastAsiaTheme="minorEastAsia" w:hAnsiTheme="minorHAnsi" w:cstheme="minorBidi"/>
          <w:smallCaps w:val="0"/>
          <w:sz w:val="22"/>
          <w:szCs w:val="22"/>
          <w:lang w:val="en-ZA" w:eastAsia="en-ZA"/>
        </w:rPr>
      </w:pPr>
      <w:hyperlink w:anchor="_Toc458610769" w:history="1">
        <w:r w:rsidR="00527456" w:rsidRPr="009A1F77">
          <w:rPr>
            <w:rStyle w:val="Hyperlink"/>
            <w:lang w:val="en-ZA"/>
          </w:rPr>
          <w:t>1.7</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Assumptions</w:t>
        </w:r>
        <w:r w:rsidR="00527456">
          <w:rPr>
            <w:webHidden/>
          </w:rPr>
          <w:tab/>
        </w:r>
        <w:r w:rsidR="00527456">
          <w:rPr>
            <w:webHidden/>
          </w:rPr>
          <w:fldChar w:fldCharType="begin"/>
        </w:r>
        <w:r w:rsidR="00527456">
          <w:rPr>
            <w:webHidden/>
          </w:rPr>
          <w:instrText xml:space="preserve"> PAGEREF _Toc458610769 \h </w:instrText>
        </w:r>
        <w:r w:rsidR="00527456">
          <w:rPr>
            <w:webHidden/>
          </w:rPr>
        </w:r>
        <w:r w:rsidR="00527456">
          <w:rPr>
            <w:webHidden/>
          </w:rPr>
          <w:fldChar w:fldCharType="separate"/>
        </w:r>
        <w:r w:rsidR="00527456">
          <w:rPr>
            <w:webHidden/>
          </w:rPr>
          <w:t>8</w:t>
        </w:r>
        <w:r w:rsidR="00527456">
          <w:rPr>
            <w:webHidden/>
          </w:rPr>
          <w:fldChar w:fldCharType="end"/>
        </w:r>
      </w:hyperlink>
    </w:p>
    <w:p w:rsidR="00527456" w:rsidRDefault="003323B7">
      <w:pPr>
        <w:pStyle w:val="TOC1"/>
        <w:tabs>
          <w:tab w:val="left" w:pos="1885"/>
        </w:tabs>
        <w:rPr>
          <w:rFonts w:asciiTheme="minorHAnsi" w:eastAsiaTheme="minorEastAsia" w:hAnsiTheme="minorHAnsi" w:cstheme="minorBidi"/>
          <w:b w:val="0"/>
          <w:sz w:val="22"/>
          <w:szCs w:val="22"/>
          <w:lang w:val="en-ZA" w:eastAsia="en-ZA"/>
        </w:rPr>
      </w:pPr>
      <w:hyperlink w:anchor="_Toc458610770" w:history="1">
        <w:r w:rsidR="00527456" w:rsidRPr="009A1F77">
          <w:rPr>
            <w:rStyle w:val="Hyperlink"/>
            <w:lang w:val="en-ZA"/>
          </w:rPr>
          <w:t>CHAPTER 2.</w:t>
        </w:r>
        <w:r w:rsidR="00527456">
          <w:rPr>
            <w:rFonts w:asciiTheme="minorHAnsi" w:eastAsiaTheme="minorEastAsia" w:hAnsiTheme="minorHAnsi" w:cstheme="minorBidi"/>
            <w:b w:val="0"/>
            <w:sz w:val="22"/>
            <w:szCs w:val="22"/>
            <w:lang w:val="en-ZA" w:eastAsia="en-ZA"/>
          </w:rPr>
          <w:tab/>
        </w:r>
        <w:r w:rsidR="00527456" w:rsidRPr="009A1F77">
          <w:rPr>
            <w:rStyle w:val="Hyperlink"/>
            <w:lang w:val="en-ZA"/>
          </w:rPr>
          <w:t>LITERATURE REVIEW</w:t>
        </w:r>
        <w:r w:rsidR="00527456">
          <w:rPr>
            <w:webHidden/>
          </w:rPr>
          <w:tab/>
        </w:r>
        <w:r w:rsidR="00527456">
          <w:rPr>
            <w:webHidden/>
          </w:rPr>
          <w:fldChar w:fldCharType="begin"/>
        </w:r>
        <w:r w:rsidR="00527456">
          <w:rPr>
            <w:webHidden/>
          </w:rPr>
          <w:instrText xml:space="preserve"> PAGEREF _Toc458610770 \h </w:instrText>
        </w:r>
        <w:r w:rsidR="00527456">
          <w:rPr>
            <w:webHidden/>
          </w:rPr>
        </w:r>
        <w:r w:rsidR="00527456">
          <w:rPr>
            <w:webHidden/>
          </w:rPr>
          <w:fldChar w:fldCharType="separate"/>
        </w:r>
        <w:r w:rsidR="00527456">
          <w:rPr>
            <w:webHidden/>
          </w:rPr>
          <w:t>10</w:t>
        </w:r>
        <w:r w:rsidR="00527456">
          <w:rPr>
            <w:webHidden/>
          </w:rPr>
          <w:fldChar w:fldCharType="end"/>
        </w:r>
      </w:hyperlink>
    </w:p>
    <w:p w:rsidR="00527456" w:rsidRDefault="003323B7">
      <w:pPr>
        <w:pStyle w:val="TOC2"/>
        <w:rPr>
          <w:rFonts w:asciiTheme="minorHAnsi" w:eastAsiaTheme="minorEastAsia" w:hAnsiTheme="minorHAnsi" w:cstheme="minorBidi"/>
          <w:smallCaps w:val="0"/>
          <w:sz w:val="22"/>
          <w:szCs w:val="22"/>
          <w:lang w:val="en-ZA" w:eastAsia="en-ZA"/>
        </w:rPr>
      </w:pPr>
      <w:hyperlink w:anchor="_Toc458610771" w:history="1">
        <w:r w:rsidR="00527456" w:rsidRPr="009A1F77">
          <w:rPr>
            <w:rStyle w:val="Hyperlink"/>
            <w:lang w:val="en-ZA"/>
          </w:rPr>
          <w:t>2.1</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Introduction</w:t>
        </w:r>
        <w:r w:rsidR="00527456">
          <w:rPr>
            <w:webHidden/>
          </w:rPr>
          <w:tab/>
        </w:r>
        <w:r w:rsidR="00527456">
          <w:rPr>
            <w:webHidden/>
          </w:rPr>
          <w:fldChar w:fldCharType="begin"/>
        </w:r>
        <w:r w:rsidR="00527456">
          <w:rPr>
            <w:webHidden/>
          </w:rPr>
          <w:instrText xml:space="preserve"> PAGEREF _Toc458610771 \h </w:instrText>
        </w:r>
        <w:r w:rsidR="00527456">
          <w:rPr>
            <w:webHidden/>
          </w:rPr>
        </w:r>
        <w:r w:rsidR="00527456">
          <w:rPr>
            <w:webHidden/>
          </w:rPr>
          <w:fldChar w:fldCharType="separate"/>
        </w:r>
        <w:r w:rsidR="00527456">
          <w:rPr>
            <w:webHidden/>
          </w:rPr>
          <w:t>10</w:t>
        </w:r>
        <w:r w:rsidR="00527456">
          <w:rPr>
            <w:webHidden/>
          </w:rPr>
          <w:fldChar w:fldCharType="end"/>
        </w:r>
      </w:hyperlink>
    </w:p>
    <w:p w:rsidR="00527456" w:rsidRDefault="003323B7">
      <w:pPr>
        <w:pStyle w:val="TOC2"/>
        <w:rPr>
          <w:rFonts w:asciiTheme="minorHAnsi" w:eastAsiaTheme="minorEastAsia" w:hAnsiTheme="minorHAnsi" w:cstheme="minorBidi"/>
          <w:smallCaps w:val="0"/>
          <w:sz w:val="22"/>
          <w:szCs w:val="22"/>
          <w:lang w:val="en-ZA" w:eastAsia="en-ZA"/>
        </w:rPr>
      </w:pPr>
      <w:hyperlink w:anchor="_Toc458610772" w:history="1">
        <w:r w:rsidR="00527456" w:rsidRPr="009A1F77">
          <w:rPr>
            <w:rStyle w:val="Hyperlink"/>
            <w:lang w:val="en-ZA"/>
          </w:rPr>
          <w:t>2.2</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Background discussion</w:t>
        </w:r>
        <w:r w:rsidR="00527456">
          <w:rPr>
            <w:webHidden/>
          </w:rPr>
          <w:tab/>
        </w:r>
        <w:r w:rsidR="00527456">
          <w:rPr>
            <w:webHidden/>
          </w:rPr>
          <w:fldChar w:fldCharType="begin"/>
        </w:r>
        <w:r w:rsidR="00527456">
          <w:rPr>
            <w:webHidden/>
          </w:rPr>
          <w:instrText xml:space="preserve"> PAGEREF _Toc458610772 \h </w:instrText>
        </w:r>
        <w:r w:rsidR="00527456">
          <w:rPr>
            <w:webHidden/>
          </w:rPr>
        </w:r>
        <w:r w:rsidR="00527456">
          <w:rPr>
            <w:webHidden/>
          </w:rPr>
          <w:fldChar w:fldCharType="separate"/>
        </w:r>
        <w:r w:rsidR="00527456">
          <w:rPr>
            <w:webHidden/>
          </w:rPr>
          <w:t>10</w:t>
        </w:r>
        <w:r w:rsidR="00527456">
          <w:rPr>
            <w:webHidden/>
          </w:rPr>
          <w:fldChar w:fldCharType="end"/>
        </w:r>
      </w:hyperlink>
    </w:p>
    <w:p w:rsidR="00527456" w:rsidRDefault="003323B7">
      <w:pPr>
        <w:pStyle w:val="TOC2"/>
        <w:rPr>
          <w:rFonts w:asciiTheme="minorHAnsi" w:eastAsiaTheme="minorEastAsia" w:hAnsiTheme="minorHAnsi" w:cstheme="minorBidi"/>
          <w:smallCaps w:val="0"/>
          <w:sz w:val="22"/>
          <w:szCs w:val="22"/>
          <w:lang w:val="en-ZA" w:eastAsia="en-ZA"/>
        </w:rPr>
      </w:pPr>
      <w:hyperlink w:anchor="_Toc458610773" w:history="1">
        <w:r w:rsidR="00527456" w:rsidRPr="009A1F77">
          <w:rPr>
            <w:rStyle w:val="Hyperlink"/>
            <w:lang w:val="en-ZA"/>
          </w:rPr>
          <w:t>2.3</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The performance of female fund managers in comparison to their male counterparts</w:t>
        </w:r>
        <w:r w:rsidR="00527456">
          <w:rPr>
            <w:webHidden/>
          </w:rPr>
          <w:tab/>
        </w:r>
        <w:r w:rsidR="00527456">
          <w:rPr>
            <w:webHidden/>
          </w:rPr>
          <w:fldChar w:fldCharType="begin"/>
        </w:r>
        <w:r w:rsidR="00527456">
          <w:rPr>
            <w:webHidden/>
          </w:rPr>
          <w:instrText xml:space="preserve"> PAGEREF _Toc458610773 \h </w:instrText>
        </w:r>
        <w:r w:rsidR="00527456">
          <w:rPr>
            <w:webHidden/>
          </w:rPr>
        </w:r>
        <w:r w:rsidR="00527456">
          <w:rPr>
            <w:webHidden/>
          </w:rPr>
          <w:fldChar w:fldCharType="separate"/>
        </w:r>
        <w:r w:rsidR="00527456">
          <w:rPr>
            <w:webHidden/>
          </w:rPr>
          <w:t>11</w:t>
        </w:r>
        <w:r w:rsidR="00527456">
          <w:rPr>
            <w:webHidden/>
          </w:rPr>
          <w:fldChar w:fldCharType="end"/>
        </w:r>
      </w:hyperlink>
    </w:p>
    <w:p w:rsidR="00527456" w:rsidRDefault="003323B7">
      <w:pPr>
        <w:pStyle w:val="TOC3"/>
        <w:tabs>
          <w:tab w:val="left" w:pos="1400"/>
          <w:tab w:val="right" w:leader="dot" w:pos="8494"/>
        </w:tabs>
        <w:rPr>
          <w:rFonts w:asciiTheme="minorHAnsi" w:eastAsiaTheme="minorEastAsia" w:hAnsiTheme="minorHAnsi" w:cstheme="minorBidi"/>
          <w:smallCaps w:val="0"/>
          <w:sz w:val="22"/>
          <w:szCs w:val="22"/>
          <w:lang w:val="en-ZA" w:eastAsia="en-ZA"/>
        </w:rPr>
      </w:pPr>
      <w:hyperlink w:anchor="_Toc458610774" w:history="1">
        <w:r w:rsidR="00527456" w:rsidRPr="009A1F77">
          <w:rPr>
            <w:rStyle w:val="Hyperlink"/>
            <w:lang w:val="en-ZA"/>
            <w14:scene3d>
              <w14:camera w14:prst="orthographicFront"/>
              <w14:lightRig w14:rig="threePt" w14:dir="t">
                <w14:rot w14:lat="0" w14:lon="0" w14:rev="0"/>
              </w14:lightRig>
            </w14:scene3d>
          </w:rPr>
          <w:t>2.3.1</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The unit trust industry</w:t>
        </w:r>
        <w:r w:rsidR="00527456">
          <w:rPr>
            <w:webHidden/>
          </w:rPr>
          <w:tab/>
        </w:r>
        <w:r w:rsidR="00527456">
          <w:rPr>
            <w:webHidden/>
          </w:rPr>
          <w:fldChar w:fldCharType="begin"/>
        </w:r>
        <w:r w:rsidR="00527456">
          <w:rPr>
            <w:webHidden/>
          </w:rPr>
          <w:instrText xml:space="preserve"> PAGEREF _Toc458610774 \h </w:instrText>
        </w:r>
        <w:r w:rsidR="00527456">
          <w:rPr>
            <w:webHidden/>
          </w:rPr>
        </w:r>
        <w:r w:rsidR="00527456">
          <w:rPr>
            <w:webHidden/>
          </w:rPr>
          <w:fldChar w:fldCharType="separate"/>
        </w:r>
        <w:r w:rsidR="00527456">
          <w:rPr>
            <w:webHidden/>
          </w:rPr>
          <w:t>12</w:t>
        </w:r>
        <w:r w:rsidR="00527456">
          <w:rPr>
            <w:webHidden/>
          </w:rPr>
          <w:fldChar w:fldCharType="end"/>
        </w:r>
      </w:hyperlink>
    </w:p>
    <w:p w:rsidR="00527456" w:rsidRDefault="003323B7">
      <w:pPr>
        <w:pStyle w:val="TOC3"/>
        <w:tabs>
          <w:tab w:val="left" w:pos="1400"/>
          <w:tab w:val="right" w:leader="dot" w:pos="8494"/>
        </w:tabs>
        <w:rPr>
          <w:rFonts w:asciiTheme="minorHAnsi" w:eastAsiaTheme="minorEastAsia" w:hAnsiTheme="minorHAnsi" w:cstheme="minorBidi"/>
          <w:smallCaps w:val="0"/>
          <w:sz w:val="22"/>
          <w:szCs w:val="22"/>
          <w:lang w:val="en-ZA" w:eastAsia="en-ZA"/>
        </w:rPr>
      </w:pPr>
      <w:hyperlink w:anchor="_Toc458610775" w:history="1">
        <w:r w:rsidR="00527456" w:rsidRPr="009A1F77">
          <w:rPr>
            <w:rStyle w:val="Hyperlink"/>
            <w:lang w:val="en-ZA"/>
            <w14:scene3d>
              <w14:camera w14:prst="orthographicFront"/>
              <w14:lightRig w14:rig="threePt" w14:dir="t">
                <w14:rot w14:lat="0" w14:lon="0" w14:rev="0"/>
              </w14:lightRig>
            </w14:scene3d>
          </w:rPr>
          <w:t>2.3.2</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The presence of female fund managers in the unit trust industry</w:t>
        </w:r>
        <w:r w:rsidR="00527456">
          <w:rPr>
            <w:webHidden/>
          </w:rPr>
          <w:tab/>
        </w:r>
        <w:r w:rsidR="00527456">
          <w:rPr>
            <w:webHidden/>
          </w:rPr>
          <w:fldChar w:fldCharType="begin"/>
        </w:r>
        <w:r w:rsidR="00527456">
          <w:rPr>
            <w:webHidden/>
          </w:rPr>
          <w:instrText xml:space="preserve"> PAGEREF _Toc458610775 \h </w:instrText>
        </w:r>
        <w:r w:rsidR="00527456">
          <w:rPr>
            <w:webHidden/>
          </w:rPr>
        </w:r>
        <w:r w:rsidR="00527456">
          <w:rPr>
            <w:webHidden/>
          </w:rPr>
          <w:fldChar w:fldCharType="separate"/>
        </w:r>
        <w:r w:rsidR="00527456">
          <w:rPr>
            <w:webHidden/>
          </w:rPr>
          <w:t>16</w:t>
        </w:r>
        <w:r w:rsidR="00527456">
          <w:rPr>
            <w:webHidden/>
          </w:rPr>
          <w:fldChar w:fldCharType="end"/>
        </w:r>
      </w:hyperlink>
    </w:p>
    <w:p w:rsidR="00527456" w:rsidRDefault="003323B7">
      <w:pPr>
        <w:pStyle w:val="TOC3"/>
        <w:tabs>
          <w:tab w:val="left" w:pos="1400"/>
          <w:tab w:val="right" w:leader="dot" w:pos="8494"/>
        </w:tabs>
        <w:rPr>
          <w:rFonts w:asciiTheme="minorHAnsi" w:eastAsiaTheme="minorEastAsia" w:hAnsiTheme="minorHAnsi" w:cstheme="minorBidi"/>
          <w:smallCaps w:val="0"/>
          <w:sz w:val="22"/>
          <w:szCs w:val="22"/>
          <w:lang w:val="en-ZA" w:eastAsia="en-ZA"/>
        </w:rPr>
      </w:pPr>
      <w:hyperlink w:anchor="_Toc458610776" w:history="1">
        <w:r w:rsidR="00527456" w:rsidRPr="009A1F77">
          <w:rPr>
            <w:rStyle w:val="Hyperlink"/>
            <w:lang w:val="en-ZA"/>
            <w14:scene3d>
              <w14:camera w14:prst="orthographicFront"/>
              <w14:lightRig w14:rig="threePt" w14:dir="t">
                <w14:rot w14:lat="0" w14:lon="0" w14:rev="0"/>
              </w14:lightRig>
            </w14:scene3d>
          </w:rPr>
          <w:t>2.3.3</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The role of gender in management</w:t>
        </w:r>
        <w:r w:rsidR="00527456">
          <w:rPr>
            <w:webHidden/>
          </w:rPr>
          <w:tab/>
        </w:r>
        <w:r w:rsidR="00527456">
          <w:rPr>
            <w:webHidden/>
          </w:rPr>
          <w:fldChar w:fldCharType="begin"/>
        </w:r>
        <w:r w:rsidR="00527456">
          <w:rPr>
            <w:webHidden/>
          </w:rPr>
          <w:instrText xml:space="preserve"> PAGEREF _Toc458610776 \h </w:instrText>
        </w:r>
        <w:r w:rsidR="00527456">
          <w:rPr>
            <w:webHidden/>
          </w:rPr>
        </w:r>
        <w:r w:rsidR="00527456">
          <w:rPr>
            <w:webHidden/>
          </w:rPr>
          <w:fldChar w:fldCharType="separate"/>
        </w:r>
        <w:r w:rsidR="00527456">
          <w:rPr>
            <w:webHidden/>
          </w:rPr>
          <w:t>18</w:t>
        </w:r>
        <w:r w:rsidR="00527456">
          <w:rPr>
            <w:webHidden/>
          </w:rPr>
          <w:fldChar w:fldCharType="end"/>
        </w:r>
      </w:hyperlink>
    </w:p>
    <w:p w:rsidR="00527456" w:rsidRDefault="003323B7">
      <w:pPr>
        <w:pStyle w:val="TOC3"/>
        <w:tabs>
          <w:tab w:val="left" w:pos="1400"/>
          <w:tab w:val="right" w:leader="dot" w:pos="8494"/>
        </w:tabs>
        <w:rPr>
          <w:rFonts w:asciiTheme="minorHAnsi" w:eastAsiaTheme="minorEastAsia" w:hAnsiTheme="minorHAnsi" w:cstheme="minorBidi"/>
          <w:smallCaps w:val="0"/>
          <w:sz w:val="22"/>
          <w:szCs w:val="22"/>
          <w:lang w:val="en-ZA" w:eastAsia="en-ZA"/>
        </w:rPr>
      </w:pPr>
      <w:hyperlink w:anchor="_Toc458610777" w:history="1">
        <w:r w:rsidR="00527456" w:rsidRPr="009A1F77">
          <w:rPr>
            <w:rStyle w:val="Hyperlink"/>
            <w:lang w:val="en-ZA"/>
            <w14:scene3d>
              <w14:camera w14:prst="orthographicFront"/>
              <w14:lightRig w14:rig="threePt" w14:dir="t">
                <w14:rot w14:lat="0" w14:lon="0" w14:rev="0"/>
              </w14:lightRig>
            </w14:scene3d>
          </w:rPr>
          <w:t>2.3.4</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The relationship between gender and risk taking</w:t>
        </w:r>
        <w:r w:rsidR="00527456">
          <w:rPr>
            <w:webHidden/>
          </w:rPr>
          <w:tab/>
        </w:r>
        <w:r w:rsidR="00527456">
          <w:rPr>
            <w:webHidden/>
          </w:rPr>
          <w:fldChar w:fldCharType="begin"/>
        </w:r>
        <w:r w:rsidR="00527456">
          <w:rPr>
            <w:webHidden/>
          </w:rPr>
          <w:instrText xml:space="preserve"> PAGEREF _Toc458610777 \h </w:instrText>
        </w:r>
        <w:r w:rsidR="00527456">
          <w:rPr>
            <w:webHidden/>
          </w:rPr>
        </w:r>
        <w:r w:rsidR="00527456">
          <w:rPr>
            <w:webHidden/>
          </w:rPr>
          <w:fldChar w:fldCharType="separate"/>
        </w:r>
        <w:r w:rsidR="00527456">
          <w:rPr>
            <w:webHidden/>
          </w:rPr>
          <w:t>19</w:t>
        </w:r>
        <w:r w:rsidR="00527456">
          <w:rPr>
            <w:webHidden/>
          </w:rPr>
          <w:fldChar w:fldCharType="end"/>
        </w:r>
      </w:hyperlink>
    </w:p>
    <w:p w:rsidR="00527456" w:rsidRDefault="003323B7">
      <w:pPr>
        <w:pStyle w:val="TOC3"/>
        <w:tabs>
          <w:tab w:val="left" w:pos="1400"/>
          <w:tab w:val="right" w:leader="dot" w:pos="8494"/>
        </w:tabs>
        <w:rPr>
          <w:rFonts w:asciiTheme="minorHAnsi" w:eastAsiaTheme="minorEastAsia" w:hAnsiTheme="minorHAnsi" w:cstheme="minorBidi"/>
          <w:smallCaps w:val="0"/>
          <w:sz w:val="22"/>
          <w:szCs w:val="22"/>
          <w:lang w:val="en-ZA" w:eastAsia="en-ZA"/>
        </w:rPr>
      </w:pPr>
      <w:hyperlink w:anchor="_Toc458610778" w:history="1">
        <w:r w:rsidR="00527456" w:rsidRPr="009A1F77">
          <w:rPr>
            <w:rStyle w:val="Hyperlink"/>
            <w:lang w:val="en-ZA"/>
            <w14:scene3d>
              <w14:camera w14:prst="orthographicFront"/>
              <w14:lightRig w14:rig="threePt" w14:dir="t">
                <w14:rot w14:lat="0" w14:lon="0" w14:rev="0"/>
              </w14:lightRig>
            </w14:scene3d>
          </w:rPr>
          <w:t>2.3.5</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The role of gender in personal investment decision making</w:t>
        </w:r>
        <w:r w:rsidR="00527456">
          <w:rPr>
            <w:webHidden/>
          </w:rPr>
          <w:tab/>
        </w:r>
        <w:r w:rsidR="00527456">
          <w:rPr>
            <w:webHidden/>
          </w:rPr>
          <w:fldChar w:fldCharType="begin"/>
        </w:r>
        <w:r w:rsidR="00527456">
          <w:rPr>
            <w:webHidden/>
          </w:rPr>
          <w:instrText xml:space="preserve"> PAGEREF _Toc458610778 \h </w:instrText>
        </w:r>
        <w:r w:rsidR="00527456">
          <w:rPr>
            <w:webHidden/>
          </w:rPr>
        </w:r>
        <w:r w:rsidR="00527456">
          <w:rPr>
            <w:webHidden/>
          </w:rPr>
          <w:fldChar w:fldCharType="separate"/>
        </w:r>
        <w:r w:rsidR="00527456">
          <w:rPr>
            <w:webHidden/>
          </w:rPr>
          <w:t>21</w:t>
        </w:r>
        <w:r w:rsidR="00527456">
          <w:rPr>
            <w:webHidden/>
          </w:rPr>
          <w:fldChar w:fldCharType="end"/>
        </w:r>
      </w:hyperlink>
    </w:p>
    <w:p w:rsidR="00527456" w:rsidRDefault="003323B7">
      <w:pPr>
        <w:pStyle w:val="TOC3"/>
        <w:tabs>
          <w:tab w:val="left" w:pos="1400"/>
          <w:tab w:val="right" w:leader="dot" w:pos="8494"/>
        </w:tabs>
        <w:rPr>
          <w:rFonts w:asciiTheme="minorHAnsi" w:eastAsiaTheme="minorEastAsia" w:hAnsiTheme="minorHAnsi" w:cstheme="minorBidi"/>
          <w:smallCaps w:val="0"/>
          <w:sz w:val="22"/>
          <w:szCs w:val="22"/>
          <w:lang w:val="en-ZA" w:eastAsia="en-ZA"/>
        </w:rPr>
      </w:pPr>
      <w:hyperlink w:anchor="_Toc458610779" w:history="1">
        <w:r w:rsidR="00527456" w:rsidRPr="009A1F77">
          <w:rPr>
            <w:rStyle w:val="Hyperlink"/>
            <w:lang w:val="en-ZA"/>
            <w14:scene3d>
              <w14:camera w14:prst="orthographicFront"/>
              <w14:lightRig w14:rig="threePt" w14:dir="t">
                <w14:rot w14:lat="0" w14:lon="0" w14:rev="0"/>
              </w14:lightRig>
            </w14:scene3d>
          </w:rPr>
          <w:t>2.3.6</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The performance of funds in relation to market return</w:t>
        </w:r>
        <w:r w:rsidR="00527456">
          <w:rPr>
            <w:webHidden/>
          </w:rPr>
          <w:tab/>
        </w:r>
        <w:r w:rsidR="00527456">
          <w:rPr>
            <w:webHidden/>
          </w:rPr>
          <w:fldChar w:fldCharType="begin"/>
        </w:r>
        <w:r w:rsidR="00527456">
          <w:rPr>
            <w:webHidden/>
          </w:rPr>
          <w:instrText xml:space="preserve"> PAGEREF _Toc458610779 \h </w:instrText>
        </w:r>
        <w:r w:rsidR="00527456">
          <w:rPr>
            <w:webHidden/>
          </w:rPr>
        </w:r>
        <w:r w:rsidR="00527456">
          <w:rPr>
            <w:webHidden/>
          </w:rPr>
          <w:fldChar w:fldCharType="separate"/>
        </w:r>
        <w:r w:rsidR="00527456">
          <w:rPr>
            <w:webHidden/>
          </w:rPr>
          <w:t>22</w:t>
        </w:r>
        <w:r w:rsidR="00527456">
          <w:rPr>
            <w:webHidden/>
          </w:rPr>
          <w:fldChar w:fldCharType="end"/>
        </w:r>
      </w:hyperlink>
    </w:p>
    <w:p w:rsidR="00527456" w:rsidRDefault="003323B7">
      <w:pPr>
        <w:pStyle w:val="TOC3"/>
        <w:tabs>
          <w:tab w:val="left" w:pos="1400"/>
          <w:tab w:val="right" w:leader="dot" w:pos="8494"/>
        </w:tabs>
        <w:rPr>
          <w:rFonts w:asciiTheme="minorHAnsi" w:eastAsiaTheme="minorEastAsia" w:hAnsiTheme="minorHAnsi" w:cstheme="minorBidi"/>
          <w:smallCaps w:val="0"/>
          <w:sz w:val="22"/>
          <w:szCs w:val="22"/>
          <w:lang w:val="en-ZA" w:eastAsia="en-ZA"/>
        </w:rPr>
      </w:pPr>
      <w:hyperlink w:anchor="_Toc458610780" w:history="1">
        <w:r w:rsidR="00527456" w:rsidRPr="009A1F77">
          <w:rPr>
            <w:rStyle w:val="Hyperlink"/>
            <w:lang w:val="en-ZA"/>
            <w14:scene3d>
              <w14:camera w14:prst="orthographicFront"/>
              <w14:lightRig w14:rig="threePt" w14:dir="t">
                <w14:rot w14:lat="0" w14:lon="0" w14:rev="0"/>
              </w14:lightRig>
            </w14:scene3d>
          </w:rPr>
          <w:t>2.3.7</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The performance of unit trusts related to fund manager skill</w:t>
        </w:r>
        <w:r w:rsidR="00527456">
          <w:rPr>
            <w:webHidden/>
          </w:rPr>
          <w:tab/>
        </w:r>
        <w:r w:rsidR="00527456">
          <w:rPr>
            <w:webHidden/>
          </w:rPr>
          <w:fldChar w:fldCharType="begin"/>
        </w:r>
        <w:r w:rsidR="00527456">
          <w:rPr>
            <w:webHidden/>
          </w:rPr>
          <w:instrText xml:space="preserve"> PAGEREF _Toc458610780 \h </w:instrText>
        </w:r>
        <w:r w:rsidR="00527456">
          <w:rPr>
            <w:webHidden/>
          </w:rPr>
        </w:r>
        <w:r w:rsidR="00527456">
          <w:rPr>
            <w:webHidden/>
          </w:rPr>
          <w:fldChar w:fldCharType="separate"/>
        </w:r>
        <w:r w:rsidR="00527456">
          <w:rPr>
            <w:webHidden/>
          </w:rPr>
          <w:t>24</w:t>
        </w:r>
        <w:r w:rsidR="00527456">
          <w:rPr>
            <w:webHidden/>
          </w:rPr>
          <w:fldChar w:fldCharType="end"/>
        </w:r>
      </w:hyperlink>
    </w:p>
    <w:p w:rsidR="00527456" w:rsidRDefault="003323B7">
      <w:pPr>
        <w:pStyle w:val="TOC3"/>
        <w:tabs>
          <w:tab w:val="left" w:pos="1400"/>
          <w:tab w:val="right" w:leader="dot" w:pos="8494"/>
        </w:tabs>
        <w:rPr>
          <w:rFonts w:asciiTheme="minorHAnsi" w:eastAsiaTheme="minorEastAsia" w:hAnsiTheme="minorHAnsi" w:cstheme="minorBidi"/>
          <w:smallCaps w:val="0"/>
          <w:sz w:val="22"/>
          <w:szCs w:val="22"/>
          <w:lang w:val="en-ZA" w:eastAsia="en-ZA"/>
        </w:rPr>
      </w:pPr>
      <w:hyperlink w:anchor="_Toc458610781" w:history="1">
        <w:r w:rsidR="00527456" w:rsidRPr="009A1F77">
          <w:rPr>
            <w:rStyle w:val="Hyperlink"/>
            <w:lang w:val="en-ZA"/>
            <w14:scene3d>
              <w14:camera w14:prst="orthographicFront"/>
              <w14:lightRig w14:rig="threePt" w14:dir="t">
                <w14:rot w14:lat="0" w14:lon="0" w14:rev="0"/>
              </w14:lightRig>
            </w14:scene3d>
          </w:rPr>
          <w:t>2.3.8</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The role of gender in fund management and performance</w:t>
        </w:r>
        <w:r w:rsidR="00527456">
          <w:rPr>
            <w:webHidden/>
          </w:rPr>
          <w:tab/>
        </w:r>
        <w:r w:rsidR="00527456">
          <w:rPr>
            <w:webHidden/>
          </w:rPr>
          <w:fldChar w:fldCharType="begin"/>
        </w:r>
        <w:r w:rsidR="00527456">
          <w:rPr>
            <w:webHidden/>
          </w:rPr>
          <w:instrText xml:space="preserve"> PAGEREF _Toc458610781 \h </w:instrText>
        </w:r>
        <w:r w:rsidR="00527456">
          <w:rPr>
            <w:webHidden/>
          </w:rPr>
        </w:r>
        <w:r w:rsidR="00527456">
          <w:rPr>
            <w:webHidden/>
          </w:rPr>
          <w:fldChar w:fldCharType="separate"/>
        </w:r>
        <w:r w:rsidR="00527456">
          <w:rPr>
            <w:webHidden/>
          </w:rPr>
          <w:t>25</w:t>
        </w:r>
        <w:r w:rsidR="00527456">
          <w:rPr>
            <w:webHidden/>
          </w:rPr>
          <w:fldChar w:fldCharType="end"/>
        </w:r>
      </w:hyperlink>
    </w:p>
    <w:p w:rsidR="00527456" w:rsidRDefault="003323B7">
      <w:pPr>
        <w:pStyle w:val="TOC2"/>
        <w:rPr>
          <w:rFonts w:asciiTheme="minorHAnsi" w:eastAsiaTheme="minorEastAsia" w:hAnsiTheme="minorHAnsi" w:cstheme="minorBidi"/>
          <w:smallCaps w:val="0"/>
          <w:sz w:val="22"/>
          <w:szCs w:val="22"/>
          <w:lang w:val="en-ZA" w:eastAsia="en-ZA"/>
        </w:rPr>
      </w:pPr>
      <w:hyperlink w:anchor="_Toc458610782" w:history="1">
        <w:r w:rsidR="00527456" w:rsidRPr="009A1F77">
          <w:rPr>
            <w:rStyle w:val="Hyperlink"/>
            <w:lang w:val="en-ZA"/>
          </w:rPr>
          <w:t>2.4</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Hypothesis</w:t>
        </w:r>
        <w:r w:rsidR="00527456">
          <w:rPr>
            <w:webHidden/>
          </w:rPr>
          <w:tab/>
        </w:r>
        <w:r w:rsidR="00527456">
          <w:rPr>
            <w:webHidden/>
          </w:rPr>
          <w:fldChar w:fldCharType="begin"/>
        </w:r>
        <w:r w:rsidR="00527456">
          <w:rPr>
            <w:webHidden/>
          </w:rPr>
          <w:instrText xml:space="preserve"> PAGEREF _Toc458610782 \h </w:instrText>
        </w:r>
        <w:r w:rsidR="00527456">
          <w:rPr>
            <w:webHidden/>
          </w:rPr>
        </w:r>
        <w:r w:rsidR="00527456">
          <w:rPr>
            <w:webHidden/>
          </w:rPr>
          <w:fldChar w:fldCharType="separate"/>
        </w:r>
        <w:r w:rsidR="00527456">
          <w:rPr>
            <w:webHidden/>
          </w:rPr>
          <w:t>29</w:t>
        </w:r>
        <w:r w:rsidR="00527456">
          <w:rPr>
            <w:webHidden/>
          </w:rPr>
          <w:fldChar w:fldCharType="end"/>
        </w:r>
      </w:hyperlink>
    </w:p>
    <w:p w:rsidR="00527456" w:rsidRDefault="003323B7">
      <w:pPr>
        <w:pStyle w:val="TOC3"/>
        <w:tabs>
          <w:tab w:val="left" w:pos="1400"/>
          <w:tab w:val="right" w:leader="dot" w:pos="8494"/>
        </w:tabs>
        <w:rPr>
          <w:rFonts w:asciiTheme="minorHAnsi" w:eastAsiaTheme="minorEastAsia" w:hAnsiTheme="minorHAnsi" w:cstheme="minorBidi"/>
          <w:smallCaps w:val="0"/>
          <w:sz w:val="22"/>
          <w:szCs w:val="22"/>
          <w:lang w:val="en-ZA" w:eastAsia="en-ZA"/>
        </w:rPr>
      </w:pPr>
      <w:hyperlink w:anchor="_Toc458610783" w:history="1">
        <w:r w:rsidR="00527456" w:rsidRPr="009A1F77">
          <w:rPr>
            <w:rStyle w:val="Hyperlink"/>
            <w:lang w:val="en-ZA"/>
            <w14:scene3d>
              <w14:camera w14:prst="orthographicFront"/>
              <w14:lightRig w14:rig="threePt" w14:dir="t">
                <w14:rot w14:lat="0" w14:lon="0" w14:rev="0"/>
              </w14:lightRig>
            </w14:scene3d>
          </w:rPr>
          <w:t>2.4.1</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Hypothesis 1 – short term performance</w:t>
        </w:r>
        <w:r w:rsidR="00527456">
          <w:rPr>
            <w:webHidden/>
          </w:rPr>
          <w:tab/>
        </w:r>
        <w:r w:rsidR="00527456">
          <w:rPr>
            <w:webHidden/>
          </w:rPr>
          <w:fldChar w:fldCharType="begin"/>
        </w:r>
        <w:r w:rsidR="00527456">
          <w:rPr>
            <w:webHidden/>
          </w:rPr>
          <w:instrText xml:space="preserve"> PAGEREF _Toc458610783 \h </w:instrText>
        </w:r>
        <w:r w:rsidR="00527456">
          <w:rPr>
            <w:webHidden/>
          </w:rPr>
        </w:r>
        <w:r w:rsidR="00527456">
          <w:rPr>
            <w:webHidden/>
          </w:rPr>
          <w:fldChar w:fldCharType="separate"/>
        </w:r>
        <w:r w:rsidR="00527456">
          <w:rPr>
            <w:webHidden/>
          </w:rPr>
          <w:t>29</w:t>
        </w:r>
        <w:r w:rsidR="00527456">
          <w:rPr>
            <w:webHidden/>
          </w:rPr>
          <w:fldChar w:fldCharType="end"/>
        </w:r>
      </w:hyperlink>
    </w:p>
    <w:p w:rsidR="00527456" w:rsidRDefault="003323B7">
      <w:pPr>
        <w:pStyle w:val="TOC3"/>
        <w:tabs>
          <w:tab w:val="left" w:pos="1400"/>
          <w:tab w:val="right" w:leader="dot" w:pos="8494"/>
        </w:tabs>
        <w:rPr>
          <w:rFonts w:asciiTheme="minorHAnsi" w:eastAsiaTheme="minorEastAsia" w:hAnsiTheme="minorHAnsi" w:cstheme="minorBidi"/>
          <w:smallCaps w:val="0"/>
          <w:sz w:val="22"/>
          <w:szCs w:val="22"/>
          <w:lang w:val="en-ZA" w:eastAsia="en-ZA"/>
        </w:rPr>
      </w:pPr>
      <w:hyperlink w:anchor="_Toc458610784" w:history="1">
        <w:r w:rsidR="00527456" w:rsidRPr="009A1F77">
          <w:rPr>
            <w:rStyle w:val="Hyperlink"/>
            <w:lang w:val="en-ZA"/>
            <w14:scene3d>
              <w14:camera w14:prst="orthographicFront"/>
              <w14:lightRig w14:rig="threePt" w14:dir="t">
                <w14:rot w14:lat="0" w14:lon="0" w14:rev="0"/>
              </w14:lightRig>
            </w14:scene3d>
          </w:rPr>
          <w:t>2.4.2</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Hypothesis 2 – medium term performance</w:t>
        </w:r>
        <w:r w:rsidR="00527456">
          <w:rPr>
            <w:webHidden/>
          </w:rPr>
          <w:tab/>
        </w:r>
        <w:r w:rsidR="00527456">
          <w:rPr>
            <w:webHidden/>
          </w:rPr>
          <w:fldChar w:fldCharType="begin"/>
        </w:r>
        <w:r w:rsidR="00527456">
          <w:rPr>
            <w:webHidden/>
          </w:rPr>
          <w:instrText xml:space="preserve"> PAGEREF _Toc458610784 \h </w:instrText>
        </w:r>
        <w:r w:rsidR="00527456">
          <w:rPr>
            <w:webHidden/>
          </w:rPr>
        </w:r>
        <w:r w:rsidR="00527456">
          <w:rPr>
            <w:webHidden/>
          </w:rPr>
          <w:fldChar w:fldCharType="separate"/>
        </w:r>
        <w:r w:rsidR="00527456">
          <w:rPr>
            <w:webHidden/>
          </w:rPr>
          <w:t>29</w:t>
        </w:r>
        <w:r w:rsidR="00527456">
          <w:rPr>
            <w:webHidden/>
          </w:rPr>
          <w:fldChar w:fldCharType="end"/>
        </w:r>
      </w:hyperlink>
    </w:p>
    <w:p w:rsidR="00527456" w:rsidRDefault="003323B7">
      <w:pPr>
        <w:pStyle w:val="TOC3"/>
        <w:tabs>
          <w:tab w:val="left" w:pos="1400"/>
          <w:tab w:val="right" w:leader="dot" w:pos="8494"/>
        </w:tabs>
        <w:rPr>
          <w:rFonts w:asciiTheme="minorHAnsi" w:eastAsiaTheme="minorEastAsia" w:hAnsiTheme="minorHAnsi" w:cstheme="minorBidi"/>
          <w:smallCaps w:val="0"/>
          <w:sz w:val="22"/>
          <w:szCs w:val="22"/>
          <w:lang w:val="en-ZA" w:eastAsia="en-ZA"/>
        </w:rPr>
      </w:pPr>
      <w:hyperlink w:anchor="_Toc458610785" w:history="1">
        <w:r w:rsidR="00527456" w:rsidRPr="009A1F77">
          <w:rPr>
            <w:rStyle w:val="Hyperlink"/>
            <w:lang w:val="en-ZA"/>
            <w14:scene3d>
              <w14:camera w14:prst="orthographicFront"/>
              <w14:lightRig w14:rig="threePt" w14:dir="t">
                <w14:rot w14:lat="0" w14:lon="0" w14:rev="0"/>
              </w14:lightRig>
            </w14:scene3d>
          </w:rPr>
          <w:t>2.4.3</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Hypothesis 3 – long term performance</w:t>
        </w:r>
        <w:r w:rsidR="00527456">
          <w:rPr>
            <w:webHidden/>
          </w:rPr>
          <w:tab/>
        </w:r>
        <w:r w:rsidR="00527456">
          <w:rPr>
            <w:webHidden/>
          </w:rPr>
          <w:fldChar w:fldCharType="begin"/>
        </w:r>
        <w:r w:rsidR="00527456">
          <w:rPr>
            <w:webHidden/>
          </w:rPr>
          <w:instrText xml:space="preserve"> PAGEREF _Toc458610785 \h </w:instrText>
        </w:r>
        <w:r w:rsidR="00527456">
          <w:rPr>
            <w:webHidden/>
          </w:rPr>
        </w:r>
        <w:r w:rsidR="00527456">
          <w:rPr>
            <w:webHidden/>
          </w:rPr>
          <w:fldChar w:fldCharType="separate"/>
        </w:r>
        <w:r w:rsidR="00527456">
          <w:rPr>
            <w:webHidden/>
          </w:rPr>
          <w:t>30</w:t>
        </w:r>
        <w:r w:rsidR="00527456">
          <w:rPr>
            <w:webHidden/>
          </w:rPr>
          <w:fldChar w:fldCharType="end"/>
        </w:r>
      </w:hyperlink>
    </w:p>
    <w:p w:rsidR="00527456" w:rsidRDefault="003323B7">
      <w:pPr>
        <w:pStyle w:val="TOC3"/>
        <w:tabs>
          <w:tab w:val="left" w:pos="1400"/>
          <w:tab w:val="right" w:leader="dot" w:pos="8494"/>
        </w:tabs>
        <w:rPr>
          <w:rFonts w:asciiTheme="minorHAnsi" w:eastAsiaTheme="minorEastAsia" w:hAnsiTheme="minorHAnsi" w:cstheme="minorBidi"/>
          <w:smallCaps w:val="0"/>
          <w:sz w:val="22"/>
          <w:szCs w:val="22"/>
          <w:lang w:val="en-ZA" w:eastAsia="en-ZA"/>
        </w:rPr>
      </w:pPr>
      <w:hyperlink w:anchor="_Toc458610786" w:history="1">
        <w:r w:rsidR="00527456" w:rsidRPr="009A1F77">
          <w:rPr>
            <w:rStyle w:val="Hyperlink"/>
            <w:lang w:val="en-ZA"/>
            <w14:scene3d>
              <w14:camera w14:prst="orthographicFront"/>
              <w14:lightRig w14:rig="threePt" w14:dir="t">
                <w14:rot w14:lat="0" w14:lon="0" w14:rev="0"/>
              </w14:lightRig>
            </w14:scene3d>
          </w:rPr>
          <w:t>2.4.4</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Hypothesis 4 – female managed funds versus the benchmark index</w:t>
        </w:r>
        <w:r w:rsidR="00527456">
          <w:rPr>
            <w:webHidden/>
          </w:rPr>
          <w:tab/>
        </w:r>
        <w:r w:rsidR="00527456">
          <w:rPr>
            <w:webHidden/>
          </w:rPr>
          <w:fldChar w:fldCharType="begin"/>
        </w:r>
        <w:r w:rsidR="00527456">
          <w:rPr>
            <w:webHidden/>
          </w:rPr>
          <w:instrText xml:space="preserve"> PAGEREF _Toc458610786 \h </w:instrText>
        </w:r>
        <w:r w:rsidR="00527456">
          <w:rPr>
            <w:webHidden/>
          </w:rPr>
        </w:r>
        <w:r w:rsidR="00527456">
          <w:rPr>
            <w:webHidden/>
          </w:rPr>
          <w:fldChar w:fldCharType="separate"/>
        </w:r>
        <w:r w:rsidR="00527456">
          <w:rPr>
            <w:webHidden/>
          </w:rPr>
          <w:t>31</w:t>
        </w:r>
        <w:r w:rsidR="00527456">
          <w:rPr>
            <w:webHidden/>
          </w:rPr>
          <w:fldChar w:fldCharType="end"/>
        </w:r>
      </w:hyperlink>
    </w:p>
    <w:p w:rsidR="00527456" w:rsidRDefault="003323B7">
      <w:pPr>
        <w:pStyle w:val="TOC3"/>
        <w:tabs>
          <w:tab w:val="left" w:pos="1400"/>
          <w:tab w:val="right" w:leader="dot" w:pos="8494"/>
        </w:tabs>
        <w:rPr>
          <w:rFonts w:asciiTheme="minorHAnsi" w:eastAsiaTheme="minorEastAsia" w:hAnsiTheme="minorHAnsi" w:cstheme="minorBidi"/>
          <w:smallCaps w:val="0"/>
          <w:sz w:val="22"/>
          <w:szCs w:val="22"/>
          <w:lang w:val="en-ZA" w:eastAsia="en-ZA"/>
        </w:rPr>
      </w:pPr>
      <w:hyperlink w:anchor="_Toc458610787" w:history="1">
        <w:r w:rsidR="00527456" w:rsidRPr="009A1F77">
          <w:rPr>
            <w:rStyle w:val="Hyperlink"/>
            <w:lang w:val="en-ZA"/>
            <w14:scene3d>
              <w14:camera w14:prst="orthographicFront"/>
              <w14:lightRig w14:rig="threePt" w14:dir="t">
                <w14:rot w14:lat="0" w14:lon="0" w14:rev="0"/>
              </w14:lightRig>
            </w14:scene3d>
          </w:rPr>
          <w:t>2.4.5</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Hypothesis 5 – male managed funds versus the benchmark index</w:t>
        </w:r>
        <w:r w:rsidR="00527456">
          <w:rPr>
            <w:webHidden/>
          </w:rPr>
          <w:tab/>
        </w:r>
        <w:r w:rsidR="00527456">
          <w:rPr>
            <w:webHidden/>
          </w:rPr>
          <w:fldChar w:fldCharType="begin"/>
        </w:r>
        <w:r w:rsidR="00527456">
          <w:rPr>
            <w:webHidden/>
          </w:rPr>
          <w:instrText xml:space="preserve"> PAGEREF _Toc458610787 \h </w:instrText>
        </w:r>
        <w:r w:rsidR="00527456">
          <w:rPr>
            <w:webHidden/>
          </w:rPr>
        </w:r>
        <w:r w:rsidR="00527456">
          <w:rPr>
            <w:webHidden/>
          </w:rPr>
          <w:fldChar w:fldCharType="separate"/>
        </w:r>
        <w:r w:rsidR="00527456">
          <w:rPr>
            <w:webHidden/>
          </w:rPr>
          <w:t>31</w:t>
        </w:r>
        <w:r w:rsidR="00527456">
          <w:rPr>
            <w:webHidden/>
          </w:rPr>
          <w:fldChar w:fldCharType="end"/>
        </w:r>
      </w:hyperlink>
    </w:p>
    <w:p w:rsidR="00527456" w:rsidRDefault="003323B7">
      <w:pPr>
        <w:pStyle w:val="TOC2"/>
        <w:rPr>
          <w:rFonts w:asciiTheme="minorHAnsi" w:eastAsiaTheme="minorEastAsia" w:hAnsiTheme="minorHAnsi" w:cstheme="minorBidi"/>
          <w:smallCaps w:val="0"/>
          <w:sz w:val="22"/>
          <w:szCs w:val="22"/>
          <w:lang w:val="en-ZA" w:eastAsia="en-ZA"/>
        </w:rPr>
      </w:pPr>
      <w:hyperlink w:anchor="_Toc458610788" w:history="1">
        <w:r w:rsidR="00527456" w:rsidRPr="009A1F77">
          <w:rPr>
            <w:rStyle w:val="Hyperlink"/>
            <w:lang w:val="en-ZA"/>
          </w:rPr>
          <w:t>2.5</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Conclusion of Literature Review</w:t>
        </w:r>
        <w:r w:rsidR="00527456">
          <w:rPr>
            <w:webHidden/>
          </w:rPr>
          <w:tab/>
        </w:r>
        <w:r w:rsidR="00527456">
          <w:rPr>
            <w:webHidden/>
          </w:rPr>
          <w:fldChar w:fldCharType="begin"/>
        </w:r>
        <w:r w:rsidR="00527456">
          <w:rPr>
            <w:webHidden/>
          </w:rPr>
          <w:instrText xml:space="preserve"> PAGEREF _Toc458610788 \h </w:instrText>
        </w:r>
        <w:r w:rsidR="00527456">
          <w:rPr>
            <w:webHidden/>
          </w:rPr>
        </w:r>
        <w:r w:rsidR="00527456">
          <w:rPr>
            <w:webHidden/>
          </w:rPr>
          <w:fldChar w:fldCharType="separate"/>
        </w:r>
        <w:r w:rsidR="00527456">
          <w:rPr>
            <w:webHidden/>
          </w:rPr>
          <w:t>32</w:t>
        </w:r>
        <w:r w:rsidR="00527456">
          <w:rPr>
            <w:webHidden/>
          </w:rPr>
          <w:fldChar w:fldCharType="end"/>
        </w:r>
      </w:hyperlink>
    </w:p>
    <w:p w:rsidR="00527456" w:rsidRDefault="003323B7">
      <w:pPr>
        <w:pStyle w:val="TOC1"/>
        <w:tabs>
          <w:tab w:val="left" w:pos="1885"/>
        </w:tabs>
        <w:rPr>
          <w:rFonts w:asciiTheme="minorHAnsi" w:eastAsiaTheme="minorEastAsia" w:hAnsiTheme="minorHAnsi" w:cstheme="minorBidi"/>
          <w:b w:val="0"/>
          <w:sz w:val="22"/>
          <w:szCs w:val="22"/>
          <w:lang w:val="en-ZA" w:eastAsia="en-ZA"/>
        </w:rPr>
      </w:pPr>
      <w:hyperlink w:anchor="_Toc458610789" w:history="1">
        <w:r w:rsidR="00527456" w:rsidRPr="009A1F77">
          <w:rPr>
            <w:rStyle w:val="Hyperlink"/>
            <w:lang w:val="en-ZA"/>
          </w:rPr>
          <w:t>CHAPTER 3.</w:t>
        </w:r>
        <w:r w:rsidR="00527456">
          <w:rPr>
            <w:rFonts w:asciiTheme="minorHAnsi" w:eastAsiaTheme="minorEastAsia" w:hAnsiTheme="minorHAnsi" w:cstheme="minorBidi"/>
            <w:b w:val="0"/>
            <w:sz w:val="22"/>
            <w:szCs w:val="22"/>
            <w:lang w:val="en-ZA" w:eastAsia="en-ZA"/>
          </w:rPr>
          <w:tab/>
        </w:r>
        <w:r w:rsidR="00527456" w:rsidRPr="009A1F77">
          <w:rPr>
            <w:rStyle w:val="Hyperlink"/>
            <w:lang w:val="en-ZA"/>
          </w:rPr>
          <w:t>RESEARCH METHODOLOGY</w:t>
        </w:r>
        <w:r w:rsidR="00527456">
          <w:rPr>
            <w:webHidden/>
          </w:rPr>
          <w:tab/>
        </w:r>
        <w:r w:rsidR="00527456">
          <w:rPr>
            <w:webHidden/>
          </w:rPr>
          <w:fldChar w:fldCharType="begin"/>
        </w:r>
        <w:r w:rsidR="00527456">
          <w:rPr>
            <w:webHidden/>
          </w:rPr>
          <w:instrText xml:space="preserve"> PAGEREF _Toc458610789 \h </w:instrText>
        </w:r>
        <w:r w:rsidR="00527456">
          <w:rPr>
            <w:webHidden/>
          </w:rPr>
        </w:r>
        <w:r w:rsidR="00527456">
          <w:rPr>
            <w:webHidden/>
          </w:rPr>
          <w:fldChar w:fldCharType="separate"/>
        </w:r>
        <w:r w:rsidR="00527456">
          <w:rPr>
            <w:webHidden/>
          </w:rPr>
          <w:t>34</w:t>
        </w:r>
        <w:r w:rsidR="00527456">
          <w:rPr>
            <w:webHidden/>
          </w:rPr>
          <w:fldChar w:fldCharType="end"/>
        </w:r>
      </w:hyperlink>
    </w:p>
    <w:p w:rsidR="00527456" w:rsidRDefault="003323B7">
      <w:pPr>
        <w:pStyle w:val="TOC2"/>
        <w:rPr>
          <w:rFonts w:asciiTheme="minorHAnsi" w:eastAsiaTheme="minorEastAsia" w:hAnsiTheme="minorHAnsi" w:cstheme="minorBidi"/>
          <w:smallCaps w:val="0"/>
          <w:sz w:val="22"/>
          <w:szCs w:val="22"/>
          <w:lang w:val="en-ZA" w:eastAsia="en-ZA"/>
        </w:rPr>
      </w:pPr>
      <w:hyperlink w:anchor="_Toc458610790" w:history="1">
        <w:r w:rsidR="00527456" w:rsidRPr="009A1F77">
          <w:rPr>
            <w:rStyle w:val="Hyperlink"/>
            <w:lang w:val="en-ZA"/>
          </w:rPr>
          <w:t>3.1</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Research methodology</w:t>
        </w:r>
        <w:r w:rsidR="00527456">
          <w:rPr>
            <w:webHidden/>
          </w:rPr>
          <w:tab/>
        </w:r>
        <w:r w:rsidR="00527456">
          <w:rPr>
            <w:webHidden/>
          </w:rPr>
          <w:fldChar w:fldCharType="begin"/>
        </w:r>
        <w:r w:rsidR="00527456">
          <w:rPr>
            <w:webHidden/>
          </w:rPr>
          <w:instrText xml:space="preserve"> PAGEREF _Toc458610790 \h </w:instrText>
        </w:r>
        <w:r w:rsidR="00527456">
          <w:rPr>
            <w:webHidden/>
          </w:rPr>
        </w:r>
        <w:r w:rsidR="00527456">
          <w:rPr>
            <w:webHidden/>
          </w:rPr>
          <w:fldChar w:fldCharType="separate"/>
        </w:r>
        <w:r w:rsidR="00527456">
          <w:rPr>
            <w:webHidden/>
          </w:rPr>
          <w:t>34</w:t>
        </w:r>
        <w:r w:rsidR="00527456">
          <w:rPr>
            <w:webHidden/>
          </w:rPr>
          <w:fldChar w:fldCharType="end"/>
        </w:r>
      </w:hyperlink>
    </w:p>
    <w:p w:rsidR="00527456" w:rsidRDefault="003323B7">
      <w:pPr>
        <w:pStyle w:val="TOC2"/>
        <w:rPr>
          <w:rFonts w:asciiTheme="minorHAnsi" w:eastAsiaTheme="minorEastAsia" w:hAnsiTheme="minorHAnsi" w:cstheme="minorBidi"/>
          <w:smallCaps w:val="0"/>
          <w:sz w:val="22"/>
          <w:szCs w:val="22"/>
          <w:lang w:val="en-ZA" w:eastAsia="en-ZA"/>
        </w:rPr>
      </w:pPr>
      <w:hyperlink w:anchor="_Toc458610791" w:history="1">
        <w:r w:rsidR="00527456" w:rsidRPr="009A1F77">
          <w:rPr>
            <w:rStyle w:val="Hyperlink"/>
            <w:lang w:val="en-ZA"/>
          </w:rPr>
          <w:t>3.2</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Research Design</w:t>
        </w:r>
        <w:r w:rsidR="00527456">
          <w:rPr>
            <w:webHidden/>
          </w:rPr>
          <w:tab/>
        </w:r>
        <w:r w:rsidR="00527456">
          <w:rPr>
            <w:webHidden/>
          </w:rPr>
          <w:fldChar w:fldCharType="begin"/>
        </w:r>
        <w:r w:rsidR="00527456">
          <w:rPr>
            <w:webHidden/>
          </w:rPr>
          <w:instrText xml:space="preserve"> PAGEREF _Toc458610791 \h </w:instrText>
        </w:r>
        <w:r w:rsidR="00527456">
          <w:rPr>
            <w:webHidden/>
          </w:rPr>
        </w:r>
        <w:r w:rsidR="00527456">
          <w:rPr>
            <w:webHidden/>
          </w:rPr>
          <w:fldChar w:fldCharType="separate"/>
        </w:r>
        <w:r w:rsidR="00527456">
          <w:rPr>
            <w:webHidden/>
          </w:rPr>
          <w:t>35</w:t>
        </w:r>
        <w:r w:rsidR="00527456">
          <w:rPr>
            <w:webHidden/>
          </w:rPr>
          <w:fldChar w:fldCharType="end"/>
        </w:r>
      </w:hyperlink>
    </w:p>
    <w:p w:rsidR="00527456" w:rsidRDefault="003323B7">
      <w:pPr>
        <w:pStyle w:val="TOC2"/>
        <w:rPr>
          <w:rFonts w:asciiTheme="minorHAnsi" w:eastAsiaTheme="minorEastAsia" w:hAnsiTheme="minorHAnsi" w:cstheme="minorBidi"/>
          <w:smallCaps w:val="0"/>
          <w:sz w:val="22"/>
          <w:szCs w:val="22"/>
          <w:lang w:val="en-ZA" w:eastAsia="en-ZA"/>
        </w:rPr>
      </w:pPr>
      <w:hyperlink w:anchor="_Toc458610792" w:history="1">
        <w:r w:rsidR="00527456" w:rsidRPr="009A1F77">
          <w:rPr>
            <w:rStyle w:val="Hyperlink"/>
            <w:lang w:val="en-ZA"/>
          </w:rPr>
          <w:t>3.3</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Population and sample</w:t>
        </w:r>
        <w:r w:rsidR="00527456">
          <w:rPr>
            <w:webHidden/>
          </w:rPr>
          <w:tab/>
        </w:r>
        <w:r w:rsidR="00527456">
          <w:rPr>
            <w:webHidden/>
          </w:rPr>
          <w:fldChar w:fldCharType="begin"/>
        </w:r>
        <w:r w:rsidR="00527456">
          <w:rPr>
            <w:webHidden/>
          </w:rPr>
          <w:instrText xml:space="preserve"> PAGEREF _Toc458610792 \h </w:instrText>
        </w:r>
        <w:r w:rsidR="00527456">
          <w:rPr>
            <w:webHidden/>
          </w:rPr>
        </w:r>
        <w:r w:rsidR="00527456">
          <w:rPr>
            <w:webHidden/>
          </w:rPr>
          <w:fldChar w:fldCharType="separate"/>
        </w:r>
        <w:r w:rsidR="00527456">
          <w:rPr>
            <w:webHidden/>
          </w:rPr>
          <w:t>35</w:t>
        </w:r>
        <w:r w:rsidR="00527456">
          <w:rPr>
            <w:webHidden/>
          </w:rPr>
          <w:fldChar w:fldCharType="end"/>
        </w:r>
      </w:hyperlink>
    </w:p>
    <w:p w:rsidR="00527456" w:rsidRDefault="003323B7">
      <w:pPr>
        <w:pStyle w:val="TOC3"/>
        <w:tabs>
          <w:tab w:val="left" w:pos="1400"/>
          <w:tab w:val="right" w:leader="dot" w:pos="8494"/>
        </w:tabs>
        <w:rPr>
          <w:rFonts w:asciiTheme="minorHAnsi" w:eastAsiaTheme="minorEastAsia" w:hAnsiTheme="minorHAnsi" w:cstheme="minorBidi"/>
          <w:smallCaps w:val="0"/>
          <w:sz w:val="22"/>
          <w:szCs w:val="22"/>
          <w:lang w:val="en-ZA" w:eastAsia="en-ZA"/>
        </w:rPr>
      </w:pPr>
      <w:hyperlink w:anchor="_Toc458610793" w:history="1">
        <w:r w:rsidR="00527456" w:rsidRPr="009A1F77">
          <w:rPr>
            <w:rStyle w:val="Hyperlink"/>
            <w:lang w:val="en-ZA"/>
            <w14:scene3d>
              <w14:camera w14:prst="orthographicFront"/>
              <w14:lightRig w14:rig="threePt" w14:dir="t">
                <w14:rot w14:lat="0" w14:lon="0" w14:rev="0"/>
              </w14:lightRig>
            </w14:scene3d>
          </w:rPr>
          <w:t>3.3.1</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Population</w:t>
        </w:r>
        <w:r w:rsidR="00527456">
          <w:rPr>
            <w:webHidden/>
          </w:rPr>
          <w:tab/>
        </w:r>
        <w:r w:rsidR="00527456">
          <w:rPr>
            <w:webHidden/>
          </w:rPr>
          <w:fldChar w:fldCharType="begin"/>
        </w:r>
        <w:r w:rsidR="00527456">
          <w:rPr>
            <w:webHidden/>
          </w:rPr>
          <w:instrText xml:space="preserve"> PAGEREF _Toc458610793 \h </w:instrText>
        </w:r>
        <w:r w:rsidR="00527456">
          <w:rPr>
            <w:webHidden/>
          </w:rPr>
        </w:r>
        <w:r w:rsidR="00527456">
          <w:rPr>
            <w:webHidden/>
          </w:rPr>
          <w:fldChar w:fldCharType="separate"/>
        </w:r>
        <w:r w:rsidR="00527456">
          <w:rPr>
            <w:webHidden/>
          </w:rPr>
          <w:t>35</w:t>
        </w:r>
        <w:r w:rsidR="00527456">
          <w:rPr>
            <w:webHidden/>
          </w:rPr>
          <w:fldChar w:fldCharType="end"/>
        </w:r>
      </w:hyperlink>
    </w:p>
    <w:p w:rsidR="00527456" w:rsidRDefault="003323B7">
      <w:pPr>
        <w:pStyle w:val="TOC3"/>
        <w:tabs>
          <w:tab w:val="left" w:pos="1400"/>
          <w:tab w:val="right" w:leader="dot" w:pos="8494"/>
        </w:tabs>
        <w:rPr>
          <w:rFonts w:asciiTheme="minorHAnsi" w:eastAsiaTheme="minorEastAsia" w:hAnsiTheme="minorHAnsi" w:cstheme="minorBidi"/>
          <w:smallCaps w:val="0"/>
          <w:sz w:val="22"/>
          <w:szCs w:val="22"/>
          <w:lang w:val="en-ZA" w:eastAsia="en-ZA"/>
        </w:rPr>
      </w:pPr>
      <w:hyperlink w:anchor="_Toc458610794" w:history="1">
        <w:r w:rsidR="00527456" w:rsidRPr="009A1F77">
          <w:rPr>
            <w:rStyle w:val="Hyperlink"/>
            <w:lang w:val="en-ZA"/>
            <w14:scene3d>
              <w14:camera w14:prst="orthographicFront"/>
              <w14:lightRig w14:rig="threePt" w14:dir="t">
                <w14:rot w14:lat="0" w14:lon="0" w14:rev="0"/>
              </w14:lightRig>
            </w14:scene3d>
          </w:rPr>
          <w:t>3.3.2</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Sample and sampling method</w:t>
        </w:r>
        <w:r w:rsidR="00527456">
          <w:rPr>
            <w:webHidden/>
          </w:rPr>
          <w:tab/>
        </w:r>
        <w:r w:rsidR="00527456">
          <w:rPr>
            <w:webHidden/>
          </w:rPr>
          <w:fldChar w:fldCharType="begin"/>
        </w:r>
        <w:r w:rsidR="00527456">
          <w:rPr>
            <w:webHidden/>
          </w:rPr>
          <w:instrText xml:space="preserve"> PAGEREF _Toc458610794 \h </w:instrText>
        </w:r>
        <w:r w:rsidR="00527456">
          <w:rPr>
            <w:webHidden/>
          </w:rPr>
        </w:r>
        <w:r w:rsidR="00527456">
          <w:rPr>
            <w:webHidden/>
          </w:rPr>
          <w:fldChar w:fldCharType="separate"/>
        </w:r>
        <w:r w:rsidR="00527456">
          <w:rPr>
            <w:webHidden/>
          </w:rPr>
          <w:t>36</w:t>
        </w:r>
        <w:r w:rsidR="00527456">
          <w:rPr>
            <w:webHidden/>
          </w:rPr>
          <w:fldChar w:fldCharType="end"/>
        </w:r>
      </w:hyperlink>
    </w:p>
    <w:p w:rsidR="00527456" w:rsidRDefault="003323B7">
      <w:pPr>
        <w:pStyle w:val="TOC2"/>
        <w:rPr>
          <w:rFonts w:asciiTheme="minorHAnsi" w:eastAsiaTheme="minorEastAsia" w:hAnsiTheme="minorHAnsi" w:cstheme="minorBidi"/>
          <w:smallCaps w:val="0"/>
          <w:sz w:val="22"/>
          <w:szCs w:val="22"/>
          <w:lang w:val="en-ZA" w:eastAsia="en-ZA"/>
        </w:rPr>
      </w:pPr>
      <w:hyperlink w:anchor="_Toc458610795" w:history="1">
        <w:r w:rsidR="00527456" w:rsidRPr="009A1F77">
          <w:rPr>
            <w:rStyle w:val="Hyperlink"/>
            <w:lang w:val="en-ZA"/>
          </w:rPr>
          <w:t>3.4</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The research instrument</w:t>
        </w:r>
        <w:r w:rsidR="00527456">
          <w:rPr>
            <w:webHidden/>
          </w:rPr>
          <w:tab/>
        </w:r>
        <w:r w:rsidR="00527456">
          <w:rPr>
            <w:webHidden/>
          </w:rPr>
          <w:fldChar w:fldCharType="begin"/>
        </w:r>
        <w:r w:rsidR="00527456">
          <w:rPr>
            <w:webHidden/>
          </w:rPr>
          <w:instrText xml:space="preserve"> PAGEREF _Toc458610795 \h </w:instrText>
        </w:r>
        <w:r w:rsidR="00527456">
          <w:rPr>
            <w:webHidden/>
          </w:rPr>
        </w:r>
        <w:r w:rsidR="00527456">
          <w:rPr>
            <w:webHidden/>
          </w:rPr>
          <w:fldChar w:fldCharType="separate"/>
        </w:r>
        <w:r w:rsidR="00527456">
          <w:rPr>
            <w:webHidden/>
          </w:rPr>
          <w:t>38</w:t>
        </w:r>
        <w:r w:rsidR="00527456">
          <w:rPr>
            <w:webHidden/>
          </w:rPr>
          <w:fldChar w:fldCharType="end"/>
        </w:r>
      </w:hyperlink>
    </w:p>
    <w:p w:rsidR="00527456" w:rsidRDefault="003323B7">
      <w:pPr>
        <w:pStyle w:val="TOC2"/>
        <w:rPr>
          <w:rFonts w:asciiTheme="minorHAnsi" w:eastAsiaTheme="minorEastAsia" w:hAnsiTheme="minorHAnsi" w:cstheme="minorBidi"/>
          <w:smallCaps w:val="0"/>
          <w:sz w:val="22"/>
          <w:szCs w:val="22"/>
          <w:lang w:val="en-ZA" w:eastAsia="en-ZA"/>
        </w:rPr>
      </w:pPr>
      <w:hyperlink w:anchor="_Toc458610796" w:history="1">
        <w:r w:rsidR="00527456" w:rsidRPr="009A1F77">
          <w:rPr>
            <w:rStyle w:val="Hyperlink"/>
            <w:lang w:val="en-ZA"/>
          </w:rPr>
          <w:t>3.5</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Procedure for data collection</w:t>
        </w:r>
        <w:r w:rsidR="00527456">
          <w:rPr>
            <w:webHidden/>
          </w:rPr>
          <w:tab/>
        </w:r>
        <w:r w:rsidR="00527456">
          <w:rPr>
            <w:webHidden/>
          </w:rPr>
          <w:fldChar w:fldCharType="begin"/>
        </w:r>
        <w:r w:rsidR="00527456">
          <w:rPr>
            <w:webHidden/>
          </w:rPr>
          <w:instrText xml:space="preserve"> PAGEREF _Toc458610796 \h </w:instrText>
        </w:r>
        <w:r w:rsidR="00527456">
          <w:rPr>
            <w:webHidden/>
          </w:rPr>
        </w:r>
        <w:r w:rsidR="00527456">
          <w:rPr>
            <w:webHidden/>
          </w:rPr>
          <w:fldChar w:fldCharType="separate"/>
        </w:r>
        <w:r w:rsidR="00527456">
          <w:rPr>
            <w:webHidden/>
          </w:rPr>
          <w:t>39</w:t>
        </w:r>
        <w:r w:rsidR="00527456">
          <w:rPr>
            <w:webHidden/>
          </w:rPr>
          <w:fldChar w:fldCharType="end"/>
        </w:r>
      </w:hyperlink>
    </w:p>
    <w:p w:rsidR="00527456" w:rsidRDefault="003323B7">
      <w:pPr>
        <w:pStyle w:val="TOC2"/>
        <w:rPr>
          <w:rFonts w:asciiTheme="minorHAnsi" w:eastAsiaTheme="minorEastAsia" w:hAnsiTheme="minorHAnsi" w:cstheme="minorBidi"/>
          <w:smallCaps w:val="0"/>
          <w:sz w:val="22"/>
          <w:szCs w:val="22"/>
          <w:lang w:val="en-ZA" w:eastAsia="en-ZA"/>
        </w:rPr>
      </w:pPr>
      <w:hyperlink w:anchor="_Toc458610797" w:history="1">
        <w:r w:rsidR="00527456" w:rsidRPr="009A1F77">
          <w:rPr>
            <w:rStyle w:val="Hyperlink"/>
            <w:lang w:val="en-ZA"/>
          </w:rPr>
          <w:t>3.6</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Data analysis and interpretation</w:t>
        </w:r>
        <w:r w:rsidR="00527456">
          <w:rPr>
            <w:webHidden/>
          </w:rPr>
          <w:tab/>
        </w:r>
        <w:r w:rsidR="00527456">
          <w:rPr>
            <w:webHidden/>
          </w:rPr>
          <w:fldChar w:fldCharType="begin"/>
        </w:r>
        <w:r w:rsidR="00527456">
          <w:rPr>
            <w:webHidden/>
          </w:rPr>
          <w:instrText xml:space="preserve"> PAGEREF _Toc458610797 \h </w:instrText>
        </w:r>
        <w:r w:rsidR="00527456">
          <w:rPr>
            <w:webHidden/>
          </w:rPr>
        </w:r>
        <w:r w:rsidR="00527456">
          <w:rPr>
            <w:webHidden/>
          </w:rPr>
          <w:fldChar w:fldCharType="separate"/>
        </w:r>
        <w:r w:rsidR="00527456">
          <w:rPr>
            <w:webHidden/>
          </w:rPr>
          <w:t>40</w:t>
        </w:r>
        <w:r w:rsidR="00527456">
          <w:rPr>
            <w:webHidden/>
          </w:rPr>
          <w:fldChar w:fldCharType="end"/>
        </w:r>
      </w:hyperlink>
    </w:p>
    <w:p w:rsidR="00527456" w:rsidRDefault="003323B7">
      <w:pPr>
        <w:pStyle w:val="TOC3"/>
        <w:tabs>
          <w:tab w:val="left" w:pos="1400"/>
          <w:tab w:val="right" w:leader="dot" w:pos="8494"/>
        </w:tabs>
        <w:rPr>
          <w:rFonts w:asciiTheme="minorHAnsi" w:eastAsiaTheme="minorEastAsia" w:hAnsiTheme="minorHAnsi" w:cstheme="minorBidi"/>
          <w:smallCaps w:val="0"/>
          <w:sz w:val="22"/>
          <w:szCs w:val="22"/>
          <w:lang w:val="en-ZA" w:eastAsia="en-ZA"/>
        </w:rPr>
      </w:pPr>
      <w:hyperlink w:anchor="_Toc458610798" w:history="1">
        <w:r w:rsidR="00527456" w:rsidRPr="009A1F77">
          <w:rPr>
            <w:rStyle w:val="Hyperlink"/>
            <w:lang w:val="en-ZA"/>
            <w14:scene3d>
              <w14:camera w14:prst="orthographicFront"/>
              <w14:lightRig w14:rig="threePt" w14:dir="t">
                <w14:rot w14:lat="0" w14:lon="0" w14:rev="0"/>
              </w14:lightRig>
            </w14:scene3d>
          </w:rPr>
          <w:t>3.6.1</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Identify the gender of the manager of each fund</w:t>
        </w:r>
        <w:r w:rsidR="00527456">
          <w:rPr>
            <w:webHidden/>
          </w:rPr>
          <w:tab/>
        </w:r>
        <w:r w:rsidR="00527456">
          <w:rPr>
            <w:webHidden/>
          </w:rPr>
          <w:fldChar w:fldCharType="begin"/>
        </w:r>
        <w:r w:rsidR="00527456">
          <w:rPr>
            <w:webHidden/>
          </w:rPr>
          <w:instrText xml:space="preserve"> PAGEREF _Toc458610798 \h </w:instrText>
        </w:r>
        <w:r w:rsidR="00527456">
          <w:rPr>
            <w:webHidden/>
          </w:rPr>
        </w:r>
        <w:r w:rsidR="00527456">
          <w:rPr>
            <w:webHidden/>
          </w:rPr>
          <w:fldChar w:fldCharType="separate"/>
        </w:r>
        <w:r w:rsidR="00527456">
          <w:rPr>
            <w:webHidden/>
          </w:rPr>
          <w:t>40</w:t>
        </w:r>
        <w:r w:rsidR="00527456">
          <w:rPr>
            <w:webHidden/>
          </w:rPr>
          <w:fldChar w:fldCharType="end"/>
        </w:r>
      </w:hyperlink>
    </w:p>
    <w:p w:rsidR="00527456" w:rsidRDefault="003323B7">
      <w:pPr>
        <w:pStyle w:val="TOC3"/>
        <w:tabs>
          <w:tab w:val="left" w:pos="1400"/>
          <w:tab w:val="right" w:leader="dot" w:pos="8494"/>
        </w:tabs>
        <w:rPr>
          <w:rFonts w:asciiTheme="minorHAnsi" w:eastAsiaTheme="minorEastAsia" w:hAnsiTheme="minorHAnsi" w:cstheme="minorBidi"/>
          <w:smallCaps w:val="0"/>
          <w:sz w:val="22"/>
          <w:szCs w:val="22"/>
          <w:lang w:val="en-ZA" w:eastAsia="en-ZA"/>
        </w:rPr>
      </w:pPr>
      <w:hyperlink w:anchor="_Toc458610799" w:history="1">
        <w:r w:rsidR="00527456" w:rsidRPr="009A1F77">
          <w:rPr>
            <w:rStyle w:val="Hyperlink"/>
            <w:lang w:val="en-ZA"/>
            <w14:scene3d>
              <w14:camera w14:prst="orthographicFront"/>
              <w14:lightRig w14:rig="threePt" w14:dir="t">
                <w14:rot w14:lat="0" w14:lon="0" w14:rev="0"/>
              </w14:lightRig>
            </w14:scene3d>
          </w:rPr>
          <w:t>3.6.2</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Compute annualised returns of all funds and the benchmark index</w:t>
        </w:r>
        <w:r w:rsidR="00527456">
          <w:rPr>
            <w:webHidden/>
          </w:rPr>
          <w:tab/>
        </w:r>
        <w:r w:rsidR="00527456">
          <w:rPr>
            <w:webHidden/>
          </w:rPr>
          <w:fldChar w:fldCharType="begin"/>
        </w:r>
        <w:r w:rsidR="00527456">
          <w:rPr>
            <w:webHidden/>
          </w:rPr>
          <w:instrText xml:space="preserve"> PAGEREF _Toc458610799 \h </w:instrText>
        </w:r>
        <w:r w:rsidR="00527456">
          <w:rPr>
            <w:webHidden/>
          </w:rPr>
        </w:r>
        <w:r w:rsidR="00527456">
          <w:rPr>
            <w:webHidden/>
          </w:rPr>
          <w:fldChar w:fldCharType="separate"/>
        </w:r>
        <w:r w:rsidR="00527456">
          <w:rPr>
            <w:webHidden/>
          </w:rPr>
          <w:t>40</w:t>
        </w:r>
        <w:r w:rsidR="00527456">
          <w:rPr>
            <w:webHidden/>
          </w:rPr>
          <w:fldChar w:fldCharType="end"/>
        </w:r>
      </w:hyperlink>
    </w:p>
    <w:p w:rsidR="00527456" w:rsidRDefault="003323B7">
      <w:pPr>
        <w:pStyle w:val="TOC3"/>
        <w:tabs>
          <w:tab w:val="left" w:pos="1400"/>
          <w:tab w:val="right" w:leader="dot" w:pos="8494"/>
        </w:tabs>
        <w:rPr>
          <w:rFonts w:asciiTheme="minorHAnsi" w:eastAsiaTheme="minorEastAsia" w:hAnsiTheme="minorHAnsi" w:cstheme="minorBidi"/>
          <w:smallCaps w:val="0"/>
          <w:sz w:val="22"/>
          <w:szCs w:val="22"/>
          <w:lang w:val="en-ZA" w:eastAsia="en-ZA"/>
        </w:rPr>
      </w:pPr>
      <w:hyperlink w:anchor="_Toc458610800" w:history="1">
        <w:r w:rsidR="00527456" w:rsidRPr="009A1F77">
          <w:rPr>
            <w:rStyle w:val="Hyperlink"/>
            <w:lang w:val="en-ZA"/>
            <w14:scene3d>
              <w14:camera w14:prst="orthographicFront"/>
              <w14:lightRig w14:rig="threePt" w14:dir="t">
                <w14:rot w14:lat="0" w14:lon="0" w14:rev="0"/>
              </w14:lightRig>
            </w14:scene3d>
          </w:rPr>
          <w:t>3.6.3</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Compute the riskiness of all funds against the benchmark index</w:t>
        </w:r>
        <w:r w:rsidR="00527456">
          <w:rPr>
            <w:webHidden/>
          </w:rPr>
          <w:tab/>
        </w:r>
        <w:r w:rsidR="00527456">
          <w:rPr>
            <w:webHidden/>
          </w:rPr>
          <w:fldChar w:fldCharType="begin"/>
        </w:r>
        <w:r w:rsidR="00527456">
          <w:rPr>
            <w:webHidden/>
          </w:rPr>
          <w:instrText xml:space="preserve"> PAGEREF _Toc458610800 \h </w:instrText>
        </w:r>
        <w:r w:rsidR="00527456">
          <w:rPr>
            <w:webHidden/>
          </w:rPr>
        </w:r>
        <w:r w:rsidR="00527456">
          <w:rPr>
            <w:webHidden/>
          </w:rPr>
          <w:fldChar w:fldCharType="separate"/>
        </w:r>
        <w:r w:rsidR="00527456">
          <w:rPr>
            <w:webHidden/>
          </w:rPr>
          <w:t>41</w:t>
        </w:r>
        <w:r w:rsidR="00527456">
          <w:rPr>
            <w:webHidden/>
          </w:rPr>
          <w:fldChar w:fldCharType="end"/>
        </w:r>
      </w:hyperlink>
    </w:p>
    <w:p w:rsidR="00527456" w:rsidRDefault="003323B7">
      <w:pPr>
        <w:pStyle w:val="TOC3"/>
        <w:tabs>
          <w:tab w:val="left" w:pos="1400"/>
          <w:tab w:val="right" w:leader="dot" w:pos="8494"/>
        </w:tabs>
        <w:rPr>
          <w:rFonts w:asciiTheme="minorHAnsi" w:eastAsiaTheme="minorEastAsia" w:hAnsiTheme="minorHAnsi" w:cstheme="minorBidi"/>
          <w:smallCaps w:val="0"/>
          <w:sz w:val="22"/>
          <w:szCs w:val="22"/>
          <w:lang w:val="en-ZA" w:eastAsia="en-ZA"/>
        </w:rPr>
      </w:pPr>
      <w:hyperlink w:anchor="_Toc458610801" w:history="1">
        <w:r w:rsidR="00527456" w:rsidRPr="009A1F77">
          <w:rPr>
            <w:rStyle w:val="Hyperlink"/>
            <w:lang w:val="en-ZA"/>
            <w14:scene3d>
              <w14:camera w14:prst="orthographicFront"/>
              <w14:lightRig w14:rig="threePt" w14:dir="t">
                <w14:rot w14:lat="0" w14:lon="0" w14:rev="0"/>
              </w14:lightRig>
            </w14:scene3d>
          </w:rPr>
          <w:t>3.6.4</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Select the male managed funds to use in the comparison</w:t>
        </w:r>
        <w:r w:rsidR="00527456">
          <w:rPr>
            <w:webHidden/>
          </w:rPr>
          <w:tab/>
        </w:r>
        <w:r w:rsidR="00527456">
          <w:rPr>
            <w:webHidden/>
          </w:rPr>
          <w:fldChar w:fldCharType="begin"/>
        </w:r>
        <w:r w:rsidR="00527456">
          <w:rPr>
            <w:webHidden/>
          </w:rPr>
          <w:instrText xml:space="preserve"> PAGEREF _Toc458610801 \h </w:instrText>
        </w:r>
        <w:r w:rsidR="00527456">
          <w:rPr>
            <w:webHidden/>
          </w:rPr>
        </w:r>
        <w:r w:rsidR="00527456">
          <w:rPr>
            <w:webHidden/>
          </w:rPr>
          <w:fldChar w:fldCharType="separate"/>
        </w:r>
        <w:r w:rsidR="00527456">
          <w:rPr>
            <w:webHidden/>
          </w:rPr>
          <w:t>42</w:t>
        </w:r>
        <w:r w:rsidR="00527456">
          <w:rPr>
            <w:webHidden/>
          </w:rPr>
          <w:fldChar w:fldCharType="end"/>
        </w:r>
      </w:hyperlink>
    </w:p>
    <w:p w:rsidR="00527456" w:rsidRDefault="003323B7">
      <w:pPr>
        <w:pStyle w:val="TOC3"/>
        <w:tabs>
          <w:tab w:val="left" w:pos="1400"/>
          <w:tab w:val="right" w:leader="dot" w:pos="8494"/>
        </w:tabs>
        <w:rPr>
          <w:rFonts w:asciiTheme="minorHAnsi" w:eastAsiaTheme="minorEastAsia" w:hAnsiTheme="minorHAnsi" w:cstheme="minorBidi"/>
          <w:smallCaps w:val="0"/>
          <w:sz w:val="22"/>
          <w:szCs w:val="22"/>
          <w:lang w:val="en-ZA" w:eastAsia="en-ZA"/>
        </w:rPr>
      </w:pPr>
      <w:hyperlink w:anchor="_Toc458610802" w:history="1">
        <w:r w:rsidR="00527456" w:rsidRPr="009A1F77">
          <w:rPr>
            <w:rStyle w:val="Hyperlink"/>
            <w:lang w:val="en-ZA"/>
            <w14:scene3d>
              <w14:camera w14:prst="orthographicFront"/>
              <w14:lightRig w14:rig="threePt" w14:dir="t">
                <w14:rot w14:lat="0" w14:lon="0" w14:rev="0"/>
              </w14:lightRig>
            </w14:scene3d>
          </w:rPr>
          <w:t>3.6.5</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Compare the performance of the selected unit trusts</w:t>
        </w:r>
        <w:r w:rsidR="00527456">
          <w:rPr>
            <w:webHidden/>
          </w:rPr>
          <w:tab/>
        </w:r>
        <w:r w:rsidR="00527456">
          <w:rPr>
            <w:webHidden/>
          </w:rPr>
          <w:fldChar w:fldCharType="begin"/>
        </w:r>
        <w:r w:rsidR="00527456">
          <w:rPr>
            <w:webHidden/>
          </w:rPr>
          <w:instrText xml:space="preserve"> PAGEREF _Toc458610802 \h </w:instrText>
        </w:r>
        <w:r w:rsidR="00527456">
          <w:rPr>
            <w:webHidden/>
          </w:rPr>
        </w:r>
        <w:r w:rsidR="00527456">
          <w:rPr>
            <w:webHidden/>
          </w:rPr>
          <w:fldChar w:fldCharType="separate"/>
        </w:r>
        <w:r w:rsidR="00527456">
          <w:rPr>
            <w:webHidden/>
          </w:rPr>
          <w:t>43</w:t>
        </w:r>
        <w:r w:rsidR="00527456">
          <w:rPr>
            <w:webHidden/>
          </w:rPr>
          <w:fldChar w:fldCharType="end"/>
        </w:r>
      </w:hyperlink>
    </w:p>
    <w:p w:rsidR="00527456" w:rsidRDefault="003323B7" w:rsidP="005F2182">
      <w:pPr>
        <w:pStyle w:val="TOC3"/>
        <w:tabs>
          <w:tab w:val="left" w:pos="1400"/>
          <w:tab w:val="right" w:leader="dot" w:pos="8494"/>
        </w:tabs>
        <w:ind w:left="1395" w:hanging="675"/>
        <w:rPr>
          <w:rFonts w:asciiTheme="minorHAnsi" w:eastAsiaTheme="minorEastAsia" w:hAnsiTheme="minorHAnsi" w:cstheme="minorBidi"/>
          <w:smallCaps w:val="0"/>
          <w:sz w:val="22"/>
          <w:szCs w:val="22"/>
          <w:lang w:val="en-ZA" w:eastAsia="en-ZA"/>
        </w:rPr>
      </w:pPr>
      <w:hyperlink w:anchor="_Toc458610803" w:history="1">
        <w:r w:rsidR="00527456" w:rsidRPr="009A1F77">
          <w:rPr>
            <w:rStyle w:val="Hyperlink"/>
            <w:lang w:val="en-ZA"/>
            <w14:scene3d>
              <w14:camera w14:prst="orthographicFront"/>
              <w14:lightRig w14:rig="threePt" w14:dir="t">
                <w14:rot w14:lat="0" w14:lon="0" w14:rev="0"/>
              </w14:lightRig>
            </w14:scene3d>
          </w:rPr>
          <w:t>3.6.6</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Compare the performance of all unit trusts to the chosen benchmark by gender</w:t>
        </w:r>
        <w:r w:rsidR="00527456">
          <w:rPr>
            <w:webHidden/>
          </w:rPr>
          <w:tab/>
        </w:r>
        <w:r w:rsidR="00527456">
          <w:rPr>
            <w:webHidden/>
          </w:rPr>
          <w:fldChar w:fldCharType="begin"/>
        </w:r>
        <w:r w:rsidR="00527456">
          <w:rPr>
            <w:webHidden/>
          </w:rPr>
          <w:instrText xml:space="preserve"> PAGEREF _Toc458610803 \h </w:instrText>
        </w:r>
        <w:r w:rsidR="00527456">
          <w:rPr>
            <w:webHidden/>
          </w:rPr>
        </w:r>
        <w:r w:rsidR="00527456">
          <w:rPr>
            <w:webHidden/>
          </w:rPr>
          <w:fldChar w:fldCharType="separate"/>
        </w:r>
        <w:r w:rsidR="00527456">
          <w:rPr>
            <w:webHidden/>
          </w:rPr>
          <w:t>44</w:t>
        </w:r>
        <w:r w:rsidR="00527456">
          <w:rPr>
            <w:webHidden/>
          </w:rPr>
          <w:fldChar w:fldCharType="end"/>
        </w:r>
      </w:hyperlink>
    </w:p>
    <w:p w:rsidR="00527456" w:rsidRDefault="003323B7">
      <w:pPr>
        <w:pStyle w:val="TOC3"/>
        <w:tabs>
          <w:tab w:val="left" w:pos="1400"/>
          <w:tab w:val="right" w:leader="dot" w:pos="8494"/>
        </w:tabs>
        <w:rPr>
          <w:rFonts w:asciiTheme="minorHAnsi" w:eastAsiaTheme="minorEastAsia" w:hAnsiTheme="minorHAnsi" w:cstheme="minorBidi"/>
          <w:smallCaps w:val="0"/>
          <w:sz w:val="22"/>
          <w:szCs w:val="22"/>
          <w:lang w:val="en-ZA" w:eastAsia="en-ZA"/>
        </w:rPr>
      </w:pPr>
      <w:hyperlink w:anchor="_Toc458610804" w:history="1">
        <w:r w:rsidR="00527456" w:rsidRPr="009A1F77">
          <w:rPr>
            <w:rStyle w:val="Hyperlink"/>
            <w:lang w:val="en-ZA"/>
            <w14:scene3d>
              <w14:camera w14:prst="orthographicFront"/>
              <w14:lightRig w14:rig="threePt" w14:dir="t">
                <w14:rot w14:lat="0" w14:lon="0" w14:rev="0"/>
              </w14:lightRig>
            </w14:scene3d>
          </w:rPr>
          <w:t>3.6.7</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Directly compare the riskiness of the all unit trusts by gender</w:t>
        </w:r>
        <w:r w:rsidR="00527456">
          <w:rPr>
            <w:webHidden/>
          </w:rPr>
          <w:tab/>
        </w:r>
        <w:r w:rsidR="00527456">
          <w:rPr>
            <w:webHidden/>
          </w:rPr>
          <w:fldChar w:fldCharType="begin"/>
        </w:r>
        <w:r w:rsidR="00527456">
          <w:rPr>
            <w:webHidden/>
          </w:rPr>
          <w:instrText xml:space="preserve"> PAGEREF _Toc458610804 \h </w:instrText>
        </w:r>
        <w:r w:rsidR="00527456">
          <w:rPr>
            <w:webHidden/>
          </w:rPr>
        </w:r>
        <w:r w:rsidR="00527456">
          <w:rPr>
            <w:webHidden/>
          </w:rPr>
          <w:fldChar w:fldCharType="separate"/>
        </w:r>
        <w:r w:rsidR="00527456">
          <w:rPr>
            <w:webHidden/>
          </w:rPr>
          <w:t>46</w:t>
        </w:r>
        <w:r w:rsidR="00527456">
          <w:rPr>
            <w:webHidden/>
          </w:rPr>
          <w:fldChar w:fldCharType="end"/>
        </w:r>
      </w:hyperlink>
    </w:p>
    <w:p w:rsidR="00527456" w:rsidRDefault="003323B7">
      <w:pPr>
        <w:pStyle w:val="TOC3"/>
        <w:tabs>
          <w:tab w:val="left" w:pos="1400"/>
          <w:tab w:val="right" w:leader="dot" w:pos="8494"/>
        </w:tabs>
        <w:rPr>
          <w:rFonts w:asciiTheme="minorHAnsi" w:eastAsiaTheme="minorEastAsia" w:hAnsiTheme="minorHAnsi" w:cstheme="minorBidi"/>
          <w:smallCaps w:val="0"/>
          <w:sz w:val="22"/>
          <w:szCs w:val="22"/>
          <w:lang w:val="en-ZA" w:eastAsia="en-ZA"/>
        </w:rPr>
      </w:pPr>
      <w:hyperlink w:anchor="_Toc458610805" w:history="1">
        <w:r w:rsidR="00527456" w:rsidRPr="009A1F77">
          <w:rPr>
            <w:rStyle w:val="Hyperlink"/>
            <w:lang w:val="en-ZA"/>
            <w14:scene3d>
              <w14:camera w14:prst="orthographicFront"/>
              <w14:lightRig w14:rig="threePt" w14:dir="t">
                <w14:rot w14:lat="0" w14:lon="0" w14:rev="0"/>
              </w14:lightRig>
            </w14:scene3d>
          </w:rPr>
          <w:t>3.6.8</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Summarise the results</w:t>
        </w:r>
        <w:r w:rsidR="00527456">
          <w:rPr>
            <w:webHidden/>
          </w:rPr>
          <w:tab/>
        </w:r>
        <w:r w:rsidR="00527456">
          <w:rPr>
            <w:webHidden/>
          </w:rPr>
          <w:fldChar w:fldCharType="begin"/>
        </w:r>
        <w:r w:rsidR="00527456">
          <w:rPr>
            <w:webHidden/>
          </w:rPr>
          <w:instrText xml:space="preserve"> PAGEREF _Toc458610805 \h </w:instrText>
        </w:r>
        <w:r w:rsidR="00527456">
          <w:rPr>
            <w:webHidden/>
          </w:rPr>
        </w:r>
        <w:r w:rsidR="00527456">
          <w:rPr>
            <w:webHidden/>
          </w:rPr>
          <w:fldChar w:fldCharType="separate"/>
        </w:r>
        <w:r w:rsidR="00527456">
          <w:rPr>
            <w:webHidden/>
          </w:rPr>
          <w:t>47</w:t>
        </w:r>
        <w:r w:rsidR="00527456">
          <w:rPr>
            <w:webHidden/>
          </w:rPr>
          <w:fldChar w:fldCharType="end"/>
        </w:r>
      </w:hyperlink>
    </w:p>
    <w:p w:rsidR="00527456" w:rsidRDefault="003323B7">
      <w:pPr>
        <w:pStyle w:val="TOC2"/>
        <w:rPr>
          <w:rFonts w:asciiTheme="minorHAnsi" w:eastAsiaTheme="minorEastAsia" w:hAnsiTheme="minorHAnsi" w:cstheme="minorBidi"/>
          <w:smallCaps w:val="0"/>
          <w:sz w:val="22"/>
          <w:szCs w:val="22"/>
          <w:lang w:val="en-ZA" w:eastAsia="en-ZA"/>
        </w:rPr>
      </w:pPr>
      <w:hyperlink w:anchor="_Toc458610806" w:history="1">
        <w:r w:rsidR="00527456" w:rsidRPr="009A1F77">
          <w:rPr>
            <w:rStyle w:val="Hyperlink"/>
            <w:lang w:val="en-ZA"/>
          </w:rPr>
          <w:t>3.7</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Limitations of the study</w:t>
        </w:r>
        <w:r w:rsidR="00527456">
          <w:rPr>
            <w:webHidden/>
          </w:rPr>
          <w:tab/>
        </w:r>
        <w:r w:rsidR="00527456">
          <w:rPr>
            <w:webHidden/>
          </w:rPr>
          <w:fldChar w:fldCharType="begin"/>
        </w:r>
        <w:r w:rsidR="00527456">
          <w:rPr>
            <w:webHidden/>
          </w:rPr>
          <w:instrText xml:space="preserve"> PAGEREF _Toc458610806 \h </w:instrText>
        </w:r>
        <w:r w:rsidR="00527456">
          <w:rPr>
            <w:webHidden/>
          </w:rPr>
        </w:r>
        <w:r w:rsidR="00527456">
          <w:rPr>
            <w:webHidden/>
          </w:rPr>
          <w:fldChar w:fldCharType="separate"/>
        </w:r>
        <w:r w:rsidR="00527456">
          <w:rPr>
            <w:webHidden/>
          </w:rPr>
          <w:t>47</w:t>
        </w:r>
        <w:r w:rsidR="00527456">
          <w:rPr>
            <w:webHidden/>
          </w:rPr>
          <w:fldChar w:fldCharType="end"/>
        </w:r>
      </w:hyperlink>
    </w:p>
    <w:p w:rsidR="00527456" w:rsidRDefault="003323B7">
      <w:pPr>
        <w:pStyle w:val="TOC2"/>
        <w:rPr>
          <w:rFonts w:asciiTheme="minorHAnsi" w:eastAsiaTheme="minorEastAsia" w:hAnsiTheme="minorHAnsi" w:cstheme="minorBidi"/>
          <w:smallCaps w:val="0"/>
          <w:sz w:val="22"/>
          <w:szCs w:val="22"/>
          <w:lang w:val="en-ZA" w:eastAsia="en-ZA"/>
        </w:rPr>
      </w:pPr>
      <w:hyperlink w:anchor="_Toc458610807" w:history="1">
        <w:r w:rsidR="00527456" w:rsidRPr="009A1F77">
          <w:rPr>
            <w:rStyle w:val="Hyperlink"/>
            <w:lang w:val="en-ZA"/>
          </w:rPr>
          <w:t>3.8</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Validity and reliability</w:t>
        </w:r>
        <w:r w:rsidR="00527456">
          <w:rPr>
            <w:webHidden/>
          </w:rPr>
          <w:tab/>
        </w:r>
        <w:r w:rsidR="00527456">
          <w:rPr>
            <w:webHidden/>
          </w:rPr>
          <w:fldChar w:fldCharType="begin"/>
        </w:r>
        <w:r w:rsidR="00527456">
          <w:rPr>
            <w:webHidden/>
          </w:rPr>
          <w:instrText xml:space="preserve"> PAGEREF _Toc458610807 \h </w:instrText>
        </w:r>
        <w:r w:rsidR="00527456">
          <w:rPr>
            <w:webHidden/>
          </w:rPr>
        </w:r>
        <w:r w:rsidR="00527456">
          <w:rPr>
            <w:webHidden/>
          </w:rPr>
          <w:fldChar w:fldCharType="separate"/>
        </w:r>
        <w:r w:rsidR="00527456">
          <w:rPr>
            <w:webHidden/>
          </w:rPr>
          <w:t>47</w:t>
        </w:r>
        <w:r w:rsidR="00527456">
          <w:rPr>
            <w:webHidden/>
          </w:rPr>
          <w:fldChar w:fldCharType="end"/>
        </w:r>
      </w:hyperlink>
    </w:p>
    <w:p w:rsidR="00527456" w:rsidRDefault="003323B7">
      <w:pPr>
        <w:pStyle w:val="TOC3"/>
        <w:tabs>
          <w:tab w:val="left" w:pos="1400"/>
          <w:tab w:val="right" w:leader="dot" w:pos="8494"/>
        </w:tabs>
        <w:rPr>
          <w:rFonts w:asciiTheme="minorHAnsi" w:eastAsiaTheme="minorEastAsia" w:hAnsiTheme="minorHAnsi" w:cstheme="minorBidi"/>
          <w:smallCaps w:val="0"/>
          <w:sz w:val="22"/>
          <w:szCs w:val="22"/>
          <w:lang w:val="en-ZA" w:eastAsia="en-ZA"/>
        </w:rPr>
      </w:pPr>
      <w:hyperlink w:anchor="_Toc458610808" w:history="1">
        <w:r w:rsidR="00527456" w:rsidRPr="009A1F77">
          <w:rPr>
            <w:rStyle w:val="Hyperlink"/>
            <w:lang w:val="en-ZA"/>
            <w14:scene3d>
              <w14:camera w14:prst="orthographicFront"/>
              <w14:lightRig w14:rig="threePt" w14:dir="t">
                <w14:rot w14:lat="0" w14:lon="0" w14:rev="0"/>
              </w14:lightRig>
            </w14:scene3d>
          </w:rPr>
          <w:t>3.8.1</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External validity</w:t>
        </w:r>
        <w:r w:rsidR="00527456">
          <w:rPr>
            <w:webHidden/>
          </w:rPr>
          <w:tab/>
        </w:r>
        <w:r w:rsidR="00527456">
          <w:rPr>
            <w:webHidden/>
          </w:rPr>
          <w:fldChar w:fldCharType="begin"/>
        </w:r>
        <w:r w:rsidR="00527456">
          <w:rPr>
            <w:webHidden/>
          </w:rPr>
          <w:instrText xml:space="preserve"> PAGEREF _Toc458610808 \h </w:instrText>
        </w:r>
        <w:r w:rsidR="00527456">
          <w:rPr>
            <w:webHidden/>
          </w:rPr>
        </w:r>
        <w:r w:rsidR="00527456">
          <w:rPr>
            <w:webHidden/>
          </w:rPr>
          <w:fldChar w:fldCharType="separate"/>
        </w:r>
        <w:r w:rsidR="00527456">
          <w:rPr>
            <w:webHidden/>
          </w:rPr>
          <w:t>48</w:t>
        </w:r>
        <w:r w:rsidR="00527456">
          <w:rPr>
            <w:webHidden/>
          </w:rPr>
          <w:fldChar w:fldCharType="end"/>
        </w:r>
      </w:hyperlink>
    </w:p>
    <w:p w:rsidR="00527456" w:rsidRDefault="003323B7">
      <w:pPr>
        <w:pStyle w:val="TOC3"/>
        <w:tabs>
          <w:tab w:val="left" w:pos="1400"/>
          <w:tab w:val="right" w:leader="dot" w:pos="8494"/>
        </w:tabs>
        <w:rPr>
          <w:rFonts w:asciiTheme="minorHAnsi" w:eastAsiaTheme="minorEastAsia" w:hAnsiTheme="minorHAnsi" w:cstheme="minorBidi"/>
          <w:smallCaps w:val="0"/>
          <w:sz w:val="22"/>
          <w:szCs w:val="22"/>
          <w:lang w:val="en-ZA" w:eastAsia="en-ZA"/>
        </w:rPr>
      </w:pPr>
      <w:hyperlink w:anchor="_Toc458610809" w:history="1">
        <w:r w:rsidR="00527456" w:rsidRPr="009A1F77">
          <w:rPr>
            <w:rStyle w:val="Hyperlink"/>
            <w:lang w:val="en-ZA"/>
            <w14:scene3d>
              <w14:camera w14:prst="orthographicFront"/>
              <w14:lightRig w14:rig="threePt" w14:dir="t">
                <w14:rot w14:lat="0" w14:lon="0" w14:rev="0"/>
              </w14:lightRig>
            </w14:scene3d>
          </w:rPr>
          <w:t>3.8.2</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Internal validity</w:t>
        </w:r>
        <w:r w:rsidR="00527456">
          <w:rPr>
            <w:webHidden/>
          </w:rPr>
          <w:tab/>
        </w:r>
        <w:r w:rsidR="00527456">
          <w:rPr>
            <w:webHidden/>
          </w:rPr>
          <w:fldChar w:fldCharType="begin"/>
        </w:r>
        <w:r w:rsidR="00527456">
          <w:rPr>
            <w:webHidden/>
          </w:rPr>
          <w:instrText xml:space="preserve"> PAGEREF _Toc458610809 \h </w:instrText>
        </w:r>
        <w:r w:rsidR="00527456">
          <w:rPr>
            <w:webHidden/>
          </w:rPr>
        </w:r>
        <w:r w:rsidR="00527456">
          <w:rPr>
            <w:webHidden/>
          </w:rPr>
          <w:fldChar w:fldCharType="separate"/>
        </w:r>
        <w:r w:rsidR="00527456">
          <w:rPr>
            <w:webHidden/>
          </w:rPr>
          <w:t>48</w:t>
        </w:r>
        <w:r w:rsidR="00527456">
          <w:rPr>
            <w:webHidden/>
          </w:rPr>
          <w:fldChar w:fldCharType="end"/>
        </w:r>
      </w:hyperlink>
    </w:p>
    <w:p w:rsidR="00527456" w:rsidRDefault="003323B7">
      <w:pPr>
        <w:pStyle w:val="TOC3"/>
        <w:tabs>
          <w:tab w:val="left" w:pos="1400"/>
          <w:tab w:val="right" w:leader="dot" w:pos="8494"/>
        </w:tabs>
        <w:rPr>
          <w:rFonts w:asciiTheme="minorHAnsi" w:eastAsiaTheme="minorEastAsia" w:hAnsiTheme="minorHAnsi" w:cstheme="minorBidi"/>
          <w:smallCaps w:val="0"/>
          <w:sz w:val="22"/>
          <w:szCs w:val="22"/>
          <w:lang w:val="en-ZA" w:eastAsia="en-ZA"/>
        </w:rPr>
      </w:pPr>
      <w:hyperlink w:anchor="_Toc458610810" w:history="1">
        <w:r w:rsidR="00527456" w:rsidRPr="009A1F77">
          <w:rPr>
            <w:rStyle w:val="Hyperlink"/>
            <w:lang w:val="en-ZA"/>
            <w14:scene3d>
              <w14:camera w14:prst="orthographicFront"/>
              <w14:lightRig w14:rig="threePt" w14:dir="t">
                <w14:rot w14:lat="0" w14:lon="0" w14:rev="0"/>
              </w14:lightRig>
            </w14:scene3d>
          </w:rPr>
          <w:t>3.8.3</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Reliability</w:t>
        </w:r>
        <w:r w:rsidR="00527456">
          <w:rPr>
            <w:webHidden/>
          </w:rPr>
          <w:tab/>
        </w:r>
        <w:r w:rsidR="00527456">
          <w:rPr>
            <w:webHidden/>
          </w:rPr>
          <w:fldChar w:fldCharType="begin"/>
        </w:r>
        <w:r w:rsidR="00527456">
          <w:rPr>
            <w:webHidden/>
          </w:rPr>
          <w:instrText xml:space="preserve"> PAGEREF _Toc458610810 \h </w:instrText>
        </w:r>
        <w:r w:rsidR="00527456">
          <w:rPr>
            <w:webHidden/>
          </w:rPr>
        </w:r>
        <w:r w:rsidR="00527456">
          <w:rPr>
            <w:webHidden/>
          </w:rPr>
          <w:fldChar w:fldCharType="separate"/>
        </w:r>
        <w:r w:rsidR="00527456">
          <w:rPr>
            <w:webHidden/>
          </w:rPr>
          <w:t>49</w:t>
        </w:r>
        <w:r w:rsidR="00527456">
          <w:rPr>
            <w:webHidden/>
          </w:rPr>
          <w:fldChar w:fldCharType="end"/>
        </w:r>
      </w:hyperlink>
    </w:p>
    <w:p w:rsidR="00527456" w:rsidRDefault="003323B7">
      <w:pPr>
        <w:pStyle w:val="TOC2"/>
        <w:rPr>
          <w:rFonts w:asciiTheme="minorHAnsi" w:eastAsiaTheme="minorEastAsia" w:hAnsiTheme="minorHAnsi" w:cstheme="minorBidi"/>
          <w:smallCaps w:val="0"/>
          <w:sz w:val="22"/>
          <w:szCs w:val="22"/>
          <w:lang w:val="en-ZA" w:eastAsia="en-ZA"/>
        </w:rPr>
      </w:pPr>
      <w:hyperlink w:anchor="_Toc458610811" w:history="1">
        <w:r w:rsidR="00527456" w:rsidRPr="009A1F77">
          <w:rPr>
            <w:rStyle w:val="Hyperlink"/>
            <w:lang w:val="en-ZA"/>
          </w:rPr>
          <w:t>3.9</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Ethical considerations</w:t>
        </w:r>
        <w:r w:rsidR="00527456">
          <w:rPr>
            <w:webHidden/>
          </w:rPr>
          <w:tab/>
        </w:r>
        <w:r w:rsidR="00527456">
          <w:rPr>
            <w:webHidden/>
          </w:rPr>
          <w:fldChar w:fldCharType="begin"/>
        </w:r>
        <w:r w:rsidR="00527456">
          <w:rPr>
            <w:webHidden/>
          </w:rPr>
          <w:instrText xml:space="preserve"> PAGEREF _Toc458610811 \h </w:instrText>
        </w:r>
        <w:r w:rsidR="00527456">
          <w:rPr>
            <w:webHidden/>
          </w:rPr>
        </w:r>
        <w:r w:rsidR="00527456">
          <w:rPr>
            <w:webHidden/>
          </w:rPr>
          <w:fldChar w:fldCharType="separate"/>
        </w:r>
        <w:r w:rsidR="00527456">
          <w:rPr>
            <w:webHidden/>
          </w:rPr>
          <w:t>49</w:t>
        </w:r>
        <w:r w:rsidR="00527456">
          <w:rPr>
            <w:webHidden/>
          </w:rPr>
          <w:fldChar w:fldCharType="end"/>
        </w:r>
      </w:hyperlink>
    </w:p>
    <w:p w:rsidR="00527456" w:rsidRDefault="003323B7">
      <w:pPr>
        <w:pStyle w:val="TOC1"/>
        <w:tabs>
          <w:tab w:val="left" w:pos="1885"/>
        </w:tabs>
        <w:rPr>
          <w:rFonts w:asciiTheme="minorHAnsi" w:eastAsiaTheme="minorEastAsia" w:hAnsiTheme="minorHAnsi" w:cstheme="minorBidi"/>
          <w:b w:val="0"/>
          <w:sz w:val="22"/>
          <w:szCs w:val="22"/>
          <w:lang w:val="en-ZA" w:eastAsia="en-ZA"/>
        </w:rPr>
      </w:pPr>
      <w:hyperlink w:anchor="_Toc458610812" w:history="1">
        <w:r w:rsidR="00527456" w:rsidRPr="009A1F77">
          <w:rPr>
            <w:rStyle w:val="Hyperlink"/>
            <w:lang w:val="en-ZA"/>
          </w:rPr>
          <w:t>CHAPTER 4.</w:t>
        </w:r>
        <w:r w:rsidR="00527456">
          <w:rPr>
            <w:rFonts w:asciiTheme="minorHAnsi" w:eastAsiaTheme="minorEastAsia" w:hAnsiTheme="minorHAnsi" w:cstheme="minorBidi"/>
            <w:b w:val="0"/>
            <w:sz w:val="22"/>
            <w:szCs w:val="22"/>
            <w:lang w:val="en-ZA" w:eastAsia="en-ZA"/>
          </w:rPr>
          <w:tab/>
        </w:r>
        <w:r w:rsidR="00527456" w:rsidRPr="009A1F77">
          <w:rPr>
            <w:rStyle w:val="Hyperlink"/>
            <w:lang w:val="en-ZA"/>
          </w:rPr>
          <w:t>PRESENTATION OF RESULTS</w:t>
        </w:r>
        <w:r w:rsidR="00527456">
          <w:rPr>
            <w:webHidden/>
          </w:rPr>
          <w:tab/>
        </w:r>
        <w:r w:rsidR="00527456">
          <w:rPr>
            <w:webHidden/>
          </w:rPr>
          <w:fldChar w:fldCharType="begin"/>
        </w:r>
        <w:r w:rsidR="00527456">
          <w:rPr>
            <w:webHidden/>
          </w:rPr>
          <w:instrText xml:space="preserve"> PAGEREF _Toc458610812 \h </w:instrText>
        </w:r>
        <w:r w:rsidR="00527456">
          <w:rPr>
            <w:webHidden/>
          </w:rPr>
        </w:r>
        <w:r w:rsidR="00527456">
          <w:rPr>
            <w:webHidden/>
          </w:rPr>
          <w:fldChar w:fldCharType="separate"/>
        </w:r>
        <w:r w:rsidR="00527456">
          <w:rPr>
            <w:webHidden/>
          </w:rPr>
          <w:t>50</w:t>
        </w:r>
        <w:r w:rsidR="00527456">
          <w:rPr>
            <w:webHidden/>
          </w:rPr>
          <w:fldChar w:fldCharType="end"/>
        </w:r>
      </w:hyperlink>
    </w:p>
    <w:p w:rsidR="00527456" w:rsidRDefault="003323B7">
      <w:pPr>
        <w:pStyle w:val="TOC2"/>
        <w:rPr>
          <w:rFonts w:asciiTheme="minorHAnsi" w:eastAsiaTheme="minorEastAsia" w:hAnsiTheme="minorHAnsi" w:cstheme="minorBidi"/>
          <w:smallCaps w:val="0"/>
          <w:sz w:val="22"/>
          <w:szCs w:val="22"/>
          <w:lang w:val="en-ZA" w:eastAsia="en-ZA"/>
        </w:rPr>
      </w:pPr>
      <w:hyperlink w:anchor="_Toc458610813" w:history="1">
        <w:r w:rsidR="00527456" w:rsidRPr="009A1F77">
          <w:rPr>
            <w:rStyle w:val="Hyperlink"/>
            <w:lang w:val="en-ZA"/>
          </w:rPr>
          <w:t>4.1</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Introduction</w:t>
        </w:r>
        <w:r w:rsidR="00527456">
          <w:rPr>
            <w:webHidden/>
          </w:rPr>
          <w:tab/>
        </w:r>
        <w:r w:rsidR="00527456">
          <w:rPr>
            <w:webHidden/>
          </w:rPr>
          <w:fldChar w:fldCharType="begin"/>
        </w:r>
        <w:r w:rsidR="00527456">
          <w:rPr>
            <w:webHidden/>
          </w:rPr>
          <w:instrText xml:space="preserve"> PAGEREF _Toc458610813 \h </w:instrText>
        </w:r>
        <w:r w:rsidR="00527456">
          <w:rPr>
            <w:webHidden/>
          </w:rPr>
        </w:r>
        <w:r w:rsidR="00527456">
          <w:rPr>
            <w:webHidden/>
          </w:rPr>
          <w:fldChar w:fldCharType="separate"/>
        </w:r>
        <w:r w:rsidR="00527456">
          <w:rPr>
            <w:webHidden/>
          </w:rPr>
          <w:t>50</w:t>
        </w:r>
        <w:r w:rsidR="00527456">
          <w:rPr>
            <w:webHidden/>
          </w:rPr>
          <w:fldChar w:fldCharType="end"/>
        </w:r>
      </w:hyperlink>
    </w:p>
    <w:p w:rsidR="00527456" w:rsidRDefault="003323B7">
      <w:pPr>
        <w:pStyle w:val="TOC2"/>
        <w:rPr>
          <w:rFonts w:asciiTheme="minorHAnsi" w:eastAsiaTheme="minorEastAsia" w:hAnsiTheme="minorHAnsi" w:cstheme="minorBidi"/>
          <w:smallCaps w:val="0"/>
          <w:sz w:val="22"/>
          <w:szCs w:val="22"/>
          <w:lang w:val="en-ZA" w:eastAsia="en-ZA"/>
        </w:rPr>
      </w:pPr>
      <w:hyperlink w:anchor="_Toc458610814" w:history="1">
        <w:r w:rsidR="00527456" w:rsidRPr="009A1F77">
          <w:rPr>
            <w:rStyle w:val="Hyperlink"/>
            <w:lang w:val="en-ZA"/>
          </w:rPr>
          <w:t>4.2</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Results pertaining to unit trusts in South Africa by gender</w:t>
        </w:r>
        <w:r w:rsidR="00527456">
          <w:rPr>
            <w:webHidden/>
          </w:rPr>
          <w:tab/>
        </w:r>
        <w:r w:rsidR="00527456">
          <w:rPr>
            <w:webHidden/>
          </w:rPr>
          <w:fldChar w:fldCharType="begin"/>
        </w:r>
        <w:r w:rsidR="00527456">
          <w:rPr>
            <w:webHidden/>
          </w:rPr>
          <w:instrText xml:space="preserve"> PAGEREF _Toc458610814 \h </w:instrText>
        </w:r>
        <w:r w:rsidR="00527456">
          <w:rPr>
            <w:webHidden/>
          </w:rPr>
        </w:r>
        <w:r w:rsidR="00527456">
          <w:rPr>
            <w:webHidden/>
          </w:rPr>
          <w:fldChar w:fldCharType="separate"/>
        </w:r>
        <w:r w:rsidR="00527456">
          <w:rPr>
            <w:webHidden/>
          </w:rPr>
          <w:t>51</w:t>
        </w:r>
        <w:r w:rsidR="00527456">
          <w:rPr>
            <w:webHidden/>
          </w:rPr>
          <w:fldChar w:fldCharType="end"/>
        </w:r>
      </w:hyperlink>
    </w:p>
    <w:p w:rsidR="00527456" w:rsidRDefault="003323B7">
      <w:pPr>
        <w:pStyle w:val="TOC3"/>
        <w:tabs>
          <w:tab w:val="left" w:pos="1400"/>
          <w:tab w:val="right" w:leader="dot" w:pos="8494"/>
        </w:tabs>
        <w:rPr>
          <w:rFonts w:asciiTheme="minorHAnsi" w:eastAsiaTheme="minorEastAsia" w:hAnsiTheme="minorHAnsi" w:cstheme="minorBidi"/>
          <w:smallCaps w:val="0"/>
          <w:sz w:val="22"/>
          <w:szCs w:val="22"/>
          <w:lang w:val="en-ZA" w:eastAsia="en-ZA"/>
        </w:rPr>
      </w:pPr>
      <w:hyperlink w:anchor="_Toc458610815" w:history="1">
        <w:r w:rsidR="00527456" w:rsidRPr="009A1F77">
          <w:rPr>
            <w:rStyle w:val="Hyperlink"/>
            <w:lang w:val="en-ZA"/>
            <w14:scene3d>
              <w14:camera w14:prst="orthographicFront"/>
              <w14:lightRig w14:rig="threePt" w14:dir="t">
                <w14:rot w14:lat="0" w14:lon="0" w14:rev="0"/>
              </w14:lightRig>
            </w14:scene3d>
          </w:rPr>
          <w:t>4.2.1</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Results pertaining to gender in the unit trust industry of South Africa</w:t>
        </w:r>
        <w:r w:rsidR="00527456">
          <w:rPr>
            <w:webHidden/>
          </w:rPr>
          <w:tab/>
        </w:r>
        <w:r w:rsidR="00527456">
          <w:rPr>
            <w:webHidden/>
          </w:rPr>
          <w:fldChar w:fldCharType="begin"/>
        </w:r>
        <w:r w:rsidR="00527456">
          <w:rPr>
            <w:webHidden/>
          </w:rPr>
          <w:instrText xml:space="preserve"> PAGEREF _Toc458610815 \h </w:instrText>
        </w:r>
        <w:r w:rsidR="00527456">
          <w:rPr>
            <w:webHidden/>
          </w:rPr>
        </w:r>
        <w:r w:rsidR="00527456">
          <w:rPr>
            <w:webHidden/>
          </w:rPr>
          <w:fldChar w:fldCharType="separate"/>
        </w:r>
        <w:r w:rsidR="00527456">
          <w:rPr>
            <w:webHidden/>
          </w:rPr>
          <w:t>51</w:t>
        </w:r>
        <w:r w:rsidR="00527456">
          <w:rPr>
            <w:webHidden/>
          </w:rPr>
          <w:fldChar w:fldCharType="end"/>
        </w:r>
      </w:hyperlink>
    </w:p>
    <w:p w:rsidR="00527456" w:rsidRDefault="003323B7">
      <w:pPr>
        <w:pStyle w:val="TOC3"/>
        <w:tabs>
          <w:tab w:val="right" w:leader="dot" w:pos="8494"/>
        </w:tabs>
        <w:rPr>
          <w:rFonts w:asciiTheme="minorHAnsi" w:eastAsiaTheme="minorEastAsia" w:hAnsiTheme="minorHAnsi" w:cstheme="minorBidi"/>
          <w:smallCaps w:val="0"/>
          <w:sz w:val="22"/>
          <w:szCs w:val="22"/>
          <w:lang w:val="en-ZA" w:eastAsia="en-ZA"/>
        </w:rPr>
      </w:pPr>
      <w:hyperlink w:anchor="_Toc458610816" w:history="1">
        <w:r w:rsidR="00527456">
          <w:rPr>
            <w:webHidden/>
          </w:rPr>
          <w:tab/>
        </w:r>
        <w:r w:rsidR="00527456">
          <w:rPr>
            <w:webHidden/>
          </w:rPr>
          <w:fldChar w:fldCharType="begin"/>
        </w:r>
        <w:r w:rsidR="00527456">
          <w:rPr>
            <w:webHidden/>
          </w:rPr>
          <w:instrText xml:space="preserve"> PAGEREF _Toc458610816 \h </w:instrText>
        </w:r>
        <w:r w:rsidR="00527456">
          <w:rPr>
            <w:webHidden/>
          </w:rPr>
        </w:r>
        <w:r w:rsidR="00527456">
          <w:rPr>
            <w:webHidden/>
          </w:rPr>
          <w:fldChar w:fldCharType="separate"/>
        </w:r>
        <w:r w:rsidR="00527456">
          <w:rPr>
            <w:webHidden/>
          </w:rPr>
          <w:t>54</w:t>
        </w:r>
        <w:r w:rsidR="00527456">
          <w:rPr>
            <w:webHidden/>
          </w:rPr>
          <w:fldChar w:fldCharType="end"/>
        </w:r>
      </w:hyperlink>
    </w:p>
    <w:p w:rsidR="00527456" w:rsidRDefault="003323B7">
      <w:pPr>
        <w:pStyle w:val="TOC3"/>
        <w:tabs>
          <w:tab w:val="left" w:pos="1400"/>
          <w:tab w:val="right" w:leader="dot" w:pos="8494"/>
        </w:tabs>
        <w:rPr>
          <w:rFonts w:asciiTheme="minorHAnsi" w:eastAsiaTheme="minorEastAsia" w:hAnsiTheme="minorHAnsi" w:cstheme="minorBidi"/>
          <w:smallCaps w:val="0"/>
          <w:sz w:val="22"/>
          <w:szCs w:val="22"/>
          <w:lang w:val="en-ZA" w:eastAsia="en-ZA"/>
        </w:rPr>
      </w:pPr>
      <w:hyperlink w:anchor="_Toc458610817" w:history="1">
        <w:r w:rsidR="00527456" w:rsidRPr="009A1F77">
          <w:rPr>
            <w:rStyle w:val="Hyperlink"/>
            <w:lang w:val="en-ZA"/>
            <w14:scene3d>
              <w14:camera w14:prst="orthographicFront"/>
              <w14:lightRig w14:rig="threePt" w14:dir="t">
                <w14:rot w14:lat="0" w14:lon="0" w14:rev="0"/>
              </w14:lightRig>
            </w14:scene3d>
          </w:rPr>
          <w:t>4.2.2</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Results pertaining to the net value of assets under management</w:t>
        </w:r>
        <w:r w:rsidR="00527456">
          <w:rPr>
            <w:webHidden/>
          </w:rPr>
          <w:tab/>
        </w:r>
        <w:r w:rsidR="00527456">
          <w:rPr>
            <w:webHidden/>
          </w:rPr>
          <w:fldChar w:fldCharType="begin"/>
        </w:r>
        <w:r w:rsidR="00527456">
          <w:rPr>
            <w:webHidden/>
          </w:rPr>
          <w:instrText xml:space="preserve"> PAGEREF _Toc458610817 \h </w:instrText>
        </w:r>
        <w:r w:rsidR="00527456">
          <w:rPr>
            <w:webHidden/>
          </w:rPr>
        </w:r>
        <w:r w:rsidR="00527456">
          <w:rPr>
            <w:webHidden/>
          </w:rPr>
          <w:fldChar w:fldCharType="separate"/>
        </w:r>
        <w:r w:rsidR="00527456">
          <w:rPr>
            <w:webHidden/>
          </w:rPr>
          <w:t>54</w:t>
        </w:r>
        <w:r w:rsidR="00527456">
          <w:rPr>
            <w:webHidden/>
          </w:rPr>
          <w:fldChar w:fldCharType="end"/>
        </w:r>
      </w:hyperlink>
    </w:p>
    <w:p w:rsidR="00527456" w:rsidRDefault="003323B7">
      <w:pPr>
        <w:pStyle w:val="TOC3"/>
        <w:tabs>
          <w:tab w:val="left" w:pos="1400"/>
          <w:tab w:val="right" w:leader="dot" w:pos="8494"/>
        </w:tabs>
        <w:rPr>
          <w:rFonts w:asciiTheme="minorHAnsi" w:eastAsiaTheme="minorEastAsia" w:hAnsiTheme="minorHAnsi" w:cstheme="minorBidi"/>
          <w:smallCaps w:val="0"/>
          <w:sz w:val="22"/>
          <w:szCs w:val="22"/>
          <w:lang w:val="en-ZA" w:eastAsia="en-ZA"/>
        </w:rPr>
      </w:pPr>
      <w:hyperlink w:anchor="_Toc458610818" w:history="1">
        <w:r w:rsidR="00527456" w:rsidRPr="009A1F77">
          <w:rPr>
            <w:rStyle w:val="Hyperlink"/>
            <w:lang w:val="en-ZA"/>
            <w14:scene3d>
              <w14:camera w14:prst="orthographicFront"/>
              <w14:lightRig w14:rig="threePt" w14:dir="t">
                <w14:rot w14:lat="0" w14:lon="0" w14:rev="0"/>
              </w14:lightRig>
            </w14:scene3d>
          </w:rPr>
          <w:t>4.2.3</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Results pertaining to the riskiness of the funds managed</w:t>
        </w:r>
        <w:r w:rsidR="00527456">
          <w:rPr>
            <w:webHidden/>
          </w:rPr>
          <w:tab/>
        </w:r>
        <w:r w:rsidR="00527456">
          <w:rPr>
            <w:webHidden/>
          </w:rPr>
          <w:fldChar w:fldCharType="begin"/>
        </w:r>
        <w:r w:rsidR="00527456">
          <w:rPr>
            <w:webHidden/>
          </w:rPr>
          <w:instrText xml:space="preserve"> PAGEREF _Toc458610818 \h </w:instrText>
        </w:r>
        <w:r w:rsidR="00527456">
          <w:rPr>
            <w:webHidden/>
          </w:rPr>
        </w:r>
        <w:r w:rsidR="00527456">
          <w:rPr>
            <w:webHidden/>
          </w:rPr>
          <w:fldChar w:fldCharType="separate"/>
        </w:r>
        <w:r w:rsidR="00527456">
          <w:rPr>
            <w:webHidden/>
          </w:rPr>
          <w:t>55</w:t>
        </w:r>
        <w:r w:rsidR="00527456">
          <w:rPr>
            <w:webHidden/>
          </w:rPr>
          <w:fldChar w:fldCharType="end"/>
        </w:r>
      </w:hyperlink>
    </w:p>
    <w:p w:rsidR="00527456" w:rsidRDefault="003323B7" w:rsidP="00527456">
      <w:pPr>
        <w:pStyle w:val="TOC3"/>
        <w:tabs>
          <w:tab w:val="left" w:pos="1400"/>
          <w:tab w:val="right" w:leader="dot" w:pos="8494"/>
        </w:tabs>
        <w:ind w:left="1395" w:hanging="675"/>
        <w:rPr>
          <w:rFonts w:asciiTheme="minorHAnsi" w:eastAsiaTheme="minorEastAsia" w:hAnsiTheme="minorHAnsi" w:cstheme="minorBidi"/>
          <w:smallCaps w:val="0"/>
          <w:sz w:val="22"/>
          <w:szCs w:val="22"/>
          <w:lang w:val="en-ZA" w:eastAsia="en-ZA"/>
        </w:rPr>
      </w:pPr>
      <w:hyperlink w:anchor="_Toc458610819" w:history="1">
        <w:r w:rsidR="00527456" w:rsidRPr="009A1F77">
          <w:rPr>
            <w:rStyle w:val="Hyperlink"/>
            <w:lang w:val="en-ZA"/>
            <w14:scene3d>
              <w14:camera w14:prst="orthographicFront"/>
              <w14:lightRig w14:rig="threePt" w14:dir="t">
                <w14:rot w14:lat="0" w14:lon="0" w14:rev="0"/>
              </w14:lightRig>
            </w14:scene3d>
          </w:rPr>
          <w:t>4.2.4</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Results pertaining to the performance of single managed funds in South Africa based on gender</w:t>
        </w:r>
        <w:r w:rsidR="00527456">
          <w:rPr>
            <w:webHidden/>
          </w:rPr>
          <w:tab/>
        </w:r>
        <w:r w:rsidR="00527456">
          <w:rPr>
            <w:webHidden/>
          </w:rPr>
          <w:fldChar w:fldCharType="begin"/>
        </w:r>
        <w:r w:rsidR="00527456">
          <w:rPr>
            <w:webHidden/>
          </w:rPr>
          <w:instrText xml:space="preserve"> PAGEREF _Toc458610819 \h </w:instrText>
        </w:r>
        <w:r w:rsidR="00527456">
          <w:rPr>
            <w:webHidden/>
          </w:rPr>
        </w:r>
        <w:r w:rsidR="00527456">
          <w:rPr>
            <w:webHidden/>
          </w:rPr>
          <w:fldChar w:fldCharType="separate"/>
        </w:r>
        <w:r w:rsidR="00527456">
          <w:rPr>
            <w:webHidden/>
          </w:rPr>
          <w:t>57</w:t>
        </w:r>
        <w:r w:rsidR="00527456">
          <w:rPr>
            <w:webHidden/>
          </w:rPr>
          <w:fldChar w:fldCharType="end"/>
        </w:r>
      </w:hyperlink>
    </w:p>
    <w:p w:rsidR="00527456" w:rsidRDefault="003323B7" w:rsidP="00527456">
      <w:pPr>
        <w:pStyle w:val="TOC3"/>
        <w:tabs>
          <w:tab w:val="left" w:pos="1400"/>
          <w:tab w:val="right" w:leader="dot" w:pos="8494"/>
        </w:tabs>
        <w:ind w:left="1395" w:hanging="675"/>
        <w:rPr>
          <w:rFonts w:asciiTheme="minorHAnsi" w:eastAsiaTheme="minorEastAsia" w:hAnsiTheme="minorHAnsi" w:cstheme="minorBidi"/>
          <w:smallCaps w:val="0"/>
          <w:sz w:val="22"/>
          <w:szCs w:val="22"/>
          <w:lang w:val="en-ZA" w:eastAsia="en-ZA"/>
        </w:rPr>
      </w:pPr>
      <w:hyperlink w:anchor="_Toc458610820" w:history="1">
        <w:r w:rsidR="00527456" w:rsidRPr="009A1F77">
          <w:rPr>
            <w:rStyle w:val="Hyperlink"/>
            <w:lang w:val="en-ZA"/>
            <w14:scene3d>
              <w14:camera w14:prst="orthographicFront"/>
              <w14:lightRig w14:rig="threePt" w14:dir="t">
                <w14:rot w14:lat="0" w14:lon="0" w14:rev="0"/>
              </w14:lightRig>
            </w14:scene3d>
          </w:rPr>
          <w:t>4.2.5</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Results pertaining to the performance of all funds in South Africa by gender against each other and the benchmark</w:t>
        </w:r>
        <w:r w:rsidR="00527456">
          <w:rPr>
            <w:webHidden/>
          </w:rPr>
          <w:tab/>
        </w:r>
        <w:r w:rsidR="00527456">
          <w:rPr>
            <w:webHidden/>
          </w:rPr>
          <w:fldChar w:fldCharType="begin"/>
        </w:r>
        <w:r w:rsidR="00527456">
          <w:rPr>
            <w:webHidden/>
          </w:rPr>
          <w:instrText xml:space="preserve"> PAGEREF _Toc458610820 \h </w:instrText>
        </w:r>
        <w:r w:rsidR="00527456">
          <w:rPr>
            <w:webHidden/>
          </w:rPr>
        </w:r>
        <w:r w:rsidR="00527456">
          <w:rPr>
            <w:webHidden/>
          </w:rPr>
          <w:fldChar w:fldCharType="separate"/>
        </w:r>
        <w:r w:rsidR="00527456">
          <w:rPr>
            <w:webHidden/>
          </w:rPr>
          <w:t>66</w:t>
        </w:r>
        <w:r w:rsidR="00527456">
          <w:rPr>
            <w:webHidden/>
          </w:rPr>
          <w:fldChar w:fldCharType="end"/>
        </w:r>
      </w:hyperlink>
    </w:p>
    <w:p w:rsidR="00527456" w:rsidRDefault="003323B7" w:rsidP="00527456">
      <w:pPr>
        <w:pStyle w:val="TOC3"/>
        <w:tabs>
          <w:tab w:val="left" w:pos="1400"/>
          <w:tab w:val="right" w:leader="dot" w:pos="8494"/>
        </w:tabs>
        <w:ind w:left="1395" w:hanging="675"/>
        <w:rPr>
          <w:rFonts w:asciiTheme="minorHAnsi" w:eastAsiaTheme="minorEastAsia" w:hAnsiTheme="minorHAnsi" w:cstheme="minorBidi"/>
          <w:smallCaps w:val="0"/>
          <w:sz w:val="22"/>
          <w:szCs w:val="22"/>
          <w:lang w:val="en-ZA" w:eastAsia="en-ZA"/>
        </w:rPr>
      </w:pPr>
      <w:hyperlink w:anchor="_Toc458610821" w:history="1">
        <w:r w:rsidR="00527456" w:rsidRPr="009A1F77">
          <w:rPr>
            <w:rStyle w:val="Hyperlink"/>
            <w:lang w:val="en-ZA"/>
            <w14:scene3d>
              <w14:camera w14:prst="orthographicFront"/>
              <w14:lightRig w14:rig="threePt" w14:dir="t">
                <w14:rot w14:lat="0" w14:lon="0" w14:rev="0"/>
              </w14:lightRig>
            </w14:scene3d>
          </w:rPr>
          <w:t>4.2.6</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Results pertaining to the performance of funds in South Africa compared by gender per a sector</w:t>
        </w:r>
        <w:r w:rsidR="00527456">
          <w:rPr>
            <w:webHidden/>
          </w:rPr>
          <w:tab/>
        </w:r>
        <w:r w:rsidR="00527456">
          <w:rPr>
            <w:webHidden/>
          </w:rPr>
          <w:fldChar w:fldCharType="begin"/>
        </w:r>
        <w:r w:rsidR="00527456">
          <w:rPr>
            <w:webHidden/>
          </w:rPr>
          <w:instrText xml:space="preserve"> PAGEREF _Toc458610821 \h </w:instrText>
        </w:r>
        <w:r w:rsidR="00527456">
          <w:rPr>
            <w:webHidden/>
          </w:rPr>
        </w:r>
        <w:r w:rsidR="00527456">
          <w:rPr>
            <w:webHidden/>
          </w:rPr>
          <w:fldChar w:fldCharType="separate"/>
        </w:r>
        <w:r w:rsidR="00527456">
          <w:rPr>
            <w:webHidden/>
          </w:rPr>
          <w:t>68</w:t>
        </w:r>
        <w:r w:rsidR="00527456">
          <w:rPr>
            <w:webHidden/>
          </w:rPr>
          <w:fldChar w:fldCharType="end"/>
        </w:r>
      </w:hyperlink>
    </w:p>
    <w:p w:rsidR="00527456" w:rsidRDefault="003323B7">
      <w:pPr>
        <w:pStyle w:val="TOC2"/>
        <w:rPr>
          <w:rFonts w:asciiTheme="minorHAnsi" w:eastAsiaTheme="minorEastAsia" w:hAnsiTheme="minorHAnsi" w:cstheme="minorBidi"/>
          <w:smallCaps w:val="0"/>
          <w:sz w:val="22"/>
          <w:szCs w:val="22"/>
          <w:lang w:val="en-ZA" w:eastAsia="en-ZA"/>
        </w:rPr>
      </w:pPr>
      <w:hyperlink w:anchor="_Toc458610822" w:history="1">
        <w:r w:rsidR="00527456" w:rsidRPr="009A1F77">
          <w:rPr>
            <w:rStyle w:val="Hyperlink"/>
            <w:lang w:val="en-ZA"/>
          </w:rPr>
          <w:t>4.3</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Summary of the results</w:t>
        </w:r>
        <w:r w:rsidR="00527456">
          <w:rPr>
            <w:webHidden/>
          </w:rPr>
          <w:tab/>
        </w:r>
        <w:r w:rsidR="00527456">
          <w:rPr>
            <w:webHidden/>
          </w:rPr>
          <w:fldChar w:fldCharType="begin"/>
        </w:r>
        <w:r w:rsidR="00527456">
          <w:rPr>
            <w:webHidden/>
          </w:rPr>
          <w:instrText xml:space="preserve"> PAGEREF _Toc458610822 \h </w:instrText>
        </w:r>
        <w:r w:rsidR="00527456">
          <w:rPr>
            <w:webHidden/>
          </w:rPr>
        </w:r>
        <w:r w:rsidR="00527456">
          <w:rPr>
            <w:webHidden/>
          </w:rPr>
          <w:fldChar w:fldCharType="separate"/>
        </w:r>
        <w:r w:rsidR="00527456">
          <w:rPr>
            <w:webHidden/>
          </w:rPr>
          <w:t>71</w:t>
        </w:r>
        <w:r w:rsidR="00527456">
          <w:rPr>
            <w:webHidden/>
          </w:rPr>
          <w:fldChar w:fldCharType="end"/>
        </w:r>
      </w:hyperlink>
    </w:p>
    <w:p w:rsidR="00527456" w:rsidRDefault="003323B7">
      <w:pPr>
        <w:pStyle w:val="TOC1"/>
        <w:tabs>
          <w:tab w:val="left" w:pos="1885"/>
        </w:tabs>
        <w:rPr>
          <w:rFonts w:asciiTheme="minorHAnsi" w:eastAsiaTheme="minorEastAsia" w:hAnsiTheme="minorHAnsi" w:cstheme="minorBidi"/>
          <w:b w:val="0"/>
          <w:sz w:val="22"/>
          <w:szCs w:val="22"/>
          <w:lang w:val="en-ZA" w:eastAsia="en-ZA"/>
        </w:rPr>
      </w:pPr>
      <w:hyperlink w:anchor="_Toc458610823" w:history="1">
        <w:r w:rsidR="00527456" w:rsidRPr="009A1F77">
          <w:rPr>
            <w:rStyle w:val="Hyperlink"/>
            <w:lang w:val="en-ZA"/>
          </w:rPr>
          <w:t>CHAPTER 5.</w:t>
        </w:r>
        <w:r w:rsidR="00527456">
          <w:rPr>
            <w:rFonts w:asciiTheme="minorHAnsi" w:eastAsiaTheme="minorEastAsia" w:hAnsiTheme="minorHAnsi" w:cstheme="minorBidi"/>
            <w:b w:val="0"/>
            <w:sz w:val="22"/>
            <w:szCs w:val="22"/>
            <w:lang w:val="en-ZA" w:eastAsia="en-ZA"/>
          </w:rPr>
          <w:tab/>
        </w:r>
        <w:r w:rsidR="00527456" w:rsidRPr="009A1F77">
          <w:rPr>
            <w:rStyle w:val="Hyperlink"/>
            <w:lang w:val="en-ZA"/>
          </w:rPr>
          <w:t>DISCUSSION OF THE RESULTS</w:t>
        </w:r>
        <w:r w:rsidR="00527456">
          <w:rPr>
            <w:webHidden/>
          </w:rPr>
          <w:tab/>
        </w:r>
        <w:r w:rsidR="00527456">
          <w:rPr>
            <w:webHidden/>
          </w:rPr>
          <w:fldChar w:fldCharType="begin"/>
        </w:r>
        <w:r w:rsidR="00527456">
          <w:rPr>
            <w:webHidden/>
          </w:rPr>
          <w:instrText xml:space="preserve"> PAGEREF _Toc458610823 \h </w:instrText>
        </w:r>
        <w:r w:rsidR="00527456">
          <w:rPr>
            <w:webHidden/>
          </w:rPr>
        </w:r>
        <w:r w:rsidR="00527456">
          <w:rPr>
            <w:webHidden/>
          </w:rPr>
          <w:fldChar w:fldCharType="separate"/>
        </w:r>
        <w:r w:rsidR="00527456">
          <w:rPr>
            <w:webHidden/>
          </w:rPr>
          <w:t>73</w:t>
        </w:r>
        <w:r w:rsidR="00527456">
          <w:rPr>
            <w:webHidden/>
          </w:rPr>
          <w:fldChar w:fldCharType="end"/>
        </w:r>
      </w:hyperlink>
    </w:p>
    <w:p w:rsidR="00527456" w:rsidRDefault="003323B7">
      <w:pPr>
        <w:pStyle w:val="TOC2"/>
        <w:rPr>
          <w:rFonts w:asciiTheme="minorHAnsi" w:eastAsiaTheme="minorEastAsia" w:hAnsiTheme="minorHAnsi" w:cstheme="minorBidi"/>
          <w:smallCaps w:val="0"/>
          <w:sz w:val="22"/>
          <w:szCs w:val="22"/>
          <w:lang w:val="en-ZA" w:eastAsia="en-ZA"/>
        </w:rPr>
      </w:pPr>
      <w:hyperlink w:anchor="_Toc458610824" w:history="1">
        <w:r w:rsidR="00527456" w:rsidRPr="009A1F77">
          <w:rPr>
            <w:rStyle w:val="Hyperlink"/>
            <w:lang w:val="en-ZA"/>
          </w:rPr>
          <w:t>5.1</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Introduction</w:t>
        </w:r>
        <w:r w:rsidR="00527456">
          <w:rPr>
            <w:webHidden/>
          </w:rPr>
          <w:tab/>
        </w:r>
        <w:r w:rsidR="00527456">
          <w:rPr>
            <w:webHidden/>
          </w:rPr>
          <w:fldChar w:fldCharType="begin"/>
        </w:r>
        <w:r w:rsidR="00527456">
          <w:rPr>
            <w:webHidden/>
          </w:rPr>
          <w:instrText xml:space="preserve"> PAGEREF _Toc458610824 \h </w:instrText>
        </w:r>
        <w:r w:rsidR="00527456">
          <w:rPr>
            <w:webHidden/>
          </w:rPr>
        </w:r>
        <w:r w:rsidR="00527456">
          <w:rPr>
            <w:webHidden/>
          </w:rPr>
          <w:fldChar w:fldCharType="separate"/>
        </w:r>
        <w:r w:rsidR="00527456">
          <w:rPr>
            <w:webHidden/>
          </w:rPr>
          <w:t>73</w:t>
        </w:r>
        <w:r w:rsidR="00527456">
          <w:rPr>
            <w:webHidden/>
          </w:rPr>
          <w:fldChar w:fldCharType="end"/>
        </w:r>
      </w:hyperlink>
    </w:p>
    <w:p w:rsidR="00527456" w:rsidRDefault="003323B7">
      <w:pPr>
        <w:pStyle w:val="TOC2"/>
        <w:rPr>
          <w:rFonts w:asciiTheme="minorHAnsi" w:eastAsiaTheme="minorEastAsia" w:hAnsiTheme="minorHAnsi" w:cstheme="minorBidi"/>
          <w:smallCaps w:val="0"/>
          <w:sz w:val="22"/>
          <w:szCs w:val="22"/>
          <w:lang w:val="en-ZA" w:eastAsia="en-ZA"/>
        </w:rPr>
      </w:pPr>
      <w:hyperlink w:anchor="_Toc458610825" w:history="1">
        <w:r w:rsidR="00527456" w:rsidRPr="009A1F77">
          <w:rPr>
            <w:rStyle w:val="Hyperlink"/>
            <w:lang w:val="en-ZA"/>
          </w:rPr>
          <w:t>5.2</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Discussion pertaining to the performance of female managed unit trusts in South Africa</w:t>
        </w:r>
        <w:r w:rsidR="00527456">
          <w:rPr>
            <w:webHidden/>
          </w:rPr>
          <w:tab/>
        </w:r>
        <w:r w:rsidR="00527456">
          <w:rPr>
            <w:webHidden/>
          </w:rPr>
          <w:fldChar w:fldCharType="begin"/>
        </w:r>
        <w:r w:rsidR="00527456">
          <w:rPr>
            <w:webHidden/>
          </w:rPr>
          <w:instrText xml:space="preserve"> PAGEREF _Toc458610825 \h </w:instrText>
        </w:r>
        <w:r w:rsidR="00527456">
          <w:rPr>
            <w:webHidden/>
          </w:rPr>
        </w:r>
        <w:r w:rsidR="00527456">
          <w:rPr>
            <w:webHidden/>
          </w:rPr>
          <w:fldChar w:fldCharType="separate"/>
        </w:r>
        <w:r w:rsidR="00527456">
          <w:rPr>
            <w:webHidden/>
          </w:rPr>
          <w:t>73</w:t>
        </w:r>
        <w:r w:rsidR="00527456">
          <w:rPr>
            <w:webHidden/>
          </w:rPr>
          <w:fldChar w:fldCharType="end"/>
        </w:r>
      </w:hyperlink>
    </w:p>
    <w:p w:rsidR="00527456" w:rsidRDefault="003323B7">
      <w:pPr>
        <w:pStyle w:val="TOC3"/>
        <w:tabs>
          <w:tab w:val="left" w:pos="1400"/>
          <w:tab w:val="right" w:leader="dot" w:pos="8494"/>
        </w:tabs>
        <w:rPr>
          <w:rFonts w:asciiTheme="minorHAnsi" w:eastAsiaTheme="minorEastAsia" w:hAnsiTheme="minorHAnsi" w:cstheme="minorBidi"/>
          <w:smallCaps w:val="0"/>
          <w:sz w:val="22"/>
          <w:szCs w:val="22"/>
          <w:lang w:val="en-ZA" w:eastAsia="en-ZA"/>
        </w:rPr>
      </w:pPr>
      <w:hyperlink w:anchor="_Toc458610826" w:history="1">
        <w:r w:rsidR="00527456" w:rsidRPr="009A1F77">
          <w:rPr>
            <w:rStyle w:val="Hyperlink"/>
            <w:lang w:val="en-ZA"/>
            <w14:scene3d>
              <w14:camera w14:prst="orthographicFront"/>
              <w14:lightRig w14:rig="threePt" w14:dir="t">
                <w14:rot w14:lat="0" w14:lon="0" w14:rev="0"/>
              </w14:lightRig>
            </w14:scene3d>
          </w:rPr>
          <w:t>5.2.1</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The presence of females in the unit trust industry of South Africa</w:t>
        </w:r>
        <w:r w:rsidR="00527456">
          <w:rPr>
            <w:webHidden/>
          </w:rPr>
          <w:tab/>
        </w:r>
        <w:r w:rsidR="00527456">
          <w:rPr>
            <w:webHidden/>
          </w:rPr>
          <w:fldChar w:fldCharType="begin"/>
        </w:r>
        <w:r w:rsidR="00527456">
          <w:rPr>
            <w:webHidden/>
          </w:rPr>
          <w:instrText xml:space="preserve"> PAGEREF _Toc458610826 \h </w:instrText>
        </w:r>
        <w:r w:rsidR="00527456">
          <w:rPr>
            <w:webHidden/>
          </w:rPr>
        </w:r>
        <w:r w:rsidR="00527456">
          <w:rPr>
            <w:webHidden/>
          </w:rPr>
          <w:fldChar w:fldCharType="separate"/>
        </w:r>
        <w:r w:rsidR="00527456">
          <w:rPr>
            <w:webHidden/>
          </w:rPr>
          <w:t>73</w:t>
        </w:r>
        <w:r w:rsidR="00527456">
          <w:rPr>
            <w:webHidden/>
          </w:rPr>
          <w:fldChar w:fldCharType="end"/>
        </w:r>
      </w:hyperlink>
    </w:p>
    <w:p w:rsidR="00527456" w:rsidRDefault="003323B7">
      <w:pPr>
        <w:pStyle w:val="TOC3"/>
        <w:tabs>
          <w:tab w:val="left" w:pos="1400"/>
          <w:tab w:val="right" w:leader="dot" w:pos="8494"/>
        </w:tabs>
        <w:rPr>
          <w:rFonts w:asciiTheme="minorHAnsi" w:eastAsiaTheme="minorEastAsia" w:hAnsiTheme="minorHAnsi" w:cstheme="minorBidi"/>
          <w:smallCaps w:val="0"/>
          <w:sz w:val="22"/>
          <w:szCs w:val="22"/>
          <w:lang w:val="en-ZA" w:eastAsia="en-ZA"/>
        </w:rPr>
      </w:pPr>
      <w:hyperlink w:anchor="_Toc458610827" w:history="1">
        <w:r w:rsidR="00527456" w:rsidRPr="009A1F77">
          <w:rPr>
            <w:rStyle w:val="Hyperlink"/>
            <w:lang w:val="en-ZA"/>
            <w14:scene3d>
              <w14:camera w14:prst="orthographicFront"/>
              <w14:lightRig w14:rig="threePt" w14:dir="t">
                <w14:rot w14:lat="0" w14:lon="0" w14:rev="0"/>
              </w14:lightRig>
            </w14:scene3d>
          </w:rPr>
          <w:t>5.2.2</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The riskiness of female managed funds</w:t>
        </w:r>
        <w:r w:rsidR="00527456">
          <w:rPr>
            <w:webHidden/>
          </w:rPr>
          <w:tab/>
        </w:r>
        <w:r w:rsidR="00527456">
          <w:rPr>
            <w:webHidden/>
          </w:rPr>
          <w:fldChar w:fldCharType="begin"/>
        </w:r>
        <w:r w:rsidR="00527456">
          <w:rPr>
            <w:webHidden/>
          </w:rPr>
          <w:instrText xml:space="preserve"> PAGEREF _Toc458610827 \h </w:instrText>
        </w:r>
        <w:r w:rsidR="00527456">
          <w:rPr>
            <w:webHidden/>
          </w:rPr>
        </w:r>
        <w:r w:rsidR="00527456">
          <w:rPr>
            <w:webHidden/>
          </w:rPr>
          <w:fldChar w:fldCharType="separate"/>
        </w:r>
        <w:r w:rsidR="00527456">
          <w:rPr>
            <w:webHidden/>
          </w:rPr>
          <w:t>76</w:t>
        </w:r>
        <w:r w:rsidR="00527456">
          <w:rPr>
            <w:webHidden/>
          </w:rPr>
          <w:fldChar w:fldCharType="end"/>
        </w:r>
      </w:hyperlink>
    </w:p>
    <w:p w:rsidR="00527456" w:rsidRDefault="003323B7" w:rsidP="00527456">
      <w:pPr>
        <w:pStyle w:val="TOC3"/>
        <w:tabs>
          <w:tab w:val="left" w:pos="1400"/>
          <w:tab w:val="right" w:leader="dot" w:pos="8494"/>
        </w:tabs>
        <w:ind w:left="1395" w:hanging="675"/>
        <w:rPr>
          <w:rFonts w:asciiTheme="minorHAnsi" w:eastAsiaTheme="minorEastAsia" w:hAnsiTheme="minorHAnsi" w:cstheme="minorBidi"/>
          <w:smallCaps w:val="0"/>
          <w:sz w:val="22"/>
          <w:szCs w:val="22"/>
          <w:lang w:val="en-ZA" w:eastAsia="en-ZA"/>
        </w:rPr>
      </w:pPr>
      <w:hyperlink w:anchor="_Toc458610828" w:history="1">
        <w:r w:rsidR="00527456" w:rsidRPr="009A1F77">
          <w:rPr>
            <w:rStyle w:val="Hyperlink"/>
            <w:lang w:val="en-ZA"/>
            <w14:scene3d>
              <w14:camera w14:prst="orthographicFront"/>
              <w14:lightRig w14:rig="threePt" w14:dir="t">
                <w14:rot w14:lat="0" w14:lon="0" w14:rev="0"/>
              </w14:lightRig>
            </w14:scene3d>
          </w:rPr>
          <w:t>5.2.3</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The performance of female managed unit trusts compared to similar male managed unit trusts</w:t>
        </w:r>
        <w:r w:rsidR="00527456">
          <w:rPr>
            <w:webHidden/>
          </w:rPr>
          <w:tab/>
        </w:r>
        <w:r w:rsidR="00527456">
          <w:rPr>
            <w:webHidden/>
          </w:rPr>
          <w:fldChar w:fldCharType="begin"/>
        </w:r>
        <w:r w:rsidR="00527456">
          <w:rPr>
            <w:webHidden/>
          </w:rPr>
          <w:instrText xml:space="preserve"> PAGEREF _Toc458610828 \h </w:instrText>
        </w:r>
        <w:r w:rsidR="00527456">
          <w:rPr>
            <w:webHidden/>
          </w:rPr>
        </w:r>
        <w:r w:rsidR="00527456">
          <w:rPr>
            <w:webHidden/>
          </w:rPr>
          <w:fldChar w:fldCharType="separate"/>
        </w:r>
        <w:r w:rsidR="00527456">
          <w:rPr>
            <w:webHidden/>
          </w:rPr>
          <w:t>79</w:t>
        </w:r>
        <w:r w:rsidR="00527456">
          <w:rPr>
            <w:webHidden/>
          </w:rPr>
          <w:fldChar w:fldCharType="end"/>
        </w:r>
      </w:hyperlink>
    </w:p>
    <w:p w:rsidR="00527456" w:rsidRDefault="003323B7">
      <w:pPr>
        <w:pStyle w:val="TOC3"/>
        <w:tabs>
          <w:tab w:val="left" w:pos="1400"/>
          <w:tab w:val="right" w:leader="dot" w:pos="8494"/>
        </w:tabs>
        <w:rPr>
          <w:rFonts w:asciiTheme="minorHAnsi" w:eastAsiaTheme="minorEastAsia" w:hAnsiTheme="minorHAnsi" w:cstheme="minorBidi"/>
          <w:smallCaps w:val="0"/>
          <w:sz w:val="22"/>
          <w:szCs w:val="22"/>
          <w:lang w:val="en-ZA" w:eastAsia="en-ZA"/>
        </w:rPr>
      </w:pPr>
      <w:hyperlink w:anchor="_Toc458610829" w:history="1">
        <w:r w:rsidR="00527456" w:rsidRPr="009A1F77">
          <w:rPr>
            <w:rStyle w:val="Hyperlink"/>
            <w:lang w:val="en-ZA"/>
            <w14:scene3d>
              <w14:camera w14:prst="orthographicFront"/>
              <w14:lightRig w14:rig="threePt" w14:dir="t">
                <w14:rot w14:lat="0" w14:lon="0" w14:rev="0"/>
              </w14:lightRig>
            </w14:scene3d>
          </w:rPr>
          <w:t>5.2.4</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The performance of all funds compared to the benchmark index by gender</w:t>
        </w:r>
        <w:r w:rsidR="00527456">
          <w:rPr>
            <w:rStyle w:val="Hyperlink"/>
            <w:lang w:val="en-ZA"/>
          </w:rPr>
          <w:tab/>
        </w:r>
        <w:r w:rsidR="00527456">
          <w:rPr>
            <w:rStyle w:val="Hyperlink"/>
            <w:lang w:val="en-ZA"/>
          </w:rPr>
          <w:tab/>
        </w:r>
        <w:r w:rsidR="00527456">
          <w:rPr>
            <w:webHidden/>
          </w:rPr>
          <w:tab/>
        </w:r>
        <w:r w:rsidR="00527456">
          <w:rPr>
            <w:webHidden/>
          </w:rPr>
          <w:fldChar w:fldCharType="begin"/>
        </w:r>
        <w:r w:rsidR="00527456">
          <w:rPr>
            <w:webHidden/>
          </w:rPr>
          <w:instrText xml:space="preserve"> PAGEREF _Toc458610829 \h </w:instrText>
        </w:r>
        <w:r w:rsidR="00527456">
          <w:rPr>
            <w:webHidden/>
          </w:rPr>
        </w:r>
        <w:r w:rsidR="00527456">
          <w:rPr>
            <w:webHidden/>
          </w:rPr>
          <w:fldChar w:fldCharType="separate"/>
        </w:r>
        <w:r w:rsidR="00527456">
          <w:rPr>
            <w:webHidden/>
          </w:rPr>
          <w:t>83</w:t>
        </w:r>
        <w:r w:rsidR="00527456">
          <w:rPr>
            <w:webHidden/>
          </w:rPr>
          <w:fldChar w:fldCharType="end"/>
        </w:r>
      </w:hyperlink>
    </w:p>
    <w:p w:rsidR="00527456" w:rsidRDefault="003323B7">
      <w:pPr>
        <w:pStyle w:val="TOC3"/>
        <w:tabs>
          <w:tab w:val="left" w:pos="1400"/>
          <w:tab w:val="right" w:leader="dot" w:pos="8494"/>
        </w:tabs>
        <w:rPr>
          <w:rFonts w:asciiTheme="minorHAnsi" w:eastAsiaTheme="minorEastAsia" w:hAnsiTheme="minorHAnsi" w:cstheme="minorBidi"/>
          <w:smallCaps w:val="0"/>
          <w:sz w:val="22"/>
          <w:szCs w:val="22"/>
          <w:lang w:val="en-ZA" w:eastAsia="en-ZA"/>
        </w:rPr>
      </w:pPr>
      <w:hyperlink w:anchor="_Toc458610830" w:history="1">
        <w:r w:rsidR="00527456" w:rsidRPr="009A1F77">
          <w:rPr>
            <w:rStyle w:val="Hyperlink"/>
            <w:lang w:val="en-ZA"/>
            <w14:scene3d>
              <w14:camera w14:prst="orthographicFront"/>
              <w14:lightRig w14:rig="threePt" w14:dir="t">
                <w14:rot w14:lat="0" w14:lon="0" w14:rev="0"/>
              </w14:lightRig>
            </w14:scene3d>
          </w:rPr>
          <w:t>5.2.5</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The performance of all funds by gender per an ASISA sector</w:t>
        </w:r>
        <w:r w:rsidR="00527456">
          <w:rPr>
            <w:webHidden/>
          </w:rPr>
          <w:tab/>
        </w:r>
        <w:r w:rsidR="00527456">
          <w:rPr>
            <w:webHidden/>
          </w:rPr>
          <w:fldChar w:fldCharType="begin"/>
        </w:r>
        <w:r w:rsidR="00527456">
          <w:rPr>
            <w:webHidden/>
          </w:rPr>
          <w:instrText xml:space="preserve"> PAGEREF _Toc458610830 \h </w:instrText>
        </w:r>
        <w:r w:rsidR="00527456">
          <w:rPr>
            <w:webHidden/>
          </w:rPr>
        </w:r>
        <w:r w:rsidR="00527456">
          <w:rPr>
            <w:webHidden/>
          </w:rPr>
          <w:fldChar w:fldCharType="separate"/>
        </w:r>
        <w:r w:rsidR="00527456">
          <w:rPr>
            <w:webHidden/>
          </w:rPr>
          <w:t>87</w:t>
        </w:r>
        <w:r w:rsidR="00527456">
          <w:rPr>
            <w:webHidden/>
          </w:rPr>
          <w:fldChar w:fldCharType="end"/>
        </w:r>
      </w:hyperlink>
    </w:p>
    <w:p w:rsidR="00527456" w:rsidRDefault="003323B7" w:rsidP="00527456">
      <w:pPr>
        <w:pStyle w:val="TOC3"/>
        <w:tabs>
          <w:tab w:val="left" w:pos="1400"/>
          <w:tab w:val="right" w:leader="dot" w:pos="8494"/>
        </w:tabs>
        <w:ind w:left="1395" w:hanging="675"/>
        <w:rPr>
          <w:rFonts w:asciiTheme="minorHAnsi" w:eastAsiaTheme="minorEastAsia" w:hAnsiTheme="minorHAnsi" w:cstheme="minorBidi"/>
          <w:smallCaps w:val="0"/>
          <w:sz w:val="22"/>
          <w:szCs w:val="22"/>
          <w:lang w:val="en-ZA" w:eastAsia="en-ZA"/>
        </w:rPr>
      </w:pPr>
      <w:hyperlink w:anchor="_Toc458610831" w:history="1">
        <w:r w:rsidR="00527456" w:rsidRPr="009A1F77">
          <w:rPr>
            <w:rStyle w:val="Hyperlink"/>
            <w:lang w:val="en-ZA"/>
            <w14:scene3d>
              <w14:camera w14:prst="orthographicFront"/>
              <w14:lightRig w14:rig="threePt" w14:dir="t">
                <w14:rot w14:lat="0" w14:lon="0" w14:rev="0"/>
              </w14:lightRig>
            </w14:scene3d>
          </w:rPr>
          <w:t>5.2.6</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The performance of funds managed by different genders over the 2008 financial crisis</w:t>
        </w:r>
        <w:r w:rsidR="00527456">
          <w:rPr>
            <w:webHidden/>
          </w:rPr>
          <w:tab/>
        </w:r>
        <w:r w:rsidR="00527456">
          <w:rPr>
            <w:webHidden/>
          </w:rPr>
          <w:fldChar w:fldCharType="begin"/>
        </w:r>
        <w:r w:rsidR="00527456">
          <w:rPr>
            <w:webHidden/>
          </w:rPr>
          <w:instrText xml:space="preserve"> PAGEREF _Toc458610831 \h </w:instrText>
        </w:r>
        <w:r w:rsidR="00527456">
          <w:rPr>
            <w:webHidden/>
          </w:rPr>
        </w:r>
        <w:r w:rsidR="00527456">
          <w:rPr>
            <w:webHidden/>
          </w:rPr>
          <w:fldChar w:fldCharType="separate"/>
        </w:r>
        <w:r w:rsidR="00527456">
          <w:rPr>
            <w:webHidden/>
          </w:rPr>
          <w:t>88</w:t>
        </w:r>
        <w:r w:rsidR="00527456">
          <w:rPr>
            <w:webHidden/>
          </w:rPr>
          <w:fldChar w:fldCharType="end"/>
        </w:r>
      </w:hyperlink>
    </w:p>
    <w:p w:rsidR="00527456" w:rsidRDefault="003323B7">
      <w:pPr>
        <w:pStyle w:val="TOC3"/>
        <w:tabs>
          <w:tab w:val="left" w:pos="1400"/>
          <w:tab w:val="right" w:leader="dot" w:pos="8494"/>
        </w:tabs>
        <w:rPr>
          <w:rFonts w:asciiTheme="minorHAnsi" w:eastAsiaTheme="minorEastAsia" w:hAnsiTheme="minorHAnsi" w:cstheme="minorBidi"/>
          <w:smallCaps w:val="0"/>
          <w:sz w:val="22"/>
          <w:szCs w:val="22"/>
          <w:lang w:val="en-ZA" w:eastAsia="en-ZA"/>
        </w:rPr>
      </w:pPr>
      <w:hyperlink w:anchor="_Toc458610832" w:history="1">
        <w:r w:rsidR="00527456" w:rsidRPr="009A1F77">
          <w:rPr>
            <w:rStyle w:val="Hyperlink"/>
            <w:lang w:val="en-ZA"/>
            <w14:scene3d>
              <w14:camera w14:prst="orthographicFront"/>
              <w14:lightRig w14:rig="threePt" w14:dir="t">
                <w14:rot w14:lat="0" w14:lon="0" w14:rev="0"/>
              </w14:lightRig>
            </w14:scene3d>
          </w:rPr>
          <w:t>5.2.7</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A discussion on the data used</w:t>
        </w:r>
        <w:r w:rsidR="00527456">
          <w:rPr>
            <w:webHidden/>
          </w:rPr>
          <w:tab/>
        </w:r>
        <w:r w:rsidR="00527456">
          <w:rPr>
            <w:webHidden/>
          </w:rPr>
          <w:fldChar w:fldCharType="begin"/>
        </w:r>
        <w:r w:rsidR="00527456">
          <w:rPr>
            <w:webHidden/>
          </w:rPr>
          <w:instrText xml:space="preserve"> PAGEREF _Toc458610832 \h </w:instrText>
        </w:r>
        <w:r w:rsidR="00527456">
          <w:rPr>
            <w:webHidden/>
          </w:rPr>
        </w:r>
        <w:r w:rsidR="00527456">
          <w:rPr>
            <w:webHidden/>
          </w:rPr>
          <w:fldChar w:fldCharType="separate"/>
        </w:r>
        <w:r w:rsidR="00527456">
          <w:rPr>
            <w:webHidden/>
          </w:rPr>
          <w:t>90</w:t>
        </w:r>
        <w:r w:rsidR="00527456">
          <w:rPr>
            <w:webHidden/>
          </w:rPr>
          <w:fldChar w:fldCharType="end"/>
        </w:r>
      </w:hyperlink>
    </w:p>
    <w:p w:rsidR="00527456" w:rsidRDefault="003323B7">
      <w:pPr>
        <w:pStyle w:val="TOC2"/>
        <w:rPr>
          <w:rFonts w:asciiTheme="minorHAnsi" w:eastAsiaTheme="minorEastAsia" w:hAnsiTheme="minorHAnsi" w:cstheme="minorBidi"/>
          <w:smallCaps w:val="0"/>
          <w:sz w:val="22"/>
          <w:szCs w:val="22"/>
          <w:lang w:val="en-ZA" w:eastAsia="en-ZA"/>
        </w:rPr>
      </w:pPr>
      <w:hyperlink w:anchor="_Toc458610833" w:history="1">
        <w:r w:rsidR="00527456" w:rsidRPr="009A1F77">
          <w:rPr>
            <w:rStyle w:val="Hyperlink"/>
            <w:lang w:val="en-ZA"/>
          </w:rPr>
          <w:t>5.3</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Conclusion</w:t>
        </w:r>
        <w:r w:rsidR="00527456">
          <w:rPr>
            <w:webHidden/>
          </w:rPr>
          <w:tab/>
        </w:r>
        <w:r w:rsidR="00527456">
          <w:rPr>
            <w:webHidden/>
          </w:rPr>
          <w:fldChar w:fldCharType="begin"/>
        </w:r>
        <w:r w:rsidR="00527456">
          <w:rPr>
            <w:webHidden/>
          </w:rPr>
          <w:instrText xml:space="preserve"> PAGEREF _Toc458610833 \h </w:instrText>
        </w:r>
        <w:r w:rsidR="00527456">
          <w:rPr>
            <w:webHidden/>
          </w:rPr>
        </w:r>
        <w:r w:rsidR="00527456">
          <w:rPr>
            <w:webHidden/>
          </w:rPr>
          <w:fldChar w:fldCharType="separate"/>
        </w:r>
        <w:r w:rsidR="00527456">
          <w:rPr>
            <w:webHidden/>
          </w:rPr>
          <w:t>91</w:t>
        </w:r>
        <w:r w:rsidR="00527456">
          <w:rPr>
            <w:webHidden/>
          </w:rPr>
          <w:fldChar w:fldCharType="end"/>
        </w:r>
      </w:hyperlink>
    </w:p>
    <w:p w:rsidR="00527456" w:rsidRDefault="003323B7">
      <w:pPr>
        <w:pStyle w:val="TOC1"/>
        <w:tabs>
          <w:tab w:val="left" w:pos="1885"/>
        </w:tabs>
        <w:rPr>
          <w:rFonts w:asciiTheme="minorHAnsi" w:eastAsiaTheme="minorEastAsia" w:hAnsiTheme="minorHAnsi" w:cstheme="minorBidi"/>
          <w:b w:val="0"/>
          <w:sz w:val="22"/>
          <w:szCs w:val="22"/>
          <w:lang w:val="en-ZA" w:eastAsia="en-ZA"/>
        </w:rPr>
      </w:pPr>
      <w:hyperlink w:anchor="_Toc458610834" w:history="1">
        <w:r w:rsidR="00527456" w:rsidRPr="009A1F77">
          <w:rPr>
            <w:rStyle w:val="Hyperlink"/>
            <w:lang w:val="en-ZA"/>
          </w:rPr>
          <w:t>CHAPTER 6.</w:t>
        </w:r>
        <w:r w:rsidR="00527456">
          <w:rPr>
            <w:rFonts w:asciiTheme="minorHAnsi" w:eastAsiaTheme="minorEastAsia" w:hAnsiTheme="minorHAnsi" w:cstheme="minorBidi"/>
            <w:b w:val="0"/>
            <w:sz w:val="22"/>
            <w:szCs w:val="22"/>
            <w:lang w:val="en-ZA" w:eastAsia="en-ZA"/>
          </w:rPr>
          <w:tab/>
        </w:r>
        <w:r w:rsidR="00527456" w:rsidRPr="009A1F77">
          <w:rPr>
            <w:rStyle w:val="Hyperlink"/>
            <w:lang w:val="en-ZA"/>
          </w:rPr>
          <w:t>CONCLUSIONS &amp; RECOMMENDATIONS</w:t>
        </w:r>
        <w:r w:rsidR="00527456">
          <w:rPr>
            <w:webHidden/>
          </w:rPr>
          <w:tab/>
        </w:r>
        <w:r w:rsidR="00527456">
          <w:rPr>
            <w:webHidden/>
          </w:rPr>
          <w:fldChar w:fldCharType="begin"/>
        </w:r>
        <w:r w:rsidR="00527456">
          <w:rPr>
            <w:webHidden/>
          </w:rPr>
          <w:instrText xml:space="preserve"> PAGEREF _Toc458610834 \h </w:instrText>
        </w:r>
        <w:r w:rsidR="00527456">
          <w:rPr>
            <w:webHidden/>
          </w:rPr>
        </w:r>
        <w:r w:rsidR="00527456">
          <w:rPr>
            <w:webHidden/>
          </w:rPr>
          <w:fldChar w:fldCharType="separate"/>
        </w:r>
        <w:r w:rsidR="00527456">
          <w:rPr>
            <w:webHidden/>
          </w:rPr>
          <w:t>94</w:t>
        </w:r>
        <w:r w:rsidR="00527456">
          <w:rPr>
            <w:webHidden/>
          </w:rPr>
          <w:fldChar w:fldCharType="end"/>
        </w:r>
      </w:hyperlink>
    </w:p>
    <w:p w:rsidR="00527456" w:rsidRDefault="003323B7">
      <w:pPr>
        <w:pStyle w:val="TOC2"/>
        <w:rPr>
          <w:rFonts w:asciiTheme="minorHAnsi" w:eastAsiaTheme="minorEastAsia" w:hAnsiTheme="minorHAnsi" w:cstheme="minorBidi"/>
          <w:smallCaps w:val="0"/>
          <w:sz w:val="22"/>
          <w:szCs w:val="22"/>
          <w:lang w:val="en-ZA" w:eastAsia="en-ZA"/>
        </w:rPr>
      </w:pPr>
      <w:hyperlink w:anchor="_Toc458610835" w:history="1">
        <w:r w:rsidR="00527456" w:rsidRPr="009A1F77">
          <w:rPr>
            <w:rStyle w:val="Hyperlink"/>
            <w:lang w:val="en-ZA"/>
          </w:rPr>
          <w:t>6.1</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Introduction</w:t>
        </w:r>
        <w:r w:rsidR="00527456">
          <w:rPr>
            <w:webHidden/>
          </w:rPr>
          <w:tab/>
        </w:r>
        <w:r w:rsidR="00527456">
          <w:rPr>
            <w:webHidden/>
          </w:rPr>
          <w:fldChar w:fldCharType="begin"/>
        </w:r>
        <w:r w:rsidR="00527456">
          <w:rPr>
            <w:webHidden/>
          </w:rPr>
          <w:instrText xml:space="preserve"> PAGEREF _Toc458610835 \h </w:instrText>
        </w:r>
        <w:r w:rsidR="00527456">
          <w:rPr>
            <w:webHidden/>
          </w:rPr>
        </w:r>
        <w:r w:rsidR="00527456">
          <w:rPr>
            <w:webHidden/>
          </w:rPr>
          <w:fldChar w:fldCharType="separate"/>
        </w:r>
        <w:r w:rsidR="00527456">
          <w:rPr>
            <w:webHidden/>
          </w:rPr>
          <w:t>94</w:t>
        </w:r>
        <w:r w:rsidR="00527456">
          <w:rPr>
            <w:webHidden/>
          </w:rPr>
          <w:fldChar w:fldCharType="end"/>
        </w:r>
      </w:hyperlink>
    </w:p>
    <w:p w:rsidR="00527456" w:rsidRDefault="003323B7">
      <w:pPr>
        <w:pStyle w:val="TOC2"/>
        <w:rPr>
          <w:rFonts w:asciiTheme="minorHAnsi" w:eastAsiaTheme="minorEastAsia" w:hAnsiTheme="minorHAnsi" w:cstheme="minorBidi"/>
          <w:smallCaps w:val="0"/>
          <w:sz w:val="22"/>
          <w:szCs w:val="22"/>
          <w:lang w:val="en-ZA" w:eastAsia="en-ZA"/>
        </w:rPr>
      </w:pPr>
      <w:hyperlink w:anchor="_Toc458610836" w:history="1">
        <w:r w:rsidR="00527456" w:rsidRPr="009A1F77">
          <w:rPr>
            <w:rStyle w:val="Hyperlink"/>
            <w:lang w:val="en-ZA"/>
          </w:rPr>
          <w:t>6.2</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Conclusions of the study</w:t>
        </w:r>
        <w:r w:rsidR="00527456">
          <w:rPr>
            <w:webHidden/>
          </w:rPr>
          <w:tab/>
        </w:r>
        <w:r w:rsidR="00527456">
          <w:rPr>
            <w:webHidden/>
          </w:rPr>
          <w:fldChar w:fldCharType="begin"/>
        </w:r>
        <w:r w:rsidR="00527456">
          <w:rPr>
            <w:webHidden/>
          </w:rPr>
          <w:instrText xml:space="preserve"> PAGEREF _Toc458610836 \h </w:instrText>
        </w:r>
        <w:r w:rsidR="00527456">
          <w:rPr>
            <w:webHidden/>
          </w:rPr>
        </w:r>
        <w:r w:rsidR="00527456">
          <w:rPr>
            <w:webHidden/>
          </w:rPr>
          <w:fldChar w:fldCharType="separate"/>
        </w:r>
        <w:r w:rsidR="00527456">
          <w:rPr>
            <w:webHidden/>
          </w:rPr>
          <w:t>94</w:t>
        </w:r>
        <w:r w:rsidR="00527456">
          <w:rPr>
            <w:webHidden/>
          </w:rPr>
          <w:fldChar w:fldCharType="end"/>
        </w:r>
      </w:hyperlink>
    </w:p>
    <w:p w:rsidR="00527456" w:rsidRDefault="003323B7">
      <w:pPr>
        <w:pStyle w:val="TOC2"/>
        <w:rPr>
          <w:rFonts w:asciiTheme="minorHAnsi" w:eastAsiaTheme="minorEastAsia" w:hAnsiTheme="minorHAnsi" w:cstheme="minorBidi"/>
          <w:smallCaps w:val="0"/>
          <w:sz w:val="22"/>
          <w:szCs w:val="22"/>
          <w:lang w:val="en-ZA" w:eastAsia="en-ZA"/>
        </w:rPr>
      </w:pPr>
      <w:hyperlink w:anchor="_Toc458610837" w:history="1">
        <w:r w:rsidR="00527456" w:rsidRPr="009A1F77">
          <w:rPr>
            <w:rStyle w:val="Hyperlink"/>
            <w:lang w:val="en-ZA"/>
          </w:rPr>
          <w:t>6.3</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Recommendations</w:t>
        </w:r>
        <w:r w:rsidR="00527456">
          <w:rPr>
            <w:webHidden/>
          </w:rPr>
          <w:tab/>
        </w:r>
        <w:r w:rsidR="00527456">
          <w:rPr>
            <w:webHidden/>
          </w:rPr>
          <w:fldChar w:fldCharType="begin"/>
        </w:r>
        <w:r w:rsidR="00527456">
          <w:rPr>
            <w:webHidden/>
          </w:rPr>
          <w:instrText xml:space="preserve"> PAGEREF _Toc458610837 \h </w:instrText>
        </w:r>
        <w:r w:rsidR="00527456">
          <w:rPr>
            <w:webHidden/>
          </w:rPr>
        </w:r>
        <w:r w:rsidR="00527456">
          <w:rPr>
            <w:webHidden/>
          </w:rPr>
          <w:fldChar w:fldCharType="separate"/>
        </w:r>
        <w:r w:rsidR="00527456">
          <w:rPr>
            <w:webHidden/>
          </w:rPr>
          <w:t>96</w:t>
        </w:r>
        <w:r w:rsidR="00527456">
          <w:rPr>
            <w:webHidden/>
          </w:rPr>
          <w:fldChar w:fldCharType="end"/>
        </w:r>
      </w:hyperlink>
    </w:p>
    <w:p w:rsidR="00527456" w:rsidRDefault="003323B7">
      <w:pPr>
        <w:pStyle w:val="TOC2"/>
        <w:rPr>
          <w:rFonts w:asciiTheme="minorHAnsi" w:eastAsiaTheme="minorEastAsia" w:hAnsiTheme="minorHAnsi" w:cstheme="minorBidi"/>
          <w:smallCaps w:val="0"/>
          <w:sz w:val="22"/>
          <w:szCs w:val="22"/>
          <w:lang w:val="en-ZA" w:eastAsia="en-ZA"/>
        </w:rPr>
      </w:pPr>
      <w:hyperlink w:anchor="_Toc458610838" w:history="1">
        <w:r w:rsidR="00527456" w:rsidRPr="009A1F77">
          <w:rPr>
            <w:rStyle w:val="Hyperlink"/>
            <w:lang w:val="en-ZA"/>
          </w:rPr>
          <w:t>6.4</w:t>
        </w:r>
        <w:r w:rsidR="00527456">
          <w:rPr>
            <w:rFonts w:asciiTheme="minorHAnsi" w:eastAsiaTheme="minorEastAsia" w:hAnsiTheme="minorHAnsi" w:cstheme="minorBidi"/>
            <w:smallCaps w:val="0"/>
            <w:sz w:val="22"/>
            <w:szCs w:val="22"/>
            <w:lang w:val="en-ZA" w:eastAsia="en-ZA"/>
          </w:rPr>
          <w:tab/>
        </w:r>
        <w:r w:rsidR="00527456" w:rsidRPr="009A1F77">
          <w:rPr>
            <w:rStyle w:val="Hyperlink"/>
            <w:lang w:val="en-ZA"/>
          </w:rPr>
          <w:t>Suggestions for further research</w:t>
        </w:r>
        <w:r w:rsidR="00527456">
          <w:rPr>
            <w:webHidden/>
          </w:rPr>
          <w:tab/>
        </w:r>
        <w:r w:rsidR="00527456">
          <w:rPr>
            <w:webHidden/>
          </w:rPr>
          <w:fldChar w:fldCharType="begin"/>
        </w:r>
        <w:r w:rsidR="00527456">
          <w:rPr>
            <w:webHidden/>
          </w:rPr>
          <w:instrText xml:space="preserve"> PAGEREF _Toc458610838 \h </w:instrText>
        </w:r>
        <w:r w:rsidR="00527456">
          <w:rPr>
            <w:webHidden/>
          </w:rPr>
        </w:r>
        <w:r w:rsidR="00527456">
          <w:rPr>
            <w:webHidden/>
          </w:rPr>
          <w:fldChar w:fldCharType="separate"/>
        </w:r>
        <w:r w:rsidR="00527456">
          <w:rPr>
            <w:webHidden/>
          </w:rPr>
          <w:t>97</w:t>
        </w:r>
        <w:r w:rsidR="00527456">
          <w:rPr>
            <w:webHidden/>
          </w:rPr>
          <w:fldChar w:fldCharType="end"/>
        </w:r>
      </w:hyperlink>
    </w:p>
    <w:p w:rsidR="00527456" w:rsidRDefault="003323B7">
      <w:pPr>
        <w:pStyle w:val="TOC1"/>
        <w:rPr>
          <w:rFonts w:asciiTheme="minorHAnsi" w:eastAsiaTheme="minorEastAsia" w:hAnsiTheme="minorHAnsi" w:cstheme="minorBidi"/>
          <w:b w:val="0"/>
          <w:sz w:val="22"/>
          <w:szCs w:val="22"/>
          <w:lang w:val="en-ZA" w:eastAsia="en-ZA"/>
        </w:rPr>
      </w:pPr>
      <w:hyperlink w:anchor="_Toc458610839" w:history="1">
        <w:r w:rsidR="00527456" w:rsidRPr="009A1F77">
          <w:rPr>
            <w:rStyle w:val="Hyperlink"/>
            <w:lang w:val="en-ZA"/>
          </w:rPr>
          <w:t>REFERENCES</w:t>
        </w:r>
        <w:r w:rsidR="00527456">
          <w:rPr>
            <w:webHidden/>
          </w:rPr>
          <w:tab/>
        </w:r>
        <w:r w:rsidR="00527456">
          <w:rPr>
            <w:webHidden/>
          </w:rPr>
          <w:fldChar w:fldCharType="begin"/>
        </w:r>
        <w:r w:rsidR="00527456">
          <w:rPr>
            <w:webHidden/>
          </w:rPr>
          <w:instrText xml:space="preserve"> PAGEREF _Toc458610839 \h </w:instrText>
        </w:r>
        <w:r w:rsidR="00527456">
          <w:rPr>
            <w:webHidden/>
          </w:rPr>
        </w:r>
        <w:r w:rsidR="00527456">
          <w:rPr>
            <w:webHidden/>
          </w:rPr>
          <w:fldChar w:fldCharType="separate"/>
        </w:r>
        <w:r w:rsidR="00527456">
          <w:rPr>
            <w:webHidden/>
          </w:rPr>
          <w:t>101</w:t>
        </w:r>
        <w:r w:rsidR="00527456">
          <w:rPr>
            <w:webHidden/>
          </w:rPr>
          <w:fldChar w:fldCharType="end"/>
        </w:r>
      </w:hyperlink>
    </w:p>
    <w:p w:rsidR="00527456" w:rsidRDefault="003323B7">
      <w:pPr>
        <w:pStyle w:val="TOC1"/>
        <w:rPr>
          <w:rFonts w:asciiTheme="minorHAnsi" w:eastAsiaTheme="minorEastAsia" w:hAnsiTheme="minorHAnsi" w:cstheme="minorBidi"/>
          <w:b w:val="0"/>
          <w:sz w:val="22"/>
          <w:szCs w:val="22"/>
          <w:lang w:val="en-ZA" w:eastAsia="en-ZA"/>
        </w:rPr>
      </w:pPr>
      <w:hyperlink w:anchor="_Toc458610840" w:history="1">
        <w:r w:rsidR="00527456" w:rsidRPr="009A1F77">
          <w:rPr>
            <w:rStyle w:val="Hyperlink"/>
            <w:lang w:val="en-ZA"/>
          </w:rPr>
          <w:t>APPENDIX A</w:t>
        </w:r>
        <w:r w:rsidR="00527456">
          <w:rPr>
            <w:webHidden/>
          </w:rPr>
          <w:tab/>
        </w:r>
        <w:r w:rsidR="00527456">
          <w:rPr>
            <w:webHidden/>
          </w:rPr>
          <w:fldChar w:fldCharType="begin"/>
        </w:r>
        <w:r w:rsidR="00527456">
          <w:rPr>
            <w:webHidden/>
          </w:rPr>
          <w:instrText xml:space="preserve"> PAGEREF _Toc458610840 \h </w:instrText>
        </w:r>
        <w:r w:rsidR="00527456">
          <w:rPr>
            <w:webHidden/>
          </w:rPr>
        </w:r>
        <w:r w:rsidR="00527456">
          <w:rPr>
            <w:webHidden/>
          </w:rPr>
          <w:fldChar w:fldCharType="separate"/>
        </w:r>
        <w:r w:rsidR="00527456">
          <w:rPr>
            <w:webHidden/>
          </w:rPr>
          <w:t>111</w:t>
        </w:r>
        <w:r w:rsidR="00527456">
          <w:rPr>
            <w:webHidden/>
          </w:rPr>
          <w:fldChar w:fldCharType="end"/>
        </w:r>
      </w:hyperlink>
    </w:p>
    <w:p w:rsidR="00527456" w:rsidRDefault="003323B7">
      <w:pPr>
        <w:pStyle w:val="TOC1"/>
        <w:rPr>
          <w:rFonts w:asciiTheme="minorHAnsi" w:eastAsiaTheme="minorEastAsia" w:hAnsiTheme="minorHAnsi" w:cstheme="minorBidi"/>
          <w:b w:val="0"/>
          <w:sz w:val="22"/>
          <w:szCs w:val="22"/>
          <w:lang w:val="en-ZA" w:eastAsia="en-ZA"/>
        </w:rPr>
      </w:pPr>
      <w:hyperlink w:anchor="_Toc458610841" w:history="1">
        <w:r w:rsidR="00527456" w:rsidRPr="009A1F77">
          <w:rPr>
            <w:rStyle w:val="Hyperlink"/>
            <w:lang w:val="en-ZA"/>
          </w:rPr>
          <w:t>APPENDIX B</w:t>
        </w:r>
        <w:r w:rsidR="00527456">
          <w:rPr>
            <w:webHidden/>
          </w:rPr>
          <w:tab/>
        </w:r>
        <w:r w:rsidR="00527456">
          <w:rPr>
            <w:webHidden/>
          </w:rPr>
          <w:fldChar w:fldCharType="begin"/>
        </w:r>
        <w:r w:rsidR="00527456">
          <w:rPr>
            <w:webHidden/>
          </w:rPr>
          <w:instrText xml:space="preserve"> PAGEREF _Toc458610841 \h </w:instrText>
        </w:r>
        <w:r w:rsidR="00527456">
          <w:rPr>
            <w:webHidden/>
          </w:rPr>
        </w:r>
        <w:r w:rsidR="00527456">
          <w:rPr>
            <w:webHidden/>
          </w:rPr>
          <w:fldChar w:fldCharType="separate"/>
        </w:r>
        <w:r w:rsidR="00527456">
          <w:rPr>
            <w:webHidden/>
          </w:rPr>
          <w:t>112</w:t>
        </w:r>
        <w:r w:rsidR="00527456">
          <w:rPr>
            <w:webHidden/>
          </w:rPr>
          <w:fldChar w:fldCharType="end"/>
        </w:r>
      </w:hyperlink>
    </w:p>
    <w:p w:rsidR="00527456" w:rsidRDefault="003323B7">
      <w:pPr>
        <w:pStyle w:val="TOC2"/>
        <w:rPr>
          <w:rFonts w:asciiTheme="minorHAnsi" w:eastAsiaTheme="minorEastAsia" w:hAnsiTheme="minorHAnsi" w:cstheme="minorBidi"/>
          <w:smallCaps w:val="0"/>
          <w:sz w:val="22"/>
          <w:szCs w:val="22"/>
          <w:lang w:val="en-ZA" w:eastAsia="en-ZA"/>
        </w:rPr>
      </w:pPr>
      <w:hyperlink w:anchor="_Toc458610842" w:history="1">
        <w:r w:rsidR="00527456" w:rsidRPr="009A1F77">
          <w:rPr>
            <w:rStyle w:val="Hyperlink"/>
            <w:lang w:val="en-ZA"/>
          </w:rPr>
          <w:t>Consistency matrix</w:t>
        </w:r>
        <w:r w:rsidR="00527456">
          <w:rPr>
            <w:webHidden/>
          </w:rPr>
          <w:tab/>
        </w:r>
        <w:r w:rsidR="00527456">
          <w:rPr>
            <w:webHidden/>
          </w:rPr>
          <w:fldChar w:fldCharType="begin"/>
        </w:r>
        <w:r w:rsidR="00527456">
          <w:rPr>
            <w:webHidden/>
          </w:rPr>
          <w:instrText xml:space="preserve"> PAGEREF _Toc458610842 \h </w:instrText>
        </w:r>
        <w:r w:rsidR="00527456">
          <w:rPr>
            <w:webHidden/>
          </w:rPr>
        </w:r>
        <w:r w:rsidR="00527456">
          <w:rPr>
            <w:webHidden/>
          </w:rPr>
          <w:fldChar w:fldCharType="separate"/>
        </w:r>
        <w:r w:rsidR="00527456">
          <w:rPr>
            <w:webHidden/>
          </w:rPr>
          <w:t>112</w:t>
        </w:r>
        <w:r w:rsidR="00527456">
          <w:rPr>
            <w:webHidden/>
          </w:rPr>
          <w:fldChar w:fldCharType="end"/>
        </w:r>
      </w:hyperlink>
    </w:p>
    <w:p w:rsidR="00AF556A" w:rsidRPr="008633D2" w:rsidRDefault="00D36938" w:rsidP="003D33CF">
      <w:pPr>
        <w:pStyle w:val="TOC2"/>
        <w:rPr>
          <w:noProof w:val="0"/>
          <w:lang w:val="en-ZA"/>
        </w:rPr>
      </w:pPr>
      <w:r w:rsidRPr="008633D2">
        <w:rPr>
          <w:noProof w:val="0"/>
          <w:lang w:val="en-ZA"/>
        </w:rPr>
        <w:fldChar w:fldCharType="end"/>
      </w:r>
    </w:p>
    <w:p w:rsidR="00AF556A" w:rsidRDefault="00AF556A" w:rsidP="007F7693">
      <w:pPr>
        <w:pStyle w:val="Heading1"/>
        <w:numPr>
          <w:ilvl w:val="0"/>
          <w:numId w:val="0"/>
        </w:numPr>
        <w:rPr>
          <w:lang w:val="en-ZA"/>
        </w:rPr>
      </w:pPr>
      <w:bookmarkStart w:id="4" w:name="_Toc458610759"/>
      <w:r w:rsidRPr="008633D2">
        <w:rPr>
          <w:lang w:val="en-ZA"/>
        </w:rPr>
        <w:t>LIST OF TABLES</w:t>
      </w:r>
      <w:bookmarkEnd w:id="4"/>
    </w:p>
    <w:p w:rsidR="007F7693" w:rsidRPr="007F7693" w:rsidRDefault="007F7693" w:rsidP="007F7693">
      <w:pPr>
        <w:rPr>
          <w:lang w:val="en-ZA"/>
        </w:rPr>
      </w:pPr>
    </w:p>
    <w:p w:rsidR="00527456" w:rsidRDefault="003D4232">
      <w:pPr>
        <w:pStyle w:val="TableofFigures"/>
        <w:tabs>
          <w:tab w:val="right" w:leader="dot" w:pos="8494"/>
        </w:tabs>
        <w:rPr>
          <w:rFonts w:asciiTheme="minorHAnsi" w:eastAsiaTheme="minorEastAsia" w:hAnsiTheme="minorHAnsi" w:cstheme="minorBidi"/>
          <w:noProof/>
          <w:sz w:val="22"/>
          <w:szCs w:val="22"/>
          <w:lang w:val="en-ZA" w:eastAsia="en-ZA"/>
        </w:rPr>
      </w:pPr>
      <w:r w:rsidRPr="008633D2">
        <w:rPr>
          <w:b/>
          <w:sz w:val="32"/>
          <w:lang w:val="en-ZA"/>
        </w:rPr>
        <w:fldChar w:fldCharType="begin"/>
      </w:r>
      <w:r w:rsidRPr="008633D2">
        <w:rPr>
          <w:b/>
          <w:sz w:val="32"/>
          <w:lang w:val="en-ZA"/>
        </w:rPr>
        <w:instrText xml:space="preserve"> TOC \h \z \c "Table" </w:instrText>
      </w:r>
      <w:r w:rsidRPr="008633D2">
        <w:rPr>
          <w:b/>
          <w:sz w:val="32"/>
          <w:lang w:val="en-ZA"/>
        </w:rPr>
        <w:fldChar w:fldCharType="separate"/>
      </w:r>
      <w:hyperlink w:anchor="_Toc458610846" w:history="1">
        <w:r w:rsidR="00527456" w:rsidRPr="00D879B0">
          <w:rPr>
            <w:rStyle w:val="Hyperlink"/>
            <w:noProof/>
            <w:lang w:val="en-ZA"/>
          </w:rPr>
          <w:t>Table 1: Identified set of female managed funds that will be used</w:t>
        </w:r>
        <w:r w:rsidR="00527456">
          <w:rPr>
            <w:noProof/>
            <w:webHidden/>
          </w:rPr>
          <w:tab/>
        </w:r>
        <w:r w:rsidR="00527456">
          <w:rPr>
            <w:noProof/>
            <w:webHidden/>
          </w:rPr>
          <w:fldChar w:fldCharType="begin"/>
        </w:r>
        <w:r w:rsidR="00527456">
          <w:rPr>
            <w:noProof/>
            <w:webHidden/>
          </w:rPr>
          <w:instrText xml:space="preserve"> PAGEREF _Toc458610846 \h </w:instrText>
        </w:r>
        <w:r w:rsidR="00527456">
          <w:rPr>
            <w:noProof/>
            <w:webHidden/>
          </w:rPr>
        </w:r>
        <w:r w:rsidR="00527456">
          <w:rPr>
            <w:noProof/>
            <w:webHidden/>
          </w:rPr>
          <w:fldChar w:fldCharType="separate"/>
        </w:r>
        <w:r w:rsidR="00527456">
          <w:rPr>
            <w:noProof/>
            <w:webHidden/>
          </w:rPr>
          <w:t>36</w:t>
        </w:r>
        <w:r w:rsidR="00527456">
          <w:rPr>
            <w:noProof/>
            <w:webHidden/>
          </w:rPr>
          <w:fldChar w:fldCharType="end"/>
        </w:r>
      </w:hyperlink>
    </w:p>
    <w:p w:rsidR="00527456" w:rsidRDefault="003323B7">
      <w:pPr>
        <w:pStyle w:val="TableofFigures"/>
        <w:tabs>
          <w:tab w:val="right" w:leader="dot" w:pos="8494"/>
        </w:tabs>
        <w:rPr>
          <w:rFonts w:asciiTheme="minorHAnsi" w:eastAsiaTheme="minorEastAsia" w:hAnsiTheme="minorHAnsi" w:cstheme="minorBidi"/>
          <w:noProof/>
          <w:sz w:val="22"/>
          <w:szCs w:val="22"/>
          <w:lang w:val="en-ZA" w:eastAsia="en-ZA"/>
        </w:rPr>
      </w:pPr>
      <w:hyperlink w:anchor="_Toc458610847" w:history="1">
        <w:r w:rsidR="00527456" w:rsidRPr="00D879B0">
          <w:rPr>
            <w:rStyle w:val="Hyperlink"/>
            <w:noProof/>
            <w:lang w:val="en-ZA"/>
          </w:rPr>
          <w:t>Table 2: Information obtained for every South African managed unit trust</w:t>
        </w:r>
        <w:r w:rsidR="00527456">
          <w:rPr>
            <w:noProof/>
            <w:webHidden/>
          </w:rPr>
          <w:tab/>
        </w:r>
        <w:r w:rsidR="00527456">
          <w:rPr>
            <w:noProof/>
            <w:webHidden/>
          </w:rPr>
          <w:fldChar w:fldCharType="begin"/>
        </w:r>
        <w:r w:rsidR="00527456">
          <w:rPr>
            <w:noProof/>
            <w:webHidden/>
          </w:rPr>
          <w:instrText xml:space="preserve"> PAGEREF _Toc458610847 \h </w:instrText>
        </w:r>
        <w:r w:rsidR="00527456">
          <w:rPr>
            <w:noProof/>
            <w:webHidden/>
          </w:rPr>
        </w:r>
        <w:r w:rsidR="00527456">
          <w:rPr>
            <w:noProof/>
            <w:webHidden/>
          </w:rPr>
          <w:fldChar w:fldCharType="separate"/>
        </w:r>
        <w:r w:rsidR="00527456">
          <w:rPr>
            <w:noProof/>
            <w:webHidden/>
          </w:rPr>
          <w:t>39</w:t>
        </w:r>
        <w:r w:rsidR="00527456">
          <w:rPr>
            <w:noProof/>
            <w:webHidden/>
          </w:rPr>
          <w:fldChar w:fldCharType="end"/>
        </w:r>
      </w:hyperlink>
    </w:p>
    <w:p w:rsidR="00527456" w:rsidRDefault="003323B7">
      <w:pPr>
        <w:pStyle w:val="TableofFigures"/>
        <w:tabs>
          <w:tab w:val="right" w:leader="dot" w:pos="8494"/>
        </w:tabs>
        <w:rPr>
          <w:rFonts w:asciiTheme="minorHAnsi" w:eastAsiaTheme="minorEastAsia" w:hAnsiTheme="minorHAnsi" w:cstheme="minorBidi"/>
          <w:noProof/>
          <w:sz w:val="22"/>
          <w:szCs w:val="22"/>
          <w:lang w:val="en-ZA" w:eastAsia="en-ZA"/>
        </w:rPr>
      </w:pPr>
      <w:hyperlink w:anchor="_Toc458610848" w:history="1">
        <w:r w:rsidR="00527456" w:rsidRPr="00D879B0">
          <w:rPr>
            <w:rStyle w:val="Hyperlink"/>
            <w:noProof/>
            <w:lang w:val="en-ZA"/>
          </w:rPr>
          <w:t>Table 3: South African fund managers by gender</w:t>
        </w:r>
        <w:r w:rsidR="00527456">
          <w:rPr>
            <w:noProof/>
            <w:webHidden/>
          </w:rPr>
          <w:tab/>
        </w:r>
        <w:r w:rsidR="00527456">
          <w:rPr>
            <w:noProof/>
            <w:webHidden/>
          </w:rPr>
          <w:fldChar w:fldCharType="begin"/>
        </w:r>
        <w:r w:rsidR="00527456">
          <w:rPr>
            <w:noProof/>
            <w:webHidden/>
          </w:rPr>
          <w:instrText xml:space="preserve"> PAGEREF _Toc458610848 \h </w:instrText>
        </w:r>
        <w:r w:rsidR="00527456">
          <w:rPr>
            <w:noProof/>
            <w:webHidden/>
          </w:rPr>
        </w:r>
        <w:r w:rsidR="00527456">
          <w:rPr>
            <w:noProof/>
            <w:webHidden/>
          </w:rPr>
          <w:fldChar w:fldCharType="separate"/>
        </w:r>
        <w:r w:rsidR="00527456">
          <w:rPr>
            <w:noProof/>
            <w:webHidden/>
          </w:rPr>
          <w:t>51</w:t>
        </w:r>
        <w:r w:rsidR="00527456">
          <w:rPr>
            <w:noProof/>
            <w:webHidden/>
          </w:rPr>
          <w:fldChar w:fldCharType="end"/>
        </w:r>
      </w:hyperlink>
    </w:p>
    <w:p w:rsidR="00527456" w:rsidRDefault="003323B7">
      <w:pPr>
        <w:pStyle w:val="TableofFigures"/>
        <w:tabs>
          <w:tab w:val="right" w:leader="dot" w:pos="8494"/>
        </w:tabs>
        <w:rPr>
          <w:rFonts w:asciiTheme="minorHAnsi" w:eastAsiaTheme="minorEastAsia" w:hAnsiTheme="minorHAnsi" w:cstheme="minorBidi"/>
          <w:noProof/>
          <w:sz w:val="22"/>
          <w:szCs w:val="22"/>
          <w:lang w:val="en-ZA" w:eastAsia="en-ZA"/>
        </w:rPr>
      </w:pPr>
      <w:hyperlink w:anchor="_Toc458610849" w:history="1">
        <w:r w:rsidR="00527456" w:rsidRPr="00D879B0">
          <w:rPr>
            <w:rStyle w:val="Hyperlink"/>
            <w:noProof/>
          </w:rPr>
          <w:t>Table 4: Growth in the number of funds managers by gender</w:t>
        </w:r>
        <w:r w:rsidR="00527456">
          <w:rPr>
            <w:noProof/>
            <w:webHidden/>
          </w:rPr>
          <w:tab/>
        </w:r>
        <w:r w:rsidR="00527456">
          <w:rPr>
            <w:noProof/>
            <w:webHidden/>
          </w:rPr>
          <w:fldChar w:fldCharType="begin"/>
        </w:r>
        <w:r w:rsidR="00527456">
          <w:rPr>
            <w:noProof/>
            <w:webHidden/>
          </w:rPr>
          <w:instrText xml:space="preserve"> PAGEREF _Toc458610849 \h </w:instrText>
        </w:r>
        <w:r w:rsidR="00527456">
          <w:rPr>
            <w:noProof/>
            <w:webHidden/>
          </w:rPr>
        </w:r>
        <w:r w:rsidR="00527456">
          <w:rPr>
            <w:noProof/>
            <w:webHidden/>
          </w:rPr>
          <w:fldChar w:fldCharType="separate"/>
        </w:r>
        <w:r w:rsidR="00527456">
          <w:rPr>
            <w:noProof/>
            <w:webHidden/>
          </w:rPr>
          <w:t>51</w:t>
        </w:r>
        <w:r w:rsidR="00527456">
          <w:rPr>
            <w:noProof/>
            <w:webHidden/>
          </w:rPr>
          <w:fldChar w:fldCharType="end"/>
        </w:r>
      </w:hyperlink>
    </w:p>
    <w:p w:rsidR="00527456" w:rsidRDefault="003323B7">
      <w:pPr>
        <w:pStyle w:val="TableofFigures"/>
        <w:tabs>
          <w:tab w:val="right" w:leader="dot" w:pos="8494"/>
        </w:tabs>
        <w:rPr>
          <w:rFonts w:asciiTheme="minorHAnsi" w:eastAsiaTheme="minorEastAsia" w:hAnsiTheme="minorHAnsi" w:cstheme="minorBidi"/>
          <w:noProof/>
          <w:sz w:val="22"/>
          <w:szCs w:val="22"/>
          <w:lang w:val="en-ZA" w:eastAsia="en-ZA"/>
        </w:rPr>
      </w:pPr>
      <w:hyperlink w:anchor="_Toc458610850" w:history="1">
        <w:r w:rsidR="00527456" w:rsidRPr="00D879B0">
          <w:rPr>
            <w:rStyle w:val="Hyperlink"/>
            <w:noProof/>
            <w:lang w:val="en-ZA"/>
          </w:rPr>
          <w:t>Table 5: The number of South African funds by gender</w:t>
        </w:r>
        <w:r w:rsidR="00527456">
          <w:rPr>
            <w:noProof/>
            <w:webHidden/>
          </w:rPr>
          <w:tab/>
        </w:r>
        <w:r w:rsidR="00527456">
          <w:rPr>
            <w:noProof/>
            <w:webHidden/>
          </w:rPr>
          <w:fldChar w:fldCharType="begin"/>
        </w:r>
        <w:r w:rsidR="00527456">
          <w:rPr>
            <w:noProof/>
            <w:webHidden/>
          </w:rPr>
          <w:instrText xml:space="preserve"> PAGEREF _Toc458610850 \h </w:instrText>
        </w:r>
        <w:r w:rsidR="00527456">
          <w:rPr>
            <w:noProof/>
            <w:webHidden/>
          </w:rPr>
        </w:r>
        <w:r w:rsidR="00527456">
          <w:rPr>
            <w:noProof/>
            <w:webHidden/>
          </w:rPr>
          <w:fldChar w:fldCharType="separate"/>
        </w:r>
        <w:r w:rsidR="00527456">
          <w:rPr>
            <w:noProof/>
            <w:webHidden/>
          </w:rPr>
          <w:t>53</w:t>
        </w:r>
        <w:r w:rsidR="00527456">
          <w:rPr>
            <w:noProof/>
            <w:webHidden/>
          </w:rPr>
          <w:fldChar w:fldCharType="end"/>
        </w:r>
      </w:hyperlink>
    </w:p>
    <w:p w:rsidR="00527456" w:rsidRDefault="003323B7">
      <w:pPr>
        <w:pStyle w:val="TableofFigures"/>
        <w:tabs>
          <w:tab w:val="right" w:leader="dot" w:pos="8494"/>
        </w:tabs>
        <w:rPr>
          <w:rFonts w:asciiTheme="minorHAnsi" w:eastAsiaTheme="minorEastAsia" w:hAnsiTheme="minorHAnsi" w:cstheme="minorBidi"/>
          <w:noProof/>
          <w:sz w:val="22"/>
          <w:szCs w:val="22"/>
          <w:lang w:val="en-ZA" w:eastAsia="en-ZA"/>
        </w:rPr>
      </w:pPr>
      <w:hyperlink w:anchor="_Toc458610851" w:history="1">
        <w:r w:rsidR="00527456" w:rsidRPr="00D879B0">
          <w:rPr>
            <w:rStyle w:val="Hyperlink"/>
            <w:noProof/>
          </w:rPr>
          <w:t>Table 6: Growth in the number of funds in the South African unit trust industry</w:t>
        </w:r>
        <w:r w:rsidR="00527456">
          <w:rPr>
            <w:noProof/>
            <w:webHidden/>
          </w:rPr>
          <w:tab/>
        </w:r>
        <w:r w:rsidR="00527456">
          <w:rPr>
            <w:noProof/>
            <w:webHidden/>
          </w:rPr>
          <w:fldChar w:fldCharType="begin"/>
        </w:r>
        <w:r w:rsidR="00527456">
          <w:rPr>
            <w:noProof/>
            <w:webHidden/>
          </w:rPr>
          <w:instrText xml:space="preserve"> PAGEREF _Toc458610851 \h </w:instrText>
        </w:r>
        <w:r w:rsidR="00527456">
          <w:rPr>
            <w:noProof/>
            <w:webHidden/>
          </w:rPr>
        </w:r>
        <w:r w:rsidR="00527456">
          <w:rPr>
            <w:noProof/>
            <w:webHidden/>
          </w:rPr>
          <w:fldChar w:fldCharType="separate"/>
        </w:r>
        <w:r w:rsidR="00527456">
          <w:rPr>
            <w:noProof/>
            <w:webHidden/>
          </w:rPr>
          <w:t>53</w:t>
        </w:r>
        <w:r w:rsidR="00527456">
          <w:rPr>
            <w:noProof/>
            <w:webHidden/>
          </w:rPr>
          <w:fldChar w:fldCharType="end"/>
        </w:r>
      </w:hyperlink>
    </w:p>
    <w:p w:rsidR="00527456" w:rsidRDefault="003323B7">
      <w:pPr>
        <w:pStyle w:val="TableofFigures"/>
        <w:tabs>
          <w:tab w:val="right" w:leader="dot" w:pos="8494"/>
        </w:tabs>
        <w:rPr>
          <w:rFonts w:asciiTheme="minorHAnsi" w:eastAsiaTheme="minorEastAsia" w:hAnsiTheme="minorHAnsi" w:cstheme="minorBidi"/>
          <w:noProof/>
          <w:sz w:val="22"/>
          <w:szCs w:val="22"/>
          <w:lang w:val="en-ZA" w:eastAsia="en-ZA"/>
        </w:rPr>
      </w:pPr>
      <w:hyperlink w:anchor="_Toc458610852" w:history="1">
        <w:r w:rsidR="00527456" w:rsidRPr="00D879B0">
          <w:rPr>
            <w:rStyle w:val="Hyperlink"/>
            <w:noProof/>
          </w:rPr>
          <w:t xml:space="preserve">Table 7: </w:t>
        </w:r>
        <w:r w:rsidR="00527456" w:rsidRPr="00D879B0">
          <w:rPr>
            <w:rStyle w:val="Hyperlink"/>
            <w:noProof/>
            <w:lang w:val="en-ZA"/>
          </w:rPr>
          <w:t>Breakdown of fund size under management by gender</w:t>
        </w:r>
        <w:r w:rsidR="00527456">
          <w:rPr>
            <w:noProof/>
            <w:webHidden/>
          </w:rPr>
          <w:tab/>
        </w:r>
        <w:r w:rsidR="00527456">
          <w:rPr>
            <w:noProof/>
            <w:webHidden/>
          </w:rPr>
          <w:fldChar w:fldCharType="begin"/>
        </w:r>
        <w:r w:rsidR="00527456">
          <w:rPr>
            <w:noProof/>
            <w:webHidden/>
          </w:rPr>
          <w:instrText xml:space="preserve"> PAGEREF _Toc458610852 \h </w:instrText>
        </w:r>
        <w:r w:rsidR="00527456">
          <w:rPr>
            <w:noProof/>
            <w:webHidden/>
          </w:rPr>
        </w:r>
        <w:r w:rsidR="00527456">
          <w:rPr>
            <w:noProof/>
            <w:webHidden/>
          </w:rPr>
          <w:fldChar w:fldCharType="separate"/>
        </w:r>
        <w:r w:rsidR="00527456">
          <w:rPr>
            <w:noProof/>
            <w:webHidden/>
          </w:rPr>
          <w:t>55</w:t>
        </w:r>
        <w:r w:rsidR="00527456">
          <w:rPr>
            <w:noProof/>
            <w:webHidden/>
          </w:rPr>
          <w:fldChar w:fldCharType="end"/>
        </w:r>
      </w:hyperlink>
    </w:p>
    <w:p w:rsidR="00527456" w:rsidRDefault="003323B7">
      <w:pPr>
        <w:pStyle w:val="TableofFigures"/>
        <w:tabs>
          <w:tab w:val="right" w:leader="dot" w:pos="8494"/>
        </w:tabs>
        <w:rPr>
          <w:rFonts w:asciiTheme="minorHAnsi" w:eastAsiaTheme="minorEastAsia" w:hAnsiTheme="minorHAnsi" w:cstheme="minorBidi"/>
          <w:noProof/>
          <w:sz w:val="22"/>
          <w:szCs w:val="22"/>
          <w:lang w:val="en-ZA" w:eastAsia="en-ZA"/>
        </w:rPr>
      </w:pPr>
      <w:hyperlink w:anchor="_Toc458610853" w:history="1">
        <w:r w:rsidR="00527456" w:rsidRPr="00D879B0">
          <w:rPr>
            <w:rStyle w:val="Hyperlink"/>
            <w:noProof/>
            <w:lang w:val="en-ZA"/>
          </w:rPr>
          <w:t>Table 8: Standard Deviation in the riskiness of funds based on gender</w:t>
        </w:r>
        <w:r w:rsidR="00527456">
          <w:rPr>
            <w:noProof/>
            <w:webHidden/>
          </w:rPr>
          <w:tab/>
        </w:r>
        <w:r w:rsidR="00527456">
          <w:rPr>
            <w:noProof/>
            <w:webHidden/>
          </w:rPr>
          <w:fldChar w:fldCharType="begin"/>
        </w:r>
        <w:r w:rsidR="00527456">
          <w:rPr>
            <w:noProof/>
            <w:webHidden/>
          </w:rPr>
          <w:instrText xml:space="preserve"> PAGEREF _Toc458610853 \h </w:instrText>
        </w:r>
        <w:r w:rsidR="00527456">
          <w:rPr>
            <w:noProof/>
            <w:webHidden/>
          </w:rPr>
        </w:r>
        <w:r w:rsidR="00527456">
          <w:rPr>
            <w:noProof/>
            <w:webHidden/>
          </w:rPr>
          <w:fldChar w:fldCharType="separate"/>
        </w:r>
        <w:r w:rsidR="00527456">
          <w:rPr>
            <w:noProof/>
            <w:webHidden/>
          </w:rPr>
          <w:t>56</w:t>
        </w:r>
        <w:r w:rsidR="00527456">
          <w:rPr>
            <w:noProof/>
            <w:webHidden/>
          </w:rPr>
          <w:fldChar w:fldCharType="end"/>
        </w:r>
      </w:hyperlink>
    </w:p>
    <w:p w:rsidR="00527456" w:rsidRPr="00527456" w:rsidRDefault="003323B7">
      <w:pPr>
        <w:pStyle w:val="TableofFigures"/>
        <w:tabs>
          <w:tab w:val="right" w:leader="dot" w:pos="8494"/>
        </w:tabs>
        <w:rPr>
          <w:rFonts w:asciiTheme="minorHAnsi" w:eastAsiaTheme="minorEastAsia" w:hAnsiTheme="minorHAnsi" w:cstheme="minorBidi"/>
          <w:noProof/>
          <w:sz w:val="22"/>
          <w:szCs w:val="22"/>
          <w:lang w:val="en-ZA" w:eastAsia="en-ZA"/>
        </w:rPr>
      </w:pPr>
      <w:hyperlink w:anchor="_Toc458610854" w:history="1">
        <w:r w:rsidR="00527456" w:rsidRPr="00527456">
          <w:rPr>
            <w:rStyle w:val="Hyperlink"/>
            <w:noProof/>
            <w:lang w:val="en-ZA"/>
          </w:rPr>
          <w:t>Table 9:  Corresponding male and female managed funds to be compared</w:t>
        </w:r>
        <w:r w:rsidR="00527456" w:rsidRPr="00527456">
          <w:rPr>
            <w:noProof/>
            <w:webHidden/>
          </w:rPr>
          <w:tab/>
        </w:r>
        <w:r w:rsidR="00527456" w:rsidRPr="00527456">
          <w:rPr>
            <w:noProof/>
            <w:webHidden/>
          </w:rPr>
          <w:fldChar w:fldCharType="begin"/>
        </w:r>
        <w:r w:rsidR="00527456" w:rsidRPr="00527456">
          <w:rPr>
            <w:noProof/>
            <w:webHidden/>
          </w:rPr>
          <w:instrText xml:space="preserve"> PAGEREF _Toc458610854 \h </w:instrText>
        </w:r>
        <w:r w:rsidR="00527456" w:rsidRPr="00527456">
          <w:rPr>
            <w:noProof/>
            <w:webHidden/>
          </w:rPr>
        </w:r>
        <w:r w:rsidR="00527456" w:rsidRPr="00527456">
          <w:rPr>
            <w:noProof/>
            <w:webHidden/>
          </w:rPr>
          <w:fldChar w:fldCharType="separate"/>
        </w:r>
        <w:r w:rsidR="00527456" w:rsidRPr="00527456">
          <w:rPr>
            <w:noProof/>
            <w:webHidden/>
          </w:rPr>
          <w:t>58</w:t>
        </w:r>
        <w:r w:rsidR="00527456" w:rsidRPr="00527456">
          <w:rPr>
            <w:noProof/>
            <w:webHidden/>
          </w:rPr>
          <w:fldChar w:fldCharType="end"/>
        </w:r>
      </w:hyperlink>
    </w:p>
    <w:p w:rsidR="00527456" w:rsidRDefault="003323B7">
      <w:pPr>
        <w:pStyle w:val="TableofFigures"/>
        <w:tabs>
          <w:tab w:val="right" w:leader="dot" w:pos="8494"/>
        </w:tabs>
        <w:rPr>
          <w:rFonts w:asciiTheme="minorHAnsi" w:eastAsiaTheme="minorEastAsia" w:hAnsiTheme="minorHAnsi" w:cstheme="minorBidi"/>
          <w:noProof/>
          <w:sz w:val="22"/>
          <w:szCs w:val="22"/>
          <w:lang w:val="en-ZA" w:eastAsia="en-ZA"/>
        </w:rPr>
      </w:pPr>
      <w:hyperlink w:anchor="_Toc458610855" w:history="1">
        <w:r w:rsidR="00527456" w:rsidRPr="00D879B0">
          <w:rPr>
            <w:rStyle w:val="Hyperlink"/>
            <w:noProof/>
            <w:lang w:val="en-ZA"/>
          </w:rPr>
          <w:t>Table 10: Comparison of female and corresponding male managed annualised fund returns</w:t>
        </w:r>
        <w:r w:rsidR="00527456">
          <w:rPr>
            <w:noProof/>
            <w:webHidden/>
          </w:rPr>
          <w:tab/>
        </w:r>
        <w:r w:rsidR="00527456">
          <w:rPr>
            <w:noProof/>
            <w:webHidden/>
          </w:rPr>
          <w:fldChar w:fldCharType="begin"/>
        </w:r>
        <w:r w:rsidR="00527456">
          <w:rPr>
            <w:noProof/>
            <w:webHidden/>
          </w:rPr>
          <w:instrText xml:space="preserve"> PAGEREF _Toc458610855 \h </w:instrText>
        </w:r>
        <w:r w:rsidR="00527456">
          <w:rPr>
            <w:noProof/>
            <w:webHidden/>
          </w:rPr>
        </w:r>
        <w:r w:rsidR="00527456">
          <w:rPr>
            <w:noProof/>
            <w:webHidden/>
          </w:rPr>
          <w:fldChar w:fldCharType="separate"/>
        </w:r>
        <w:r w:rsidR="00527456">
          <w:rPr>
            <w:noProof/>
            <w:webHidden/>
          </w:rPr>
          <w:t>61</w:t>
        </w:r>
        <w:r w:rsidR="00527456">
          <w:rPr>
            <w:noProof/>
            <w:webHidden/>
          </w:rPr>
          <w:fldChar w:fldCharType="end"/>
        </w:r>
      </w:hyperlink>
    </w:p>
    <w:p w:rsidR="00527456" w:rsidRDefault="003323B7">
      <w:pPr>
        <w:pStyle w:val="TableofFigures"/>
        <w:tabs>
          <w:tab w:val="right" w:leader="dot" w:pos="8494"/>
        </w:tabs>
        <w:rPr>
          <w:rFonts w:asciiTheme="minorHAnsi" w:eastAsiaTheme="minorEastAsia" w:hAnsiTheme="minorHAnsi" w:cstheme="minorBidi"/>
          <w:noProof/>
          <w:sz w:val="22"/>
          <w:szCs w:val="22"/>
          <w:lang w:val="en-ZA" w:eastAsia="en-ZA"/>
        </w:rPr>
      </w:pPr>
      <w:hyperlink w:anchor="_Toc458610856" w:history="1">
        <w:r w:rsidR="00527456" w:rsidRPr="00D879B0">
          <w:rPr>
            <w:rStyle w:val="Hyperlink"/>
            <w:noProof/>
            <w:lang w:val="en-ZA"/>
          </w:rPr>
          <w:t>Table 11: Analysis of the performance of female managed funds compared to selected male managed funds</w:t>
        </w:r>
        <w:r w:rsidR="00527456">
          <w:rPr>
            <w:noProof/>
            <w:webHidden/>
          </w:rPr>
          <w:tab/>
        </w:r>
        <w:r w:rsidR="00527456">
          <w:rPr>
            <w:noProof/>
            <w:webHidden/>
          </w:rPr>
          <w:fldChar w:fldCharType="begin"/>
        </w:r>
        <w:r w:rsidR="00527456">
          <w:rPr>
            <w:noProof/>
            <w:webHidden/>
          </w:rPr>
          <w:instrText xml:space="preserve"> PAGEREF _Toc458610856 \h </w:instrText>
        </w:r>
        <w:r w:rsidR="00527456">
          <w:rPr>
            <w:noProof/>
            <w:webHidden/>
          </w:rPr>
        </w:r>
        <w:r w:rsidR="00527456">
          <w:rPr>
            <w:noProof/>
            <w:webHidden/>
          </w:rPr>
          <w:fldChar w:fldCharType="separate"/>
        </w:r>
        <w:r w:rsidR="00527456">
          <w:rPr>
            <w:noProof/>
            <w:webHidden/>
          </w:rPr>
          <w:t>64</w:t>
        </w:r>
        <w:r w:rsidR="00527456">
          <w:rPr>
            <w:noProof/>
            <w:webHidden/>
          </w:rPr>
          <w:fldChar w:fldCharType="end"/>
        </w:r>
      </w:hyperlink>
    </w:p>
    <w:p w:rsidR="00527456" w:rsidRDefault="003323B7">
      <w:pPr>
        <w:pStyle w:val="TableofFigures"/>
        <w:tabs>
          <w:tab w:val="right" w:leader="dot" w:pos="8494"/>
        </w:tabs>
        <w:rPr>
          <w:rFonts w:asciiTheme="minorHAnsi" w:eastAsiaTheme="minorEastAsia" w:hAnsiTheme="minorHAnsi" w:cstheme="minorBidi"/>
          <w:noProof/>
          <w:sz w:val="22"/>
          <w:szCs w:val="22"/>
          <w:lang w:val="en-ZA" w:eastAsia="en-ZA"/>
        </w:rPr>
      </w:pPr>
      <w:hyperlink w:anchor="_Toc458610857" w:history="1">
        <w:r w:rsidR="00527456" w:rsidRPr="00D879B0">
          <w:rPr>
            <w:rStyle w:val="Hyperlink"/>
            <w:noProof/>
            <w:lang w:val="en-ZA"/>
          </w:rPr>
          <w:t>Table 12: Results from statistical tests for the comparison of single managed funds identified in table 9</w:t>
        </w:r>
        <w:r w:rsidR="00527456">
          <w:rPr>
            <w:noProof/>
            <w:webHidden/>
          </w:rPr>
          <w:tab/>
        </w:r>
        <w:r w:rsidR="00527456">
          <w:rPr>
            <w:noProof/>
            <w:webHidden/>
          </w:rPr>
          <w:fldChar w:fldCharType="begin"/>
        </w:r>
        <w:r w:rsidR="00527456">
          <w:rPr>
            <w:noProof/>
            <w:webHidden/>
          </w:rPr>
          <w:instrText xml:space="preserve"> PAGEREF _Toc458610857 \h </w:instrText>
        </w:r>
        <w:r w:rsidR="00527456">
          <w:rPr>
            <w:noProof/>
            <w:webHidden/>
          </w:rPr>
        </w:r>
        <w:r w:rsidR="00527456">
          <w:rPr>
            <w:noProof/>
            <w:webHidden/>
          </w:rPr>
          <w:fldChar w:fldCharType="separate"/>
        </w:r>
        <w:r w:rsidR="00527456">
          <w:rPr>
            <w:noProof/>
            <w:webHidden/>
          </w:rPr>
          <w:t>65</w:t>
        </w:r>
        <w:r w:rsidR="00527456">
          <w:rPr>
            <w:noProof/>
            <w:webHidden/>
          </w:rPr>
          <w:fldChar w:fldCharType="end"/>
        </w:r>
      </w:hyperlink>
    </w:p>
    <w:p w:rsidR="00527456" w:rsidRDefault="003323B7">
      <w:pPr>
        <w:pStyle w:val="TableofFigures"/>
        <w:tabs>
          <w:tab w:val="right" w:leader="dot" w:pos="8494"/>
        </w:tabs>
        <w:rPr>
          <w:rFonts w:asciiTheme="minorHAnsi" w:eastAsiaTheme="minorEastAsia" w:hAnsiTheme="minorHAnsi" w:cstheme="minorBidi"/>
          <w:noProof/>
          <w:sz w:val="22"/>
          <w:szCs w:val="22"/>
          <w:lang w:val="en-ZA" w:eastAsia="en-ZA"/>
        </w:rPr>
      </w:pPr>
      <w:hyperlink w:anchor="_Toc458610858" w:history="1">
        <w:r w:rsidR="00527456" w:rsidRPr="00D879B0">
          <w:rPr>
            <w:rStyle w:val="Hyperlink"/>
            <w:noProof/>
            <w:lang w:val="en-ZA"/>
          </w:rPr>
          <w:t>Table 13: The performance of all South African funds compared to the benchmark by gender</w:t>
        </w:r>
        <w:r w:rsidR="00527456">
          <w:rPr>
            <w:noProof/>
            <w:webHidden/>
          </w:rPr>
          <w:tab/>
        </w:r>
        <w:r w:rsidR="00527456">
          <w:rPr>
            <w:noProof/>
            <w:webHidden/>
          </w:rPr>
          <w:fldChar w:fldCharType="begin"/>
        </w:r>
        <w:r w:rsidR="00527456">
          <w:rPr>
            <w:noProof/>
            <w:webHidden/>
          </w:rPr>
          <w:instrText xml:space="preserve"> PAGEREF _Toc458610858 \h </w:instrText>
        </w:r>
        <w:r w:rsidR="00527456">
          <w:rPr>
            <w:noProof/>
            <w:webHidden/>
          </w:rPr>
        </w:r>
        <w:r w:rsidR="00527456">
          <w:rPr>
            <w:noProof/>
            <w:webHidden/>
          </w:rPr>
          <w:fldChar w:fldCharType="separate"/>
        </w:r>
        <w:r w:rsidR="00527456">
          <w:rPr>
            <w:noProof/>
            <w:webHidden/>
          </w:rPr>
          <w:t>66</w:t>
        </w:r>
        <w:r w:rsidR="00527456">
          <w:rPr>
            <w:noProof/>
            <w:webHidden/>
          </w:rPr>
          <w:fldChar w:fldCharType="end"/>
        </w:r>
      </w:hyperlink>
    </w:p>
    <w:p w:rsidR="00527456" w:rsidRDefault="003323B7">
      <w:pPr>
        <w:pStyle w:val="TableofFigures"/>
        <w:tabs>
          <w:tab w:val="right" w:leader="dot" w:pos="8494"/>
        </w:tabs>
        <w:rPr>
          <w:rFonts w:asciiTheme="minorHAnsi" w:eastAsiaTheme="minorEastAsia" w:hAnsiTheme="minorHAnsi" w:cstheme="minorBidi"/>
          <w:noProof/>
          <w:sz w:val="22"/>
          <w:szCs w:val="22"/>
          <w:lang w:val="en-ZA" w:eastAsia="en-ZA"/>
        </w:rPr>
      </w:pPr>
      <w:hyperlink w:anchor="_Toc458610859" w:history="1">
        <w:r w:rsidR="00527456" w:rsidRPr="00D879B0">
          <w:rPr>
            <w:rStyle w:val="Hyperlink"/>
            <w:noProof/>
            <w:lang w:val="en-ZA"/>
          </w:rPr>
          <w:t>Table 14: Results from statistical tests for the comparison of all funds in South Africa by gender to the benchmark</w:t>
        </w:r>
        <w:r w:rsidR="00527456">
          <w:rPr>
            <w:noProof/>
            <w:webHidden/>
          </w:rPr>
          <w:tab/>
        </w:r>
        <w:r w:rsidR="00527456">
          <w:rPr>
            <w:noProof/>
            <w:webHidden/>
          </w:rPr>
          <w:fldChar w:fldCharType="begin"/>
        </w:r>
        <w:r w:rsidR="00527456">
          <w:rPr>
            <w:noProof/>
            <w:webHidden/>
          </w:rPr>
          <w:instrText xml:space="preserve"> PAGEREF _Toc458610859 \h </w:instrText>
        </w:r>
        <w:r w:rsidR="00527456">
          <w:rPr>
            <w:noProof/>
            <w:webHidden/>
          </w:rPr>
        </w:r>
        <w:r w:rsidR="00527456">
          <w:rPr>
            <w:noProof/>
            <w:webHidden/>
          </w:rPr>
          <w:fldChar w:fldCharType="separate"/>
        </w:r>
        <w:r w:rsidR="00527456">
          <w:rPr>
            <w:noProof/>
            <w:webHidden/>
          </w:rPr>
          <w:t>67</w:t>
        </w:r>
        <w:r w:rsidR="00527456">
          <w:rPr>
            <w:noProof/>
            <w:webHidden/>
          </w:rPr>
          <w:fldChar w:fldCharType="end"/>
        </w:r>
      </w:hyperlink>
    </w:p>
    <w:p w:rsidR="00527456" w:rsidRDefault="003323B7">
      <w:pPr>
        <w:pStyle w:val="TableofFigures"/>
        <w:tabs>
          <w:tab w:val="right" w:leader="dot" w:pos="8494"/>
        </w:tabs>
        <w:rPr>
          <w:rFonts w:asciiTheme="minorHAnsi" w:eastAsiaTheme="minorEastAsia" w:hAnsiTheme="minorHAnsi" w:cstheme="minorBidi"/>
          <w:noProof/>
          <w:sz w:val="22"/>
          <w:szCs w:val="22"/>
          <w:lang w:val="en-ZA" w:eastAsia="en-ZA"/>
        </w:rPr>
      </w:pPr>
      <w:hyperlink w:anchor="_Toc458610860" w:history="1">
        <w:r w:rsidR="00527456" w:rsidRPr="00D879B0">
          <w:rPr>
            <w:rStyle w:val="Hyperlink"/>
            <w:noProof/>
            <w:lang w:val="en-ZA"/>
          </w:rPr>
          <w:t>Table 15: Average annualised returns based on gender per a sector</w:t>
        </w:r>
        <w:r w:rsidR="00527456">
          <w:rPr>
            <w:noProof/>
            <w:webHidden/>
          </w:rPr>
          <w:tab/>
        </w:r>
        <w:r w:rsidR="00527456">
          <w:rPr>
            <w:noProof/>
            <w:webHidden/>
          </w:rPr>
          <w:fldChar w:fldCharType="begin"/>
        </w:r>
        <w:r w:rsidR="00527456">
          <w:rPr>
            <w:noProof/>
            <w:webHidden/>
          </w:rPr>
          <w:instrText xml:space="preserve"> PAGEREF _Toc458610860 \h </w:instrText>
        </w:r>
        <w:r w:rsidR="00527456">
          <w:rPr>
            <w:noProof/>
            <w:webHidden/>
          </w:rPr>
        </w:r>
        <w:r w:rsidR="00527456">
          <w:rPr>
            <w:noProof/>
            <w:webHidden/>
          </w:rPr>
          <w:fldChar w:fldCharType="separate"/>
        </w:r>
        <w:r w:rsidR="00527456">
          <w:rPr>
            <w:noProof/>
            <w:webHidden/>
          </w:rPr>
          <w:t>70</w:t>
        </w:r>
        <w:r w:rsidR="00527456">
          <w:rPr>
            <w:noProof/>
            <w:webHidden/>
          </w:rPr>
          <w:fldChar w:fldCharType="end"/>
        </w:r>
      </w:hyperlink>
    </w:p>
    <w:p w:rsidR="00527456" w:rsidRDefault="003323B7">
      <w:pPr>
        <w:pStyle w:val="TableofFigures"/>
        <w:tabs>
          <w:tab w:val="right" w:leader="dot" w:pos="8494"/>
        </w:tabs>
        <w:rPr>
          <w:rFonts w:asciiTheme="minorHAnsi" w:eastAsiaTheme="minorEastAsia" w:hAnsiTheme="minorHAnsi" w:cstheme="minorBidi"/>
          <w:noProof/>
          <w:sz w:val="22"/>
          <w:szCs w:val="22"/>
          <w:lang w:val="en-ZA" w:eastAsia="en-ZA"/>
        </w:rPr>
      </w:pPr>
      <w:hyperlink w:anchor="_Toc458610861" w:history="1">
        <w:r w:rsidR="00527456" w:rsidRPr="00D879B0">
          <w:rPr>
            <w:rStyle w:val="Hyperlink"/>
            <w:noProof/>
          </w:rPr>
          <w:t>Table 16: The results of statistical tests done to obtain the significance of the results shown in figure 8</w:t>
        </w:r>
        <w:r w:rsidR="00527456">
          <w:rPr>
            <w:noProof/>
            <w:webHidden/>
          </w:rPr>
          <w:tab/>
        </w:r>
        <w:r w:rsidR="00527456">
          <w:rPr>
            <w:noProof/>
            <w:webHidden/>
          </w:rPr>
          <w:fldChar w:fldCharType="begin"/>
        </w:r>
        <w:r w:rsidR="00527456">
          <w:rPr>
            <w:noProof/>
            <w:webHidden/>
          </w:rPr>
          <w:instrText xml:space="preserve"> PAGEREF _Toc458610861 \h </w:instrText>
        </w:r>
        <w:r w:rsidR="00527456">
          <w:rPr>
            <w:noProof/>
            <w:webHidden/>
          </w:rPr>
        </w:r>
        <w:r w:rsidR="00527456">
          <w:rPr>
            <w:noProof/>
            <w:webHidden/>
          </w:rPr>
          <w:fldChar w:fldCharType="separate"/>
        </w:r>
        <w:r w:rsidR="00527456">
          <w:rPr>
            <w:noProof/>
            <w:webHidden/>
          </w:rPr>
          <w:t>90</w:t>
        </w:r>
        <w:r w:rsidR="00527456">
          <w:rPr>
            <w:noProof/>
            <w:webHidden/>
          </w:rPr>
          <w:fldChar w:fldCharType="end"/>
        </w:r>
      </w:hyperlink>
    </w:p>
    <w:p w:rsidR="00527456" w:rsidRDefault="003323B7">
      <w:pPr>
        <w:pStyle w:val="TableofFigures"/>
        <w:tabs>
          <w:tab w:val="right" w:leader="dot" w:pos="8494"/>
        </w:tabs>
        <w:rPr>
          <w:rFonts w:asciiTheme="minorHAnsi" w:eastAsiaTheme="minorEastAsia" w:hAnsiTheme="minorHAnsi" w:cstheme="minorBidi"/>
          <w:noProof/>
          <w:sz w:val="22"/>
          <w:szCs w:val="22"/>
          <w:lang w:val="en-ZA" w:eastAsia="en-ZA"/>
        </w:rPr>
      </w:pPr>
      <w:hyperlink w:anchor="_Toc458610862" w:history="1">
        <w:r w:rsidR="00527456" w:rsidRPr="00D879B0">
          <w:rPr>
            <w:rStyle w:val="Hyperlink"/>
            <w:noProof/>
            <w:lang w:val="en-ZA"/>
          </w:rPr>
          <w:t>Table 17: Consistency matrix</w:t>
        </w:r>
        <w:r w:rsidR="00527456">
          <w:rPr>
            <w:noProof/>
            <w:webHidden/>
          </w:rPr>
          <w:tab/>
        </w:r>
        <w:r w:rsidR="00527456">
          <w:rPr>
            <w:noProof/>
            <w:webHidden/>
          </w:rPr>
          <w:fldChar w:fldCharType="begin"/>
        </w:r>
        <w:r w:rsidR="00527456">
          <w:rPr>
            <w:noProof/>
            <w:webHidden/>
          </w:rPr>
          <w:instrText xml:space="preserve"> PAGEREF _Toc458610862 \h </w:instrText>
        </w:r>
        <w:r w:rsidR="00527456">
          <w:rPr>
            <w:noProof/>
            <w:webHidden/>
          </w:rPr>
        </w:r>
        <w:r w:rsidR="00527456">
          <w:rPr>
            <w:noProof/>
            <w:webHidden/>
          </w:rPr>
          <w:fldChar w:fldCharType="separate"/>
        </w:r>
        <w:r w:rsidR="00527456">
          <w:rPr>
            <w:noProof/>
            <w:webHidden/>
          </w:rPr>
          <w:t>112</w:t>
        </w:r>
        <w:r w:rsidR="00527456">
          <w:rPr>
            <w:noProof/>
            <w:webHidden/>
          </w:rPr>
          <w:fldChar w:fldCharType="end"/>
        </w:r>
      </w:hyperlink>
    </w:p>
    <w:p w:rsidR="00A45D97" w:rsidRPr="008633D2" w:rsidRDefault="003D4232" w:rsidP="00AF556A">
      <w:pPr>
        <w:rPr>
          <w:lang w:val="en-ZA"/>
        </w:rPr>
      </w:pPr>
      <w:r w:rsidRPr="008633D2">
        <w:rPr>
          <w:lang w:val="en-ZA"/>
        </w:rPr>
        <w:fldChar w:fldCharType="end"/>
      </w:r>
    </w:p>
    <w:p w:rsidR="00AF556A" w:rsidRPr="008633D2" w:rsidRDefault="00A45D97" w:rsidP="0035051A">
      <w:pPr>
        <w:pStyle w:val="Heading1"/>
        <w:numPr>
          <w:ilvl w:val="0"/>
          <w:numId w:val="0"/>
        </w:numPr>
        <w:rPr>
          <w:lang w:val="en-ZA"/>
        </w:rPr>
      </w:pPr>
      <w:bookmarkStart w:id="5" w:name="_Toc141173535"/>
      <w:bookmarkStart w:id="6" w:name="_Toc141173581"/>
      <w:bookmarkStart w:id="7" w:name="_Toc458610760"/>
      <w:r w:rsidRPr="008633D2">
        <w:rPr>
          <w:lang w:val="en-ZA"/>
        </w:rPr>
        <w:t>LIST OF FIGURES</w:t>
      </w:r>
      <w:bookmarkEnd w:id="5"/>
      <w:bookmarkEnd w:id="6"/>
      <w:bookmarkEnd w:id="7"/>
    </w:p>
    <w:p w:rsidR="0035051A" w:rsidRPr="008633D2" w:rsidRDefault="0035051A" w:rsidP="0035051A">
      <w:pPr>
        <w:rPr>
          <w:lang w:val="en-ZA"/>
        </w:rPr>
      </w:pPr>
    </w:p>
    <w:p w:rsidR="00527456" w:rsidRDefault="00923A53">
      <w:pPr>
        <w:pStyle w:val="TableofFigures"/>
        <w:tabs>
          <w:tab w:val="right" w:leader="dot" w:pos="8494"/>
        </w:tabs>
        <w:rPr>
          <w:rFonts w:asciiTheme="minorHAnsi" w:eastAsiaTheme="minorEastAsia" w:hAnsiTheme="minorHAnsi" w:cstheme="minorBidi"/>
          <w:noProof/>
          <w:sz w:val="22"/>
          <w:szCs w:val="22"/>
          <w:lang w:val="en-ZA" w:eastAsia="en-ZA"/>
        </w:rPr>
      </w:pPr>
      <w:r w:rsidRPr="008633D2">
        <w:rPr>
          <w:lang w:val="en-ZA"/>
        </w:rPr>
        <w:fldChar w:fldCharType="begin"/>
      </w:r>
      <w:r w:rsidRPr="008633D2">
        <w:rPr>
          <w:lang w:val="en-ZA"/>
        </w:rPr>
        <w:instrText xml:space="preserve"> TOC \h \z \c "Figure" </w:instrText>
      </w:r>
      <w:r w:rsidRPr="008633D2">
        <w:rPr>
          <w:lang w:val="en-ZA"/>
        </w:rPr>
        <w:fldChar w:fldCharType="separate"/>
      </w:r>
      <w:hyperlink w:anchor="_Toc458610885" w:history="1">
        <w:r w:rsidR="00527456" w:rsidRPr="006F6B57">
          <w:rPr>
            <w:rStyle w:val="Hyperlink"/>
            <w:noProof/>
            <w:lang w:val="en-ZA"/>
          </w:rPr>
          <w:t>Figure 1: Global growth of total net assets under management</w:t>
        </w:r>
        <w:r w:rsidR="00527456">
          <w:rPr>
            <w:noProof/>
            <w:webHidden/>
          </w:rPr>
          <w:tab/>
        </w:r>
        <w:r w:rsidR="00527456">
          <w:rPr>
            <w:noProof/>
            <w:webHidden/>
          </w:rPr>
          <w:fldChar w:fldCharType="begin"/>
        </w:r>
        <w:r w:rsidR="00527456">
          <w:rPr>
            <w:noProof/>
            <w:webHidden/>
          </w:rPr>
          <w:instrText xml:space="preserve"> PAGEREF _Toc458610885 \h </w:instrText>
        </w:r>
        <w:r w:rsidR="00527456">
          <w:rPr>
            <w:noProof/>
            <w:webHidden/>
          </w:rPr>
        </w:r>
        <w:r w:rsidR="00527456">
          <w:rPr>
            <w:noProof/>
            <w:webHidden/>
          </w:rPr>
          <w:fldChar w:fldCharType="separate"/>
        </w:r>
        <w:r w:rsidR="00527456">
          <w:rPr>
            <w:noProof/>
            <w:webHidden/>
          </w:rPr>
          <w:t>13</w:t>
        </w:r>
        <w:r w:rsidR="00527456">
          <w:rPr>
            <w:noProof/>
            <w:webHidden/>
          </w:rPr>
          <w:fldChar w:fldCharType="end"/>
        </w:r>
      </w:hyperlink>
    </w:p>
    <w:p w:rsidR="00527456" w:rsidRDefault="003323B7">
      <w:pPr>
        <w:pStyle w:val="TableofFigures"/>
        <w:tabs>
          <w:tab w:val="right" w:leader="dot" w:pos="8494"/>
        </w:tabs>
        <w:rPr>
          <w:rFonts w:asciiTheme="minorHAnsi" w:eastAsiaTheme="minorEastAsia" w:hAnsiTheme="minorHAnsi" w:cstheme="minorBidi"/>
          <w:noProof/>
          <w:sz w:val="22"/>
          <w:szCs w:val="22"/>
          <w:lang w:val="en-ZA" w:eastAsia="en-ZA"/>
        </w:rPr>
      </w:pPr>
      <w:hyperlink w:anchor="_Toc458610886" w:history="1">
        <w:r w:rsidR="00527456" w:rsidRPr="006F6B57">
          <w:rPr>
            <w:rStyle w:val="Hyperlink"/>
            <w:noProof/>
            <w:lang w:val="en-ZA"/>
          </w:rPr>
          <w:t>Figure 2: Growth of the unit trust industry in South Africa</w:t>
        </w:r>
        <w:r w:rsidR="00527456">
          <w:rPr>
            <w:noProof/>
            <w:webHidden/>
          </w:rPr>
          <w:tab/>
        </w:r>
        <w:r w:rsidR="00527456">
          <w:rPr>
            <w:noProof/>
            <w:webHidden/>
          </w:rPr>
          <w:fldChar w:fldCharType="begin"/>
        </w:r>
        <w:r w:rsidR="00527456">
          <w:rPr>
            <w:noProof/>
            <w:webHidden/>
          </w:rPr>
          <w:instrText xml:space="preserve"> PAGEREF _Toc458610886 \h </w:instrText>
        </w:r>
        <w:r w:rsidR="00527456">
          <w:rPr>
            <w:noProof/>
            <w:webHidden/>
          </w:rPr>
        </w:r>
        <w:r w:rsidR="00527456">
          <w:rPr>
            <w:noProof/>
            <w:webHidden/>
          </w:rPr>
          <w:fldChar w:fldCharType="separate"/>
        </w:r>
        <w:r w:rsidR="00527456">
          <w:rPr>
            <w:noProof/>
            <w:webHidden/>
          </w:rPr>
          <w:t>14</w:t>
        </w:r>
        <w:r w:rsidR="00527456">
          <w:rPr>
            <w:noProof/>
            <w:webHidden/>
          </w:rPr>
          <w:fldChar w:fldCharType="end"/>
        </w:r>
      </w:hyperlink>
    </w:p>
    <w:p w:rsidR="00527456" w:rsidRDefault="003323B7">
      <w:pPr>
        <w:pStyle w:val="TableofFigures"/>
        <w:tabs>
          <w:tab w:val="right" w:leader="dot" w:pos="8494"/>
        </w:tabs>
        <w:rPr>
          <w:rFonts w:asciiTheme="minorHAnsi" w:eastAsiaTheme="minorEastAsia" w:hAnsiTheme="minorHAnsi" w:cstheme="minorBidi"/>
          <w:noProof/>
          <w:sz w:val="22"/>
          <w:szCs w:val="22"/>
          <w:lang w:val="en-ZA" w:eastAsia="en-ZA"/>
        </w:rPr>
      </w:pPr>
      <w:hyperlink w:anchor="_Toc458610887" w:history="1">
        <w:r w:rsidR="00527456" w:rsidRPr="006F6B57">
          <w:rPr>
            <w:rStyle w:val="Hyperlink"/>
            <w:noProof/>
            <w:lang w:val="en-ZA"/>
          </w:rPr>
          <w:t>Figure 3: Breakdown of South African unit trust industry into sectors</w:t>
        </w:r>
        <w:r w:rsidR="00527456">
          <w:rPr>
            <w:noProof/>
            <w:webHidden/>
          </w:rPr>
          <w:tab/>
        </w:r>
        <w:r w:rsidR="00527456">
          <w:rPr>
            <w:noProof/>
            <w:webHidden/>
          </w:rPr>
          <w:fldChar w:fldCharType="begin"/>
        </w:r>
        <w:r w:rsidR="00527456">
          <w:rPr>
            <w:noProof/>
            <w:webHidden/>
          </w:rPr>
          <w:instrText xml:space="preserve"> PAGEREF _Toc458610887 \h </w:instrText>
        </w:r>
        <w:r w:rsidR="00527456">
          <w:rPr>
            <w:noProof/>
            <w:webHidden/>
          </w:rPr>
        </w:r>
        <w:r w:rsidR="00527456">
          <w:rPr>
            <w:noProof/>
            <w:webHidden/>
          </w:rPr>
          <w:fldChar w:fldCharType="separate"/>
        </w:r>
        <w:r w:rsidR="00527456">
          <w:rPr>
            <w:noProof/>
            <w:webHidden/>
          </w:rPr>
          <w:t>15</w:t>
        </w:r>
        <w:r w:rsidR="00527456">
          <w:rPr>
            <w:noProof/>
            <w:webHidden/>
          </w:rPr>
          <w:fldChar w:fldCharType="end"/>
        </w:r>
      </w:hyperlink>
    </w:p>
    <w:p w:rsidR="00527456" w:rsidRDefault="003323B7">
      <w:pPr>
        <w:pStyle w:val="TableofFigures"/>
        <w:tabs>
          <w:tab w:val="right" w:leader="dot" w:pos="8494"/>
        </w:tabs>
        <w:rPr>
          <w:rFonts w:asciiTheme="minorHAnsi" w:eastAsiaTheme="minorEastAsia" w:hAnsiTheme="minorHAnsi" w:cstheme="minorBidi"/>
          <w:noProof/>
          <w:sz w:val="22"/>
          <w:szCs w:val="22"/>
          <w:lang w:val="en-ZA" w:eastAsia="en-ZA"/>
        </w:rPr>
      </w:pPr>
      <w:hyperlink w:anchor="_Toc458610888" w:history="1">
        <w:r w:rsidR="00527456" w:rsidRPr="006F6B57">
          <w:rPr>
            <w:rStyle w:val="Hyperlink"/>
            <w:noProof/>
          </w:rPr>
          <w:t>Figure 4: Growth in the number of fund managers in South Africa by gender</w:t>
        </w:r>
        <w:r w:rsidR="00527456">
          <w:rPr>
            <w:noProof/>
            <w:webHidden/>
          </w:rPr>
          <w:tab/>
        </w:r>
        <w:r w:rsidR="00527456">
          <w:rPr>
            <w:noProof/>
            <w:webHidden/>
          </w:rPr>
          <w:fldChar w:fldCharType="begin"/>
        </w:r>
        <w:r w:rsidR="00527456">
          <w:rPr>
            <w:noProof/>
            <w:webHidden/>
          </w:rPr>
          <w:instrText xml:space="preserve"> PAGEREF _Toc458610888 \h </w:instrText>
        </w:r>
        <w:r w:rsidR="00527456">
          <w:rPr>
            <w:noProof/>
            <w:webHidden/>
          </w:rPr>
        </w:r>
        <w:r w:rsidR="00527456">
          <w:rPr>
            <w:noProof/>
            <w:webHidden/>
          </w:rPr>
          <w:fldChar w:fldCharType="separate"/>
        </w:r>
        <w:r w:rsidR="00527456">
          <w:rPr>
            <w:noProof/>
            <w:webHidden/>
          </w:rPr>
          <w:t>52</w:t>
        </w:r>
        <w:r w:rsidR="00527456">
          <w:rPr>
            <w:noProof/>
            <w:webHidden/>
          </w:rPr>
          <w:fldChar w:fldCharType="end"/>
        </w:r>
      </w:hyperlink>
    </w:p>
    <w:p w:rsidR="00527456" w:rsidRDefault="003323B7">
      <w:pPr>
        <w:pStyle w:val="TableofFigures"/>
        <w:tabs>
          <w:tab w:val="right" w:leader="dot" w:pos="8494"/>
        </w:tabs>
        <w:rPr>
          <w:rFonts w:asciiTheme="minorHAnsi" w:eastAsiaTheme="minorEastAsia" w:hAnsiTheme="minorHAnsi" w:cstheme="minorBidi"/>
          <w:noProof/>
          <w:sz w:val="22"/>
          <w:szCs w:val="22"/>
          <w:lang w:val="en-ZA" w:eastAsia="en-ZA"/>
        </w:rPr>
      </w:pPr>
      <w:hyperlink w:anchor="_Toc458610889" w:history="1">
        <w:r w:rsidR="00527456" w:rsidRPr="006F6B57">
          <w:rPr>
            <w:rStyle w:val="Hyperlink"/>
            <w:noProof/>
          </w:rPr>
          <w:t>Figure 5: The growth in the number of funds in South Africa by fund manager gender</w:t>
        </w:r>
        <w:r w:rsidR="00527456">
          <w:rPr>
            <w:noProof/>
            <w:webHidden/>
          </w:rPr>
          <w:tab/>
        </w:r>
        <w:r w:rsidR="00527456">
          <w:rPr>
            <w:noProof/>
            <w:webHidden/>
          </w:rPr>
          <w:fldChar w:fldCharType="begin"/>
        </w:r>
        <w:r w:rsidR="00527456">
          <w:rPr>
            <w:noProof/>
            <w:webHidden/>
          </w:rPr>
          <w:instrText xml:space="preserve"> PAGEREF _Toc458610889 \h </w:instrText>
        </w:r>
        <w:r w:rsidR="00527456">
          <w:rPr>
            <w:noProof/>
            <w:webHidden/>
          </w:rPr>
        </w:r>
        <w:r w:rsidR="00527456">
          <w:rPr>
            <w:noProof/>
            <w:webHidden/>
          </w:rPr>
          <w:fldChar w:fldCharType="separate"/>
        </w:r>
        <w:r w:rsidR="00527456">
          <w:rPr>
            <w:noProof/>
            <w:webHidden/>
          </w:rPr>
          <w:t>54</w:t>
        </w:r>
        <w:r w:rsidR="00527456">
          <w:rPr>
            <w:noProof/>
            <w:webHidden/>
          </w:rPr>
          <w:fldChar w:fldCharType="end"/>
        </w:r>
      </w:hyperlink>
    </w:p>
    <w:p w:rsidR="00527456" w:rsidRDefault="003323B7">
      <w:pPr>
        <w:pStyle w:val="TableofFigures"/>
        <w:tabs>
          <w:tab w:val="right" w:leader="dot" w:pos="8494"/>
        </w:tabs>
        <w:rPr>
          <w:rFonts w:asciiTheme="minorHAnsi" w:eastAsiaTheme="minorEastAsia" w:hAnsiTheme="minorHAnsi" w:cstheme="minorBidi"/>
          <w:noProof/>
          <w:sz w:val="22"/>
          <w:szCs w:val="22"/>
          <w:lang w:val="en-ZA" w:eastAsia="en-ZA"/>
        </w:rPr>
      </w:pPr>
      <w:hyperlink w:anchor="_Toc458610890" w:history="1">
        <w:r w:rsidR="00527456" w:rsidRPr="006F6B57">
          <w:rPr>
            <w:rStyle w:val="Hyperlink"/>
            <w:noProof/>
            <w:lang w:val="en-ZA"/>
          </w:rPr>
          <w:t>Figure 6: Graphical representation of the beta profile of male managed funds compared to female managed funds</w:t>
        </w:r>
        <w:r w:rsidR="00527456">
          <w:rPr>
            <w:noProof/>
            <w:webHidden/>
          </w:rPr>
          <w:tab/>
        </w:r>
        <w:r w:rsidR="00527456">
          <w:rPr>
            <w:noProof/>
            <w:webHidden/>
          </w:rPr>
          <w:fldChar w:fldCharType="begin"/>
        </w:r>
        <w:r w:rsidR="00527456">
          <w:rPr>
            <w:noProof/>
            <w:webHidden/>
          </w:rPr>
          <w:instrText xml:space="preserve"> PAGEREF _Toc458610890 \h </w:instrText>
        </w:r>
        <w:r w:rsidR="00527456">
          <w:rPr>
            <w:noProof/>
            <w:webHidden/>
          </w:rPr>
        </w:r>
        <w:r w:rsidR="00527456">
          <w:rPr>
            <w:noProof/>
            <w:webHidden/>
          </w:rPr>
          <w:fldChar w:fldCharType="separate"/>
        </w:r>
        <w:r w:rsidR="00527456">
          <w:rPr>
            <w:noProof/>
            <w:webHidden/>
          </w:rPr>
          <w:t>56</w:t>
        </w:r>
        <w:r w:rsidR="00527456">
          <w:rPr>
            <w:noProof/>
            <w:webHidden/>
          </w:rPr>
          <w:fldChar w:fldCharType="end"/>
        </w:r>
      </w:hyperlink>
    </w:p>
    <w:p w:rsidR="00527456" w:rsidRDefault="003323B7">
      <w:pPr>
        <w:pStyle w:val="TableofFigures"/>
        <w:tabs>
          <w:tab w:val="right" w:leader="dot" w:pos="8494"/>
        </w:tabs>
        <w:rPr>
          <w:rFonts w:asciiTheme="minorHAnsi" w:eastAsiaTheme="minorEastAsia" w:hAnsiTheme="minorHAnsi" w:cstheme="minorBidi"/>
          <w:noProof/>
          <w:sz w:val="22"/>
          <w:szCs w:val="22"/>
          <w:lang w:val="en-ZA" w:eastAsia="en-ZA"/>
        </w:rPr>
      </w:pPr>
      <w:hyperlink w:anchor="_Toc458610891" w:history="1">
        <w:r w:rsidR="00527456" w:rsidRPr="006F6B57">
          <w:rPr>
            <w:rStyle w:val="Hyperlink"/>
            <w:noProof/>
            <w:lang w:val="en-ZA"/>
          </w:rPr>
          <w:t>Figure 7: Breakdown of the unit trust sectors by gender</w:t>
        </w:r>
        <w:r w:rsidR="00527456">
          <w:rPr>
            <w:noProof/>
            <w:webHidden/>
          </w:rPr>
          <w:tab/>
        </w:r>
        <w:r w:rsidR="00527456">
          <w:rPr>
            <w:noProof/>
            <w:webHidden/>
          </w:rPr>
          <w:fldChar w:fldCharType="begin"/>
        </w:r>
        <w:r w:rsidR="00527456">
          <w:rPr>
            <w:noProof/>
            <w:webHidden/>
          </w:rPr>
          <w:instrText xml:space="preserve"> PAGEREF _Toc458610891 \h </w:instrText>
        </w:r>
        <w:r w:rsidR="00527456">
          <w:rPr>
            <w:noProof/>
            <w:webHidden/>
          </w:rPr>
        </w:r>
        <w:r w:rsidR="00527456">
          <w:rPr>
            <w:noProof/>
            <w:webHidden/>
          </w:rPr>
          <w:fldChar w:fldCharType="separate"/>
        </w:r>
        <w:r w:rsidR="00527456">
          <w:rPr>
            <w:noProof/>
            <w:webHidden/>
          </w:rPr>
          <w:t>69</w:t>
        </w:r>
        <w:r w:rsidR="00527456">
          <w:rPr>
            <w:noProof/>
            <w:webHidden/>
          </w:rPr>
          <w:fldChar w:fldCharType="end"/>
        </w:r>
      </w:hyperlink>
    </w:p>
    <w:p w:rsidR="00527456" w:rsidRDefault="003323B7">
      <w:pPr>
        <w:pStyle w:val="TableofFigures"/>
        <w:tabs>
          <w:tab w:val="right" w:leader="dot" w:pos="8494"/>
        </w:tabs>
        <w:rPr>
          <w:rFonts w:asciiTheme="minorHAnsi" w:eastAsiaTheme="minorEastAsia" w:hAnsiTheme="minorHAnsi" w:cstheme="minorBidi"/>
          <w:noProof/>
          <w:sz w:val="22"/>
          <w:szCs w:val="22"/>
          <w:lang w:val="en-ZA" w:eastAsia="en-ZA"/>
        </w:rPr>
      </w:pPr>
      <w:hyperlink w:anchor="_Toc458610892" w:history="1">
        <w:r w:rsidR="00527456" w:rsidRPr="00527456">
          <w:rPr>
            <w:rStyle w:val="Hyperlink"/>
            <w:noProof/>
          </w:rPr>
          <w:t>Figure 8: Graphical representation of 1-year annualised returns over June 2006 to June 2015</w:t>
        </w:r>
        <w:r w:rsidR="00527456">
          <w:rPr>
            <w:noProof/>
            <w:webHidden/>
          </w:rPr>
          <w:tab/>
        </w:r>
        <w:r w:rsidR="00527456">
          <w:rPr>
            <w:noProof/>
            <w:webHidden/>
          </w:rPr>
          <w:fldChar w:fldCharType="begin"/>
        </w:r>
        <w:r w:rsidR="00527456">
          <w:rPr>
            <w:noProof/>
            <w:webHidden/>
          </w:rPr>
          <w:instrText xml:space="preserve"> PAGEREF _Toc458610892 \h </w:instrText>
        </w:r>
        <w:r w:rsidR="00527456">
          <w:rPr>
            <w:noProof/>
            <w:webHidden/>
          </w:rPr>
        </w:r>
        <w:r w:rsidR="00527456">
          <w:rPr>
            <w:noProof/>
            <w:webHidden/>
          </w:rPr>
          <w:fldChar w:fldCharType="separate"/>
        </w:r>
        <w:r w:rsidR="00527456">
          <w:rPr>
            <w:noProof/>
            <w:webHidden/>
          </w:rPr>
          <w:t>89</w:t>
        </w:r>
        <w:r w:rsidR="00527456">
          <w:rPr>
            <w:noProof/>
            <w:webHidden/>
          </w:rPr>
          <w:fldChar w:fldCharType="end"/>
        </w:r>
      </w:hyperlink>
    </w:p>
    <w:p w:rsidR="00527456" w:rsidRDefault="003323B7">
      <w:pPr>
        <w:pStyle w:val="TableofFigures"/>
        <w:tabs>
          <w:tab w:val="right" w:leader="dot" w:pos="8494"/>
        </w:tabs>
        <w:rPr>
          <w:rFonts w:asciiTheme="minorHAnsi" w:eastAsiaTheme="minorEastAsia" w:hAnsiTheme="minorHAnsi" w:cstheme="minorBidi"/>
          <w:noProof/>
          <w:sz w:val="22"/>
          <w:szCs w:val="22"/>
          <w:lang w:val="en-ZA" w:eastAsia="en-ZA"/>
        </w:rPr>
      </w:pPr>
      <w:hyperlink r:id="rId8" w:anchor="_Toc458610893" w:history="1">
        <w:r w:rsidR="00527456" w:rsidRPr="006F6B57">
          <w:rPr>
            <w:rStyle w:val="Hyperlink"/>
            <w:noProof/>
          </w:rPr>
          <w:t>Figure 9: ASISA Classification of funds in South Africa</w:t>
        </w:r>
        <w:r w:rsidR="00527456">
          <w:rPr>
            <w:noProof/>
            <w:webHidden/>
          </w:rPr>
          <w:tab/>
        </w:r>
        <w:r w:rsidR="00527456">
          <w:rPr>
            <w:noProof/>
            <w:webHidden/>
          </w:rPr>
          <w:fldChar w:fldCharType="begin"/>
        </w:r>
        <w:r w:rsidR="00527456">
          <w:rPr>
            <w:noProof/>
            <w:webHidden/>
          </w:rPr>
          <w:instrText xml:space="preserve"> PAGEREF _Toc458610893 \h </w:instrText>
        </w:r>
        <w:r w:rsidR="00527456">
          <w:rPr>
            <w:noProof/>
            <w:webHidden/>
          </w:rPr>
        </w:r>
        <w:r w:rsidR="00527456">
          <w:rPr>
            <w:noProof/>
            <w:webHidden/>
          </w:rPr>
          <w:fldChar w:fldCharType="separate"/>
        </w:r>
        <w:r w:rsidR="00527456">
          <w:rPr>
            <w:noProof/>
            <w:webHidden/>
          </w:rPr>
          <w:t>111</w:t>
        </w:r>
        <w:r w:rsidR="00527456">
          <w:rPr>
            <w:noProof/>
            <w:webHidden/>
          </w:rPr>
          <w:fldChar w:fldCharType="end"/>
        </w:r>
      </w:hyperlink>
    </w:p>
    <w:p w:rsidR="00A45D97" w:rsidRPr="008633D2" w:rsidRDefault="00923A53">
      <w:pPr>
        <w:rPr>
          <w:lang w:val="en-ZA"/>
        </w:rPr>
      </w:pPr>
      <w:r w:rsidRPr="008633D2">
        <w:rPr>
          <w:b/>
          <w:sz w:val="32"/>
          <w:lang w:val="en-ZA"/>
        </w:rPr>
        <w:fldChar w:fldCharType="end"/>
      </w:r>
    </w:p>
    <w:p w:rsidR="00A45D97" w:rsidRPr="008633D2" w:rsidRDefault="00A45D97">
      <w:pPr>
        <w:rPr>
          <w:lang w:val="en-ZA"/>
        </w:rPr>
      </w:pPr>
    </w:p>
    <w:p w:rsidR="00A45D97" w:rsidRPr="008633D2" w:rsidRDefault="00A45D97">
      <w:pPr>
        <w:jc w:val="left"/>
        <w:rPr>
          <w:rFonts w:cs="Arial"/>
          <w:lang w:val="en-ZA"/>
        </w:rPr>
        <w:sectPr w:rsidR="00A45D97" w:rsidRPr="008633D2" w:rsidSect="009B3BBB">
          <w:headerReference w:type="default" r:id="rId9"/>
          <w:footerReference w:type="even" r:id="rId10"/>
          <w:footerReference w:type="default" r:id="rId11"/>
          <w:endnotePr>
            <w:numFmt w:val="decimal"/>
          </w:endnotePr>
          <w:pgSz w:w="11907" w:h="16840" w:code="9"/>
          <w:pgMar w:top="1440" w:right="1418" w:bottom="1440" w:left="1985" w:header="720" w:footer="720" w:gutter="0"/>
          <w:pgBorders w:display="firstPage" w:offsetFrom="page">
            <w:top w:val="single" w:sz="4" w:space="24" w:color="auto"/>
            <w:left w:val="single" w:sz="4" w:space="24" w:color="auto"/>
            <w:bottom w:val="single" w:sz="4" w:space="24" w:color="auto"/>
            <w:right w:val="single" w:sz="4" w:space="24" w:color="auto"/>
          </w:pgBorders>
          <w:pgNumType w:fmt="lowerRoman" w:start="1"/>
          <w:cols w:space="720"/>
          <w:titlePg/>
        </w:sectPr>
      </w:pPr>
    </w:p>
    <w:p w:rsidR="00A45D97" w:rsidRPr="008633D2" w:rsidRDefault="00A45D97" w:rsidP="0035051A">
      <w:pPr>
        <w:pStyle w:val="Heading1"/>
        <w:rPr>
          <w:lang w:val="en-ZA"/>
        </w:rPr>
      </w:pPr>
      <w:bookmarkStart w:id="8" w:name="_Ref25654451"/>
      <w:bookmarkStart w:id="9" w:name="_Toc141172730"/>
      <w:bookmarkStart w:id="10" w:name="_Toc141172802"/>
      <w:bookmarkStart w:id="11" w:name="_Toc141173470"/>
      <w:bookmarkStart w:id="12" w:name="_Toc141173536"/>
      <w:bookmarkStart w:id="13" w:name="_Toc141173582"/>
      <w:bookmarkStart w:id="14" w:name="_Toc458610761"/>
      <w:r w:rsidRPr="008633D2">
        <w:rPr>
          <w:lang w:val="en-ZA"/>
        </w:rPr>
        <w:t>INTRODUCTION</w:t>
      </w:r>
      <w:bookmarkEnd w:id="8"/>
      <w:bookmarkEnd w:id="9"/>
      <w:bookmarkEnd w:id="10"/>
      <w:bookmarkEnd w:id="11"/>
      <w:bookmarkEnd w:id="12"/>
      <w:bookmarkEnd w:id="13"/>
      <w:bookmarkEnd w:id="14"/>
    </w:p>
    <w:p w:rsidR="007C4E0C" w:rsidRPr="008633D2" w:rsidRDefault="007C4E0C" w:rsidP="007C4E0C">
      <w:pPr>
        <w:rPr>
          <w:lang w:val="en-ZA"/>
        </w:rPr>
      </w:pPr>
    </w:p>
    <w:p w:rsidR="006F2C0B" w:rsidRPr="008633D2" w:rsidRDefault="006F2C0B" w:rsidP="007372C2">
      <w:pPr>
        <w:pStyle w:val="Heading2"/>
        <w:rPr>
          <w:lang w:val="en-ZA"/>
        </w:rPr>
      </w:pPr>
      <w:bookmarkStart w:id="15" w:name="_Toc141172731"/>
      <w:bookmarkStart w:id="16" w:name="_Toc141172803"/>
      <w:bookmarkStart w:id="17" w:name="_Toc141173471"/>
      <w:bookmarkStart w:id="18" w:name="_Toc141173537"/>
      <w:bookmarkStart w:id="19" w:name="_Toc184011853"/>
      <w:bookmarkStart w:id="20" w:name="_Toc458610762"/>
      <w:r w:rsidRPr="008633D2">
        <w:rPr>
          <w:lang w:val="en-ZA"/>
        </w:rPr>
        <w:t>Purpose of the study</w:t>
      </w:r>
      <w:bookmarkEnd w:id="15"/>
      <w:bookmarkEnd w:id="16"/>
      <w:bookmarkEnd w:id="17"/>
      <w:bookmarkEnd w:id="18"/>
      <w:bookmarkEnd w:id="19"/>
      <w:bookmarkEnd w:id="20"/>
    </w:p>
    <w:p w:rsidR="00D250DF" w:rsidRDefault="0051718F" w:rsidP="0051718F">
      <w:pPr>
        <w:rPr>
          <w:lang w:val="en-ZA"/>
        </w:rPr>
      </w:pPr>
      <w:bookmarkStart w:id="21" w:name="_Ref25396392"/>
      <w:bookmarkStart w:id="22" w:name="_Toc141172732"/>
      <w:bookmarkStart w:id="23" w:name="_Toc141172804"/>
      <w:bookmarkStart w:id="24" w:name="_Toc141173472"/>
      <w:bookmarkStart w:id="25" w:name="_Toc141173538"/>
      <w:bookmarkStart w:id="26" w:name="_Toc184011854"/>
      <w:r w:rsidRPr="008633D2">
        <w:rPr>
          <w:lang w:val="en-ZA"/>
        </w:rPr>
        <w:t xml:space="preserve">The purpose of this research is to assess the performance of unit trusts managed by individual female fund managers in comparison to equally risky unit trusts managed by individual male fund managers in South Africa. This </w:t>
      </w:r>
      <w:r w:rsidR="00E0037F">
        <w:rPr>
          <w:lang w:val="en-ZA"/>
        </w:rPr>
        <w:t xml:space="preserve">is </w:t>
      </w:r>
      <w:r w:rsidR="0046753E">
        <w:rPr>
          <w:lang w:val="en-ZA"/>
        </w:rPr>
        <w:t>undertaken</w:t>
      </w:r>
      <w:r w:rsidRPr="008633D2">
        <w:rPr>
          <w:lang w:val="en-ZA"/>
        </w:rPr>
        <w:t xml:space="preserve"> by analysing the returns between two sets of chosen unit trusts</w:t>
      </w:r>
      <w:r w:rsidR="00E0037F">
        <w:rPr>
          <w:lang w:val="en-ZA"/>
        </w:rPr>
        <w:t xml:space="preserve"> across different periods</w:t>
      </w:r>
      <w:r w:rsidR="0032543B" w:rsidRPr="008633D2">
        <w:rPr>
          <w:lang w:val="en-ZA"/>
        </w:rPr>
        <w:t xml:space="preserve">. </w:t>
      </w:r>
      <w:r w:rsidR="00E0037F">
        <w:rPr>
          <w:lang w:val="en-ZA"/>
        </w:rPr>
        <w:t>In this research, the c</w:t>
      </w:r>
      <w:r w:rsidRPr="008633D2">
        <w:rPr>
          <w:lang w:val="en-ZA"/>
        </w:rPr>
        <w:t>om</w:t>
      </w:r>
      <w:r w:rsidR="00E0037F">
        <w:rPr>
          <w:lang w:val="en-ZA"/>
        </w:rPr>
        <w:t>parability of two unit trusts is</w:t>
      </w:r>
      <w:r w:rsidRPr="008633D2">
        <w:rPr>
          <w:lang w:val="en-ZA"/>
        </w:rPr>
        <w:t xml:space="preserve"> ascertained by measuring the riskiness of the unit </w:t>
      </w:r>
      <w:r w:rsidR="0094293B" w:rsidRPr="008633D2">
        <w:rPr>
          <w:lang w:val="en-ZA"/>
        </w:rPr>
        <w:t>trust</w:t>
      </w:r>
      <w:r w:rsidR="00474E72">
        <w:rPr>
          <w:lang w:val="en-ZA"/>
        </w:rPr>
        <w:t>. T</w:t>
      </w:r>
      <w:r w:rsidR="00E0037F">
        <w:rPr>
          <w:lang w:val="en-ZA"/>
        </w:rPr>
        <w:t xml:space="preserve">he </w:t>
      </w:r>
      <w:r w:rsidR="00474E72">
        <w:rPr>
          <w:lang w:val="en-ZA"/>
        </w:rPr>
        <w:t xml:space="preserve">risk </w:t>
      </w:r>
      <w:r w:rsidR="00E0037F">
        <w:rPr>
          <w:lang w:val="en-ZA"/>
        </w:rPr>
        <w:t>measurement beta (</w:t>
      </w:r>
      <w:r w:rsidR="00E0037F">
        <w:rPr>
          <w:rFonts w:cs="Arial"/>
          <w:lang w:val="en-ZA"/>
        </w:rPr>
        <w:t>β</w:t>
      </w:r>
      <w:r w:rsidR="00E0037F">
        <w:rPr>
          <w:lang w:val="en-ZA"/>
        </w:rPr>
        <w:t xml:space="preserve">) has been </w:t>
      </w:r>
      <w:r w:rsidR="00474E72">
        <w:rPr>
          <w:lang w:val="en-ZA"/>
        </w:rPr>
        <w:t>utilised</w:t>
      </w:r>
      <w:r w:rsidR="00E0037F">
        <w:rPr>
          <w:lang w:val="en-ZA"/>
        </w:rPr>
        <w:t xml:space="preserve"> to represent risk of a unit trust relative to the market.</w:t>
      </w:r>
      <w:r w:rsidR="00E0037F" w:rsidRPr="008633D2">
        <w:rPr>
          <w:lang w:val="en-ZA"/>
        </w:rPr>
        <w:t xml:space="preserve"> </w:t>
      </w:r>
    </w:p>
    <w:p w:rsidR="00E0037F" w:rsidRPr="008633D2" w:rsidRDefault="00E0037F" w:rsidP="0051718F">
      <w:pPr>
        <w:rPr>
          <w:lang w:val="en-ZA"/>
        </w:rPr>
      </w:pPr>
    </w:p>
    <w:p w:rsidR="006F2C0B" w:rsidRPr="008633D2" w:rsidRDefault="006F2C0B" w:rsidP="00C91099">
      <w:pPr>
        <w:pStyle w:val="Heading2"/>
        <w:rPr>
          <w:lang w:val="en-ZA"/>
        </w:rPr>
      </w:pPr>
      <w:bookmarkStart w:id="27" w:name="_Toc458610763"/>
      <w:r w:rsidRPr="008633D2">
        <w:rPr>
          <w:lang w:val="en-ZA"/>
        </w:rPr>
        <w:t>Context of the study</w:t>
      </w:r>
      <w:bookmarkEnd w:id="21"/>
      <w:bookmarkEnd w:id="22"/>
      <w:bookmarkEnd w:id="23"/>
      <w:bookmarkEnd w:id="24"/>
      <w:bookmarkEnd w:id="25"/>
      <w:bookmarkEnd w:id="26"/>
      <w:bookmarkEnd w:id="27"/>
    </w:p>
    <w:p w:rsidR="00474E72" w:rsidRDefault="0051718F" w:rsidP="0051718F">
      <w:pPr>
        <w:rPr>
          <w:lang w:val="en-ZA"/>
        </w:rPr>
      </w:pPr>
      <w:r w:rsidRPr="008633D2">
        <w:rPr>
          <w:lang w:val="en-ZA"/>
        </w:rPr>
        <w:t>The South African (SA) financial system is known to be sophisticated and fundamentally sound</w:t>
      </w:r>
      <w:sdt>
        <w:sdtPr>
          <w:rPr>
            <w:lang w:val="en-ZA"/>
          </w:rPr>
          <w:id w:val="1051352810"/>
          <w:citation/>
        </w:sdtPr>
        <w:sdtEndPr/>
        <w:sdtContent>
          <w:r w:rsidRPr="008633D2">
            <w:rPr>
              <w:lang w:val="en-ZA"/>
            </w:rPr>
            <w:fldChar w:fldCharType="begin"/>
          </w:r>
          <w:r w:rsidR="005B7BCE">
            <w:rPr>
              <w:lang w:val="en-ZA"/>
            </w:rPr>
            <w:instrText xml:space="preserve">CITATION Int08 \l 1033 </w:instrText>
          </w:r>
          <w:r w:rsidRPr="008633D2">
            <w:rPr>
              <w:lang w:val="en-ZA"/>
            </w:rPr>
            <w:fldChar w:fldCharType="separate"/>
          </w:r>
          <w:r w:rsidR="005B7BCE">
            <w:rPr>
              <w:noProof/>
              <w:lang w:val="en-ZA"/>
            </w:rPr>
            <w:t xml:space="preserve"> </w:t>
          </w:r>
          <w:r w:rsidR="005B7BCE" w:rsidRPr="005B7BCE">
            <w:rPr>
              <w:noProof/>
              <w:lang w:val="en-ZA"/>
            </w:rPr>
            <w:t>(International Monetary Fund, 2008)</w:t>
          </w:r>
          <w:r w:rsidRPr="008633D2">
            <w:rPr>
              <w:lang w:val="en-ZA"/>
            </w:rPr>
            <w:fldChar w:fldCharType="end"/>
          </w:r>
        </w:sdtContent>
      </w:sdt>
      <w:r w:rsidRPr="008633D2">
        <w:rPr>
          <w:lang w:val="en-ZA"/>
        </w:rPr>
        <w:t xml:space="preserve">. </w:t>
      </w:r>
      <w:r w:rsidR="0046753E">
        <w:rPr>
          <w:lang w:val="en-ZA"/>
        </w:rPr>
        <w:t>This emerged</w:t>
      </w:r>
      <w:r w:rsidRPr="008633D2">
        <w:rPr>
          <w:lang w:val="en-ZA"/>
        </w:rPr>
        <w:t xml:space="preserve"> during the global financial market turmoil in 2008 where South Africa is said to have weathered the storm relatively well</w:t>
      </w:r>
      <w:sdt>
        <w:sdtPr>
          <w:rPr>
            <w:lang w:val="en-ZA"/>
          </w:rPr>
          <w:id w:val="-157924050"/>
          <w:citation/>
        </w:sdtPr>
        <w:sdtEndPr/>
        <w:sdtContent>
          <w:r w:rsidRPr="008633D2">
            <w:rPr>
              <w:lang w:val="en-ZA"/>
            </w:rPr>
            <w:fldChar w:fldCharType="begin"/>
          </w:r>
          <w:r w:rsidR="005B7BCE">
            <w:rPr>
              <w:lang w:val="en-ZA"/>
            </w:rPr>
            <w:instrText xml:space="preserve">CITATION Bax09 \l 1033 </w:instrText>
          </w:r>
          <w:r w:rsidRPr="008633D2">
            <w:rPr>
              <w:lang w:val="en-ZA"/>
            </w:rPr>
            <w:fldChar w:fldCharType="separate"/>
          </w:r>
          <w:r w:rsidR="005B7BCE">
            <w:rPr>
              <w:noProof/>
              <w:lang w:val="en-ZA"/>
            </w:rPr>
            <w:t xml:space="preserve"> </w:t>
          </w:r>
          <w:r w:rsidR="005B7BCE" w:rsidRPr="005B7BCE">
            <w:rPr>
              <w:noProof/>
              <w:lang w:val="en-ZA"/>
            </w:rPr>
            <w:t>(Baxter, 2009)</w:t>
          </w:r>
          <w:r w:rsidRPr="008633D2">
            <w:rPr>
              <w:lang w:val="en-ZA"/>
            </w:rPr>
            <w:fldChar w:fldCharType="end"/>
          </w:r>
        </w:sdtContent>
      </w:sdt>
      <w:r w:rsidRPr="008633D2">
        <w:rPr>
          <w:lang w:val="en-ZA"/>
        </w:rPr>
        <w:t>. In addition, the finance, real estate and business services industries are the largest contributors to the South African Gross Domestic Product</w:t>
      </w:r>
      <w:r w:rsidR="00DD1F58" w:rsidRPr="008633D2">
        <w:rPr>
          <w:lang w:val="en-ZA"/>
        </w:rPr>
        <w:t xml:space="preserve"> (GDP)</w:t>
      </w:r>
      <w:r w:rsidR="003D0752">
        <w:rPr>
          <w:lang w:val="en-ZA"/>
        </w:rPr>
        <w:t>,</w:t>
      </w:r>
      <w:r w:rsidRPr="008633D2">
        <w:rPr>
          <w:lang w:val="en-ZA"/>
        </w:rPr>
        <w:t xml:space="preserve"> as </w:t>
      </w:r>
      <w:r w:rsidR="0046753E">
        <w:rPr>
          <w:lang w:val="en-ZA"/>
        </w:rPr>
        <w:t>reported during</w:t>
      </w:r>
      <w:r w:rsidRPr="008633D2">
        <w:rPr>
          <w:lang w:val="en-ZA"/>
        </w:rPr>
        <w:t xml:space="preserve"> quarter three of 2014</w:t>
      </w:r>
      <w:sdt>
        <w:sdtPr>
          <w:rPr>
            <w:lang w:val="en-ZA"/>
          </w:rPr>
          <w:id w:val="180561059"/>
          <w:citation/>
        </w:sdtPr>
        <w:sdtEndPr/>
        <w:sdtContent>
          <w:r w:rsidRPr="008633D2">
            <w:rPr>
              <w:lang w:val="en-ZA"/>
            </w:rPr>
            <w:fldChar w:fldCharType="begin"/>
          </w:r>
          <w:r w:rsidRPr="008633D2">
            <w:rPr>
              <w:lang w:val="en-ZA"/>
            </w:rPr>
            <w:instrText xml:space="preserve"> CITATION Sta14 \l 1033 </w:instrText>
          </w:r>
          <w:r w:rsidRPr="008633D2">
            <w:rPr>
              <w:lang w:val="en-ZA"/>
            </w:rPr>
            <w:fldChar w:fldCharType="separate"/>
          </w:r>
          <w:r w:rsidRPr="008633D2">
            <w:rPr>
              <w:lang w:val="en-ZA"/>
            </w:rPr>
            <w:t xml:space="preserve"> (Statistics SA, 2014)</w:t>
          </w:r>
          <w:r w:rsidRPr="008633D2">
            <w:rPr>
              <w:lang w:val="en-ZA"/>
            </w:rPr>
            <w:fldChar w:fldCharType="end"/>
          </w:r>
        </w:sdtContent>
      </w:sdt>
      <w:r w:rsidRPr="008633D2">
        <w:rPr>
          <w:lang w:val="en-ZA"/>
        </w:rPr>
        <w:t>. This indicates that as an emerging mar</w:t>
      </w:r>
      <w:r w:rsidR="00DD1F58" w:rsidRPr="008633D2">
        <w:rPr>
          <w:lang w:val="en-ZA"/>
        </w:rPr>
        <w:t>ket economy, the South African s</w:t>
      </w:r>
      <w:r w:rsidRPr="008633D2">
        <w:rPr>
          <w:lang w:val="en-ZA"/>
        </w:rPr>
        <w:t xml:space="preserve">tock </w:t>
      </w:r>
      <w:r w:rsidR="00DD1F58" w:rsidRPr="008633D2">
        <w:rPr>
          <w:lang w:val="en-ZA"/>
        </w:rPr>
        <w:t>m</w:t>
      </w:r>
      <w:r w:rsidRPr="008633D2">
        <w:rPr>
          <w:lang w:val="en-ZA"/>
        </w:rPr>
        <w:t>arket is well developed</w:t>
      </w:r>
      <w:sdt>
        <w:sdtPr>
          <w:rPr>
            <w:lang w:val="en-ZA"/>
          </w:rPr>
          <w:id w:val="769193917"/>
          <w:citation/>
        </w:sdtPr>
        <w:sdtEndPr/>
        <w:sdtContent>
          <w:r w:rsidRPr="008633D2">
            <w:rPr>
              <w:lang w:val="en-ZA"/>
            </w:rPr>
            <w:fldChar w:fldCharType="begin"/>
          </w:r>
          <w:r w:rsidR="005B7BCE">
            <w:rPr>
              <w:lang w:val="en-ZA"/>
            </w:rPr>
            <w:instrText xml:space="preserve">CITATION Yar \l 1033 </w:instrText>
          </w:r>
          <w:r w:rsidRPr="008633D2">
            <w:rPr>
              <w:lang w:val="en-ZA"/>
            </w:rPr>
            <w:fldChar w:fldCharType="separate"/>
          </w:r>
          <w:r w:rsidR="005B7BCE">
            <w:rPr>
              <w:noProof/>
              <w:lang w:val="en-ZA"/>
            </w:rPr>
            <w:t xml:space="preserve"> </w:t>
          </w:r>
          <w:r w:rsidR="005B7BCE" w:rsidRPr="005B7BCE">
            <w:rPr>
              <w:noProof/>
              <w:lang w:val="en-ZA"/>
            </w:rPr>
            <w:t>(Yartey, 2008)</w:t>
          </w:r>
          <w:r w:rsidRPr="008633D2">
            <w:rPr>
              <w:lang w:val="en-ZA"/>
            </w:rPr>
            <w:fldChar w:fldCharType="end"/>
          </w:r>
        </w:sdtContent>
      </w:sdt>
      <w:r w:rsidRPr="008633D2">
        <w:rPr>
          <w:lang w:val="en-ZA"/>
        </w:rPr>
        <w:t xml:space="preserve">. </w:t>
      </w:r>
      <w:r w:rsidR="00DD1F58" w:rsidRPr="008633D2">
        <w:rPr>
          <w:lang w:val="en-ZA"/>
        </w:rPr>
        <w:t>I</w:t>
      </w:r>
      <w:r w:rsidRPr="008633D2">
        <w:rPr>
          <w:lang w:val="en-ZA"/>
        </w:rPr>
        <w:t>t is no surprise</w:t>
      </w:r>
      <w:r w:rsidR="00DD1F58" w:rsidRPr="008633D2">
        <w:rPr>
          <w:lang w:val="en-ZA"/>
        </w:rPr>
        <w:t xml:space="preserve"> that a large number of unit trusts exist in a financial system as sophisticated as the South African one</w:t>
      </w:r>
      <w:r w:rsidR="00CC6274" w:rsidRPr="008633D2">
        <w:rPr>
          <w:lang w:val="en-ZA"/>
        </w:rPr>
        <w:t>.</w:t>
      </w:r>
    </w:p>
    <w:p w:rsidR="00474E72" w:rsidRDefault="00474E72" w:rsidP="0051718F">
      <w:pPr>
        <w:rPr>
          <w:lang w:val="en-ZA"/>
        </w:rPr>
      </w:pPr>
    </w:p>
    <w:p w:rsidR="00474E72" w:rsidRDefault="00474E72" w:rsidP="0051718F">
      <w:pPr>
        <w:rPr>
          <w:lang w:val="en-ZA"/>
        </w:rPr>
      </w:pPr>
    </w:p>
    <w:p w:rsidR="00474E72" w:rsidRDefault="0051718F" w:rsidP="0051718F">
      <w:pPr>
        <w:rPr>
          <w:lang w:val="en-ZA"/>
        </w:rPr>
      </w:pPr>
      <w:r w:rsidRPr="008633D2">
        <w:rPr>
          <w:lang w:val="en-ZA"/>
        </w:rPr>
        <w:t>A unit trust is a Bri</w:t>
      </w:r>
      <w:r w:rsidR="00DD1F58" w:rsidRPr="008633D2">
        <w:rPr>
          <w:lang w:val="en-ZA"/>
        </w:rPr>
        <w:t>tish term for mutual investment</w:t>
      </w:r>
      <w:r w:rsidRPr="008633D2">
        <w:rPr>
          <w:lang w:val="en-ZA"/>
        </w:rPr>
        <w:t xml:space="preserve"> or mutual fund. In South </w:t>
      </w:r>
      <w:r w:rsidR="00CC6274" w:rsidRPr="008633D2">
        <w:rPr>
          <w:lang w:val="en-ZA"/>
        </w:rPr>
        <w:t>Africa,</w:t>
      </w:r>
      <w:r w:rsidRPr="008633D2">
        <w:rPr>
          <w:lang w:val="en-ZA"/>
        </w:rPr>
        <w:t xml:space="preserve"> they are also known as</w:t>
      </w:r>
      <w:r w:rsidR="0032543B" w:rsidRPr="008633D2">
        <w:rPr>
          <w:lang w:val="en-ZA"/>
        </w:rPr>
        <w:t xml:space="preserve"> collective investments. </w:t>
      </w:r>
      <w:r w:rsidR="00E0037F">
        <w:rPr>
          <w:lang w:val="en-ZA"/>
        </w:rPr>
        <w:t xml:space="preserve">For the purposes of </w:t>
      </w:r>
      <w:r w:rsidR="0032543B" w:rsidRPr="008633D2">
        <w:rPr>
          <w:lang w:val="en-ZA"/>
        </w:rPr>
        <w:t xml:space="preserve">this </w:t>
      </w:r>
      <w:r w:rsidRPr="008633D2">
        <w:rPr>
          <w:lang w:val="en-ZA"/>
        </w:rPr>
        <w:t>research, the terms, unit trust, mutual fund</w:t>
      </w:r>
      <w:r w:rsidR="00DD1F58" w:rsidRPr="008633D2">
        <w:rPr>
          <w:lang w:val="en-ZA"/>
        </w:rPr>
        <w:t>, fund</w:t>
      </w:r>
      <w:r w:rsidRPr="008633D2">
        <w:rPr>
          <w:lang w:val="en-ZA"/>
        </w:rPr>
        <w:t xml:space="preserve"> and collective investmen</w:t>
      </w:r>
      <w:r w:rsidR="00DD1F58" w:rsidRPr="008633D2">
        <w:rPr>
          <w:lang w:val="en-ZA"/>
        </w:rPr>
        <w:t xml:space="preserve">ts </w:t>
      </w:r>
      <w:r w:rsidR="003D0752">
        <w:rPr>
          <w:lang w:val="en-ZA"/>
        </w:rPr>
        <w:t>are</w:t>
      </w:r>
      <w:r w:rsidR="00DD1F58" w:rsidRPr="008633D2">
        <w:rPr>
          <w:lang w:val="en-ZA"/>
        </w:rPr>
        <w:t xml:space="preserve"> used interchangeably. </w:t>
      </w:r>
    </w:p>
    <w:p w:rsidR="00474E72" w:rsidRDefault="00474E72" w:rsidP="0051718F">
      <w:pPr>
        <w:rPr>
          <w:lang w:val="en-ZA"/>
        </w:rPr>
      </w:pPr>
    </w:p>
    <w:p w:rsidR="0051718F" w:rsidRPr="008633D2" w:rsidRDefault="0051718F" w:rsidP="0051718F">
      <w:pPr>
        <w:rPr>
          <w:lang w:val="en-ZA"/>
        </w:rPr>
      </w:pPr>
      <w:r w:rsidRPr="008633D2">
        <w:rPr>
          <w:lang w:val="en-ZA"/>
        </w:rPr>
        <w:t xml:space="preserve">Unit trusts are sophisticated investment </w:t>
      </w:r>
      <w:r w:rsidR="00CC6274" w:rsidRPr="008633D2">
        <w:rPr>
          <w:lang w:val="en-ZA"/>
        </w:rPr>
        <w:t>products, which</w:t>
      </w:r>
      <w:r w:rsidRPr="008633D2">
        <w:rPr>
          <w:lang w:val="en-ZA"/>
        </w:rPr>
        <w:t xml:space="preserve"> are constituted under a trust that is made up of a pool of </w:t>
      </w:r>
      <w:r w:rsidR="00634F5B" w:rsidRPr="008633D2">
        <w:rPr>
          <w:lang w:val="en-ZA"/>
        </w:rPr>
        <w:t>funds that</w:t>
      </w:r>
      <w:r w:rsidRPr="008633D2">
        <w:rPr>
          <w:lang w:val="en-ZA"/>
        </w:rPr>
        <w:t xml:space="preserve"> have been collected from many investors by a management company. The management company invests the collected funds into securities, bonds, money market instruments and/or similar assets. The combined portfolio is then divided into units and investors are allocated their share according to the amount of funds </w:t>
      </w:r>
      <w:r w:rsidR="00421FEB" w:rsidRPr="008633D2">
        <w:rPr>
          <w:lang w:val="en-ZA"/>
        </w:rPr>
        <w:t xml:space="preserve">they have </w:t>
      </w:r>
      <w:r w:rsidRPr="008633D2">
        <w:rPr>
          <w:lang w:val="en-ZA"/>
        </w:rPr>
        <w:t>invested</w:t>
      </w:r>
      <w:sdt>
        <w:sdtPr>
          <w:rPr>
            <w:lang w:val="en-ZA"/>
          </w:rPr>
          <w:id w:val="-1692992837"/>
          <w:citation/>
        </w:sdtPr>
        <w:sdtEndPr/>
        <w:sdtContent>
          <w:r w:rsidRPr="008633D2">
            <w:rPr>
              <w:lang w:val="en-ZA"/>
            </w:rPr>
            <w:fldChar w:fldCharType="begin"/>
          </w:r>
          <w:r w:rsidRPr="008633D2">
            <w:rPr>
              <w:lang w:val="en-ZA"/>
            </w:rPr>
            <w:instrText xml:space="preserve">CITATION htt \l 1033 </w:instrText>
          </w:r>
          <w:r w:rsidRPr="008633D2">
            <w:rPr>
              <w:lang w:val="en-ZA"/>
            </w:rPr>
            <w:fldChar w:fldCharType="separate"/>
          </w:r>
          <w:r w:rsidRPr="008633D2">
            <w:rPr>
              <w:lang w:val="en-ZA"/>
            </w:rPr>
            <w:t xml:space="preserve"> (Sharenet (Pty) Ltd, 2015)</w:t>
          </w:r>
          <w:r w:rsidRPr="008633D2">
            <w:rPr>
              <w:lang w:val="en-ZA"/>
            </w:rPr>
            <w:fldChar w:fldCharType="end"/>
          </w:r>
        </w:sdtContent>
      </w:sdt>
      <w:r w:rsidRPr="008633D2">
        <w:rPr>
          <w:lang w:val="en-ZA"/>
        </w:rPr>
        <w:t xml:space="preserve">.  </w:t>
      </w:r>
    </w:p>
    <w:p w:rsidR="007C4E0C" w:rsidRPr="008633D2" w:rsidRDefault="007C4E0C" w:rsidP="0051718F">
      <w:pPr>
        <w:rPr>
          <w:lang w:val="en-ZA"/>
        </w:rPr>
      </w:pPr>
    </w:p>
    <w:p w:rsidR="00791448" w:rsidRDefault="000D4D3C" w:rsidP="0051718F">
      <w:pPr>
        <w:rPr>
          <w:lang w:val="en-ZA"/>
        </w:rPr>
      </w:pPr>
      <w:r w:rsidRPr="008633D2">
        <w:rPr>
          <w:lang w:val="en-ZA"/>
        </w:rPr>
        <w:t>Unit t</w:t>
      </w:r>
      <w:r w:rsidR="0051718F" w:rsidRPr="008633D2">
        <w:rPr>
          <w:lang w:val="en-ZA"/>
        </w:rPr>
        <w:t>rusts are</w:t>
      </w:r>
      <w:r w:rsidRPr="008633D2">
        <w:rPr>
          <w:lang w:val="en-ZA"/>
        </w:rPr>
        <w:t xml:space="preserve"> popular amongst South African i</w:t>
      </w:r>
      <w:r w:rsidR="0051718F" w:rsidRPr="008633D2">
        <w:rPr>
          <w:lang w:val="en-ZA"/>
        </w:rPr>
        <w:t xml:space="preserve">nvestors and are generally easily accessible and flexible. They provide a </w:t>
      </w:r>
      <w:r w:rsidR="0046753E">
        <w:rPr>
          <w:lang w:val="en-ZA"/>
        </w:rPr>
        <w:t>mechanism</w:t>
      </w:r>
      <w:r w:rsidR="0051718F" w:rsidRPr="008633D2">
        <w:rPr>
          <w:lang w:val="en-ZA"/>
        </w:rPr>
        <w:t xml:space="preserve"> for individuals with no expert financial market knowledge to gain direct access to </w:t>
      </w:r>
      <w:r w:rsidR="003D0752">
        <w:rPr>
          <w:lang w:val="en-ZA"/>
        </w:rPr>
        <w:t xml:space="preserve">the </w:t>
      </w:r>
      <w:r w:rsidR="0051718F" w:rsidRPr="008633D2">
        <w:rPr>
          <w:lang w:val="en-ZA"/>
        </w:rPr>
        <w:t xml:space="preserve">Johannesburg Stock </w:t>
      </w:r>
      <w:r w:rsidR="008633D2" w:rsidRPr="008633D2">
        <w:rPr>
          <w:lang w:val="en-ZA"/>
        </w:rPr>
        <w:t>Exchange (</w:t>
      </w:r>
      <w:r w:rsidR="00AC4044" w:rsidRPr="008633D2">
        <w:rPr>
          <w:lang w:val="en-ZA"/>
        </w:rPr>
        <w:t>JSE)</w:t>
      </w:r>
      <w:r w:rsidR="0051718F" w:rsidRPr="008633D2">
        <w:rPr>
          <w:lang w:val="en-ZA"/>
        </w:rPr>
        <w:t>.</w:t>
      </w:r>
      <w:r w:rsidR="00791448">
        <w:rPr>
          <w:lang w:val="en-ZA"/>
        </w:rPr>
        <w:t xml:space="preserve"> The unit trust market caters for investors using a broker as well as self-directed investors</w:t>
      </w:r>
      <w:sdt>
        <w:sdtPr>
          <w:rPr>
            <w:lang w:val="en-ZA"/>
          </w:rPr>
          <w:id w:val="2099748073"/>
          <w:citation/>
        </w:sdtPr>
        <w:sdtEndPr/>
        <w:sdtContent>
          <w:r w:rsidR="00791448">
            <w:rPr>
              <w:lang w:val="en-ZA"/>
            </w:rPr>
            <w:fldChar w:fldCharType="begin"/>
          </w:r>
          <w:r w:rsidR="005B7BCE">
            <w:rPr>
              <w:lang w:val="en-US"/>
            </w:rPr>
            <w:instrText xml:space="preserve">CITATION Gue14 \l 1033 </w:instrText>
          </w:r>
          <w:r w:rsidR="00791448">
            <w:rPr>
              <w:lang w:val="en-ZA"/>
            </w:rPr>
            <w:fldChar w:fldCharType="separate"/>
          </w:r>
          <w:r w:rsidR="005B7BCE">
            <w:rPr>
              <w:noProof/>
              <w:lang w:val="en-US"/>
            </w:rPr>
            <w:t xml:space="preserve"> (Guercio &amp; Rueter, 2014)</w:t>
          </w:r>
          <w:r w:rsidR="00791448">
            <w:rPr>
              <w:lang w:val="en-ZA"/>
            </w:rPr>
            <w:fldChar w:fldCharType="end"/>
          </w:r>
        </w:sdtContent>
      </w:sdt>
      <w:r w:rsidR="00791448">
        <w:rPr>
          <w:lang w:val="en-ZA"/>
        </w:rPr>
        <w:t>. Unit trust</w:t>
      </w:r>
      <w:r w:rsidR="0051718F" w:rsidRPr="008633D2">
        <w:rPr>
          <w:lang w:val="en-ZA"/>
        </w:rPr>
        <w:t xml:space="preserve"> are usually not </w:t>
      </w:r>
      <w:r w:rsidR="0046753E">
        <w:rPr>
          <w:lang w:val="en-ZA"/>
        </w:rPr>
        <w:t>medium to long term</w:t>
      </w:r>
      <w:r w:rsidR="0051718F" w:rsidRPr="008633D2">
        <w:rPr>
          <w:lang w:val="en-ZA"/>
        </w:rPr>
        <w:t xml:space="preserve"> investments and attempt to take advantages of both upturns and downturns in the market</w:t>
      </w:r>
      <w:sdt>
        <w:sdtPr>
          <w:rPr>
            <w:lang w:val="en-ZA"/>
          </w:rPr>
          <w:id w:val="-1903900220"/>
          <w:citation/>
        </w:sdtPr>
        <w:sdtEndPr/>
        <w:sdtContent>
          <w:r w:rsidR="0051718F" w:rsidRPr="008633D2">
            <w:rPr>
              <w:lang w:val="en-ZA"/>
            </w:rPr>
            <w:fldChar w:fldCharType="begin"/>
          </w:r>
          <w:r w:rsidR="0051718F" w:rsidRPr="008633D2">
            <w:rPr>
              <w:lang w:val="en-ZA"/>
            </w:rPr>
            <w:instrText xml:space="preserve">CITATION htt \l 1033 </w:instrText>
          </w:r>
          <w:r w:rsidR="0051718F" w:rsidRPr="008633D2">
            <w:rPr>
              <w:lang w:val="en-ZA"/>
            </w:rPr>
            <w:fldChar w:fldCharType="separate"/>
          </w:r>
          <w:r w:rsidR="0051718F" w:rsidRPr="008633D2">
            <w:rPr>
              <w:lang w:val="en-ZA"/>
            </w:rPr>
            <w:t xml:space="preserve"> (Sharenet (Pty) Ltd, 2015)</w:t>
          </w:r>
          <w:r w:rsidR="0051718F" w:rsidRPr="008633D2">
            <w:rPr>
              <w:lang w:val="en-ZA"/>
            </w:rPr>
            <w:fldChar w:fldCharType="end"/>
          </w:r>
        </w:sdtContent>
      </w:sdt>
      <w:r w:rsidR="00CC6274" w:rsidRPr="008633D2">
        <w:rPr>
          <w:lang w:val="en-ZA"/>
        </w:rPr>
        <w:t xml:space="preserve">. </w:t>
      </w:r>
      <w:r w:rsidR="0051718F" w:rsidRPr="008633D2">
        <w:rPr>
          <w:lang w:val="en-ZA"/>
        </w:rPr>
        <w:t>According to</w:t>
      </w:r>
      <w:r w:rsidR="0094293B" w:rsidRPr="008633D2">
        <w:rPr>
          <w:lang w:val="en-ZA"/>
        </w:rPr>
        <w:t xml:space="preserve"> Mibiola </w:t>
      </w:r>
      <w:sdt>
        <w:sdtPr>
          <w:rPr>
            <w:lang w:val="en-ZA"/>
          </w:rPr>
          <w:id w:val="1557432485"/>
          <w:citation/>
        </w:sdtPr>
        <w:sdtEndPr/>
        <w:sdtContent>
          <w:r w:rsidR="0094293B" w:rsidRPr="008633D2">
            <w:rPr>
              <w:lang w:val="en-ZA"/>
            </w:rPr>
            <w:fldChar w:fldCharType="begin"/>
          </w:r>
          <w:r w:rsidR="0094293B" w:rsidRPr="008633D2">
            <w:rPr>
              <w:lang w:val="en-ZA"/>
            </w:rPr>
            <w:instrText xml:space="preserve">CITATION OLU13 \n  \t  \l 1033 </w:instrText>
          </w:r>
          <w:r w:rsidR="0094293B" w:rsidRPr="008633D2">
            <w:rPr>
              <w:lang w:val="en-ZA"/>
            </w:rPr>
            <w:fldChar w:fldCharType="separate"/>
          </w:r>
          <w:r w:rsidR="0094293B" w:rsidRPr="008633D2">
            <w:rPr>
              <w:lang w:val="en-ZA"/>
            </w:rPr>
            <w:t>(2013)</w:t>
          </w:r>
          <w:r w:rsidR="0094293B" w:rsidRPr="008633D2">
            <w:rPr>
              <w:lang w:val="en-ZA"/>
            </w:rPr>
            <w:fldChar w:fldCharType="end"/>
          </w:r>
        </w:sdtContent>
      </w:sdt>
      <w:r w:rsidR="0051718F" w:rsidRPr="008633D2">
        <w:rPr>
          <w:lang w:val="en-ZA"/>
        </w:rPr>
        <w:t>, unit trust</w:t>
      </w:r>
      <w:r w:rsidR="0032543B" w:rsidRPr="008633D2">
        <w:rPr>
          <w:lang w:val="en-ZA"/>
        </w:rPr>
        <w:t>s offer investors the advantage</w:t>
      </w:r>
      <w:r w:rsidR="0051718F" w:rsidRPr="008633D2">
        <w:rPr>
          <w:lang w:val="en-ZA"/>
        </w:rPr>
        <w:t xml:space="preserve"> of having a professional manage their investment so that the</w:t>
      </w:r>
      <w:r w:rsidR="0046753E">
        <w:rPr>
          <w:lang w:val="en-ZA"/>
        </w:rPr>
        <w:t xml:space="preserve"> </w:t>
      </w:r>
      <w:r w:rsidR="00474E72">
        <w:rPr>
          <w:lang w:val="en-ZA"/>
        </w:rPr>
        <w:t>investor</w:t>
      </w:r>
      <w:r w:rsidR="0046753E">
        <w:rPr>
          <w:lang w:val="en-ZA"/>
        </w:rPr>
        <w:t xml:space="preserve"> does not need to manage </w:t>
      </w:r>
      <w:r w:rsidR="0051718F" w:rsidRPr="008633D2">
        <w:rPr>
          <w:lang w:val="en-ZA"/>
        </w:rPr>
        <w:t>critical buy/sell decision</w:t>
      </w:r>
      <w:r w:rsidR="00E0037F">
        <w:rPr>
          <w:lang w:val="en-ZA"/>
        </w:rPr>
        <w:t>s and</w:t>
      </w:r>
      <w:r w:rsidR="0051718F" w:rsidRPr="008633D2">
        <w:rPr>
          <w:lang w:val="en-ZA"/>
        </w:rPr>
        <w:t xml:space="preserve"> more importantly</w:t>
      </w:r>
      <w:r w:rsidR="003D0752">
        <w:rPr>
          <w:lang w:val="en-ZA"/>
        </w:rPr>
        <w:t>,</w:t>
      </w:r>
      <w:r w:rsidR="0051718F" w:rsidRPr="008633D2">
        <w:rPr>
          <w:lang w:val="en-ZA"/>
        </w:rPr>
        <w:t xml:space="preserve"> it provides access to a variety of financial investments</w:t>
      </w:r>
      <w:r w:rsidR="003D0752">
        <w:rPr>
          <w:lang w:val="en-ZA"/>
        </w:rPr>
        <w:t>,</w:t>
      </w:r>
      <w:r w:rsidR="0051718F" w:rsidRPr="008633D2">
        <w:rPr>
          <w:lang w:val="en-ZA"/>
        </w:rPr>
        <w:t xml:space="preserve"> allowing for a diversification </w:t>
      </w:r>
      <w:r w:rsidR="00093481" w:rsidRPr="008633D2">
        <w:rPr>
          <w:lang w:val="en-ZA"/>
        </w:rPr>
        <w:t>benefit.</w:t>
      </w:r>
      <w:r w:rsidR="00791448">
        <w:rPr>
          <w:lang w:val="en-ZA"/>
        </w:rPr>
        <w:t xml:space="preserve"> </w:t>
      </w:r>
    </w:p>
    <w:p w:rsidR="00791448" w:rsidRDefault="00791448" w:rsidP="0051718F">
      <w:pPr>
        <w:rPr>
          <w:lang w:val="en-ZA"/>
        </w:rPr>
      </w:pPr>
    </w:p>
    <w:p w:rsidR="00791448" w:rsidRDefault="0051718F" w:rsidP="0051718F">
      <w:pPr>
        <w:rPr>
          <w:lang w:val="en-ZA"/>
        </w:rPr>
      </w:pPr>
      <w:r w:rsidRPr="008633D2">
        <w:rPr>
          <w:lang w:val="en-ZA"/>
        </w:rPr>
        <w:t xml:space="preserve">There were 967 unit trusts registered in South Africa at the end of December 2012 and the total assets under management </w:t>
      </w:r>
      <w:r w:rsidR="00421FEB" w:rsidRPr="008633D2">
        <w:rPr>
          <w:lang w:val="en-ZA"/>
        </w:rPr>
        <w:t>amounted to</w:t>
      </w:r>
      <w:r w:rsidRPr="008633D2">
        <w:rPr>
          <w:lang w:val="en-ZA"/>
        </w:rPr>
        <w:t xml:space="preserve"> R1.23</w:t>
      </w:r>
      <w:r w:rsidR="00FE107F">
        <w:rPr>
          <w:lang w:val="en-ZA"/>
        </w:rPr>
        <w:t xml:space="preserve"> </w:t>
      </w:r>
      <w:r w:rsidRPr="008633D2">
        <w:rPr>
          <w:lang w:val="en-ZA"/>
        </w:rPr>
        <w:t>tr</w:t>
      </w:r>
      <w:r w:rsidR="00FE107F">
        <w:rPr>
          <w:lang w:val="en-ZA"/>
        </w:rPr>
        <w:t>illio</w:t>
      </w:r>
      <w:r w:rsidRPr="008633D2">
        <w:rPr>
          <w:lang w:val="en-ZA"/>
        </w:rPr>
        <w:t>n</w:t>
      </w:r>
      <w:sdt>
        <w:sdtPr>
          <w:rPr>
            <w:lang w:val="en-ZA"/>
          </w:rPr>
          <w:id w:val="252642969"/>
          <w:citation/>
        </w:sdtPr>
        <w:sdtEndPr/>
        <w:sdtContent>
          <w:r w:rsidRPr="008633D2">
            <w:rPr>
              <w:lang w:val="en-ZA"/>
            </w:rPr>
            <w:fldChar w:fldCharType="begin"/>
          </w:r>
          <w:r w:rsidRPr="008633D2">
            <w:rPr>
              <w:lang w:val="en-ZA"/>
            </w:rPr>
            <w:instrText xml:space="preserve"> CITATION Cai13 \l 1033 </w:instrText>
          </w:r>
          <w:r w:rsidRPr="008633D2">
            <w:rPr>
              <w:lang w:val="en-ZA"/>
            </w:rPr>
            <w:fldChar w:fldCharType="separate"/>
          </w:r>
          <w:r w:rsidRPr="008633D2">
            <w:rPr>
              <w:lang w:val="en-ZA"/>
            </w:rPr>
            <w:t xml:space="preserve"> (Cairns, 2013)</w:t>
          </w:r>
          <w:r w:rsidRPr="008633D2">
            <w:rPr>
              <w:lang w:val="en-ZA"/>
            </w:rPr>
            <w:fldChar w:fldCharType="end"/>
          </w:r>
        </w:sdtContent>
      </w:sdt>
      <w:r w:rsidRPr="008633D2">
        <w:rPr>
          <w:lang w:val="en-ZA"/>
        </w:rPr>
        <w:t xml:space="preserve">. These unit trusts each offer a different set of </w:t>
      </w:r>
      <w:r w:rsidR="008633D2" w:rsidRPr="008633D2">
        <w:rPr>
          <w:lang w:val="en-ZA"/>
        </w:rPr>
        <w:t>opportunities</w:t>
      </w:r>
      <w:r w:rsidRPr="008633D2">
        <w:rPr>
          <w:lang w:val="en-ZA"/>
        </w:rPr>
        <w:t xml:space="preserve"> that investors need to </w:t>
      </w:r>
      <w:r w:rsidR="0046753E">
        <w:rPr>
          <w:lang w:val="en-ZA"/>
        </w:rPr>
        <w:t>consider</w:t>
      </w:r>
      <w:r w:rsidRPr="008633D2">
        <w:rPr>
          <w:lang w:val="en-ZA"/>
        </w:rPr>
        <w:t xml:space="preserve"> before </w:t>
      </w:r>
      <w:r w:rsidR="0046753E">
        <w:rPr>
          <w:lang w:val="en-ZA"/>
        </w:rPr>
        <w:t>selecting</w:t>
      </w:r>
      <w:r w:rsidRPr="008633D2">
        <w:rPr>
          <w:lang w:val="en-ZA"/>
        </w:rPr>
        <w:t xml:space="preserve"> one </w:t>
      </w:r>
      <w:r w:rsidR="003D0752">
        <w:rPr>
          <w:lang w:val="en-ZA"/>
        </w:rPr>
        <w:t xml:space="preserve">that </w:t>
      </w:r>
      <w:r w:rsidRPr="008633D2">
        <w:rPr>
          <w:lang w:val="en-ZA"/>
        </w:rPr>
        <w:t xml:space="preserve">aligns to their objectives. </w:t>
      </w:r>
    </w:p>
    <w:p w:rsidR="0051718F" w:rsidRPr="008633D2" w:rsidRDefault="00634F5B" w:rsidP="0051718F">
      <w:pPr>
        <w:rPr>
          <w:lang w:val="en-ZA"/>
        </w:rPr>
      </w:pPr>
      <w:r w:rsidRPr="008633D2">
        <w:rPr>
          <w:lang w:val="en-ZA"/>
        </w:rPr>
        <w:t xml:space="preserve">Investors have different criteria when choosing </w:t>
      </w:r>
      <w:r w:rsidR="00474E72">
        <w:rPr>
          <w:lang w:val="en-ZA"/>
        </w:rPr>
        <w:t>the unit trust in which to invest.</w:t>
      </w:r>
      <w:r w:rsidRPr="008633D2">
        <w:rPr>
          <w:lang w:val="en-ZA"/>
        </w:rPr>
        <w:t xml:space="preserve"> </w:t>
      </w:r>
      <w:r w:rsidR="0094293B" w:rsidRPr="008633D2">
        <w:rPr>
          <w:lang w:val="en-ZA"/>
        </w:rPr>
        <w:t>Finweek</w:t>
      </w:r>
      <w:sdt>
        <w:sdtPr>
          <w:rPr>
            <w:lang w:val="en-ZA"/>
          </w:rPr>
          <w:id w:val="-1918473581"/>
          <w:citation/>
        </w:sdtPr>
        <w:sdtEndPr/>
        <w:sdtContent>
          <w:r w:rsidR="0051718F" w:rsidRPr="008633D2">
            <w:rPr>
              <w:lang w:val="en-ZA"/>
            </w:rPr>
            <w:fldChar w:fldCharType="begin"/>
          </w:r>
          <w:r w:rsidR="005B7BCE">
            <w:rPr>
              <w:lang w:val="en-ZA"/>
            </w:rPr>
            <w:instrText xml:space="preserve">CITATION Fin18 \n  \t  \l 1033 </w:instrText>
          </w:r>
          <w:r w:rsidR="0051718F" w:rsidRPr="008633D2">
            <w:rPr>
              <w:lang w:val="en-ZA"/>
            </w:rPr>
            <w:fldChar w:fldCharType="separate"/>
          </w:r>
          <w:r w:rsidR="005B7BCE">
            <w:rPr>
              <w:noProof/>
              <w:lang w:val="en-ZA"/>
            </w:rPr>
            <w:t xml:space="preserve"> </w:t>
          </w:r>
          <w:r w:rsidR="005B7BCE" w:rsidRPr="005B7BCE">
            <w:rPr>
              <w:noProof/>
              <w:lang w:val="en-ZA"/>
            </w:rPr>
            <w:t>(2014)</w:t>
          </w:r>
          <w:r w:rsidR="0051718F" w:rsidRPr="008633D2">
            <w:rPr>
              <w:lang w:val="en-ZA"/>
            </w:rPr>
            <w:fldChar w:fldCharType="end"/>
          </w:r>
        </w:sdtContent>
      </w:sdt>
      <w:r w:rsidR="0051718F" w:rsidRPr="008633D2">
        <w:rPr>
          <w:lang w:val="en-ZA"/>
        </w:rPr>
        <w:t xml:space="preserve"> suggest</w:t>
      </w:r>
      <w:r w:rsidR="0094293B" w:rsidRPr="008633D2">
        <w:rPr>
          <w:lang w:val="en-ZA"/>
        </w:rPr>
        <w:t>s</w:t>
      </w:r>
      <w:r w:rsidR="0051718F" w:rsidRPr="008633D2">
        <w:rPr>
          <w:lang w:val="en-ZA"/>
        </w:rPr>
        <w:t xml:space="preserve"> that the key steps to choosing the correct unit trust include investors u</w:t>
      </w:r>
      <w:r w:rsidR="0051718F" w:rsidRPr="008633D2">
        <w:rPr>
          <w:bCs/>
          <w:lang w:val="en-ZA"/>
        </w:rPr>
        <w:t xml:space="preserve">nderstanding their objectives and risk-profile, researching the fund manager, </w:t>
      </w:r>
      <w:r w:rsidR="000D4D3C" w:rsidRPr="008633D2">
        <w:rPr>
          <w:bCs/>
          <w:lang w:val="en-ZA"/>
        </w:rPr>
        <w:t>appreciating</w:t>
      </w:r>
      <w:r w:rsidR="0051718F" w:rsidRPr="008633D2">
        <w:rPr>
          <w:bCs/>
          <w:lang w:val="en-ZA"/>
        </w:rPr>
        <w:t xml:space="preserve"> the fund’s objectives and the </w:t>
      </w:r>
      <w:r w:rsidR="000D4D3C" w:rsidRPr="008633D2">
        <w:rPr>
          <w:bCs/>
          <w:lang w:val="en-ZA"/>
        </w:rPr>
        <w:t xml:space="preserve">fund </w:t>
      </w:r>
      <w:r w:rsidR="0051718F" w:rsidRPr="008633D2">
        <w:rPr>
          <w:bCs/>
          <w:lang w:val="en-ZA"/>
        </w:rPr>
        <w:t xml:space="preserve">manager’s investment philosophy, </w:t>
      </w:r>
      <w:r w:rsidR="000D4D3C" w:rsidRPr="008633D2">
        <w:rPr>
          <w:bCs/>
          <w:lang w:val="en-ZA"/>
        </w:rPr>
        <w:t>knowing</w:t>
      </w:r>
      <w:r w:rsidR="0051718F" w:rsidRPr="008633D2">
        <w:rPr>
          <w:bCs/>
          <w:lang w:val="en-ZA"/>
        </w:rPr>
        <w:t xml:space="preserve"> the fund categories, understanding the costs and monitoring the fund.</w:t>
      </w:r>
      <w:r w:rsidR="0051718F" w:rsidRPr="008633D2">
        <w:rPr>
          <w:lang w:val="en-ZA"/>
        </w:rPr>
        <w:t xml:space="preserve"> This indicates that, when investing in unit trusts</w:t>
      </w:r>
      <w:r w:rsidR="003D0752">
        <w:rPr>
          <w:lang w:val="en-ZA"/>
        </w:rPr>
        <w:t>,</w:t>
      </w:r>
      <w:r w:rsidR="0051718F" w:rsidRPr="008633D2">
        <w:rPr>
          <w:lang w:val="en-ZA"/>
        </w:rPr>
        <w:t xml:space="preserve"> it is important </w:t>
      </w:r>
      <w:r w:rsidR="0032543B" w:rsidRPr="008633D2">
        <w:rPr>
          <w:lang w:val="en-ZA"/>
        </w:rPr>
        <w:t xml:space="preserve">for an </w:t>
      </w:r>
      <w:r w:rsidR="00E0037F" w:rsidRPr="008633D2">
        <w:rPr>
          <w:lang w:val="en-ZA"/>
        </w:rPr>
        <w:t>invest</w:t>
      </w:r>
      <w:r w:rsidR="00E0037F">
        <w:rPr>
          <w:lang w:val="en-ZA"/>
        </w:rPr>
        <w:t xml:space="preserve">or to have enough background information about the unit trusts available and match that information with the </w:t>
      </w:r>
      <w:r>
        <w:rPr>
          <w:lang w:val="en-ZA"/>
        </w:rPr>
        <w:t>investor’s</w:t>
      </w:r>
      <w:r w:rsidR="00E0037F">
        <w:rPr>
          <w:lang w:val="en-ZA"/>
        </w:rPr>
        <w:t xml:space="preserve"> personal investment </w:t>
      </w:r>
      <w:r w:rsidR="0051718F" w:rsidRPr="008633D2">
        <w:rPr>
          <w:lang w:val="en-ZA"/>
        </w:rPr>
        <w:t xml:space="preserve">objectives. </w:t>
      </w:r>
    </w:p>
    <w:p w:rsidR="007C4E0C" w:rsidRPr="008633D2" w:rsidRDefault="007C4E0C" w:rsidP="0051718F">
      <w:pPr>
        <w:rPr>
          <w:lang w:val="en-ZA"/>
        </w:rPr>
      </w:pPr>
    </w:p>
    <w:p w:rsidR="0051718F" w:rsidRPr="008633D2" w:rsidRDefault="0051718F" w:rsidP="0051718F">
      <w:pPr>
        <w:rPr>
          <w:lang w:val="en-ZA"/>
        </w:rPr>
      </w:pPr>
      <w:r w:rsidRPr="008633D2">
        <w:rPr>
          <w:lang w:val="en-ZA"/>
        </w:rPr>
        <w:t xml:space="preserve">All investors have the objective </w:t>
      </w:r>
      <w:r w:rsidR="003D0752">
        <w:rPr>
          <w:lang w:val="en-ZA"/>
        </w:rPr>
        <w:t>of</w:t>
      </w:r>
      <w:r w:rsidRPr="008633D2">
        <w:rPr>
          <w:lang w:val="en-ZA"/>
        </w:rPr>
        <w:t xml:space="preserve"> increas</w:t>
      </w:r>
      <w:r w:rsidR="003D0752">
        <w:rPr>
          <w:lang w:val="en-ZA"/>
        </w:rPr>
        <w:t>ing</w:t>
      </w:r>
      <w:r w:rsidR="00E0037F">
        <w:rPr>
          <w:lang w:val="en-ZA"/>
        </w:rPr>
        <w:t xml:space="preserve"> the value of their investment. A</w:t>
      </w:r>
      <w:r w:rsidRPr="008633D2">
        <w:rPr>
          <w:lang w:val="en-ZA"/>
        </w:rPr>
        <w:t xml:space="preserve"> common indicator of </w:t>
      </w:r>
      <w:r w:rsidR="00E0037F">
        <w:rPr>
          <w:lang w:val="en-ZA"/>
        </w:rPr>
        <w:t>whether a unit trust is capable of providing this increase</w:t>
      </w:r>
      <w:r w:rsidR="00474E72">
        <w:rPr>
          <w:lang w:val="en-ZA"/>
        </w:rPr>
        <w:t xml:space="preserve"> in investment </w:t>
      </w:r>
      <w:r w:rsidR="00E0037F">
        <w:rPr>
          <w:lang w:val="en-ZA"/>
        </w:rPr>
        <w:t>value</w:t>
      </w:r>
      <w:r w:rsidR="00474E72">
        <w:rPr>
          <w:lang w:val="en-ZA"/>
        </w:rPr>
        <w:t>,</w:t>
      </w:r>
      <w:r w:rsidR="00E0037F">
        <w:rPr>
          <w:lang w:val="en-ZA"/>
        </w:rPr>
        <w:t xml:space="preserve"> </w:t>
      </w:r>
      <w:r w:rsidR="0046753E">
        <w:rPr>
          <w:lang w:val="en-ZA"/>
        </w:rPr>
        <w:t>i</w:t>
      </w:r>
      <w:r w:rsidR="00474E72">
        <w:rPr>
          <w:lang w:val="en-ZA"/>
        </w:rPr>
        <w:t>s</w:t>
      </w:r>
      <w:r w:rsidRPr="008633D2">
        <w:rPr>
          <w:lang w:val="en-ZA"/>
        </w:rPr>
        <w:t xml:space="preserve"> the performance of the unit trust over a period. The performance of a unit trust is linked to the ability of its fund manager to increase returns through the prediction of future financial asset prices and/or</w:t>
      </w:r>
      <w:r w:rsidR="0032543B" w:rsidRPr="008633D2">
        <w:rPr>
          <w:lang w:val="en-ZA"/>
        </w:rPr>
        <w:t xml:space="preserve"> to</w:t>
      </w:r>
      <w:r w:rsidRPr="008633D2">
        <w:rPr>
          <w:lang w:val="en-ZA"/>
        </w:rPr>
        <w:t xml:space="preserve"> minimise the amount of risk born</w:t>
      </w:r>
      <w:r w:rsidR="003D0752">
        <w:rPr>
          <w:lang w:val="en-ZA"/>
        </w:rPr>
        <w:t>e</w:t>
      </w:r>
      <w:r w:rsidRPr="008633D2">
        <w:rPr>
          <w:lang w:val="en-ZA"/>
        </w:rPr>
        <w:t xml:space="preserve"> </w:t>
      </w:r>
      <w:r w:rsidR="000D4D3C" w:rsidRPr="008633D2">
        <w:rPr>
          <w:lang w:val="en-ZA"/>
        </w:rPr>
        <w:t>by</w:t>
      </w:r>
      <w:r w:rsidRPr="008633D2">
        <w:rPr>
          <w:lang w:val="en-ZA"/>
        </w:rPr>
        <w:t xml:space="preserve"> holders of the fund through efficient portfolio diversification</w:t>
      </w:r>
      <w:sdt>
        <w:sdtPr>
          <w:rPr>
            <w:lang w:val="en-ZA"/>
          </w:rPr>
          <w:id w:val="-405301218"/>
          <w:citation/>
        </w:sdtPr>
        <w:sdtEndPr/>
        <w:sdtContent>
          <w:r w:rsidRPr="008633D2">
            <w:rPr>
              <w:lang w:val="en-ZA"/>
            </w:rPr>
            <w:fldChar w:fldCharType="begin"/>
          </w:r>
          <w:r w:rsidRPr="008633D2">
            <w:rPr>
              <w:lang w:val="en-ZA"/>
            </w:rPr>
            <w:instrText xml:space="preserve"> CITATION JEN12 \l 1033 </w:instrText>
          </w:r>
          <w:r w:rsidRPr="008633D2">
            <w:rPr>
              <w:lang w:val="en-ZA"/>
            </w:rPr>
            <w:fldChar w:fldCharType="separate"/>
          </w:r>
          <w:r w:rsidRPr="008633D2">
            <w:rPr>
              <w:lang w:val="en-ZA"/>
            </w:rPr>
            <w:t xml:space="preserve"> (Jenson, 2012)</w:t>
          </w:r>
          <w:r w:rsidRPr="008633D2">
            <w:rPr>
              <w:lang w:val="en-ZA"/>
            </w:rPr>
            <w:fldChar w:fldCharType="end"/>
          </w:r>
        </w:sdtContent>
      </w:sdt>
      <w:r w:rsidRPr="008633D2">
        <w:rPr>
          <w:lang w:val="en-ZA"/>
        </w:rPr>
        <w:t xml:space="preserve">. </w:t>
      </w:r>
    </w:p>
    <w:p w:rsidR="007C4E0C" w:rsidRPr="008633D2" w:rsidRDefault="007C4E0C" w:rsidP="0051718F">
      <w:pPr>
        <w:rPr>
          <w:lang w:val="en-ZA"/>
        </w:rPr>
      </w:pPr>
    </w:p>
    <w:p w:rsidR="0046753E" w:rsidRDefault="0051718F" w:rsidP="0051718F">
      <w:pPr>
        <w:rPr>
          <w:lang w:val="en-ZA"/>
        </w:rPr>
      </w:pPr>
      <w:r w:rsidRPr="008633D2">
        <w:rPr>
          <w:lang w:val="en-ZA"/>
        </w:rPr>
        <w:t xml:space="preserve">There are several factors that influence the performance of the fund manager and many of them have been extensively researched. </w:t>
      </w:r>
      <w:r w:rsidR="00CC6274" w:rsidRPr="008633D2">
        <w:rPr>
          <w:lang w:val="en-ZA"/>
        </w:rPr>
        <w:t>Empirical evidence indicates that fund managers with more experience and better track records</w:t>
      </w:r>
      <w:r w:rsidR="00CC6274">
        <w:rPr>
          <w:lang w:val="en-ZA"/>
        </w:rPr>
        <w:t xml:space="preserve">, </w:t>
      </w:r>
      <w:r w:rsidR="00CC6274" w:rsidRPr="008633D2">
        <w:rPr>
          <w:lang w:val="en-ZA"/>
        </w:rPr>
        <w:t>outperform their peers</w:t>
      </w:r>
      <w:sdt>
        <w:sdtPr>
          <w:rPr>
            <w:lang w:val="en-ZA"/>
          </w:rPr>
          <w:id w:val="56522021"/>
          <w:citation/>
        </w:sdtPr>
        <w:sdtEndPr/>
        <w:sdtContent>
          <w:r w:rsidR="00CC6274" w:rsidRPr="008633D2">
            <w:rPr>
              <w:lang w:val="en-ZA"/>
            </w:rPr>
            <w:fldChar w:fldCharType="begin"/>
          </w:r>
          <w:r w:rsidR="005B7BCE">
            <w:rPr>
              <w:lang w:val="en-ZA"/>
            </w:rPr>
            <w:instrText xml:space="preserve">CITATION Din05 \l 1033 </w:instrText>
          </w:r>
          <w:r w:rsidR="00CC6274" w:rsidRPr="008633D2">
            <w:rPr>
              <w:lang w:val="en-ZA"/>
            </w:rPr>
            <w:fldChar w:fldCharType="separate"/>
          </w:r>
          <w:r w:rsidR="005B7BCE">
            <w:rPr>
              <w:noProof/>
              <w:lang w:val="en-ZA"/>
            </w:rPr>
            <w:t xml:space="preserve"> </w:t>
          </w:r>
          <w:r w:rsidR="005B7BCE" w:rsidRPr="005B7BCE">
            <w:rPr>
              <w:noProof/>
              <w:lang w:val="en-ZA"/>
            </w:rPr>
            <w:t>(Ding &amp; Wermers, 2005)</w:t>
          </w:r>
          <w:r w:rsidR="00CC6274" w:rsidRPr="008633D2">
            <w:rPr>
              <w:lang w:val="en-ZA"/>
            </w:rPr>
            <w:fldChar w:fldCharType="end"/>
          </w:r>
        </w:sdtContent>
      </w:sdt>
      <w:r w:rsidR="00CC6274" w:rsidRPr="008633D2">
        <w:rPr>
          <w:lang w:val="en-ZA"/>
        </w:rPr>
        <w:t xml:space="preserve">. </w:t>
      </w:r>
      <w:r w:rsidRPr="008633D2">
        <w:rPr>
          <w:lang w:val="en-ZA"/>
        </w:rPr>
        <w:t>Chevalier and Ellison</w:t>
      </w:r>
      <w:sdt>
        <w:sdtPr>
          <w:rPr>
            <w:lang w:val="en-ZA"/>
          </w:rPr>
          <w:id w:val="-1171950873"/>
          <w:citation/>
        </w:sdtPr>
        <w:sdtEndPr/>
        <w:sdtContent>
          <w:r w:rsidRPr="008633D2">
            <w:rPr>
              <w:lang w:val="en-ZA"/>
            </w:rPr>
            <w:fldChar w:fldCharType="begin"/>
          </w:r>
          <w:r w:rsidRPr="008633D2">
            <w:rPr>
              <w:lang w:val="en-ZA"/>
            </w:rPr>
            <w:instrText xml:space="preserve">CITATION Che99 \n  \t  \l 1033 </w:instrText>
          </w:r>
          <w:r w:rsidRPr="008633D2">
            <w:rPr>
              <w:lang w:val="en-ZA"/>
            </w:rPr>
            <w:fldChar w:fldCharType="separate"/>
          </w:r>
          <w:r w:rsidRPr="008633D2">
            <w:rPr>
              <w:lang w:val="en-ZA"/>
            </w:rPr>
            <w:t xml:space="preserve"> (1999)</w:t>
          </w:r>
          <w:r w:rsidRPr="008633D2">
            <w:rPr>
              <w:lang w:val="en-ZA"/>
            </w:rPr>
            <w:fldChar w:fldCharType="end"/>
          </w:r>
        </w:sdtContent>
      </w:sdt>
      <w:r w:rsidRPr="008633D2">
        <w:rPr>
          <w:lang w:val="en-ZA"/>
        </w:rPr>
        <w:t xml:space="preserve">  found that mutual fund managers that attended selective higher education institutions and are younger</w:t>
      </w:r>
      <w:r w:rsidR="003D0752">
        <w:rPr>
          <w:lang w:val="en-ZA"/>
        </w:rPr>
        <w:t>,</w:t>
      </w:r>
      <w:r w:rsidRPr="008633D2">
        <w:rPr>
          <w:lang w:val="en-ZA"/>
        </w:rPr>
        <w:t xml:space="preserve"> have higher performance. The factors contributing to a fund manager’s performance have been well documented, however, there is limited research </w:t>
      </w:r>
      <w:r w:rsidR="0046753E">
        <w:rPr>
          <w:lang w:val="en-ZA"/>
        </w:rPr>
        <w:t>with the objective of</w:t>
      </w:r>
      <w:r w:rsidRPr="008633D2">
        <w:rPr>
          <w:lang w:val="en-ZA"/>
        </w:rPr>
        <w:t xml:space="preserve"> assess</w:t>
      </w:r>
      <w:r w:rsidR="0046753E">
        <w:rPr>
          <w:lang w:val="en-ZA"/>
        </w:rPr>
        <w:t>ing</w:t>
      </w:r>
      <w:r w:rsidRPr="008633D2">
        <w:rPr>
          <w:lang w:val="en-ZA"/>
        </w:rPr>
        <w:t xml:space="preserve"> the link between the gender of the fund manager and the performance of the fund.</w:t>
      </w:r>
    </w:p>
    <w:p w:rsidR="00F86D7E" w:rsidRPr="008633D2" w:rsidRDefault="00F86D7E" w:rsidP="0051718F">
      <w:pPr>
        <w:rPr>
          <w:lang w:val="en-ZA"/>
        </w:rPr>
      </w:pPr>
    </w:p>
    <w:p w:rsidR="0051718F" w:rsidRDefault="0051718F" w:rsidP="0051718F">
      <w:pPr>
        <w:rPr>
          <w:lang w:val="en-ZA"/>
        </w:rPr>
      </w:pPr>
      <w:r w:rsidRPr="008633D2">
        <w:rPr>
          <w:lang w:val="en-ZA"/>
        </w:rPr>
        <w:t xml:space="preserve">There is significant psychology and economics literature that indicate that there are fundamental differences in female and male investment strategies and their financial </w:t>
      </w:r>
      <w:r w:rsidR="00CC6274" w:rsidRPr="008633D2">
        <w:rPr>
          <w:lang w:val="en-ZA"/>
        </w:rPr>
        <w:t>decision-making</w:t>
      </w:r>
      <w:sdt>
        <w:sdtPr>
          <w:rPr>
            <w:lang w:val="en-ZA"/>
          </w:rPr>
          <w:id w:val="1466081019"/>
          <w:citation/>
        </w:sdtPr>
        <w:sdtEndPr/>
        <w:sdtContent>
          <w:r w:rsidRPr="008633D2">
            <w:rPr>
              <w:lang w:val="en-ZA"/>
            </w:rPr>
            <w:fldChar w:fldCharType="begin"/>
          </w:r>
          <w:r w:rsidRPr="008633D2">
            <w:rPr>
              <w:lang w:val="en-ZA"/>
            </w:rPr>
            <w:instrText xml:space="preserve">CITATION Atk03 \l 1033 </w:instrText>
          </w:r>
          <w:r w:rsidRPr="008633D2">
            <w:rPr>
              <w:lang w:val="en-ZA"/>
            </w:rPr>
            <w:fldChar w:fldCharType="separate"/>
          </w:r>
          <w:r w:rsidRPr="008633D2">
            <w:rPr>
              <w:lang w:val="en-ZA"/>
            </w:rPr>
            <w:t xml:space="preserve"> (Atkinson, Baird, &amp; Frye, 2003)</w:t>
          </w:r>
          <w:r w:rsidRPr="008633D2">
            <w:rPr>
              <w:lang w:val="en-ZA"/>
            </w:rPr>
            <w:fldChar w:fldCharType="end"/>
          </w:r>
        </w:sdtContent>
      </w:sdt>
      <w:r w:rsidRPr="008633D2">
        <w:rPr>
          <w:lang w:val="en-ZA"/>
        </w:rPr>
        <w:t xml:space="preserve">. Niessen and Ruenzi </w:t>
      </w:r>
      <w:sdt>
        <w:sdtPr>
          <w:rPr>
            <w:lang w:val="en-ZA"/>
          </w:rPr>
          <w:id w:val="750776123"/>
          <w:citation/>
        </w:sdtPr>
        <w:sdtEndPr/>
        <w:sdtContent>
          <w:r w:rsidRPr="008633D2">
            <w:rPr>
              <w:lang w:val="en-ZA"/>
            </w:rPr>
            <w:fldChar w:fldCharType="begin"/>
          </w:r>
          <w:r w:rsidR="005B7BCE">
            <w:rPr>
              <w:lang w:val="en-ZA"/>
            </w:rPr>
            <w:instrText xml:space="preserve">CITATION Nie06 \n  \t  \l 1033 </w:instrText>
          </w:r>
          <w:r w:rsidRPr="008633D2">
            <w:rPr>
              <w:lang w:val="en-ZA"/>
            </w:rPr>
            <w:fldChar w:fldCharType="separate"/>
          </w:r>
          <w:r w:rsidR="005B7BCE" w:rsidRPr="005B7BCE">
            <w:rPr>
              <w:noProof/>
              <w:lang w:val="en-ZA"/>
            </w:rPr>
            <w:t>(2006)</w:t>
          </w:r>
          <w:r w:rsidRPr="008633D2">
            <w:rPr>
              <w:lang w:val="en-ZA"/>
            </w:rPr>
            <w:fldChar w:fldCharType="end"/>
          </w:r>
        </w:sdtContent>
      </w:sdt>
      <w:r w:rsidRPr="008633D2">
        <w:rPr>
          <w:lang w:val="en-ZA"/>
        </w:rPr>
        <w:t xml:space="preserve"> found that male and female fund managers are not identical and note</w:t>
      </w:r>
      <w:r w:rsidR="00421FEB" w:rsidRPr="008633D2">
        <w:rPr>
          <w:lang w:val="en-ZA"/>
        </w:rPr>
        <w:t>d</w:t>
      </w:r>
      <w:r w:rsidRPr="008633D2">
        <w:rPr>
          <w:lang w:val="en-ZA"/>
        </w:rPr>
        <w:t xml:space="preserve"> that women seem to take moderately less risk, follow less extreme investment </w:t>
      </w:r>
      <w:r w:rsidR="00CC6274" w:rsidRPr="008633D2">
        <w:rPr>
          <w:lang w:val="en-ZA"/>
        </w:rPr>
        <w:t>styles,</w:t>
      </w:r>
      <w:r w:rsidRPr="008633D2">
        <w:rPr>
          <w:lang w:val="en-ZA"/>
        </w:rPr>
        <w:t xml:space="preserve"> and have less active trading styles, which are stable over time while male fund managers have higher turnover </w:t>
      </w:r>
      <w:r w:rsidR="00CC6274" w:rsidRPr="008633D2">
        <w:rPr>
          <w:lang w:val="en-ZA"/>
        </w:rPr>
        <w:t>ratios, which</w:t>
      </w:r>
      <w:r w:rsidRPr="008633D2">
        <w:rPr>
          <w:lang w:val="en-ZA"/>
        </w:rPr>
        <w:t xml:space="preserve"> </w:t>
      </w:r>
      <w:r w:rsidR="0046753E">
        <w:rPr>
          <w:lang w:val="en-ZA"/>
        </w:rPr>
        <w:t>may</w:t>
      </w:r>
      <w:r w:rsidRPr="008633D2">
        <w:rPr>
          <w:lang w:val="en-ZA"/>
        </w:rPr>
        <w:t xml:space="preserve"> be interpreted as an indication of overconfidence.</w:t>
      </w:r>
    </w:p>
    <w:p w:rsidR="00D87F9B" w:rsidRPr="008633D2" w:rsidRDefault="00D87F9B" w:rsidP="0051718F">
      <w:pPr>
        <w:rPr>
          <w:lang w:val="en-ZA"/>
        </w:rPr>
      </w:pPr>
    </w:p>
    <w:p w:rsidR="0051718F" w:rsidRPr="008633D2" w:rsidRDefault="0051718F" w:rsidP="0051718F">
      <w:pPr>
        <w:rPr>
          <w:lang w:val="en-ZA"/>
        </w:rPr>
      </w:pPr>
      <w:r w:rsidRPr="008633D2">
        <w:rPr>
          <w:lang w:val="en-ZA"/>
        </w:rPr>
        <w:t>Fund legend</w:t>
      </w:r>
      <w:r w:rsidR="00F24F80">
        <w:rPr>
          <w:lang w:val="en-ZA"/>
        </w:rPr>
        <w:t>,</w:t>
      </w:r>
      <w:r w:rsidRPr="008633D2">
        <w:rPr>
          <w:lang w:val="en-ZA"/>
        </w:rPr>
        <w:t xml:space="preserve"> Paul Tudor Jones</w:t>
      </w:r>
      <w:r w:rsidR="00F24F80">
        <w:rPr>
          <w:lang w:val="en-ZA"/>
        </w:rPr>
        <w:t>,</w:t>
      </w:r>
      <w:r w:rsidRPr="008633D2">
        <w:rPr>
          <w:lang w:val="en-ZA"/>
        </w:rPr>
        <w:t xml:space="preserve"> stated at a</w:t>
      </w:r>
      <w:r w:rsidR="00421FEB" w:rsidRPr="008633D2">
        <w:rPr>
          <w:lang w:val="en-ZA"/>
        </w:rPr>
        <w:t>n international</w:t>
      </w:r>
      <w:r w:rsidRPr="008633D2">
        <w:rPr>
          <w:lang w:val="en-ZA"/>
        </w:rPr>
        <w:t xml:space="preserve"> conference </w:t>
      </w:r>
      <w:r w:rsidR="00421FEB" w:rsidRPr="008633D2">
        <w:rPr>
          <w:lang w:val="en-ZA"/>
        </w:rPr>
        <w:t>that</w:t>
      </w:r>
      <w:r w:rsidRPr="008633D2">
        <w:rPr>
          <w:lang w:val="en-ZA"/>
        </w:rPr>
        <w:t>, “You will never see as many great women investors or traders as men”</w:t>
      </w:r>
      <w:r w:rsidR="00421FEB" w:rsidRPr="008633D2">
        <w:rPr>
          <w:lang w:val="en-ZA"/>
        </w:rPr>
        <w:t xml:space="preserve"> </w:t>
      </w:r>
      <w:sdt>
        <w:sdtPr>
          <w:rPr>
            <w:lang w:val="en-ZA"/>
          </w:rPr>
          <w:id w:val="-1624920705"/>
          <w:citation/>
        </w:sdtPr>
        <w:sdtEndPr/>
        <w:sdtContent>
          <w:r w:rsidR="00421FEB" w:rsidRPr="008633D2">
            <w:rPr>
              <w:lang w:val="en-ZA"/>
            </w:rPr>
            <w:fldChar w:fldCharType="begin"/>
          </w:r>
          <w:r w:rsidR="005B7BCE">
            <w:rPr>
              <w:lang w:val="en-ZA"/>
            </w:rPr>
            <w:instrText xml:space="preserve">CITATION LaR13 \p 2 \l 1033 </w:instrText>
          </w:r>
          <w:r w:rsidR="00421FEB" w:rsidRPr="008633D2">
            <w:rPr>
              <w:lang w:val="en-ZA"/>
            </w:rPr>
            <w:fldChar w:fldCharType="separate"/>
          </w:r>
          <w:r w:rsidR="005B7BCE" w:rsidRPr="005B7BCE">
            <w:rPr>
              <w:noProof/>
              <w:lang w:val="en-ZA"/>
            </w:rPr>
            <w:t>(La Roche, 2013, p. 2)</w:t>
          </w:r>
          <w:r w:rsidR="00421FEB" w:rsidRPr="008633D2">
            <w:rPr>
              <w:lang w:val="en-ZA"/>
            </w:rPr>
            <w:fldChar w:fldCharType="end"/>
          </w:r>
        </w:sdtContent>
      </w:sdt>
      <w:r w:rsidR="00CC6274" w:rsidRPr="008633D2">
        <w:rPr>
          <w:lang w:val="en-ZA"/>
        </w:rPr>
        <w:t xml:space="preserve">. </w:t>
      </w:r>
      <w:r w:rsidRPr="008633D2">
        <w:rPr>
          <w:lang w:val="en-ZA"/>
        </w:rPr>
        <w:t xml:space="preserve">Fund management is historically a masculine industry, and it seems that the industry perspective largely remains, that it should </w:t>
      </w:r>
      <w:r w:rsidR="0046753E">
        <w:rPr>
          <w:lang w:val="en-ZA"/>
        </w:rPr>
        <w:t>remain so</w:t>
      </w:r>
      <w:r w:rsidRPr="008633D2">
        <w:rPr>
          <w:lang w:val="en-ZA"/>
        </w:rPr>
        <w:t>. Women a</w:t>
      </w:r>
      <w:r w:rsidR="0094293B" w:rsidRPr="008633D2">
        <w:rPr>
          <w:lang w:val="en-ZA"/>
        </w:rPr>
        <w:t>re</w:t>
      </w:r>
      <w:r w:rsidR="00474E72">
        <w:rPr>
          <w:lang w:val="en-ZA"/>
        </w:rPr>
        <w:t xml:space="preserve"> stereotypically </w:t>
      </w:r>
      <w:r w:rsidRPr="008633D2">
        <w:rPr>
          <w:lang w:val="en-ZA"/>
        </w:rPr>
        <w:t>portrayed as less capable managers</w:t>
      </w:r>
      <w:sdt>
        <w:sdtPr>
          <w:rPr>
            <w:lang w:val="en-ZA"/>
          </w:rPr>
          <w:id w:val="1463921696"/>
          <w:citation/>
        </w:sdtPr>
        <w:sdtEndPr/>
        <w:sdtContent>
          <w:r w:rsidRPr="008633D2">
            <w:rPr>
              <w:lang w:val="en-ZA"/>
            </w:rPr>
            <w:fldChar w:fldCharType="begin"/>
          </w:r>
          <w:r w:rsidR="005B7BCE">
            <w:rPr>
              <w:lang w:val="en-ZA"/>
            </w:rPr>
            <w:instrText xml:space="preserve">CITATION Oak00 \l 1033 </w:instrText>
          </w:r>
          <w:r w:rsidRPr="008633D2">
            <w:rPr>
              <w:lang w:val="en-ZA"/>
            </w:rPr>
            <w:fldChar w:fldCharType="separate"/>
          </w:r>
          <w:r w:rsidR="005B7BCE">
            <w:rPr>
              <w:noProof/>
              <w:lang w:val="en-ZA"/>
            </w:rPr>
            <w:t xml:space="preserve"> </w:t>
          </w:r>
          <w:r w:rsidR="005B7BCE" w:rsidRPr="005B7BCE">
            <w:rPr>
              <w:noProof/>
              <w:lang w:val="en-ZA"/>
            </w:rPr>
            <w:t>(Oakley, 2000)</w:t>
          </w:r>
          <w:r w:rsidRPr="008633D2">
            <w:rPr>
              <w:lang w:val="en-ZA"/>
            </w:rPr>
            <w:fldChar w:fldCharType="end"/>
          </w:r>
        </w:sdtContent>
      </w:sdt>
      <w:r w:rsidRPr="008633D2">
        <w:rPr>
          <w:lang w:val="en-ZA"/>
        </w:rPr>
        <w:t xml:space="preserve">. This stereotype may directly affect the willingness of investors to choose female managed unit trusts, even when the rest of their investment objectives are met by the unit trust. Niessen and Ruenzi (2006) </w:t>
      </w:r>
      <w:r w:rsidR="00474E72">
        <w:rPr>
          <w:lang w:val="en-ZA"/>
        </w:rPr>
        <w:t>support</w:t>
      </w:r>
      <w:r w:rsidR="0046753E">
        <w:rPr>
          <w:lang w:val="en-ZA"/>
        </w:rPr>
        <w:t xml:space="preserve"> this finding within their </w:t>
      </w:r>
      <w:r w:rsidR="00474E72">
        <w:rPr>
          <w:lang w:val="en-ZA"/>
        </w:rPr>
        <w:t>research, which</w:t>
      </w:r>
      <w:r w:rsidR="0046753E">
        <w:rPr>
          <w:lang w:val="en-ZA"/>
        </w:rPr>
        <w:t xml:space="preserve"> indicated</w:t>
      </w:r>
      <w:r w:rsidRPr="008633D2">
        <w:rPr>
          <w:lang w:val="en-ZA"/>
        </w:rPr>
        <w:t xml:space="preserve"> that </w:t>
      </w:r>
      <w:r w:rsidR="00474E72">
        <w:rPr>
          <w:lang w:val="en-ZA"/>
        </w:rPr>
        <w:t>there is significantly lower investment</w:t>
      </w:r>
      <w:r w:rsidRPr="008633D2">
        <w:rPr>
          <w:lang w:val="en-ZA"/>
        </w:rPr>
        <w:t xml:space="preserve"> </w:t>
      </w:r>
      <w:r w:rsidR="00474E72">
        <w:rPr>
          <w:lang w:val="en-ZA"/>
        </w:rPr>
        <w:t xml:space="preserve">into </w:t>
      </w:r>
      <w:r w:rsidRPr="008633D2">
        <w:rPr>
          <w:lang w:val="en-ZA"/>
        </w:rPr>
        <w:t xml:space="preserve">female managed funds. </w:t>
      </w:r>
    </w:p>
    <w:p w:rsidR="00421FEB" w:rsidRPr="008633D2" w:rsidRDefault="00421FEB" w:rsidP="00421FEB">
      <w:pPr>
        <w:rPr>
          <w:lang w:val="en-ZA"/>
        </w:rPr>
      </w:pPr>
    </w:p>
    <w:p w:rsidR="0051718F" w:rsidRPr="008633D2" w:rsidRDefault="0051718F" w:rsidP="00421FEB">
      <w:pPr>
        <w:rPr>
          <w:lang w:val="en-ZA"/>
        </w:rPr>
      </w:pPr>
      <w:r w:rsidRPr="008633D2">
        <w:rPr>
          <w:lang w:val="en-ZA"/>
        </w:rPr>
        <w:t xml:space="preserve">Recently, there </w:t>
      </w:r>
      <w:r w:rsidR="00421FEB" w:rsidRPr="008633D2">
        <w:rPr>
          <w:lang w:val="en-ZA"/>
        </w:rPr>
        <w:t>has been a</w:t>
      </w:r>
      <w:r w:rsidRPr="008633D2">
        <w:rPr>
          <w:lang w:val="en-ZA"/>
        </w:rPr>
        <w:t xml:space="preserve"> more substantial investment case for investing in fu</w:t>
      </w:r>
      <w:r w:rsidR="00421FEB" w:rsidRPr="008633D2">
        <w:rPr>
          <w:lang w:val="en-ZA"/>
        </w:rPr>
        <w:t xml:space="preserve">nds that are managed by females, </w:t>
      </w:r>
      <w:r w:rsidR="00E0037F">
        <w:rPr>
          <w:lang w:val="en-ZA"/>
        </w:rPr>
        <w:t xml:space="preserve">that </w:t>
      </w:r>
      <w:r w:rsidR="00421FEB" w:rsidRPr="008633D2">
        <w:rPr>
          <w:lang w:val="en-ZA"/>
        </w:rPr>
        <w:t xml:space="preserve">being </w:t>
      </w:r>
      <w:r w:rsidRPr="008633D2">
        <w:rPr>
          <w:lang w:val="en-ZA"/>
        </w:rPr>
        <w:t>portfolio diversification</w:t>
      </w:r>
      <w:sdt>
        <w:sdtPr>
          <w:rPr>
            <w:lang w:val="en-ZA"/>
          </w:rPr>
          <w:id w:val="834725688"/>
          <w:citation/>
        </w:sdtPr>
        <w:sdtEndPr/>
        <w:sdtContent>
          <w:r w:rsidRPr="008633D2">
            <w:rPr>
              <w:lang w:val="en-ZA"/>
            </w:rPr>
            <w:fldChar w:fldCharType="begin"/>
          </w:r>
          <w:r w:rsidRPr="008633D2">
            <w:rPr>
              <w:lang w:val="en-ZA"/>
            </w:rPr>
            <w:instrText xml:space="preserve">CITATION Fol15 \l 1033 </w:instrText>
          </w:r>
          <w:r w:rsidRPr="008633D2">
            <w:rPr>
              <w:lang w:val="en-ZA"/>
            </w:rPr>
            <w:fldChar w:fldCharType="separate"/>
          </w:r>
          <w:r w:rsidRPr="008633D2">
            <w:rPr>
              <w:lang w:val="en-ZA"/>
            </w:rPr>
            <w:t xml:space="preserve"> (Foley, 2015)</w:t>
          </w:r>
          <w:r w:rsidRPr="008633D2">
            <w:rPr>
              <w:lang w:val="en-ZA"/>
            </w:rPr>
            <w:fldChar w:fldCharType="end"/>
          </w:r>
        </w:sdtContent>
      </w:sdt>
      <w:r w:rsidR="00CC6274" w:rsidRPr="008633D2">
        <w:rPr>
          <w:lang w:val="en-ZA"/>
        </w:rPr>
        <w:t xml:space="preserve">. </w:t>
      </w:r>
      <w:r w:rsidRPr="008633D2">
        <w:rPr>
          <w:lang w:val="en-ZA"/>
        </w:rPr>
        <w:t>Jones</w:t>
      </w:r>
      <w:r w:rsidR="0032543B" w:rsidRPr="008633D2">
        <w:rPr>
          <w:lang w:val="en-ZA"/>
        </w:rPr>
        <w:t xml:space="preserve"> </w:t>
      </w:r>
      <w:sdt>
        <w:sdtPr>
          <w:rPr>
            <w:lang w:val="en-ZA"/>
          </w:rPr>
          <w:id w:val="-498035552"/>
          <w:citation/>
        </w:sdtPr>
        <w:sdtEndPr/>
        <w:sdtContent>
          <w:r w:rsidR="0032543B" w:rsidRPr="008633D2">
            <w:rPr>
              <w:lang w:val="en-ZA"/>
            </w:rPr>
            <w:fldChar w:fldCharType="begin"/>
          </w:r>
          <w:r w:rsidR="005B7BCE">
            <w:rPr>
              <w:lang w:val="en-ZA"/>
            </w:rPr>
            <w:instrText xml:space="preserve">CITATION KPM14 \n  \t  \l 1033 </w:instrText>
          </w:r>
          <w:r w:rsidR="0032543B" w:rsidRPr="008633D2">
            <w:rPr>
              <w:lang w:val="en-ZA"/>
            </w:rPr>
            <w:fldChar w:fldCharType="separate"/>
          </w:r>
          <w:r w:rsidR="005B7BCE" w:rsidRPr="005B7BCE">
            <w:rPr>
              <w:noProof/>
              <w:lang w:val="en-ZA"/>
            </w:rPr>
            <w:t>(2014)</w:t>
          </w:r>
          <w:r w:rsidR="0032543B" w:rsidRPr="008633D2">
            <w:rPr>
              <w:lang w:val="en-ZA"/>
            </w:rPr>
            <w:fldChar w:fldCharType="end"/>
          </w:r>
        </w:sdtContent>
      </w:sdt>
      <w:r w:rsidRPr="008633D2">
        <w:rPr>
          <w:lang w:val="en-ZA"/>
        </w:rPr>
        <w:t xml:space="preserve"> found that 25 percent of fund investors polled for a report on women in alternative investment indicated that they intend increasing their allocations to women managed funds in coming years. The author noted that many of the women polled for the survey continue to believe higher performance by women managed funds will lead to an increase in</w:t>
      </w:r>
      <w:r w:rsidR="00421FEB" w:rsidRPr="008633D2">
        <w:rPr>
          <w:lang w:val="en-ZA"/>
        </w:rPr>
        <w:t xml:space="preserve"> the number of </w:t>
      </w:r>
      <w:r w:rsidRPr="008633D2">
        <w:rPr>
          <w:lang w:val="en-ZA"/>
        </w:rPr>
        <w:t>funds managed by women and the</w:t>
      </w:r>
      <w:r w:rsidR="00421FEB" w:rsidRPr="008633D2">
        <w:rPr>
          <w:lang w:val="en-ZA"/>
        </w:rPr>
        <w:t xml:space="preserve"> value of the</w:t>
      </w:r>
      <w:r w:rsidRPr="008633D2">
        <w:rPr>
          <w:lang w:val="en-ZA"/>
        </w:rPr>
        <w:t xml:space="preserve"> assets under their management.</w:t>
      </w:r>
    </w:p>
    <w:p w:rsidR="007C4E0C" w:rsidRPr="008633D2" w:rsidRDefault="007C4E0C" w:rsidP="0051718F">
      <w:pPr>
        <w:rPr>
          <w:lang w:val="en-ZA"/>
        </w:rPr>
      </w:pPr>
    </w:p>
    <w:p w:rsidR="0051718F" w:rsidRPr="008633D2" w:rsidRDefault="0051718F" w:rsidP="0051718F">
      <w:pPr>
        <w:rPr>
          <w:lang w:val="en-ZA"/>
        </w:rPr>
      </w:pPr>
      <w:r w:rsidRPr="008633D2">
        <w:rPr>
          <w:lang w:val="en-ZA"/>
        </w:rPr>
        <w:t xml:space="preserve">Understanding the drivers of unit trust performance is important due to its significance to investors </w:t>
      </w:r>
      <w:r w:rsidR="00474E72">
        <w:rPr>
          <w:lang w:val="en-ZA"/>
        </w:rPr>
        <w:t>when choosing unit trusts. L</w:t>
      </w:r>
      <w:r w:rsidRPr="008633D2">
        <w:rPr>
          <w:lang w:val="en-ZA"/>
        </w:rPr>
        <w:t xml:space="preserve">inking the gender of the fund manager to the performance of the </w:t>
      </w:r>
      <w:r w:rsidR="00474E72" w:rsidRPr="008633D2">
        <w:rPr>
          <w:lang w:val="en-ZA"/>
        </w:rPr>
        <w:t>fund</w:t>
      </w:r>
      <w:r w:rsidR="00E0037F">
        <w:rPr>
          <w:lang w:val="en-ZA"/>
        </w:rPr>
        <w:t xml:space="preserve"> </w:t>
      </w:r>
      <w:r w:rsidR="00474E72">
        <w:rPr>
          <w:lang w:val="en-ZA"/>
        </w:rPr>
        <w:t xml:space="preserve">ensures that </w:t>
      </w:r>
      <w:r w:rsidR="00E0037F">
        <w:rPr>
          <w:lang w:val="en-ZA"/>
        </w:rPr>
        <w:t>an</w:t>
      </w:r>
      <w:r w:rsidRPr="008633D2">
        <w:rPr>
          <w:lang w:val="en-ZA"/>
        </w:rPr>
        <w:t xml:space="preserve"> investor is </w:t>
      </w:r>
      <w:r w:rsidR="0046753E">
        <w:rPr>
          <w:lang w:val="en-ZA"/>
        </w:rPr>
        <w:t xml:space="preserve">capable of </w:t>
      </w:r>
      <w:r w:rsidRPr="008633D2">
        <w:rPr>
          <w:lang w:val="en-ZA"/>
        </w:rPr>
        <w:t>better align</w:t>
      </w:r>
      <w:r w:rsidR="0046753E">
        <w:rPr>
          <w:lang w:val="en-ZA"/>
        </w:rPr>
        <w:t>ing</w:t>
      </w:r>
      <w:r w:rsidRPr="008633D2">
        <w:rPr>
          <w:lang w:val="en-ZA"/>
        </w:rPr>
        <w:t xml:space="preserve"> the choice of unit trust with </w:t>
      </w:r>
      <w:r w:rsidR="00E0037F">
        <w:rPr>
          <w:lang w:val="en-ZA"/>
        </w:rPr>
        <w:t>his/her personal</w:t>
      </w:r>
      <w:r w:rsidR="00421FEB" w:rsidRPr="008633D2">
        <w:rPr>
          <w:lang w:val="en-ZA"/>
        </w:rPr>
        <w:t xml:space="preserve"> investment</w:t>
      </w:r>
      <w:r w:rsidRPr="008633D2">
        <w:rPr>
          <w:lang w:val="en-ZA"/>
        </w:rPr>
        <w:t xml:space="preserve"> objectives. </w:t>
      </w:r>
    </w:p>
    <w:p w:rsidR="007C4E0C" w:rsidRPr="008633D2" w:rsidRDefault="007C4E0C" w:rsidP="0051718F">
      <w:pPr>
        <w:rPr>
          <w:lang w:val="en-ZA"/>
        </w:rPr>
      </w:pPr>
    </w:p>
    <w:p w:rsidR="006F2C0B" w:rsidRPr="008633D2" w:rsidRDefault="006F2C0B" w:rsidP="006F2C0B">
      <w:pPr>
        <w:pStyle w:val="Heading2"/>
        <w:rPr>
          <w:lang w:val="en-ZA"/>
        </w:rPr>
      </w:pPr>
      <w:bookmarkStart w:id="28" w:name="_Ref25636347"/>
      <w:bookmarkStart w:id="29" w:name="_Toc141172733"/>
      <w:bookmarkStart w:id="30" w:name="_Toc141172805"/>
      <w:bookmarkStart w:id="31" w:name="_Toc141173473"/>
      <w:bookmarkStart w:id="32" w:name="_Toc141173539"/>
      <w:bookmarkStart w:id="33" w:name="_Toc184011855"/>
      <w:bookmarkStart w:id="34" w:name="_Toc458610764"/>
      <w:r w:rsidRPr="008633D2">
        <w:rPr>
          <w:lang w:val="en-ZA"/>
        </w:rPr>
        <w:t>Problem statement</w:t>
      </w:r>
      <w:bookmarkEnd w:id="28"/>
      <w:bookmarkEnd w:id="29"/>
      <w:bookmarkEnd w:id="30"/>
      <w:bookmarkEnd w:id="31"/>
      <w:bookmarkEnd w:id="32"/>
      <w:bookmarkEnd w:id="33"/>
      <w:bookmarkEnd w:id="34"/>
    </w:p>
    <w:p w:rsidR="006F2C0B" w:rsidRPr="008633D2" w:rsidRDefault="006F2C0B" w:rsidP="006F2C0B">
      <w:pPr>
        <w:pStyle w:val="Heading3"/>
        <w:rPr>
          <w:lang w:val="en-ZA"/>
        </w:rPr>
      </w:pPr>
      <w:bookmarkStart w:id="35" w:name="_Toc141172734"/>
      <w:bookmarkStart w:id="36" w:name="_Toc141172806"/>
      <w:bookmarkStart w:id="37" w:name="_Toc141173474"/>
      <w:bookmarkStart w:id="38" w:name="_Toc141173540"/>
      <w:bookmarkStart w:id="39" w:name="_Toc184011856"/>
      <w:bookmarkStart w:id="40" w:name="_Toc458610765"/>
      <w:r w:rsidRPr="008633D2">
        <w:rPr>
          <w:lang w:val="en-ZA"/>
        </w:rPr>
        <w:t>Main problem</w:t>
      </w:r>
      <w:bookmarkEnd w:id="35"/>
      <w:bookmarkEnd w:id="36"/>
      <w:bookmarkEnd w:id="37"/>
      <w:bookmarkEnd w:id="38"/>
      <w:bookmarkEnd w:id="39"/>
      <w:bookmarkEnd w:id="40"/>
    </w:p>
    <w:p w:rsidR="0051718F" w:rsidRPr="008633D2" w:rsidRDefault="0051718F" w:rsidP="0051718F">
      <w:pPr>
        <w:rPr>
          <w:lang w:val="en-ZA"/>
        </w:rPr>
      </w:pPr>
      <w:r w:rsidRPr="008633D2">
        <w:rPr>
          <w:lang w:val="en-ZA"/>
        </w:rPr>
        <w:t>The objective of this research is to establish whether the performance of unit trusts managed by female fund managers in South Africa exceeds that of comparable unit trusts managed by male fund managers in South Africa or not. Comparability is ascertained by measuring the riskiness of the unit trust</w:t>
      </w:r>
      <w:r w:rsidR="00421FEB" w:rsidRPr="008633D2">
        <w:rPr>
          <w:lang w:val="en-ZA"/>
        </w:rPr>
        <w:t xml:space="preserve">, which is quantified by the beta of the fund. </w:t>
      </w:r>
    </w:p>
    <w:p w:rsidR="0051718F" w:rsidRPr="008633D2" w:rsidRDefault="0051718F" w:rsidP="006F2C0B">
      <w:pPr>
        <w:rPr>
          <w:color w:val="333399"/>
          <w:lang w:val="en-ZA"/>
        </w:rPr>
      </w:pPr>
    </w:p>
    <w:p w:rsidR="006F2C0B" w:rsidRPr="008633D2" w:rsidRDefault="006F2C0B" w:rsidP="006F2C0B">
      <w:pPr>
        <w:pStyle w:val="Heading2"/>
        <w:rPr>
          <w:lang w:val="en-ZA"/>
        </w:rPr>
      </w:pPr>
      <w:bookmarkStart w:id="41" w:name="_Ref25654455"/>
      <w:bookmarkStart w:id="42" w:name="_Toc141172736"/>
      <w:bookmarkStart w:id="43" w:name="_Toc141172808"/>
      <w:bookmarkStart w:id="44" w:name="_Toc141173476"/>
      <w:bookmarkStart w:id="45" w:name="_Toc141173542"/>
      <w:bookmarkStart w:id="46" w:name="_Toc184011858"/>
      <w:bookmarkStart w:id="47" w:name="_Toc458610766"/>
      <w:r w:rsidRPr="008633D2">
        <w:rPr>
          <w:lang w:val="en-ZA"/>
        </w:rPr>
        <w:t>Significance of the study</w:t>
      </w:r>
      <w:bookmarkEnd w:id="41"/>
      <w:bookmarkEnd w:id="42"/>
      <w:bookmarkEnd w:id="43"/>
      <w:bookmarkEnd w:id="44"/>
      <w:bookmarkEnd w:id="45"/>
      <w:bookmarkEnd w:id="46"/>
      <w:bookmarkEnd w:id="47"/>
    </w:p>
    <w:p w:rsidR="0051718F" w:rsidRPr="008633D2" w:rsidRDefault="00E0037F" w:rsidP="0051718F">
      <w:pPr>
        <w:rPr>
          <w:lang w:val="en-ZA"/>
        </w:rPr>
      </w:pPr>
      <w:r>
        <w:rPr>
          <w:lang w:val="en-ZA"/>
        </w:rPr>
        <w:t>This</w:t>
      </w:r>
      <w:r w:rsidR="0051718F" w:rsidRPr="008633D2">
        <w:rPr>
          <w:lang w:val="en-ZA"/>
        </w:rPr>
        <w:t xml:space="preserve"> study indicate</w:t>
      </w:r>
      <w:r>
        <w:rPr>
          <w:lang w:val="en-ZA"/>
        </w:rPr>
        <w:t>s</w:t>
      </w:r>
      <w:r w:rsidR="0051718F" w:rsidRPr="008633D2">
        <w:rPr>
          <w:lang w:val="en-ZA"/>
        </w:rPr>
        <w:t xml:space="preserve"> to investors </w:t>
      </w:r>
      <w:r w:rsidR="0002073C" w:rsidRPr="008633D2">
        <w:rPr>
          <w:lang w:val="en-ZA"/>
        </w:rPr>
        <w:t>in</w:t>
      </w:r>
      <w:r w:rsidR="0051718F" w:rsidRPr="008633D2">
        <w:rPr>
          <w:lang w:val="en-ZA"/>
        </w:rPr>
        <w:t xml:space="preserve"> unit trusts</w:t>
      </w:r>
      <w:r w:rsidR="0094293B" w:rsidRPr="008633D2">
        <w:rPr>
          <w:lang w:val="en-ZA"/>
        </w:rPr>
        <w:t xml:space="preserve"> </w:t>
      </w:r>
      <w:r w:rsidR="00474E72">
        <w:rPr>
          <w:lang w:val="en-ZA"/>
        </w:rPr>
        <w:t>managed in</w:t>
      </w:r>
      <w:r>
        <w:rPr>
          <w:lang w:val="en-ZA"/>
        </w:rPr>
        <w:t xml:space="preserve"> South Africa</w:t>
      </w:r>
      <w:r w:rsidR="00474E72">
        <w:rPr>
          <w:lang w:val="en-ZA"/>
        </w:rPr>
        <w:t xml:space="preserve"> whether </w:t>
      </w:r>
      <w:r w:rsidR="0051718F" w:rsidRPr="008633D2">
        <w:rPr>
          <w:lang w:val="en-ZA"/>
        </w:rPr>
        <w:t xml:space="preserve">the gender of </w:t>
      </w:r>
      <w:r>
        <w:rPr>
          <w:lang w:val="en-ZA"/>
        </w:rPr>
        <w:t>a</w:t>
      </w:r>
      <w:r w:rsidR="0051718F" w:rsidRPr="008633D2">
        <w:rPr>
          <w:lang w:val="en-ZA"/>
        </w:rPr>
        <w:t xml:space="preserve"> fund manager </w:t>
      </w:r>
      <w:r>
        <w:rPr>
          <w:lang w:val="en-ZA"/>
        </w:rPr>
        <w:t>could have an i</w:t>
      </w:r>
      <w:r w:rsidR="00474E72">
        <w:rPr>
          <w:lang w:val="en-ZA"/>
        </w:rPr>
        <w:t>nfluence on the performance of the</w:t>
      </w:r>
      <w:r>
        <w:rPr>
          <w:lang w:val="en-ZA"/>
        </w:rPr>
        <w:t xml:space="preserve"> </w:t>
      </w:r>
      <w:r w:rsidR="0051718F" w:rsidRPr="008633D2">
        <w:rPr>
          <w:lang w:val="en-ZA"/>
        </w:rPr>
        <w:t xml:space="preserve">unit trust. It will also enlighten investors on the </w:t>
      </w:r>
      <w:r w:rsidR="00610150" w:rsidRPr="008633D2">
        <w:rPr>
          <w:lang w:val="en-ZA"/>
        </w:rPr>
        <w:t>sectors of the industry w</w:t>
      </w:r>
      <w:r w:rsidR="0046753E">
        <w:rPr>
          <w:lang w:val="en-ZA"/>
        </w:rPr>
        <w:t>h</w:t>
      </w:r>
      <w:r w:rsidR="00610150" w:rsidRPr="008633D2">
        <w:rPr>
          <w:lang w:val="en-ZA"/>
        </w:rPr>
        <w:t xml:space="preserve">ere there </w:t>
      </w:r>
      <w:r w:rsidR="0046753E">
        <w:rPr>
          <w:lang w:val="en-ZA"/>
        </w:rPr>
        <w:t xml:space="preserve">are </w:t>
      </w:r>
      <w:r w:rsidR="00610150" w:rsidRPr="008633D2">
        <w:rPr>
          <w:lang w:val="en-ZA"/>
        </w:rPr>
        <w:t xml:space="preserve">more </w:t>
      </w:r>
      <w:r w:rsidR="0051718F" w:rsidRPr="008633D2">
        <w:rPr>
          <w:lang w:val="en-ZA"/>
        </w:rPr>
        <w:t>female fund managers</w:t>
      </w:r>
      <w:r>
        <w:rPr>
          <w:lang w:val="en-ZA"/>
        </w:rPr>
        <w:t xml:space="preserve"> and on the riskiness of the funds managed by females</w:t>
      </w:r>
      <w:r w:rsidR="0051718F" w:rsidRPr="008633D2">
        <w:rPr>
          <w:lang w:val="en-ZA"/>
        </w:rPr>
        <w:t>. This will provide investors with more information in order to better align their choice of unit trust with their investment goals.</w:t>
      </w:r>
    </w:p>
    <w:p w:rsidR="007C4E0C" w:rsidRDefault="007C4E0C" w:rsidP="0051718F">
      <w:pPr>
        <w:rPr>
          <w:lang w:val="en-ZA"/>
        </w:rPr>
      </w:pPr>
    </w:p>
    <w:p w:rsidR="0046753E" w:rsidRDefault="0046753E" w:rsidP="0051718F">
      <w:pPr>
        <w:rPr>
          <w:lang w:val="en-ZA"/>
        </w:rPr>
      </w:pPr>
    </w:p>
    <w:p w:rsidR="00474E72" w:rsidRDefault="00474E72" w:rsidP="0051718F">
      <w:pPr>
        <w:rPr>
          <w:lang w:val="en-ZA"/>
        </w:rPr>
      </w:pPr>
    </w:p>
    <w:p w:rsidR="0051718F" w:rsidRPr="008633D2" w:rsidRDefault="0051718F" w:rsidP="0051718F">
      <w:pPr>
        <w:rPr>
          <w:lang w:val="en-ZA"/>
        </w:rPr>
      </w:pPr>
      <w:r w:rsidRPr="008633D2">
        <w:rPr>
          <w:lang w:val="en-ZA"/>
        </w:rPr>
        <w:t xml:space="preserve">It may also provide more insight for companies hiring fund managers. Understanding </w:t>
      </w:r>
      <w:r w:rsidR="0002073C" w:rsidRPr="008633D2">
        <w:rPr>
          <w:lang w:val="en-ZA"/>
        </w:rPr>
        <w:t xml:space="preserve">if there is a </w:t>
      </w:r>
      <w:r w:rsidRPr="008633D2">
        <w:rPr>
          <w:lang w:val="en-ZA"/>
        </w:rPr>
        <w:t xml:space="preserve">link between the gender of the fund manager and the performance of the fund will allow </w:t>
      </w:r>
      <w:r w:rsidR="00CC6274" w:rsidRPr="008633D2">
        <w:rPr>
          <w:lang w:val="en-ZA"/>
        </w:rPr>
        <w:t>companies</w:t>
      </w:r>
      <w:r w:rsidRPr="008633D2">
        <w:rPr>
          <w:lang w:val="en-ZA"/>
        </w:rPr>
        <w:t xml:space="preserve"> to more accurately align their choice of man</w:t>
      </w:r>
      <w:r w:rsidR="00474E72">
        <w:rPr>
          <w:lang w:val="en-ZA"/>
        </w:rPr>
        <w:t>a</w:t>
      </w:r>
      <w:r w:rsidRPr="008633D2">
        <w:rPr>
          <w:lang w:val="en-ZA"/>
        </w:rPr>
        <w:t>gers for their unit trusts with the objectives of the unit trust. Should this study show that the performance of female managed unit trusts</w:t>
      </w:r>
      <w:r w:rsidR="00051B16" w:rsidRPr="008633D2">
        <w:rPr>
          <w:lang w:val="en-ZA"/>
        </w:rPr>
        <w:t xml:space="preserve"> is similar to </w:t>
      </w:r>
      <w:r w:rsidR="00093481" w:rsidRPr="008633D2">
        <w:rPr>
          <w:lang w:val="en-ZA"/>
        </w:rPr>
        <w:t>or outperforms</w:t>
      </w:r>
      <w:r w:rsidRPr="008633D2">
        <w:rPr>
          <w:lang w:val="en-ZA"/>
        </w:rPr>
        <w:t xml:space="preserve"> those managed by their male counterparts in South Africa</w:t>
      </w:r>
      <w:r w:rsidR="00E0037F">
        <w:rPr>
          <w:lang w:val="en-ZA"/>
        </w:rPr>
        <w:t xml:space="preserve"> over any period, </w:t>
      </w:r>
      <w:r w:rsidRPr="008633D2">
        <w:rPr>
          <w:lang w:val="en-ZA"/>
        </w:rPr>
        <w:t xml:space="preserve">it may provide more opportunities for female fund managers to develop in South Africa and </w:t>
      </w:r>
      <w:r w:rsidR="00F24F80">
        <w:rPr>
          <w:lang w:val="en-ZA"/>
        </w:rPr>
        <w:t xml:space="preserve">to </w:t>
      </w:r>
      <w:r w:rsidR="0046753E">
        <w:rPr>
          <w:lang w:val="en-ZA"/>
        </w:rPr>
        <w:t>breach</w:t>
      </w:r>
      <w:r w:rsidRPr="008633D2">
        <w:rPr>
          <w:lang w:val="en-ZA"/>
        </w:rPr>
        <w:t xml:space="preserve"> the stereotype that women are less able managers.</w:t>
      </w:r>
      <w:r w:rsidR="00051B16" w:rsidRPr="008633D2">
        <w:rPr>
          <w:lang w:val="en-ZA"/>
        </w:rPr>
        <w:t xml:space="preserve"> </w:t>
      </w:r>
    </w:p>
    <w:p w:rsidR="00560CAF" w:rsidRPr="008633D2" w:rsidRDefault="00560CAF" w:rsidP="0051718F">
      <w:pPr>
        <w:rPr>
          <w:color w:val="333399"/>
          <w:lang w:val="en-ZA"/>
        </w:rPr>
      </w:pPr>
    </w:p>
    <w:p w:rsidR="006F2C0B" w:rsidRPr="008633D2" w:rsidRDefault="006F2C0B" w:rsidP="006F2C0B">
      <w:pPr>
        <w:pStyle w:val="Heading2"/>
        <w:rPr>
          <w:lang w:val="en-ZA"/>
        </w:rPr>
      </w:pPr>
      <w:bookmarkStart w:id="48" w:name="_Toc141172737"/>
      <w:bookmarkStart w:id="49" w:name="_Toc141172809"/>
      <w:bookmarkStart w:id="50" w:name="_Toc141173477"/>
      <w:bookmarkStart w:id="51" w:name="_Toc141173543"/>
      <w:bookmarkStart w:id="52" w:name="_Toc184011859"/>
      <w:bookmarkStart w:id="53" w:name="_Toc458610767"/>
      <w:r w:rsidRPr="008633D2">
        <w:rPr>
          <w:lang w:val="en-ZA"/>
        </w:rPr>
        <w:t xml:space="preserve">Delimitations </w:t>
      </w:r>
      <w:bookmarkEnd w:id="48"/>
      <w:bookmarkEnd w:id="49"/>
      <w:bookmarkEnd w:id="50"/>
      <w:bookmarkEnd w:id="51"/>
      <w:bookmarkEnd w:id="52"/>
      <w:r w:rsidR="008B40C3" w:rsidRPr="008633D2">
        <w:rPr>
          <w:lang w:val="en-ZA"/>
        </w:rPr>
        <w:t>of the study</w:t>
      </w:r>
      <w:bookmarkEnd w:id="53"/>
    </w:p>
    <w:p w:rsidR="0051718F" w:rsidRPr="008633D2" w:rsidRDefault="0051718F" w:rsidP="0051718F">
      <w:pPr>
        <w:rPr>
          <w:lang w:val="en-ZA"/>
        </w:rPr>
      </w:pPr>
      <w:r w:rsidRPr="008633D2">
        <w:rPr>
          <w:lang w:val="en-ZA"/>
        </w:rPr>
        <w:t xml:space="preserve">This research </w:t>
      </w:r>
      <w:r w:rsidR="0046753E">
        <w:rPr>
          <w:lang w:val="en-ZA"/>
        </w:rPr>
        <w:t xml:space="preserve">excludes </w:t>
      </w:r>
      <w:r w:rsidRPr="008633D2">
        <w:rPr>
          <w:lang w:val="en-ZA"/>
        </w:rPr>
        <w:t xml:space="preserve">reasons for why the performance may be different </w:t>
      </w:r>
      <w:r w:rsidR="0002073C" w:rsidRPr="008633D2">
        <w:rPr>
          <w:lang w:val="en-ZA"/>
        </w:rPr>
        <w:t xml:space="preserve">or if the outperformance or underperformance of the fund is purely due to the </w:t>
      </w:r>
      <w:r w:rsidRPr="008633D2">
        <w:rPr>
          <w:lang w:val="en-ZA"/>
        </w:rPr>
        <w:t>gender</w:t>
      </w:r>
      <w:r w:rsidR="0002073C" w:rsidRPr="008633D2">
        <w:rPr>
          <w:lang w:val="en-ZA"/>
        </w:rPr>
        <w:t xml:space="preserve"> of the fund manager</w:t>
      </w:r>
      <w:r w:rsidRPr="008633D2">
        <w:rPr>
          <w:lang w:val="en-ZA"/>
        </w:rPr>
        <w:t>. It also does not perform any testing on other variables that may influence the unit trusts performance</w:t>
      </w:r>
      <w:r w:rsidR="00E0037F" w:rsidRPr="008633D2">
        <w:rPr>
          <w:lang w:val="en-ZA"/>
        </w:rPr>
        <w:t xml:space="preserve">. </w:t>
      </w:r>
      <w:r w:rsidR="00E0037F">
        <w:rPr>
          <w:lang w:val="en-ZA"/>
        </w:rPr>
        <w:t xml:space="preserve">Furthermore, this research is only concerned with funds managed by an individual; </w:t>
      </w:r>
      <w:r w:rsidR="002E75F3">
        <w:rPr>
          <w:lang w:val="en-ZA"/>
        </w:rPr>
        <w:t>therefore,</w:t>
      </w:r>
      <w:r w:rsidR="00E0037F">
        <w:rPr>
          <w:lang w:val="en-ZA"/>
        </w:rPr>
        <w:t xml:space="preserve"> funds managed by teams of females, teams of males or mixed teams are excluded. </w:t>
      </w:r>
    </w:p>
    <w:p w:rsidR="007C4E0C" w:rsidRPr="008633D2" w:rsidRDefault="007C4E0C" w:rsidP="0051718F">
      <w:pPr>
        <w:rPr>
          <w:lang w:val="en-ZA"/>
        </w:rPr>
      </w:pPr>
    </w:p>
    <w:p w:rsidR="006F2C0B" w:rsidRDefault="006F2C0B" w:rsidP="006F2C0B">
      <w:pPr>
        <w:pStyle w:val="Heading2"/>
        <w:rPr>
          <w:lang w:val="en-ZA"/>
        </w:rPr>
      </w:pPr>
      <w:bookmarkStart w:id="54" w:name="_Toc141172740"/>
      <w:bookmarkStart w:id="55" w:name="_Toc141172812"/>
      <w:bookmarkStart w:id="56" w:name="_Toc141173480"/>
      <w:bookmarkStart w:id="57" w:name="_Toc141173546"/>
      <w:bookmarkStart w:id="58" w:name="_Toc184011862"/>
      <w:bookmarkStart w:id="59" w:name="_Toc458610768"/>
      <w:r w:rsidRPr="008633D2">
        <w:rPr>
          <w:lang w:val="en-ZA"/>
        </w:rPr>
        <w:t>Definition of term</w:t>
      </w:r>
      <w:bookmarkEnd w:id="54"/>
      <w:bookmarkEnd w:id="55"/>
      <w:bookmarkEnd w:id="56"/>
      <w:bookmarkEnd w:id="57"/>
      <w:bookmarkEnd w:id="58"/>
      <w:r w:rsidR="0046753E">
        <w:rPr>
          <w:lang w:val="en-ZA"/>
        </w:rPr>
        <w:t>inology</w:t>
      </w:r>
      <w:bookmarkEnd w:id="59"/>
    </w:p>
    <w:p w:rsidR="00D250DF" w:rsidRDefault="00D250DF" w:rsidP="00D250DF">
      <w:pPr>
        <w:rPr>
          <w:lang w:val="en-ZA"/>
        </w:rPr>
      </w:pPr>
      <w:r>
        <w:rPr>
          <w:lang w:val="en-ZA"/>
        </w:rPr>
        <w:t>The following terms are commonly used in the financial industry of South Africa and beyond this point; it is assumed that the reader is familiar with them.</w:t>
      </w:r>
    </w:p>
    <w:p w:rsidR="00674D3C" w:rsidRDefault="00674D3C" w:rsidP="0051718F">
      <w:pPr>
        <w:rPr>
          <w:b/>
          <w:lang w:val="en-ZA"/>
        </w:rPr>
      </w:pPr>
      <w:bookmarkStart w:id="60" w:name="_Toc141172741"/>
      <w:bookmarkStart w:id="61" w:name="_Toc141172813"/>
      <w:bookmarkStart w:id="62" w:name="_Toc141173481"/>
      <w:bookmarkStart w:id="63" w:name="_Toc141173547"/>
      <w:bookmarkStart w:id="64" w:name="_Toc184011863"/>
    </w:p>
    <w:p w:rsidR="0051718F" w:rsidRDefault="0051718F" w:rsidP="0051718F">
      <w:pPr>
        <w:rPr>
          <w:lang w:val="en-ZA"/>
        </w:rPr>
      </w:pPr>
      <w:r w:rsidRPr="008633D2">
        <w:rPr>
          <w:b/>
          <w:lang w:val="en-ZA"/>
        </w:rPr>
        <w:t>Unit Trust:</w:t>
      </w:r>
      <w:r w:rsidRPr="008633D2">
        <w:rPr>
          <w:lang w:val="en-ZA"/>
        </w:rPr>
        <w:t xml:space="preserve"> A</w:t>
      </w:r>
      <w:r w:rsidR="0002073C" w:rsidRPr="008633D2">
        <w:rPr>
          <w:lang w:val="en-ZA"/>
        </w:rPr>
        <w:t xml:space="preserve">n asset management </w:t>
      </w:r>
      <w:r w:rsidRPr="008633D2">
        <w:rPr>
          <w:lang w:val="en-ZA"/>
        </w:rPr>
        <w:t xml:space="preserve">company collects money from investors and then invests that money into a diversified portfolio of securities, bonds and other financial instruments. The portfolio is then divided amongst the investors in the form of units. </w:t>
      </w:r>
      <w:r w:rsidR="0002073C" w:rsidRPr="008633D2">
        <w:rPr>
          <w:lang w:val="en-ZA"/>
        </w:rPr>
        <w:t xml:space="preserve">The portfolio is known as a unit trust. </w:t>
      </w:r>
    </w:p>
    <w:p w:rsidR="0051718F" w:rsidRPr="008633D2" w:rsidRDefault="0051718F" w:rsidP="0051718F">
      <w:pPr>
        <w:rPr>
          <w:lang w:val="en-ZA"/>
        </w:rPr>
      </w:pPr>
      <w:r w:rsidRPr="008633D2">
        <w:rPr>
          <w:b/>
          <w:lang w:val="en-ZA"/>
        </w:rPr>
        <w:t>Mutual Fund:</w:t>
      </w:r>
      <w:r w:rsidRPr="008633D2">
        <w:rPr>
          <w:lang w:val="en-ZA"/>
        </w:rPr>
        <w:t xml:space="preserve"> This is an American term used to represent unit trusts and is </w:t>
      </w:r>
      <w:r w:rsidR="0002073C" w:rsidRPr="008633D2">
        <w:rPr>
          <w:lang w:val="en-ZA"/>
        </w:rPr>
        <w:t xml:space="preserve">used </w:t>
      </w:r>
      <w:r w:rsidRPr="008633D2">
        <w:rPr>
          <w:lang w:val="en-ZA"/>
        </w:rPr>
        <w:t>interchangeably</w:t>
      </w:r>
      <w:r w:rsidR="0002073C" w:rsidRPr="008633D2">
        <w:rPr>
          <w:lang w:val="en-ZA"/>
        </w:rPr>
        <w:t xml:space="preserve"> </w:t>
      </w:r>
      <w:r w:rsidR="00E0037F">
        <w:rPr>
          <w:lang w:val="en-ZA"/>
        </w:rPr>
        <w:t xml:space="preserve">with the terms unit trust, fund and collective instrument </w:t>
      </w:r>
      <w:r w:rsidR="0002073C" w:rsidRPr="008633D2">
        <w:rPr>
          <w:lang w:val="en-ZA"/>
        </w:rPr>
        <w:t>within this research</w:t>
      </w:r>
      <w:r w:rsidRPr="008633D2">
        <w:rPr>
          <w:lang w:val="en-ZA"/>
        </w:rPr>
        <w:t>.</w:t>
      </w:r>
    </w:p>
    <w:p w:rsidR="0051718F" w:rsidRPr="008633D2" w:rsidRDefault="0051718F" w:rsidP="0051718F">
      <w:pPr>
        <w:rPr>
          <w:lang w:val="en-ZA"/>
        </w:rPr>
      </w:pPr>
      <w:r w:rsidRPr="008633D2">
        <w:rPr>
          <w:b/>
          <w:lang w:val="en-ZA"/>
        </w:rPr>
        <w:t>Fund manager</w:t>
      </w:r>
      <w:r w:rsidRPr="008633D2">
        <w:rPr>
          <w:lang w:val="en-ZA"/>
        </w:rPr>
        <w:t>: The person(s) responsible for implementing a fund's investing strategy and managing its portfolio trading activities. Fund managers are paid a fee for their work, which is a percentage of the fund's average assets under management.</w:t>
      </w:r>
    </w:p>
    <w:p w:rsidR="0051718F" w:rsidRPr="008633D2" w:rsidRDefault="0051718F" w:rsidP="0051718F">
      <w:pPr>
        <w:rPr>
          <w:lang w:val="en-ZA"/>
        </w:rPr>
      </w:pPr>
      <w:r w:rsidRPr="008633D2">
        <w:rPr>
          <w:b/>
          <w:lang w:val="en-ZA"/>
        </w:rPr>
        <w:t>Single managed fund</w:t>
      </w:r>
      <w:r w:rsidR="00E0037F">
        <w:rPr>
          <w:lang w:val="en-ZA"/>
        </w:rPr>
        <w:t>:  A fund that is managed by an individual</w:t>
      </w:r>
      <w:r w:rsidRPr="008633D2">
        <w:rPr>
          <w:lang w:val="en-ZA"/>
        </w:rPr>
        <w:t>.</w:t>
      </w:r>
    </w:p>
    <w:p w:rsidR="0002073C" w:rsidRPr="008633D2" w:rsidRDefault="00EC4C67" w:rsidP="0002073C">
      <w:pPr>
        <w:rPr>
          <w:lang w:val="en-ZA"/>
        </w:rPr>
      </w:pPr>
      <w:r w:rsidRPr="008633D2">
        <w:rPr>
          <w:b/>
          <w:lang w:val="en-ZA"/>
        </w:rPr>
        <w:t>Multi</w:t>
      </w:r>
      <w:r w:rsidR="0002073C" w:rsidRPr="008633D2">
        <w:rPr>
          <w:b/>
          <w:lang w:val="en-ZA"/>
        </w:rPr>
        <w:t xml:space="preserve"> managed fund</w:t>
      </w:r>
      <w:r w:rsidR="0002073C" w:rsidRPr="008633D2">
        <w:rPr>
          <w:lang w:val="en-ZA"/>
        </w:rPr>
        <w:t xml:space="preserve">:  A fund that is managed by </w:t>
      </w:r>
      <w:r w:rsidRPr="008633D2">
        <w:rPr>
          <w:lang w:val="en-ZA"/>
        </w:rPr>
        <w:t xml:space="preserve">more than one </w:t>
      </w:r>
      <w:r w:rsidR="0002073C" w:rsidRPr="008633D2">
        <w:rPr>
          <w:lang w:val="en-ZA"/>
        </w:rPr>
        <w:t>person.</w:t>
      </w:r>
    </w:p>
    <w:p w:rsidR="0051718F" w:rsidRPr="008633D2" w:rsidRDefault="0051718F" w:rsidP="0051718F">
      <w:pPr>
        <w:rPr>
          <w:lang w:val="en-ZA"/>
        </w:rPr>
      </w:pPr>
      <w:r w:rsidRPr="008633D2">
        <w:rPr>
          <w:b/>
          <w:lang w:val="en-ZA"/>
        </w:rPr>
        <w:t>Financial Instruments</w:t>
      </w:r>
      <w:r w:rsidRPr="008633D2">
        <w:rPr>
          <w:lang w:val="en-ZA"/>
        </w:rPr>
        <w:t xml:space="preserve">:  </w:t>
      </w:r>
      <w:r w:rsidR="00795F66" w:rsidRPr="008633D2">
        <w:rPr>
          <w:lang w:val="en-ZA"/>
        </w:rPr>
        <w:t xml:space="preserve">These </w:t>
      </w:r>
      <w:r w:rsidRPr="008633D2">
        <w:rPr>
          <w:lang w:val="en-ZA"/>
        </w:rPr>
        <w:t xml:space="preserve">are </w:t>
      </w:r>
      <w:r w:rsidR="00E0037F">
        <w:rPr>
          <w:lang w:val="en-ZA"/>
        </w:rPr>
        <w:t>financial products</w:t>
      </w:r>
      <w:r w:rsidRPr="008633D2">
        <w:rPr>
          <w:lang w:val="en-ZA"/>
        </w:rPr>
        <w:t xml:space="preserve"> that may </w:t>
      </w:r>
      <w:r w:rsidR="0046753E">
        <w:rPr>
          <w:lang w:val="en-ZA"/>
        </w:rPr>
        <w:t>assume</w:t>
      </w:r>
      <w:r w:rsidRPr="008633D2">
        <w:rPr>
          <w:lang w:val="en-ZA"/>
        </w:rPr>
        <w:t xml:space="preserve"> the form of securities, bonds, cash, money market instruments etc.</w:t>
      </w:r>
    </w:p>
    <w:p w:rsidR="0051718F" w:rsidRPr="008633D2" w:rsidRDefault="0051718F" w:rsidP="0051718F">
      <w:pPr>
        <w:rPr>
          <w:lang w:val="en-ZA"/>
        </w:rPr>
      </w:pPr>
      <w:r w:rsidRPr="008633D2">
        <w:rPr>
          <w:b/>
          <w:lang w:val="en-ZA"/>
        </w:rPr>
        <w:t>Portfolio</w:t>
      </w:r>
      <w:r w:rsidRPr="008633D2">
        <w:rPr>
          <w:lang w:val="en-ZA"/>
        </w:rPr>
        <w:t>: It is a grouping of financial instruments that are traded on the financial market.</w:t>
      </w:r>
    </w:p>
    <w:p w:rsidR="0051718F" w:rsidRPr="008633D2" w:rsidRDefault="0051718F" w:rsidP="0051718F">
      <w:pPr>
        <w:rPr>
          <w:lang w:val="en-ZA"/>
        </w:rPr>
      </w:pPr>
      <w:r w:rsidRPr="008633D2">
        <w:rPr>
          <w:b/>
          <w:lang w:val="en-ZA"/>
        </w:rPr>
        <w:t xml:space="preserve">Performance: </w:t>
      </w:r>
      <w:r w:rsidRPr="008633D2">
        <w:rPr>
          <w:lang w:val="en-ZA"/>
        </w:rPr>
        <w:t>It is the return that an investment achieves over a period of time.</w:t>
      </w:r>
    </w:p>
    <w:p w:rsidR="00795F66" w:rsidRPr="008633D2" w:rsidRDefault="00795F66" w:rsidP="00795F66">
      <w:pPr>
        <w:rPr>
          <w:b/>
          <w:lang w:val="en-ZA"/>
        </w:rPr>
      </w:pPr>
      <w:r w:rsidRPr="008633D2">
        <w:rPr>
          <w:b/>
          <w:lang w:val="en-ZA"/>
        </w:rPr>
        <w:t>Annualised returns</w:t>
      </w:r>
      <w:r w:rsidRPr="008633D2">
        <w:rPr>
          <w:lang w:val="en-ZA"/>
        </w:rPr>
        <w:t xml:space="preserve">:  In the context of this research, an annualised return is a geometric average return of the investment for each year within the period being considered. </w:t>
      </w:r>
    </w:p>
    <w:p w:rsidR="0051718F" w:rsidRPr="008633D2" w:rsidRDefault="0051718F" w:rsidP="0051718F">
      <w:pPr>
        <w:pStyle w:val="NormalWeb"/>
        <w:shd w:val="clear" w:color="auto" w:fill="FFFFFF"/>
        <w:spacing w:line="360" w:lineRule="auto"/>
        <w:jc w:val="both"/>
        <w:rPr>
          <w:rFonts w:ascii="Arial" w:hAnsi="Arial"/>
          <w:lang w:val="en-ZA"/>
        </w:rPr>
      </w:pPr>
      <w:r w:rsidRPr="008633D2">
        <w:rPr>
          <w:rFonts w:ascii="Arial" w:hAnsi="Arial"/>
          <w:b/>
          <w:lang w:val="en-ZA"/>
        </w:rPr>
        <w:t>Investors</w:t>
      </w:r>
      <w:r w:rsidRPr="008633D2">
        <w:rPr>
          <w:rFonts w:ascii="Arial" w:hAnsi="Arial"/>
          <w:lang w:val="en-ZA"/>
        </w:rPr>
        <w:t xml:space="preserve">: These are </w:t>
      </w:r>
      <w:r w:rsidR="0046753E">
        <w:rPr>
          <w:rFonts w:ascii="Arial" w:hAnsi="Arial"/>
          <w:lang w:val="en-ZA"/>
        </w:rPr>
        <w:t xml:space="preserve">individuals or </w:t>
      </w:r>
      <w:r w:rsidRPr="008633D2">
        <w:rPr>
          <w:rFonts w:ascii="Arial" w:hAnsi="Arial"/>
          <w:lang w:val="en-ZA"/>
        </w:rPr>
        <w:t>juristic parties that commit money or capital in an endeavour</w:t>
      </w:r>
      <w:r w:rsidR="00F24F80">
        <w:rPr>
          <w:rFonts w:ascii="Arial" w:hAnsi="Arial"/>
          <w:lang w:val="en-ZA"/>
        </w:rPr>
        <w:t>,</w:t>
      </w:r>
      <w:r w:rsidRPr="008633D2">
        <w:rPr>
          <w:rFonts w:ascii="Arial" w:hAnsi="Arial"/>
          <w:lang w:val="en-ZA"/>
        </w:rPr>
        <w:t xml:space="preserve"> with the expectation of obtaining an additional income or profit </w:t>
      </w:r>
      <w:sdt>
        <w:sdtPr>
          <w:rPr>
            <w:rFonts w:ascii="Arial" w:hAnsi="Arial"/>
            <w:lang w:val="en-ZA"/>
          </w:rPr>
          <w:id w:val="-696689782"/>
          <w:citation/>
        </w:sdtPr>
        <w:sdtEndPr/>
        <w:sdtContent>
          <w:r w:rsidRPr="008633D2">
            <w:rPr>
              <w:rFonts w:ascii="Arial" w:hAnsi="Arial"/>
              <w:lang w:val="en-ZA"/>
            </w:rPr>
            <w:fldChar w:fldCharType="begin"/>
          </w:r>
          <w:r w:rsidR="005B7BCE">
            <w:rPr>
              <w:rFonts w:ascii="Arial" w:hAnsi="Arial"/>
              <w:lang w:val="en-ZA"/>
            </w:rPr>
            <w:instrText xml:space="preserve">CITATION Inv152 \l 1033 </w:instrText>
          </w:r>
          <w:r w:rsidRPr="008633D2">
            <w:rPr>
              <w:rFonts w:ascii="Arial" w:hAnsi="Arial"/>
              <w:lang w:val="en-ZA"/>
            </w:rPr>
            <w:fldChar w:fldCharType="separate"/>
          </w:r>
          <w:r w:rsidR="005B7BCE" w:rsidRPr="005B7BCE">
            <w:rPr>
              <w:rFonts w:ascii="Arial" w:hAnsi="Arial"/>
              <w:noProof/>
              <w:lang w:val="en-ZA"/>
            </w:rPr>
            <w:t>(Investor Hub Inc, 2015)</w:t>
          </w:r>
          <w:r w:rsidRPr="008633D2">
            <w:rPr>
              <w:rFonts w:ascii="Arial" w:hAnsi="Arial"/>
              <w:lang w:val="en-ZA"/>
            </w:rPr>
            <w:fldChar w:fldCharType="end"/>
          </w:r>
        </w:sdtContent>
      </w:sdt>
      <w:r w:rsidR="00795F66" w:rsidRPr="008633D2">
        <w:rPr>
          <w:rFonts w:ascii="Arial" w:hAnsi="Arial"/>
          <w:lang w:val="en-ZA"/>
        </w:rPr>
        <w:t>.</w:t>
      </w:r>
    </w:p>
    <w:p w:rsidR="0051718F" w:rsidRPr="008633D2" w:rsidRDefault="0051718F" w:rsidP="0051718F">
      <w:pPr>
        <w:rPr>
          <w:lang w:val="en-ZA"/>
        </w:rPr>
      </w:pPr>
      <w:r w:rsidRPr="008633D2">
        <w:rPr>
          <w:b/>
          <w:lang w:val="en-ZA"/>
        </w:rPr>
        <w:t>Beta</w:t>
      </w:r>
      <w:r w:rsidRPr="008633D2">
        <w:rPr>
          <w:lang w:val="en-ZA"/>
        </w:rPr>
        <w:t xml:space="preserve">: </w:t>
      </w:r>
      <w:r w:rsidR="00795F66" w:rsidRPr="008633D2">
        <w:rPr>
          <w:lang w:val="en-ZA"/>
        </w:rPr>
        <w:t xml:space="preserve"> I</w:t>
      </w:r>
      <w:r w:rsidRPr="008633D2">
        <w:rPr>
          <w:lang w:val="en-ZA"/>
        </w:rPr>
        <w:t xml:space="preserve">s an indicator of the volatility of a portfolio relative to the market, </w:t>
      </w:r>
      <w:r w:rsidR="00CC6274" w:rsidRPr="008633D2">
        <w:rPr>
          <w:lang w:val="en-ZA"/>
        </w:rPr>
        <w:t>namely,</w:t>
      </w:r>
      <w:r w:rsidRPr="008633D2">
        <w:rPr>
          <w:lang w:val="en-ZA"/>
        </w:rPr>
        <w:t xml:space="preserve"> it is the way in which the portfolio responds to the market. Beta is calculated using </w:t>
      </w:r>
      <w:r w:rsidR="00795F66" w:rsidRPr="008633D2">
        <w:rPr>
          <w:lang w:val="en-ZA"/>
        </w:rPr>
        <w:t>the returns of a portfolio relative to a benchmark index</w:t>
      </w:r>
      <w:r w:rsidRPr="008633D2">
        <w:rPr>
          <w:lang w:val="en-ZA"/>
        </w:rPr>
        <w:t>.</w:t>
      </w:r>
    </w:p>
    <w:p w:rsidR="0051718F" w:rsidRPr="008633D2" w:rsidRDefault="0051718F" w:rsidP="005E5901">
      <w:pPr>
        <w:pStyle w:val="ListParagraph"/>
        <w:numPr>
          <w:ilvl w:val="0"/>
          <w:numId w:val="14"/>
        </w:numPr>
        <w:rPr>
          <w:lang w:val="en-ZA"/>
        </w:rPr>
      </w:pPr>
      <w:r w:rsidRPr="008633D2">
        <w:rPr>
          <w:lang w:val="en-ZA"/>
        </w:rPr>
        <w:t>A beta of 1 indicates that the portfolio’s value will move in line with the financial market</w:t>
      </w:r>
    </w:p>
    <w:p w:rsidR="0051718F" w:rsidRPr="008633D2" w:rsidRDefault="0051718F" w:rsidP="005E5901">
      <w:pPr>
        <w:pStyle w:val="ListParagraph"/>
        <w:numPr>
          <w:ilvl w:val="0"/>
          <w:numId w:val="14"/>
        </w:numPr>
        <w:rPr>
          <w:lang w:val="en-ZA"/>
        </w:rPr>
      </w:pPr>
      <w:r w:rsidRPr="008633D2">
        <w:rPr>
          <w:lang w:val="en-ZA"/>
        </w:rPr>
        <w:t>A beta of less than 1 means that the portfolio will be less volatile than the financial market</w:t>
      </w:r>
    </w:p>
    <w:p w:rsidR="0051718F" w:rsidRPr="008633D2" w:rsidRDefault="0051718F" w:rsidP="005E5901">
      <w:pPr>
        <w:pStyle w:val="ListParagraph"/>
        <w:numPr>
          <w:ilvl w:val="0"/>
          <w:numId w:val="14"/>
        </w:numPr>
        <w:rPr>
          <w:lang w:val="en-ZA"/>
        </w:rPr>
      </w:pPr>
      <w:r w:rsidRPr="008633D2">
        <w:rPr>
          <w:lang w:val="en-ZA"/>
        </w:rPr>
        <w:t>A beta of greater than 1 indicates that the portfolio’s value will be more volatile than the financial market</w:t>
      </w:r>
    </w:p>
    <w:p w:rsidR="00DA5185" w:rsidRPr="008633D2" w:rsidRDefault="00DA5185" w:rsidP="00DA5185">
      <w:pPr>
        <w:pStyle w:val="NormalWeb"/>
        <w:shd w:val="clear" w:color="auto" w:fill="FFFFFF"/>
        <w:spacing w:line="360" w:lineRule="auto"/>
        <w:jc w:val="both"/>
        <w:rPr>
          <w:rFonts w:ascii="Arial" w:hAnsi="Arial"/>
          <w:lang w:val="en-ZA"/>
        </w:rPr>
      </w:pPr>
      <w:r>
        <w:rPr>
          <w:rFonts w:ascii="Arial" w:hAnsi="Arial"/>
          <w:b/>
          <w:lang w:val="en-ZA"/>
        </w:rPr>
        <w:t>Short term</w:t>
      </w:r>
      <w:r w:rsidRPr="008633D2">
        <w:rPr>
          <w:rFonts w:ascii="Arial" w:hAnsi="Arial"/>
          <w:lang w:val="en-ZA"/>
        </w:rPr>
        <w:t>:</w:t>
      </w:r>
      <w:r>
        <w:rPr>
          <w:rFonts w:ascii="Arial" w:hAnsi="Arial"/>
          <w:lang w:val="en-ZA"/>
        </w:rPr>
        <w:t xml:space="preserve"> In the context of this </w:t>
      </w:r>
      <w:r w:rsidR="00CC6274">
        <w:rPr>
          <w:rFonts w:ascii="Arial" w:hAnsi="Arial"/>
          <w:lang w:val="en-ZA"/>
        </w:rPr>
        <w:t>research,</w:t>
      </w:r>
      <w:r>
        <w:rPr>
          <w:rFonts w:ascii="Arial" w:hAnsi="Arial"/>
          <w:lang w:val="en-ZA"/>
        </w:rPr>
        <w:t xml:space="preserve"> the short term represents the period of one year or less. </w:t>
      </w:r>
    </w:p>
    <w:p w:rsidR="00DA5185" w:rsidRDefault="00DA5185" w:rsidP="00DA5185">
      <w:pPr>
        <w:pStyle w:val="NormalWeb"/>
        <w:shd w:val="clear" w:color="auto" w:fill="FFFFFF"/>
        <w:spacing w:line="360" w:lineRule="auto"/>
        <w:jc w:val="both"/>
        <w:rPr>
          <w:rFonts w:ascii="Arial" w:hAnsi="Arial"/>
          <w:lang w:val="en-ZA"/>
        </w:rPr>
      </w:pPr>
      <w:r>
        <w:rPr>
          <w:rFonts w:ascii="Arial" w:hAnsi="Arial"/>
          <w:b/>
          <w:lang w:val="en-ZA"/>
        </w:rPr>
        <w:t>Medium term</w:t>
      </w:r>
      <w:r w:rsidRPr="008633D2">
        <w:rPr>
          <w:rFonts w:ascii="Arial" w:hAnsi="Arial"/>
          <w:lang w:val="en-ZA"/>
        </w:rPr>
        <w:t xml:space="preserve">: </w:t>
      </w:r>
      <w:r>
        <w:rPr>
          <w:rFonts w:ascii="Arial" w:hAnsi="Arial"/>
          <w:lang w:val="en-ZA"/>
        </w:rPr>
        <w:t>In the context of this research</w:t>
      </w:r>
      <w:r w:rsidR="00E0037F">
        <w:rPr>
          <w:rFonts w:ascii="Arial" w:hAnsi="Arial"/>
          <w:lang w:val="en-ZA"/>
        </w:rPr>
        <w:t>,</w:t>
      </w:r>
      <w:r>
        <w:rPr>
          <w:rFonts w:ascii="Arial" w:hAnsi="Arial"/>
          <w:lang w:val="en-ZA"/>
        </w:rPr>
        <w:t xml:space="preserve"> the medium term represents the period greater than one year but less than </w:t>
      </w:r>
      <w:r w:rsidR="00E92DB4">
        <w:rPr>
          <w:rFonts w:ascii="Arial" w:hAnsi="Arial"/>
          <w:lang w:val="en-ZA"/>
        </w:rPr>
        <w:t>or equal to five</w:t>
      </w:r>
      <w:r>
        <w:rPr>
          <w:rFonts w:ascii="Arial" w:hAnsi="Arial"/>
          <w:lang w:val="en-ZA"/>
        </w:rPr>
        <w:t xml:space="preserve"> years</w:t>
      </w:r>
    </w:p>
    <w:p w:rsidR="00DA5185" w:rsidRDefault="00DA5185" w:rsidP="00DA5185">
      <w:pPr>
        <w:pStyle w:val="NormalWeb"/>
        <w:shd w:val="clear" w:color="auto" w:fill="FFFFFF"/>
        <w:spacing w:line="360" w:lineRule="auto"/>
        <w:jc w:val="both"/>
        <w:rPr>
          <w:rFonts w:ascii="Arial" w:hAnsi="Arial"/>
          <w:lang w:val="en-ZA"/>
        </w:rPr>
      </w:pPr>
      <w:r>
        <w:rPr>
          <w:rFonts w:ascii="Arial" w:hAnsi="Arial"/>
          <w:b/>
          <w:lang w:val="en-ZA"/>
        </w:rPr>
        <w:t>Long term</w:t>
      </w:r>
      <w:r w:rsidRPr="008633D2">
        <w:rPr>
          <w:rFonts w:ascii="Arial" w:hAnsi="Arial"/>
          <w:lang w:val="en-ZA"/>
        </w:rPr>
        <w:t xml:space="preserve">: </w:t>
      </w:r>
      <w:r>
        <w:rPr>
          <w:rFonts w:ascii="Arial" w:hAnsi="Arial"/>
          <w:lang w:val="en-ZA"/>
        </w:rPr>
        <w:t xml:space="preserve">In the context of this </w:t>
      </w:r>
      <w:r w:rsidR="00CC6274">
        <w:rPr>
          <w:rFonts w:ascii="Arial" w:hAnsi="Arial"/>
          <w:lang w:val="en-ZA"/>
        </w:rPr>
        <w:t>research,</w:t>
      </w:r>
      <w:r>
        <w:rPr>
          <w:rFonts w:ascii="Arial" w:hAnsi="Arial"/>
          <w:lang w:val="en-ZA"/>
        </w:rPr>
        <w:t xml:space="preserve"> the long term represents a period greater than </w:t>
      </w:r>
      <w:r w:rsidR="00E92DB4">
        <w:rPr>
          <w:rFonts w:ascii="Arial" w:hAnsi="Arial"/>
          <w:lang w:val="en-ZA"/>
        </w:rPr>
        <w:t>five</w:t>
      </w:r>
      <w:r>
        <w:rPr>
          <w:rFonts w:ascii="Arial" w:hAnsi="Arial"/>
          <w:lang w:val="en-ZA"/>
        </w:rPr>
        <w:t xml:space="preserve"> years.</w:t>
      </w:r>
    </w:p>
    <w:p w:rsidR="00DA5185" w:rsidRPr="008633D2" w:rsidRDefault="00DA5185" w:rsidP="00DA5185">
      <w:pPr>
        <w:pStyle w:val="NormalWeb"/>
        <w:shd w:val="clear" w:color="auto" w:fill="FFFFFF"/>
        <w:spacing w:line="360" w:lineRule="auto"/>
        <w:jc w:val="both"/>
        <w:rPr>
          <w:lang w:val="en-ZA"/>
        </w:rPr>
      </w:pPr>
    </w:p>
    <w:p w:rsidR="006F2C0B" w:rsidRPr="008633D2" w:rsidRDefault="006F2C0B" w:rsidP="006F2C0B">
      <w:pPr>
        <w:pStyle w:val="Heading2"/>
        <w:rPr>
          <w:lang w:val="en-ZA"/>
        </w:rPr>
      </w:pPr>
      <w:bookmarkStart w:id="65" w:name="_Toc458610769"/>
      <w:r w:rsidRPr="008633D2">
        <w:rPr>
          <w:lang w:val="en-ZA"/>
        </w:rPr>
        <w:t>Assumptions</w:t>
      </w:r>
      <w:bookmarkEnd w:id="60"/>
      <w:bookmarkEnd w:id="61"/>
      <w:bookmarkEnd w:id="62"/>
      <w:bookmarkEnd w:id="63"/>
      <w:bookmarkEnd w:id="64"/>
      <w:bookmarkEnd w:id="65"/>
    </w:p>
    <w:p w:rsidR="00E0037F" w:rsidRDefault="00E0037F" w:rsidP="0051718F">
      <w:pPr>
        <w:rPr>
          <w:lang w:val="en-ZA"/>
        </w:rPr>
      </w:pPr>
      <w:r>
        <w:rPr>
          <w:lang w:val="en-ZA"/>
        </w:rPr>
        <w:t>The following assumptions have been made in order to conduct this research.</w:t>
      </w:r>
      <w:r w:rsidR="0046753E">
        <w:rPr>
          <w:lang w:val="en-ZA"/>
        </w:rPr>
        <w:t xml:space="preserve"> It should be noted that should these assumptions prove to be invalid, the results of this research may be considered invalid.</w:t>
      </w:r>
    </w:p>
    <w:p w:rsidR="002A31A3" w:rsidRDefault="002A31A3" w:rsidP="0051718F">
      <w:pPr>
        <w:rPr>
          <w:lang w:val="en-ZA"/>
        </w:rPr>
      </w:pPr>
    </w:p>
    <w:p w:rsidR="00E0037F" w:rsidRPr="00E0037F" w:rsidRDefault="00E0037F" w:rsidP="00E0037F">
      <w:pPr>
        <w:pStyle w:val="ListParagraph"/>
        <w:numPr>
          <w:ilvl w:val="0"/>
          <w:numId w:val="18"/>
        </w:numPr>
        <w:rPr>
          <w:i/>
          <w:lang w:val="en-ZA"/>
        </w:rPr>
      </w:pPr>
      <w:r w:rsidRPr="00E0037F">
        <w:rPr>
          <w:i/>
          <w:lang w:val="en-ZA"/>
        </w:rPr>
        <w:t>Beta is an accurate measure of risk</w:t>
      </w:r>
    </w:p>
    <w:p w:rsidR="00E0037F" w:rsidRDefault="00E0037F" w:rsidP="00E0037F">
      <w:pPr>
        <w:pStyle w:val="ListParagraph"/>
        <w:rPr>
          <w:lang w:val="en-ZA"/>
        </w:rPr>
      </w:pPr>
      <w:r>
        <w:rPr>
          <w:lang w:val="en-ZA"/>
        </w:rPr>
        <w:t>The risk of a portfolio or financial instrument in the financial market is often measured using beta. Beta is a measurement of the risk of the portfolio or financial instrument relative to a chosen benchmark. For this research, it</w:t>
      </w:r>
      <w:r w:rsidRPr="008633D2">
        <w:rPr>
          <w:lang w:val="en-ZA"/>
        </w:rPr>
        <w:t xml:space="preserve"> is assumed that the performance of </w:t>
      </w:r>
      <w:r>
        <w:rPr>
          <w:lang w:val="en-ZA"/>
        </w:rPr>
        <w:t>unit trust</w:t>
      </w:r>
      <w:r w:rsidRPr="008633D2">
        <w:rPr>
          <w:lang w:val="en-ZA"/>
        </w:rPr>
        <w:t xml:space="preserve"> A and </w:t>
      </w:r>
      <w:r>
        <w:rPr>
          <w:lang w:val="en-ZA"/>
        </w:rPr>
        <w:t>unit trust</w:t>
      </w:r>
      <w:r w:rsidRPr="008633D2">
        <w:rPr>
          <w:lang w:val="en-ZA"/>
        </w:rPr>
        <w:t xml:space="preserve"> B may be compared to each other </w:t>
      </w:r>
      <w:r w:rsidR="00474E72">
        <w:rPr>
          <w:lang w:val="en-ZA"/>
        </w:rPr>
        <w:t>provided that</w:t>
      </w:r>
      <w:r w:rsidRPr="008633D2">
        <w:rPr>
          <w:lang w:val="en-ZA"/>
        </w:rPr>
        <w:t xml:space="preserve"> they have </w:t>
      </w:r>
      <w:r>
        <w:rPr>
          <w:lang w:val="en-ZA"/>
        </w:rPr>
        <w:t>the same or similar</w:t>
      </w:r>
      <w:r w:rsidRPr="008633D2">
        <w:rPr>
          <w:lang w:val="en-ZA"/>
        </w:rPr>
        <w:t xml:space="preserve"> </w:t>
      </w:r>
      <w:r>
        <w:rPr>
          <w:lang w:val="en-ZA"/>
        </w:rPr>
        <w:t xml:space="preserve">riskiness, which is measured by beta. </w:t>
      </w:r>
      <w:r w:rsidR="00474E72">
        <w:rPr>
          <w:lang w:val="en-ZA"/>
        </w:rPr>
        <w:t>In financial markets</w:t>
      </w:r>
      <w:r w:rsidR="00F24F80">
        <w:rPr>
          <w:lang w:val="en-ZA"/>
        </w:rPr>
        <w:t>,</w:t>
      </w:r>
      <w:r w:rsidR="00474E72">
        <w:rPr>
          <w:lang w:val="en-ZA"/>
        </w:rPr>
        <w:t xml:space="preserve"> this is a common</w:t>
      </w:r>
      <w:r>
        <w:rPr>
          <w:lang w:val="en-ZA"/>
        </w:rPr>
        <w:t xml:space="preserve"> assumption </w:t>
      </w:r>
      <w:r w:rsidR="00474E72">
        <w:rPr>
          <w:lang w:val="en-ZA"/>
        </w:rPr>
        <w:t>as investors expect</w:t>
      </w:r>
      <w:r>
        <w:rPr>
          <w:lang w:val="en-ZA"/>
        </w:rPr>
        <w:t xml:space="preserve"> to receive a return relat</w:t>
      </w:r>
      <w:r w:rsidR="00474E72">
        <w:rPr>
          <w:lang w:val="en-ZA"/>
        </w:rPr>
        <w:t xml:space="preserve">ive to the amount of risk their investment is exposed to. </w:t>
      </w:r>
    </w:p>
    <w:p w:rsidR="002A31A3" w:rsidRDefault="002A31A3" w:rsidP="00E0037F">
      <w:pPr>
        <w:pStyle w:val="ListParagraph"/>
        <w:rPr>
          <w:lang w:val="en-ZA"/>
        </w:rPr>
      </w:pPr>
    </w:p>
    <w:p w:rsidR="002E75F3" w:rsidRDefault="00E0037F" w:rsidP="0051718F">
      <w:pPr>
        <w:pStyle w:val="ListParagraph"/>
        <w:numPr>
          <w:ilvl w:val="0"/>
          <w:numId w:val="18"/>
        </w:numPr>
        <w:rPr>
          <w:i/>
          <w:lang w:val="en-ZA"/>
        </w:rPr>
      </w:pPr>
      <w:r w:rsidRPr="00E0037F">
        <w:rPr>
          <w:i/>
          <w:lang w:val="en-ZA"/>
        </w:rPr>
        <w:t>The FTSE/JSE all share index i</w:t>
      </w:r>
      <w:r w:rsidR="005F2182">
        <w:rPr>
          <w:i/>
          <w:lang w:val="en-ZA"/>
        </w:rPr>
        <w:t>s an appropriate measure of the</w:t>
      </w:r>
      <w:r>
        <w:rPr>
          <w:i/>
          <w:lang w:val="en-ZA"/>
        </w:rPr>
        <w:t xml:space="preserve"> South African </w:t>
      </w:r>
      <w:r w:rsidRPr="00E0037F">
        <w:rPr>
          <w:i/>
          <w:lang w:val="en-ZA"/>
        </w:rPr>
        <w:t>market return</w:t>
      </w:r>
    </w:p>
    <w:p w:rsidR="0051718F" w:rsidRPr="002E75F3" w:rsidRDefault="002E75F3" w:rsidP="002E75F3">
      <w:pPr>
        <w:pStyle w:val="ListParagraph"/>
        <w:rPr>
          <w:i/>
          <w:lang w:val="en-ZA"/>
        </w:rPr>
      </w:pPr>
      <w:r>
        <w:rPr>
          <w:lang w:val="en-ZA"/>
        </w:rPr>
        <w:t xml:space="preserve">The </w:t>
      </w:r>
      <w:r w:rsidR="00DE58B6" w:rsidRPr="002E75F3">
        <w:rPr>
          <w:lang w:val="en-ZA"/>
        </w:rPr>
        <w:t xml:space="preserve">FTSE/JSE </w:t>
      </w:r>
      <w:r>
        <w:rPr>
          <w:lang w:val="en-ZA"/>
        </w:rPr>
        <w:t>a</w:t>
      </w:r>
      <w:r w:rsidR="00DE58B6" w:rsidRPr="002E75F3">
        <w:rPr>
          <w:lang w:val="en-ZA"/>
        </w:rPr>
        <w:t xml:space="preserve">ll </w:t>
      </w:r>
      <w:r>
        <w:rPr>
          <w:lang w:val="en-ZA"/>
        </w:rPr>
        <w:t>share i</w:t>
      </w:r>
      <w:r w:rsidR="00DE58B6" w:rsidRPr="002E75F3">
        <w:rPr>
          <w:lang w:val="en-ZA"/>
        </w:rPr>
        <w:t xml:space="preserve">ndex </w:t>
      </w:r>
      <w:r>
        <w:rPr>
          <w:lang w:val="en-ZA"/>
        </w:rPr>
        <w:t xml:space="preserve">is assumed to be an appropriate </w:t>
      </w:r>
      <w:r w:rsidR="00DE58B6" w:rsidRPr="002E75F3">
        <w:rPr>
          <w:lang w:val="en-ZA"/>
        </w:rPr>
        <w:t>proxy for the performance of the financial market in South Africa.</w:t>
      </w:r>
      <w:r>
        <w:rPr>
          <w:lang w:val="en-ZA"/>
        </w:rPr>
        <w:t xml:space="preserve"> The index is a representation of the performance of all the equities listed on the JSE. This index is used as the market benchmark for this research as is market practice within the South African financial market. </w:t>
      </w:r>
      <w:r w:rsidR="00DE58B6" w:rsidRPr="002E75F3">
        <w:rPr>
          <w:lang w:val="en-ZA"/>
        </w:rPr>
        <w:t xml:space="preserve"> </w:t>
      </w:r>
    </w:p>
    <w:p w:rsidR="0046753E" w:rsidRPr="0046753E" w:rsidRDefault="0046753E" w:rsidP="0046753E">
      <w:pPr>
        <w:pStyle w:val="CommentText"/>
        <w:rPr>
          <w:color w:val="FF0000"/>
        </w:rPr>
      </w:pPr>
    </w:p>
    <w:p w:rsidR="006F2C0B" w:rsidRPr="008633D2" w:rsidRDefault="006F2C0B" w:rsidP="006F2C0B">
      <w:pPr>
        <w:rPr>
          <w:color w:val="333399"/>
          <w:lang w:val="en-ZA"/>
        </w:rPr>
      </w:pPr>
    </w:p>
    <w:p w:rsidR="006F2C0B" w:rsidRPr="008633D2" w:rsidRDefault="0035051A" w:rsidP="0035051A">
      <w:pPr>
        <w:pStyle w:val="Heading1"/>
        <w:rPr>
          <w:lang w:val="en-ZA"/>
        </w:rPr>
      </w:pPr>
      <w:bookmarkStart w:id="66" w:name="_Toc141172742"/>
      <w:bookmarkStart w:id="67" w:name="_Toc141172814"/>
      <w:bookmarkStart w:id="68" w:name="_Toc141173482"/>
      <w:bookmarkStart w:id="69" w:name="_Toc141173548"/>
      <w:bookmarkStart w:id="70" w:name="_Toc184011864"/>
      <w:bookmarkStart w:id="71" w:name="_Toc458610770"/>
      <w:r w:rsidRPr="008633D2">
        <w:rPr>
          <w:lang w:val="en-ZA"/>
        </w:rPr>
        <w:t>LITERATURE REVIEW</w:t>
      </w:r>
      <w:bookmarkEnd w:id="66"/>
      <w:bookmarkEnd w:id="67"/>
      <w:bookmarkEnd w:id="68"/>
      <w:bookmarkEnd w:id="69"/>
      <w:bookmarkEnd w:id="70"/>
      <w:bookmarkEnd w:id="71"/>
    </w:p>
    <w:p w:rsidR="003A24AC" w:rsidRPr="008633D2" w:rsidRDefault="003A24AC" w:rsidP="003A24AC">
      <w:pPr>
        <w:rPr>
          <w:lang w:val="en-ZA"/>
        </w:rPr>
      </w:pPr>
    </w:p>
    <w:p w:rsidR="006F2C0B" w:rsidRPr="008633D2" w:rsidRDefault="006F2C0B" w:rsidP="007372C2">
      <w:pPr>
        <w:pStyle w:val="Heading2"/>
        <w:rPr>
          <w:lang w:val="en-ZA"/>
        </w:rPr>
      </w:pPr>
      <w:bookmarkStart w:id="72" w:name="_Toc141172743"/>
      <w:bookmarkStart w:id="73" w:name="_Toc141172815"/>
      <w:bookmarkStart w:id="74" w:name="_Toc141173483"/>
      <w:bookmarkStart w:id="75" w:name="_Toc141173549"/>
      <w:bookmarkStart w:id="76" w:name="_Toc184011865"/>
      <w:bookmarkStart w:id="77" w:name="_Toc458610771"/>
      <w:r w:rsidRPr="008633D2">
        <w:rPr>
          <w:lang w:val="en-ZA"/>
        </w:rPr>
        <w:t>Introduction</w:t>
      </w:r>
      <w:bookmarkEnd w:id="72"/>
      <w:bookmarkEnd w:id="73"/>
      <w:bookmarkEnd w:id="74"/>
      <w:bookmarkEnd w:id="75"/>
      <w:bookmarkEnd w:id="76"/>
      <w:bookmarkEnd w:id="77"/>
    </w:p>
    <w:p w:rsidR="007C4C18" w:rsidRDefault="0051718F" w:rsidP="0051718F">
      <w:pPr>
        <w:rPr>
          <w:lang w:val="en-ZA"/>
        </w:rPr>
      </w:pPr>
      <w:r w:rsidRPr="008633D2">
        <w:rPr>
          <w:lang w:val="en-ZA"/>
        </w:rPr>
        <w:t xml:space="preserve">This research aims to </w:t>
      </w:r>
      <w:r w:rsidR="007C4C18">
        <w:rPr>
          <w:lang w:val="en-ZA"/>
        </w:rPr>
        <w:t xml:space="preserve">assess if mutual </w:t>
      </w:r>
      <w:r w:rsidRPr="008633D2">
        <w:rPr>
          <w:lang w:val="en-ZA"/>
        </w:rPr>
        <w:t>fund</w:t>
      </w:r>
      <w:r w:rsidR="007C4C18">
        <w:rPr>
          <w:lang w:val="en-ZA"/>
        </w:rPr>
        <w:t>s managed by an individual female fund manager produces excess performance in comparison to funds managed by an individual</w:t>
      </w:r>
      <w:r w:rsidRPr="008633D2">
        <w:rPr>
          <w:lang w:val="en-ZA"/>
        </w:rPr>
        <w:t xml:space="preserve"> male </w:t>
      </w:r>
      <w:r w:rsidR="007C4C18">
        <w:rPr>
          <w:lang w:val="en-ZA"/>
        </w:rPr>
        <w:t>fund manager</w:t>
      </w:r>
      <w:r w:rsidR="000D4D3C" w:rsidRPr="008633D2">
        <w:rPr>
          <w:lang w:val="en-ZA"/>
        </w:rPr>
        <w:t>, or not</w:t>
      </w:r>
      <w:r w:rsidR="00CC6274" w:rsidRPr="008633D2">
        <w:rPr>
          <w:lang w:val="en-ZA"/>
        </w:rPr>
        <w:t xml:space="preserve">. </w:t>
      </w:r>
      <w:r w:rsidR="003A24AC" w:rsidRPr="008633D2">
        <w:rPr>
          <w:lang w:val="en-ZA"/>
        </w:rPr>
        <w:t>In order to accomplish this effectively, a review of existin</w:t>
      </w:r>
      <w:r w:rsidR="007C4C18">
        <w:rPr>
          <w:lang w:val="en-ZA"/>
        </w:rPr>
        <w:t>g literature is conducted. This review introduces</w:t>
      </w:r>
      <w:r w:rsidR="0046753E">
        <w:rPr>
          <w:lang w:val="en-ZA"/>
        </w:rPr>
        <w:t xml:space="preserve"> and acknowledge</w:t>
      </w:r>
      <w:r w:rsidR="00F24F80">
        <w:rPr>
          <w:lang w:val="en-ZA"/>
        </w:rPr>
        <w:t>s</w:t>
      </w:r>
      <w:r w:rsidR="0046753E">
        <w:rPr>
          <w:lang w:val="en-ZA"/>
        </w:rPr>
        <w:t xml:space="preserve"> </w:t>
      </w:r>
      <w:r w:rsidR="007C4C18">
        <w:rPr>
          <w:lang w:val="en-ZA"/>
        </w:rPr>
        <w:t xml:space="preserve">existing knowledge </w:t>
      </w:r>
      <w:r w:rsidR="0046753E">
        <w:rPr>
          <w:lang w:val="en-ZA"/>
        </w:rPr>
        <w:t xml:space="preserve">and previous research </w:t>
      </w:r>
      <w:r w:rsidR="007C4C18">
        <w:rPr>
          <w:lang w:val="en-ZA"/>
        </w:rPr>
        <w:t>regarding the key concepts</w:t>
      </w:r>
      <w:r w:rsidR="0046753E">
        <w:rPr>
          <w:lang w:val="en-ZA"/>
        </w:rPr>
        <w:t xml:space="preserve"> related to the research being conducted.</w:t>
      </w:r>
    </w:p>
    <w:p w:rsidR="007C4C18" w:rsidRDefault="007C4C18" w:rsidP="0051718F">
      <w:pPr>
        <w:rPr>
          <w:lang w:val="en-ZA"/>
        </w:rPr>
      </w:pPr>
    </w:p>
    <w:p w:rsidR="0051718F" w:rsidRPr="008633D2" w:rsidRDefault="007C4C18" w:rsidP="0051718F">
      <w:pPr>
        <w:rPr>
          <w:lang w:val="en-ZA"/>
        </w:rPr>
      </w:pPr>
      <w:r>
        <w:rPr>
          <w:lang w:val="en-ZA"/>
        </w:rPr>
        <w:t xml:space="preserve">This chapter includes a review of the unit trust industry in South Africa and globally, </w:t>
      </w:r>
      <w:r w:rsidR="0051718F" w:rsidRPr="008633D2">
        <w:rPr>
          <w:lang w:val="en-ZA"/>
        </w:rPr>
        <w:t>the importance of performance in this industry, the role of gender in risk taking</w:t>
      </w:r>
      <w:r w:rsidR="009E2BD1" w:rsidRPr="008633D2">
        <w:rPr>
          <w:lang w:val="en-ZA"/>
        </w:rPr>
        <w:t xml:space="preserve"> and </w:t>
      </w:r>
      <w:r>
        <w:rPr>
          <w:lang w:val="en-ZA"/>
        </w:rPr>
        <w:t xml:space="preserve">risk </w:t>
      </w:r>
      <w:r w:rsidR="009E2BD1" w:rsidRPr="008633D2">
        <w:rPr>
          <w:lang w:val="en-ZA"/>
        </w:rPr>
        <w:t>aversion</w:t>
      </w:r>
      <w:r w:rsidR="0051718F" w:rsidRPr="008633D2">
        <w:rPr>
          <w:lang w:val="en-ZA"/>
        </w:rPr>
        <w:t xml:space="preserve">, the role of gender in </w:t>
      </w:r>
      <w:r w:rsidRPr="008633D2">
        <w:rPr>
          <w:lang w:val="en-ZA"/>
        </w:rPr>
        <w:t>management,</w:t>
      </w:r>
      <w:r w:rsidR="0051718F" w:rsidRPr="008633D2">
        <w:rPr>
          <w:lang w:val="en-ZA"/>
        </w:rPr>
        <w:t xml:space="preserve"> and the role of gen</w:t>
      </w:r>
      <w:r w:rsidR="00A57084" w:rsidRPr="008633D2">
        <w:rPr>
          <w:lang w:val="en-ZA"/>
        </w:rPr>
        <w:t xml:space="preserve">der in the unit trust industry. </w:t>
      </w:r>
    </w:p>
    <w:p w:rsidR="009E2BD1" w:rsidRPr="008633D2" w:rsidRDefault="009E2BD1" w:rsidP="0051718F">
      <w:pPr>
        <w:rPr>
          <w:lang w:val="en-ZA"/>
        </w:rPr>
      </w:pPr>
    </w:p>
    <w:p w:rsidR="006F2C0B" w:rsidRPr="008633D2" w:rsidRDefault="0051718F" w:rsidP="0044202E">
      <w:pPr>
        <w:pStyle w:val="Heading2"/>
        <w:rPr>
          <w:lang w:val="en-ZA"/>
        </w:rPr>
      </w:pPr>
      <w:bookmarkStart w:id="78" w:name="_Toc141172744"/>
      <w:bookmarkStart w:id="79" w:name="_Toc141172816"/>
      <w:bookmarkStart w:id="80" w:name="_Toc141173484"/>
      <w:bookmarkStart w:id="81" w:name="_Toc141173550"/>
      <w:bookmarkStart w:id="82" w:name="_Toc184011866"/>
      <w:bookmarkStart w:id="83" w:name="_Toc458610772"/>
      <w:bookmarkStart w:id="84" w:name="_Ref35876276"/>
      <w:r w:rsidRPr="008633D2">
        <w:rPr>
          <w:lang w:val="en-ZA"/>
        </w:rPr>
        <w:t>B</w:t>
      </w:r>
      <w:r w:rsidR="006F2C0B" w:rsidRPr="008633D2">
        <w:rPr>
          <w:lang w:val="en-ZA"/>
        </w:rPr>
        <w:t>ackground discussion</w:t>
      </w:r>
      <w:bookmarkEnd w:id="78"/>
      <w:bookmarkEnd w:id="79"/>
      <w:bookmarkEnd w:id="80"/>
      <w:bookmarkEnd w:id="81"/>
      <w:bookmarkEnd w:id="82"/>
      <w:bookmarkEnd w:id="83"/>
    </w:p>
    <w:p w:rsidR="0051718F" w:rsidRPr="008633D2" w:rsidRDefault="0051718F" w:rsidP="0051718F">
      <w:pPr>
        <w:rPr>
          <w:lang w:val="en-ZA"/>
        </w:rPr>
      </w:pPr>
      <w:r w:rsidRPr="008633D2">
        <w:rPr>
          <w:lang w:val="en-ZA"/>
        </w:rPr>
        <w:t>The pace of women entering the alternative investment industry has been slow</w:t>
      </w:r>
      <w:sdt>
        <w:sdtPr>
          <w:rPr>
            <w:lang w:val="en-ZA"/>
          </w:rPr>
          <w:id w:val="-1710567974"/>
          <w:citation/>
        </w:sdtPr>
        <w:sdtEndPr/>
        <w:sdtContent>
          <w:r w:rsidRPr="008633D2">
            <w:rPr>
              <w:lang w:val="en-ZA"/>
            </w:rPr>
            <w:fldChar w:fldCharType="begin"/>
          </w:r>
          <w:r w:rsidR="005B7BCE">
            <w:rPr>
              <w:lang w:val="en-ZA"/>
            </w:rPr>
            <w:instrText xml:space="preserve">CITATION KPM14 \l 1033 </w:instrText>
          </w:r>
          <w:r w:rsidRPr="008633D2">
            <w:rPr>
              <w:lang w:val="en-ZA"/>
            </w:rPr>
            <w:fldChar w:fldCharType="separate"/>
          </w:r>
          <w:r w:rsidR="005B7BCE">
            <w:rPr>
              <w:noProof/>
              <w:lang w:val="en-ZA"/>
            </w:rPr>
            <w:t xml:space="preserve"> </w:t>
          </w:r>
          <w:r w:rsidR="005B7BCE" w:rsidRPr="005B7BCE">
            <w:rPr>
              <w:noProof/>
              <w:lang w:val="en-ZA"/>
            </w:rPr>
            <w:t>(Jones, 2014)</w:t>
          </w:r>
          <w:r w:rsidRPr="008633D2">
            <w:rPr>
              <w:lang w:val="en-ZA"/>
            </w:rPr>
            <w:fldChar w:fldCharType="end"/>
          </w:r>
        </w:sdtContent>
      </w:sdt>
      <w:r w:rsidRPr="008633D2">
        <w:rPr>
          <w:lang w:val="en-ZA"/>
        </w:rPr>
        <w:t>. There are just 125 female-run funds globally</w:t>
      </w:r>
      <w:r w:rsidR="00AA4870" w:rsidRPr="008633D2">
        <w:rPr>
          <w:lang w:val="en-ZA"/>
        </w:rPr>
        <w:t xml:space="preserve"> that submit data to the industry databases</w:t>
      </w:r>
      <w:r w:rsidR="00F24F80">
        <w:rPr>
          <w:lang w:val="en-ZA"/>
        </w:rPr>
        <w:t>,</w:t>
      </w:r>
      <w:r w:rsidR="00AA4870" w:rsidRPr="008633D2">
        <w:rPr>
          <w:lang w:val="en-ZA"/>
        </w:rPr>
        <w:t xml:space="preserve"> according to </w:t>
      </w:r>
      <w:r w:rsidR="000D4D3C" w:rsidRPr="008633D2">
        <w:rPr>
          <w:lang w:val="en-ZA"/>
        </w:rPr>
        <w:t xml:space="preserve">Foley </w:t>
      </w:r>
      <w:sdt>
        <w:sdtPr>
          <w:rPr>
            <w:lang w:val="en-ZA"/>
          </w:rPr>
          <w:id w:val="611561142"/>
          <w:citation/>
        </w:sdtPr>
        <w:sdtEndPr/>
        <w:sdtContent>
          <w:r w:rsidRPr="008633D2">
            <w:rPr>
              <w:lang w:val="en-ZA"/>
            </w:rPr>
            <w:fldChar w:fldCharType="begin"/>
          </w:r>
          <w:r w:rsidR="00AA4870" w:rsidRPr="008633D2">
            <w:rPr>
              <w:lang w:val="en-ZA"/>
            </w:rPr>
            <w:instrText xml:space="preserve">CITATION Fol15 \n  \t  \l 1033 </w:instrText>
          </w:r>
          <w:r w:rsidRPr="008633D2">
            <w:rPr>
              <w:lang w:val="en-ZA"/>
            </w:rPr>
            <w:fldChar w:fldCharType="separate"/>
          </w:r>
          <w:r w:rsidR="00AA4870" w:rsidRPr="008633D2">
            <w:rPr>
              <w:lang w:val="en-ZA"/>
            </w:rPr>
            <w:t>(2015)</w:t>
          </w:r>
          <w:r w:rsidRPr="008633D2">
            <w:rPr>
              <w:lang w:val="en-ZA"/>
            </w:rPr>
            <w:fldChar w:fldCharType="end"/>
          </w:r>
        </w:sdtContent>
      </w:sdt>
      <w:r w:rsidR="00AA4870" w:rsidRPr="008633D2">
        <w:rPr>
          <w:lang w:val="en-ZA"/>
        </w:rPr>
        <w:t>. In that</w:t>
      </w:r>
      <w:r w:rsidRPr="008633D2">
        <w:rPr>
          <w:lang w:val="en-ZA"/>
        </w:rPr>
        <w:t xml:space="preserve"> </w:t>
      </w:r>
      <w:r w:rsidR="0046753E">
        <w:rPr>
          <w:lang w:val="en-ZA"/>
        </w:rPr>
        <w:t>context</w:t>
      </w:r>
      <w:r w:rsidR="00AA4870" w:rsidRPr="008633D2">
        <w:rPr>
          <w:lang w:val="en-ZA"/>
        </w:rPr>
        <w:t>,</w:t>
      </w:r>
      <w:r w:rsidRPr="008633D2">
        <w:rPr>
          <w:lang w:val="en-ZA"/>
        </w:rPr>
        <w:t xml:space="preserve"> </w:t>
      </w:r>
      <w:r w:rsidR="00BB5793" w:rsidRPr="008633D2">
        <w:rPr>
          <w:lang w:val="en-ZA"/>
        </w:rPr>
        <w:t xml:space="preserve">the fact the South Africa has </w:t>
      </w:r>
      <w:r w:rsidR="009E2BD1" w:rsidRPr="008633D2">
        <w:rPr>
          <w:lang w:val="en-ZA"/>
        </w:rPr>
        <w:t xml:space="preserve">73 </w:t>
      </w:r>
      <w:r w:rsidRPr="008633D2">
        <w:rPr>
          <w:lang w:val="en-ZA"/>
        </w:rPr>
        <w:t xml:space="preserve">female managed funds is significant. </w:t>
      </w:r>
    </w:p>
    <w:p w:rsidR="007C4E0C" w:rsidRPr="008633D2" w:rsidRDefault="007C4E0C" w:rsidP="0051718F">
      <w:pPr>
        <w:rPr>
          <w:lang w:val="en-ZA"/>
        </w:rPr>
      </w:pPr>
    </w:p>
    <w:p w:rsidR="004C1BEB" w:rsidRPr="008633D2" w:rsidRDefault="004C1BEB" w:rsidP="0051718F">
      <w:pPr>
        <w:rPr>
          <w:lang w:val="en-ZA"/>
        </w:rPr>
      </w:pPr>
    </w:p>
    <w:p w:rsidR="004C1BEB" w:rsidRPr="008633D2" w:rsidRDefault="004C1BEB" w:rsidP="0051718F">
      <w:pPr>
        <w:rPr>
          <w:lang w:val="en-ZA"/>
        </w:rPr>
      </w:pPr>
    </w:p>
    <w:p w:rsidR="00AA4870" w:rsidRPr="008633D2" w:rsidRDefault="0051718F" w:rsidP="0051718F">
      <w:pPr>
        <w:rPr>
          <w:lang w:val="en-ZA"/>
        </w:rPr>
      </w:pPr>
      <w:r w:rsidRPr="008633D2">
        <w:rPr>
          <w:lang w:val="en-ZA"/>
        </w:rPr>
        <w:t>There have been several articles published recently</w:t>
      </w:r>
      <w:r w:rsidR="00AA4870" w:rsidRPr="008633D2">
        <w:rPr>
          <w:lang w:val="en-ZA"/>
        </w:rPr>
        <w:t>,</w:t>
      </w:r>
      <w:r w:rsidRPr="008633D2">
        <w:rPr>
          <w:lang w:val="en-ZA"/>
        </w:rPr>
        <w:t xml:space="preserve"> by journalists and researchers</w:t>
      </w:r>
      <w:r w:rsidR="00F24F80">
        <w:rPr>
          <w:lang w:val="en-ZA"/>
        </w:rPr>
        <w:t>,</w:t>
      </w:r>
      <w:r w:rsidRPr="008633D2">
        <w:rPr>
          <w:lang w:val="en-ZA"/>
        </w:rPr>
        <w:t xml:space="preserve"> on female fund managers </w:t>
      </w:r>
      <w:r w:rsidR="0046753E">
        <w:rPr>
          <w:lang w:val="en-ZA"/>
        </w:rPr>
        <w:t>regarding</w:t>
      </w:r>
      <w:r w:rsidRPr="008633D2">
        <w:rPr>
          <w:lang w:val="en-ZA"/>
        </w:rPr>
        <w:t xml:space="preserve"> performance of the funds they manage</w:t>
      </w:r>
      <w:r w:rsidR="00CC6274" w:rsidRPr="008633D2">
        <w:rPr>
          <w:lang w:val="en-ZA"/>
        </w:rPr>
        <w:t xml:space="preserve">. </w:t>
      </w:r>
      <w:r w:rsidRPr="008633D2">
        <w:rPr>
          <w:lang w:val="en-ZA"/>
        </w:rPr>
        <w:t>A report written by Jones</w:t>
      </w:r>
      <w:r w:rsidR="009E2BD1" w:rsidRPr="008633D2">
        <w:rPr>
          <w:lang w:val="en-ZA"/>
        </w:rPr>
        <w:t xml:space="preserve"> </w:t>
      </w:r>
      <w:sdt>
        <w:sdtPr>
          <w:rPr>
            <w:lang w:val="en-ZA"/>
          </w:rPr>
          <w:id w:val="-383487457"/>
          <w:citation/>
        </w:sdtPr>
        <w:sdtEndPr/>
        <w:sdtContent>
          <w:r w:rsidR="009E2BD1" w:rsidRPr="008633D2">
            <w:rPr>
              <w:lang w:val="en-ZA"/>
            </w:rPr>
            <w:fldChar w:fldCharType="begin"/>
          </w:r>
          <w:r w:rsidR="005B7BCE">
            <w:rPr>
              <w:lang w:val="en-ZA"/>
            </w:rPr>
            <w:instrText xml:space="preserve">CITATION KPM14 \n  \t  \l 1033 </w:instrText>
          </w:r>
          <w:r w:rsidR="009E2BD1" w:rsidRPr="008633D2">
            <w:rPr>
              <w:lang w:val="en-ZA"/>
            </w:rPr>
            <w:fldChar w:fldCharType="separate"/>
          </w:r>
          <w:r w:rsidR="005B7BCE" w:rsidRPr="005B7BCE">
            <w:rPr>
              <w:noProof/>
              <w:lang w:val="en-ZA"/>
            </w:rPr>
            <w:t>(2014)</w:t>
          </w:r>
          <w:r w:rsidR="009E2BD1" w:rsidRPr="008633D2">
            <w:rPr>
              <w:lang w:val="en-ZA"/>
            </w:rPr>
            <w:fldChar w:fldCharType="end"/>
          </w:r>
        </w:sdtContent>
      </w:sdt>
      <w:r w:rsidRPr="008633D2">
        <w:rPr>
          <w:lang w:val="en-ZA"/>
        </w:rPr>
        <w:t xml:space="preserve"> on behalf of KPMG</w:t>
      </w:r>
      <w:r w:rsidR="00F24F80">
        <w:rPr>
          <w:lang w:val="en-ZA"/>
        </w:rPr>
        <w:t>,</w:t>
      </w:r>
      <w:r w:rsidRPr="008633D2">
        <w:rPr>
          <w:lang w:val="en-ZA"/>
        </w:rPr>
        <w:t xml:space="preserve"> highlights that over a period of six and a half years ending in June 2013</w:t>
      </w:r>
      <w:r w:rsidR="00F24F80">
        <w:rPr>
          <w:lang w:val="en-ZA"/>
        </w:rPr>
        <w:t>,</w:t>
      </w:r>
      <w:r w:rsidRPr="008633D2">
        <w:rPr>
          <w:lang w:val="en-ZA"/>
        </w:rPr>
        <w:t xml:space="preserve"> the Rothstein Kass Women in Alternative Investments Hedge Fund Index returned 1.8 percent more than the S&amp;P 500 over the period</w:t>
      </w:r>
      <w:r w:rsidR="00C17AAE">
        <w:rPr>
          <w:lang w:val="en-ZA"/>
        </w:rPr>
        <w:t xml:space="preserve">, where the S&amp;P 500 is </w:t>
      </w:r>
      <w:r w:rsidR="00F24F80">
        <w:rPr>
          <w:lang w:val="en-ZA"/>
        </w:rPr>
        <w:t xml:space="preserve">the </w:t>
      </w:r>
      <w:r w:rsidR="00C17AAE">
        <w:rPr>
          <w:lang w:val="en-ZA"/>
        </w:rPr>
        <w:t xml:space="preserve">commonly used market benchmark in the United States. </w:t>
      </w:r>
    </w:p>
    <w:p w:rsidR="00AA4870" w:rsidRPr="008633D2" w:rsidRDefault="00AA4870" w:rsidP="0051718F">
      <w:pPr>
        <w:rPr>
          <w:lang w:val="en-ZA"/>
        </w:rPr>
      </w:pPr>
    </w:p>
    <w:p w:rsidR="0051718F" w:rsidRPr="008633D2" w:rsidRDefault="00AA4870" w:rsidP="0051718F">
      <w:pPr>
        <w:rPr>
          <w:lang w:val="en-ZA"/>
        </w:rPr>
      </w:pPr>
      <w:r w:rsidRPr="008633D2">
        <w:rPr>
          <w:lang w:val="en-ZA"/>
        </w:rPr>
        <w:t>The</w:t>
      </w:r>
      <w:r w:rsidR="009E2BD1" w:rsidRPr="008633D2">
        <w:rPr>
          <w:lang w:val="en-ZA"/>
        </w:rPr>
        <w:t xml:space="preserve"> research </w:t>
      </w:r>
      <w:r w:rsidRPr="008633D2">
        <w:rPr>
          <w:lang w:val="en-ZA"/>
        </w:rPr>
        <w:t xml:space="preserve">presented in this paper </w:t>
      </w:r>
      <w:r w:rsidR="009E2BD1" w:rsidRPr="008633D2">
        <w:rPr>
          <w:lang w:val="en-ZA"/>
        </w:rPr>
        <w:t xml:space="preserve">investigates the presence of female managed funds in South Africa and assesses if the Rothstein Kass finding is applicable </w:t>
      </w:r>
      <w:r w:rsidR="0046753E">
        <w:rPr>
          <w:lang w:val="en-ZA"/>
        </w:rPr>
        <w:t>to</w:t>
      </w:r>
      <w:r w:rsidR="009E2BD1" w:rsidRPr="008633D2">
        <w:rPr>
          <w:lang w:val="en-ZA"/>
        </w:rPr>
        <w:t xml:space="preserve"> the South African unit trust industry</w:t>
      </w:r>
      <w:r w:rsidR="000D370E" w:rsidRPr="008633D2">
        <w:rPr>
          <w:lang w:val="en-ZA"/>
        </w:rPr>
        <w:t xml:space="preserve">. </w:t>
      </w:r>
    </w:p>
    <w:p w:rsidR="0051718F" w:rsidRPr="008633D2" w:rsidRDefault="0051718F" w:rsidP="0051718F">
      <w:pPr>
        <w:rPr>
          <w:lang w:val="en-ZA"/>
        </w:rPr>
      </w:pPr>
    </w:p>
    <w:p w:rsidR="0051718F" w:rsidRPr="008633D2" w:rsidRDefault="002B2C5B" w:rsidP="0051718F">
      <w:pPr>
        <w:pStyle w:val="Heading2"/>
        <w:tabs>
          <w:tab w:val="clear" w:pos="720"/>
        </w:tabs>
        <w:ind w:left="851" w:hanging="851"/>
        <w:rPr>
          <w:lang w:val="en-ZA"/>
        </w:rPr>
      </w:pPr>
      <w:bookmarkStart w:id="85" w:name="_Toc423372648"/>
      <w:bookmarkStart w:id="86" w:name="_Toc458610773"/>
      <w:bookmarkStart w:id="87" w:name="_Toc141172748"/>
      <w:bookmarkStart w:id="88" w:name="_Toc141172820"/>
      <w:bookmarkStart w:id="89" w:name="_Toc141173488"/>
      <w:bookmarkStart w:id="90" w:name="_Toc141173554"/>
      <w:bookmarkStart w:id="91" w:name="_Toc192401322"/>
      <w:bookmarkStart w:id="92" w:name="_Toc141172749"/>
      <w:bookmarkStart w:id="93" w:name="_Toc141172821"/>
      <w:bookmarkStart w:id="94" w:name="_Toc141173489"/>
      <w:bookmarkStart w:id="95" w:name="_Toc141173555"/>
      <w:bookmarkStart w:id="96" w:name="_Toc184011871"/>
      <w:bookmarkStart w:id="97" w:name="_Ref35062434"/>
      <w:bookmarkEnd w:id="84"/>
      <w:r>
        <w:rPr>
          <w:lang w:val="en-ZA"/>
        </w:rPr>
        <w:t xml:space="preserve">The performance of </w:t>
      </w:r>
      <w:r w:rsidR="0051718F" w:rsidRPr="008633D2">
        <w:rPr>
          <w:lang w:val="en-ZA"/>
        </w:rPr>
        <w:t xml:space="preserve">female fund managers </w:t>
      </w:r>
      <w:r>
        <w:rPr>
          <w:lang w:val="en-ZA"/>
        </w:rPr>
        <w:t xml:space="preserve">in comparison to </w:t>
      </w:r>
      <w:r w:rsidR="0051718F" w:rsidRPr="008633D2">
        <w:rPr>
          <w:lang w:val="en-ZA"/>
        </w:rPr>
        <w:t>their male counterparts</w:t>
      </w:r>
      <w:bookmarkEnd w:id="85"/>
      <w:bookmarkEnd w:id="86"/>
    </w:p>
    <w:p w:rsidR="0051718F" w:rsidRPr="008633D2" w:rsidRDefault="0051718F" w:rsidP="0051718F">
      <w:pPr>
        <w:rPr>
          <w:lang w:val="en-ZA"/>
        </w:rPr>
      </w:pPr>
      <w:r w:rsidRPr="008633D2">
        <w:rPr>
          <w:lang w:val="en-ZA"/>
        </w:rPr>
        <w:t>The objective of this research is to establish whether the performance of unit trusts managed by female fund managers exceeds that of comparable male managed unit trusts in South Africa. Therefore, this review of existing literature has focused on the global and South African unit trust industry, the relationship between unit trust performance and fund manager skill, the differences between men and women in risk taking, the role of gender in other management</w:t>
      </w:r>
      <w:r w:rsidR="002B2C5B">
        <w:rPr>
          <w:lang w:val="en-ZA"/>
        </w:rPr>
        <w:t>, the role of gender in making personal investment decisions</w:t>
      </w:r>
      <w:r w:rsidRPr="008633D2">
        <w:rPr>
          <w:lang w:val="en-ZA"/>
        </w:rPr>
        <w:t xml:space="preserve"> and the influence of gender in fund management.</w:t>
      </w:r>
    </w:p>
    <w:p w:rsidR="007C4E0C" w:rsidRDefault="007C4E0C" w:rsidP="0051718F">
      <w:pPr>
        <w:rPr>
          <w:color w:val="333399"/>
          <w:lang w:val="en-ZA"/>
        </w:rPr>
      </w:pPr>
    </w:p>
    <w:p w:rsidR="0051718F" w:rsidRPr="008633D2" w:rsidRDefault="0051718F" w:rsidP="0051718F">
      <w:pPr>
        <w:pStyle w:val="Heading3"/>
        <w:rPr>
          <w:lang w:val="en-ZA"/>
        </w:rPr>
      </w:pPr>
      <w:bookmarkStart w:id="98" w:name="_Toc423372649"/>
      <w:bookmarkStart w:id="99" w:name="_Toc458610774"/>
      <w:r w:rsidRPr="008633D2">
        <w:rPr>
          <w:lang w:val="en-ZA"/>
        </w:rPr>
        <w:t>The unit trust industry</w:t>
      </w:r>
      <w:bookmarkEnd w:id="98"/>
      <w:bookmarkEnd w:id="99"/>
    </w:p>
    <w:p w:rsidR="00F42F71" w:rsidRPr="008633D2" w:rsidRDefault="0051718F" w:rsidP="0051718F">
      <w:pPr>
        <w:rPr>
          <w:lang w:val="en-ZA"/>
        </w:rPr>
      </w:pPr>
      <w:r w:rsidRPr="008633D2">
        <w:rPr>
          <w:lang w:val="en-ZA"/>
        </w:rPr>
        <w:t>Across the world, the unit trust industry has grown rapidly, changing from a small industry offering a relatively small number of funds into a multi-trillion dollar industry offering thousands of funds</w:t>
      </w:r>
      <w:sdt>
        <w:sdtPr>
          <w:rPr>
            <w:lang w:val="en-ZA"/>
          </w:rPr>
          <w:id w:val="1877970130"/>
          <w:citation/>
        </w:sdtPr>
        <w:sdtEndPr/>
        <w:sdtContent>
          <w:r w:rsidRPr="008633D2">
            <w:rPr>
              <w:lang w:val="en-ZA"/>
            </w:rPr>
            <w:fldChar w:fldCharType="begin"/>
          </w:r>
          <w:r w:rsidRPr="008633D2">
            <w:rPr>
              <w:lang w:val="en-ZA"/>
            </w:rPr>
            <w:instrText xml:space="preserve"> CITATION Mey06 \l 1033 </w:instrText>
          </w:r>
          <w:r w:rsidRPr="008633D2">
            <w:rPr>
              <w:lang w:val="en-ZA"/>
            </w:rPr>
            <w:fldChar w:fldCharType="separate"/>
          </w:r>
          <w:r w:rsidRPr="008633D2">
            <w:rPr>
              <w:lang w:val="en-ZA"/>
            </w:rPr>
            <w:t xml:space="preserve"> (Meyer-Pretorius &amp; Wolmarans, 2006)</w:t>
          </w:r>
          <w:r w:rsidRPr="008633D2">
            <w:rPr>
              <w:lang w:val="en-ZA"/>
            </w:rPr>
            <w:fldChar w:fldCharType="end"/>
          </w:r>
        </w:sdtContent>
      </w:sdt>
      <w:r w:rsidRPr="008633D2">
        <w:rPr>
          <w:lang w:val="en-ZA"/>
        </w:rPr>
        <w:t xml:space="preserve">. </w:t>
      </w:r>
    </w:p>
    <w:p w:rsidR="007C4E0C" w:rsidRPr="008633D2" w:rsidRDefault="007C4E0C" w:rsidP="0051718F">
      <w:pPr>
        <w:rPr>
          <w:lang w:val="en-ZA"/>
        </w:rPr>
      </w:pPr>
    </w:p>
    <w:p w:rsidR="00F42F71" w:rsidRPr="008633D2" w:rsidRDefault="0051718F" w:rsidP="0051718F">
      <w:pPr>
        <w:rPr>
          <w:lang w:val="en-ZA"/>
        </w:rPr>
      </w:pPr>
      <w:r w:rsidRPr="008633D2">
        <w:rPr>
          <w:lang w:val="en-ZA"/>
        </w:rPr>
        <w:t>The South African unit trust industry was launched in June 1965 and has grown steadily since then</w:t>
      </w:r>
      <w:sdt>
        <w:sdtPr>
          <w:rPr>
            <w:lang w:val="en-ZA"/>
          </w:rPr>
          <w:id w:val="942110143"/>
          <w:citation/>
        </w:sdtPr>
        <w:sdtEndPr/>
        <w:sdtContent>
          <w:r w:rsidRPr="008633D2">
            <w:rPr>
              <w:lang w:val="en-ZA"/>
            </w:rPr>
            <w:fldChar w:fldCharType="begin"/>
          </w:r>
          <w:r w:rsidR="005B7BCE">
            <w:rPr>
              <w:lang w:val="en-ZA"/>
            </w:rPr>
            <w:instrText xml:space="preserve">CITATION Kni89 \l 1033 </w:instrText>
          </w:r>
          <w:r w:rsidRPr="008633D2">
            <w:rPr>
              <w:lang w:val="en-ZA"/>
            </w:rPr>
            <w:fldChar w:fldCharType="separate"/>
          </w:r>
          <w:r w:rsidR="005B7BCE">
            <w:rPr>
              <w:noProof/>
              <w:lang w:val="en-ZA"/>
            </w:rPr>
            <w:t xml:space="preserve"> </w:t>
          </w:r>
          <w:r w:rsidR="005B7BCE" w:rsidRPr="005B7BCE">
            <w:rPr>
              <w:noProof/>
              <w:lang w:val="en-ZA"/>
            </w:rPr>
            <w:t>(Knight &amp; Firer, 1989)</w:t>
          </w:r>
          <w:r w:rsidRPr="008633D2">
            <w:rPr>
              <w:lang w:val="en-ZA"/>
            </w:rPr>
            <w:fldChar w:fldCharType="end"/>
          </w:r>
        </w:sdtContent>
      </w:sdt>
      <w:r w:rsidR="00F42F71" w:rsidRPr="008633D2">
        <w:rPr>
          <w:lang w:val="en-ZA"/>
        </w:rPr>
        <w:t xml:space="preserve">. </w:t>
      </w:r>
      <w:r w:rsidRPr="008633D2">
        <w:rPr>
          <w:lang w:val="en-ZA"/>
        </w:rPr>
        <w:t>When compared to other emerging market unit trust industries, South Africa is amongst the largest with 967 funds and nearly R1.23</w:t>
      </w:r>
      <w:r w:rsidR="00FE107F">
        <w:rPr>
          <w:lang w:val="en-ZA"/>
        </w:rPr>
        <w:t xml:space="preserve"> </w:t>
      </w:r>
      <w:r w:rsidRPr="008633D2">
        <w:rPr>
          <w:lang w:val="en-ZA"/>
        </w:rPr>
        <w:t>tr</w:t>
      </w:r>
      <w:r w:rsidR="00FE107F">
        <w:rPr>
          <w:lang w:val="en-ZA"/>
        </w:rPr>
        <w:t>illio</w:t>
      </w:r>
      <w:r w:rsidRPr="008633D2">
        <w:rPr>
          <w:lang w:val="en-ZA"/>
        </w:rPr>
        <w:t>n of total assets under management, as at 2013</w:t>
      </w:r>
      <w:sdt>
        <w:sdtPr>
          <w:rPr>
            <w:lang w:val="en-ZA"/>
          </w:rPr>
          <w:id w:val="-785117009"/>
          <w:citation/>
        </w:sdtPr>
        <w:sdtEndPr/>
        <w:sdtContent>
          <w:r w:rsidRPr="008633D2">
            <w:rPr>
              <w:lang w:val="en-ZA"/>
            </w:rPr>
            <w:fldChar w:fldCharType="begin"/>
          </w:r>
          <w:r w:rsidRPr="008633D2">
            <w:rPr>
              <w:lang w:val="en-ZA"/>
            </w:rPr>
            <w:instrText xml:space="preserve"> CITATION Cai13 \l 1033 </w:instrText>
          </w:r>
          <w:r w:rsidRPr="008633D2">
            <w:rPr>
              <w:lang w:val="en-ZA"/>
            </w:rPr>
            <w:fldChar w:fldCharType="separate"/>
          </w:r>
          <w:r w:rsidRPr="008633D2">
            <w:rPr>
              <w:lang w:val="en-ZA"/>
            </w:rPr>
            <w:t xml:space="preserve"> (Cairns, 2013)</w:t>
          </w:r>
          <w:r w:rsidRPr="008633D2">
            <w:rPr>
              <w:lang w:val="en-ZA"/>
            </w:rPr>
            <w:fldChar w:fldCharType="end"/>
          </w:r>
        </w:sdtContent>
      </w:sdt>
      <w:r w:rsidRPr="008633D2">
        <w:rPr>
          <w:lang w:val="en-ZA"/>
        </w:rPr>
        <w:t xml:space="preserve">. </w:t>
      </w:r>
    </w:p>
    <w:p w:rsidR="007C4E0C" w:rsidRPr="008633D2" w:rsidRDefault="007C4E0C" w:rsidP="0051718F">
      <w:pPr>
        <w:rPr>
          <w:lang w:val="en-ZA"/>
        </w:rPr>
      </w:pPr>
    </w:p>
    <w:p w:rsidR="00AA4870" w:rsidRPr="008633D2" w:rsidRDefault="0051718F" w:rsidP="00AA4870">
      <w:pPr>
        <w:rPr>
          <w:lang w:val="en-ZA"/>
        </w:rPr>
      </w:pPr>
      <w:r w:rsidRPr="008633D2">
        <w:rPr>
          <w:lang w:val="en-ZA"/>
        </w:rPr>
        <w:t xml:space="preserve">Globally, the unit trust industry was worth over $29 trillion as at 2013 and </w:t>
      </w:r>
      <w:r w:rsidR="002B2C5B">
        <w:rPr>
          <w:lang w:val="en-ZA"/>
        </w:rPr>
        <w:t xml:space="preserve">is </w:t>
      </w:r>
      <w:r w:rsidR="0046753E">
        <w:rPr>
          <w:lang w:val="en-ZA"/>
        </w:rPr>
        <w:t xml:space="preserve">viewed as </w:t>
      </w:r>
      <w:r w:rsidRPr="008633D2">
        <w:rPr>
          <w:lang w:val="en-ZA"/>
        </w:rPr>
        <w:t>a booming environment</w:t>
      </w:r>
      <w:sdt>
        <w:sdtPr>
          <w:rPr>
            <w:lang w:val="en-ZA"/>
          </w:rPr>
          <w:id w:val="-1858273496"/>
          <w:citation/>
        </w:sdtPr>
        <w:sdtEndPr/>
        <w:sdtContent>
          <w:r w:rsidRPr="008633D2">
            <w:rPr>
              <w:lang w:val="en-ZA"/>
            </w:rPr>
            <w:fldChar w:fldCharType="begin"/>
          </w:r>
          <w:r w:rsidRPr="008633D2">
            <w:rPr>
              <w:lang w:val="en-ZA"/>
            </w:rPr>
            <w:instrText xml:space="preserve">CITATION Glo14 \l 1033 </w:instrText>
          </w:r>
          <w:r w:rsidRPr="008633D2">
            <w:rPr>
              <w:lang w:val="en-ZA"/>
            </w:rPr>
            <w:fldChar w:fldCharType="separate"/>
          </w:r>
          <w:r w:rsidRPr="008633D2">
            <w:rPr>
              <w:lang w:val="en-ZA"/>
            </w:rPr>
            <w:t xml:space="preserve"> (Investment Company Institute Global, 2014)</w:t>
          </w:r>
          <w:r w:rsidRPr="008633D2">
            <w:rPr>
              <w:lang w:val="en-ZA"/>
            </w:rPr>
            <w:fldChar w:fldCharType="end"/>
          </w:r>
        </w:sdtContent>
      </w:sdt>
      <w:r w:rsidRPr="008633D2">
        <w:rPr>
          <w:lang w:val="en-ZA"/>
        </w:rPr>
        <w:t xml:space="preserve"> . Figure 1 shows the growth in the total value of assets </w:t>
      </w:r>
      <w:r w:rsidR="002B2C5B">
        <w:rPr>
          <w:lang w:val="en-ZA"/>
        </w:rPr>
        <w:t>managed by the global unit trust industry</w:t>
      </w:r>
      <w:r w:rsidR="002B2C5B" w:rsidRPr="008633D2">
        <w:rPr>
          <w:lang w:val="en-ZA"/>
        </w:rPr>
        <w:t xml:space="preserve"> (</w:t>
      </w:r>
      <w:r w:rsidR="002B2C5B">
        <w:rPr>
          <w:lang w:val="en-ZA"/>
        </w:rPr>
        <w:t>in trillion dollars) over the past 20 years</w:t>
      </w:r>
      <w:sdt>
        <w:sdtPr>
          <w:rPr>
            <w:lang w:val="en-ZA"/>
          </w:rPr>
          <w:id w:val="1607463665"/>
          <w:citation/>
        </w:sdtPr>
        <w:sdtEndPr/>
        <w:sdtContent>
          <w:r w:rsidRPr="008633D2">
            <w:rPr>
              <w:lang w:val="en-ZA"/>
            </w:rPr>
            <w:fldChar w:fldCharType="begin"/>
          </w:r>
          <w:r w:rsidRPr="008633D2">
            <w:rPr>
              <w:lang w:val="en-ZA"/>
            </w:rPr>
            <w:instrText xml:space="preserve"> CITATION Glo14 \l 1033 </w:instrText>
          </w:r>
          <w:r w:rsidRPr="008633D2">
            <w:rPr>
              <w:lang w:val="en-ZA"/>
            </w:rPr>
            <w:fldChar w:fldCharType="separate"/>
          </w:r>
          <w:r w:rsidRPr="008633D2">
            <w:rPr>
              <w:lang w:val="en-ZA"/>
            </w:rPr>
            <w:t xml:space="preserve"> (Investment Company Institute Global, 2014)</w:t>
          </w:r>
          <w:r w:rsidRPr="008633D2">
            <w:rPr>
              <w:lang w:val="en-ZA"/>
            </w:rPr>
            <w:fldChar w:fldCharType="end"/>
          </w:r>
        </w:sdtContent>
      </w:sdt>
      <w:r w:rsidRPr="008633D2">
        <w:rPr>
          <w:lang w:val="en-ZA"/>
        </w:rPr>
        <w:t xml:space="preserve">. This </w:t>
      </w:r>
      <w:r w:rsidR="00F42F71" w:rsidRPr="008633D2">
        <w:rPr>
          <w:lang w:val="en-ZA"/>
        </w:rPr>
        <w:t>figure</w:t>
      </w:r>
      <w:r w:rsidRPr="008633D2">
        <w:rPr>
          <w:lang w:val="en-ZA"/>
        </w:rPr>
        <w:t xml:space="preserve"> confirms that although there have been periods of decline, </w:t>
      </w:r>
      <w:r w:rsidR="00AA4870" w:rsidRPr="008633D2">
        <w:rPr>
          <w:lang w:val="en-ZA"/>
        </w:rPr>
        <w:t xml:space="preserve">especially during the global financial crisis of 2008, </w:t>
      </w:r>
      <w:r w:rsidRPr="008633D2">
        <w:rPr>
          <w:lang w:val="en-ZA"/>
        </w:rPr>
        <w:t xml:space="preserve">generally there has been a constant growth in the value of the assets being managed by the global unit trust industry. </w:t>
      </w:r>
      <w:r w:rsidR="00AA4870" w:rsidRPr="008633D2">
        <w:rPr>
          <w:lang w:val="en-ZA"/>
        </w:rPr>
        <w:t xml:space="preserve"> </w:t>
      </w:r>
    </w:p>
    <w:p w:rsidR="00AA4870" w:rsidRPr="008633D2" w:rsidRDefault="00AA4870" w:rsidP="00AA4870">
      <w:pPr>
        <w:rPr>
          <w:lang w:val="en-ZA"/>
        </w:rPr>
      </w:pPr>
    </w:p>
    <w:p w:rsidR="00AA4870" w:rsidRPr="008633D2" w:rsidRDefault="00AA4870" w:rsidP="00AA4870">
      <w:pPr>
        <w:rPr>
          <w:lang w:val="en-ZA"/>
        </w:rPr>
      </w:pPr>
      <w:r w:rsidRPr="008633D2">
        <w:rPr>
          <w:lang w:val="en-ZA"/>
        </w:rPr>
        <w:t xml:space="preserve">Plantier </w:t>
      </w:r>
      <w:sdt>
        <w:sdtPr>
          <w:rPr>
            <w:lang w:val="en-ZA"/>
          </w:rPr>
          <w:id w:val="337282920"/>
          <w:citation/>
        </w:sdtPr>
        <w:sdtEndPr/>
        <w:sdtContent>
          <w:r w:rsidRPr="008633D2">
            <w:rPr>
              <w:lang w:val="en-ZA"/>
            </w:rPr>
            <w:fldChar w:fldCharType="begin"/>
          </w:r>
          <w:r w:rsidR="005B7BCE">
            <w:rPr>
              <w:lang w:val="en-ZA"/>
            </w:rPr>
            <w:instrText xml:space="preserve">CITATION Pla14 \n  \t  \l 1033 </w:instrText>
          </w:r>
          <w:r w:rsidRPr="008633D2">
            <w:rPr>
              <w:lang w:val="en-ZA"/>
            </w:rPr>
            <w:fldChar w:fldCharType="separate"/>
          </w:r>
          <w:r w:rsidR="005B7BCE" w:rsidRPr="005B7BCE">
            <w:rPr>
              <w:noProof/>
              <w:lang w:val="en-ZA"/>
            </w:rPr>
            <w:t>(2014)</w:t>
          </w:r>
          <w:r w:rsidRPr="008633D2">
            <w:rPr>
              <w:lang w:val="en-ZA"/>
            </w:rPr>
            <w:fldChar w:fldCharType="end"/>
          </w:r>
        </w:sdtContent>
      </w:sdt>
      <w:r w:rsidRPr="008633D2">
        <w:rPr>
          <w:lang w:val="en-ZA"/>
        </w:rPr>
        <w:t xml:space="preserve">, indicates that the global growth can be explained by several factors including greater household demand, the expansion and availability of efficient capital markets and the </w:t>
      </w:r>
      <w:r w:rsidR="002B2C5B">
        <w:rPr>
          <w:lang w:val="en-ZA"/>
        </w:rPr>
        <w:t>improvement in the</w:t>
      </w:r>
      <w:r w:rsidRPr="008633D2">
        <w:rPr>
          <w:lang w:val="en-ZA"/>
        </w:rPr>
        <w:t xml:space="preserve"> </w:t>
      </w:r>
      <w:r w:rsidR="002B2C5B">
        <w:rPr>
          <w:lang w:val="en-ZA"/>
        </w:rPr>
        <w:t xml:space="preserve">global </w:t>
      </w:r>
      <w:r w:rsidRPr="008633D2">
        <w:rPr>
          <w:lang w:val="en-ZA"/>
        </w:rPr>
        <w:t xml:space="preserve">levels of economic development. </w:t>
      </w:r>
    </w:p>
    <w:p w:rsidR="0051718F" w:rsidRPr="008633D2" w:rsidRDefault="0051718F" w:rsidP="0051718F">
      <w:pPr>
        <w:rPr>
          <w:lang w:val="en-ZA"/>
        </w:rPr>
      </w:pPr>
    </w:p>
    <w:p w:rsidR="0051718F" w:rsidRPr="008633D2" w:rsidRDefault="000D4D3C" w:rsidP="000D4D3C">
      <w:pPr>
        <w:pStyle w:val="Caption"/>
        <w:keepNext/>
        <w:rPr>
          <w:lang w:val="en-ZA"/>
        </w:rPr>
      </w:pPr>
      <w:r w:rsidRPr="008633D2">
        <w:rPr>
          <w:noProof/>
          <w:lang w:val="en-ZA" w:eastAsia="en-ZA"/>
        </w:rPr>
        <mc:AlternateContent>
          <mc:Choice Requires="wps">
            <w:drawing>
              <wp:anchor distT="0" distB="0" distL="114300" distR="114300" simplePos="0" relativeHeight="251656704" behindDoc="0" locked="0" layoutInCell="1" allowOverlap="1" wp14:anchorId="28466143" wp14:editId="2F0E1065">
                <wp:simplePos x="0" y="0"/>
                <wp:positionH relativeFrom="column">
                  <wp:posOffset>-272732</wp:posOffset>
                </wp:positionH>
                <wp:positionV relativeFrom="paragraph">
                  <wp:posOffset>1315064</wp:posOffset>
                </wp:positionV>
                <wp:extent cx="1316613" cy="539750"/>
                <wp:effectExtent l="0" t="0" r="5397" b="0"/>
                <wp:wrapNone/>
                <wp:docPr id="2" name="Text Box 2"/>
                <wp:cNvGraphicFramePr/>
                <a:graphic xmlns:a="http://schemas.openxmlformats.org/drawingml/2006/main">
                  <a:graphicData uri="http://schemas.microsoft.com/office/word/2010/wordprocessingShape">
                    <wps:wsp>
                      <wps:cNvSpPr txBox="1"/>
                      <wps:spPr>
                        <a:xfrm rot="16200000">
                          <a:off x="0" y="0"/>
                          <a:ext cx="1316613" cy="539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270E0" w:rsidRDefault="005270E0" w:rsidP="0051718F">
                            <w:pPr>
                              <w:rPr>
                                <w:b/>
                                <w:sz w:val="20"/>
                                <w:szCs w:val="20"/>
                                <w:lang w:val="en-US"/>
                              </w:rPr>
                            </w:pPr>
                            <w:r>
                              <w:rPr>
                                <w:b/>
                                <w:sz w:val="20"/>
                                <w:szCs w:val="20"/>
                                <w:lang w:val="en-US"/>
                              </w:rPr>
                              <w:t>Trillion USD</w:t>
                            </w:r>
                          </w:p>
                          <w:p w:rsidR="005270E0" w:rsidRPr="002B2C5B" w:rsidRDefault="005270E0" w:rsidP="0051718F">
                            <w:pPr>
                              <w:rPr>
                                <w:b/>
                                <w:sz w:val="20"/>
                                <w:szCs w:val="20"/>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466143" id="_x0000_t202" coordsize="21600,21600" o:spt="202" path="m,l,21600r21600,l21600,xe">
                <v:stroke joinstyle="miter"/>
                <v:path gradientshapeok="t" o:connecttype="rect"/>
              </v:shapetype>
              <v:shape id="Text Box 2" o:spid="_x0000_s1026" type="#_x0000_t202" style="position:absolute;left:0;text-align:left;margin-left:-21.45pt;margin-top:103.55pt;width:103.65pt;height:42.5pt;rotation:-9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" filled="f" stroked="f" strokeweight=".5pt">
                <v:textbox>
                  <w:txbxContent>
                    <w:p w:rsidR="005270E0" w:rsidRDefault="005270E0" w:rsidP="0051718F">
                      <w:pPr>
                        <w:rPr>
                          <w:b/>
                          <w:sz w:val="20"/>
                          <w:szCs w:val="20"/>
                          <w:lang w:val="en-US"/>
                        </w:rPr>
                      </w:pPr>
                      <w:r>
                        <w:rPr>
                          <w:b/>
                          <w:sz w:val="20"/>
                          <w:szCs w:val="20"/>
                          <w:lang w:val="en-US"/>
                        </w:rPr>
                        <w:t>Trillion USD</w:t>
                      </w:r>
                    </w:p>
                    <w:p w:rsidR="005270E0" w:rsidRPr="002B2C5B" w:rsidRDefault="005270E0" w:rsidP="0051718F">
                      <w:pPr>
                        <w:rPr>
                          <w:b/>
                          <w:sz w:val="20"/>
                          <w:szCs w:val="20"/>
                          <w:lang w:val="en-US"/>
                        </w:rPr>
                      </w:pPr>
                    </w:p>
                  </w:txbxContent>
                </v:textbox>
              </v:shape>
            </w:pict>
          </mc:Fallback>
        </mc:AlternateContent>
      </w:r>
      <w:r w:rsidR="0051718F" w:rsidRPr="008633D2">
        <w:rPr>
          <w:noProof/>
          <w:lang w:val="en-ZA" w:eastAsia="en-ZA"/>
        </w:rPr>
        <w:drawing>
          <wp:inline distT="0" distB="0" distL="0" distR="0" wp14:anchorId="4997D05A" wp14:editId="6020E87B">
            <wp:extent cx="5400000" cy="2880000"/>
            <wp:effectExtent l="114300" t="114300" r="163195" b="168275"/>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orwide growth legend.jpg"/>
                    <pic:cNvPicPr preferRelativeResize="0"/>
                  </pic:nvPicPr>
                  <pic:blipFill>
                    <a:blip r:embed="rId12">
                      <a:extLst>
                        <a:ext uri="{28A0092B-C50C-407E-A947-70E740481C1C}">
                          <a14:useLocalDpi xmlns:a14="http://schemas.microsoft.com/office/drawing/2010/main" val="0"/>
                        </a:ext>
                      </a:extLst>
                    </a:blip>
                    <a:stretch>
                      <a:fillRect/>
                    </a:stretch>
                  </pic:blipFill>
                  <pic:spPr>
                    <a:xfrm>
                      <a:off x="0" y="0"/>
                      <a:ext cx="5400000" cy="2880000"/>
                    </a:xfrm>
                    <a:prstGeom prst="rect">
                      <a:avLst/>
                    </a:prstGeom>
                    <a:ln w="76200" cap="sq">
                      <a:solidFill>
                        <a:schemeClr val="tx2">
                          <a:lumMod val="40000"/>
                          <a:lumOff val="60000"/>
                        </a:schemeClr>
                      </a:solidFill>
                      <a:miter lim="800000"/>
                    </a:ln>
                    <a:effectLst>
                      <a:outerShdw blurRad="57150" dist="50800" dir="2700000" algn="tl" rotWithShape="0">
                        <a:srgbClr val="000000">
                          <a:alpha val="40000"/>
                        </a:srgbClr>
                      </a:outerShdw>
                    </a:effectLst>
                  </pic:spPr>
                </pic:pic>
              </a:graphicData>
            </a:graphic>
          </wp:inline>
        </w:drawing>
      </w:r>
    </w:p>
    <w:p w:rsidR="00B46A8C" w:rsidRPr="008633D2" w:rsidRDefault="00B46A8C" w:rsidP="00B46A8C">
      <w:pPr>
        <w:pStyle w:val="Caption"/>
        <w:keepNext/>
        <w:jc w:val="center"/>
        <w:rPr>
          <w:lang w:val="en-ZA"/>
        </w:rPr>
      </w:pPr>
      <w:bookmarkStart w:id="100" w:name="_Toc458610885"/>
      <w:bookmarkStart w:id="101" w:name="_Toc423372682"/>
      <w:r w:rsidRPr="008633D2">
        <w:rPr>
          <w:lang w:val="en-ZA"/>
        </w:rPr>
        <w:t xml:space="preserve">Figure </w:t>
      </w:r>
      <w:r w:rsidR="00E52E42">
        <w:rPr>
          <w:lang w:val="en-ZA"/>
        </w:rPr>
        <w:fldChar w:fldCharType="begin"/>
      </w:r>
      <w:r w:rsidR="00E52E42">
        <w:rPr>
          <w:lang w:val="en-ZA"/>
        </w:rPr>
        <w:instrText xml:space="preserve"> SEQ Figure \* ARABIC </w:instrText>
      </w:r>
      <w:r w:rsidR="00E52E42">
        <w:rPr>
          <w:lang w:val="en-ZA"/>
        </w:rPr>
        <w:fldChar w:fldCharType="separate"/>
      </w:r>
      <w:r w:rsidR="00C456D9">
        <w:rPr>
          <w:noProof/>
          <w:lang w:val="en-ZA"/>
        </w:rPr>
        <w:t>1</w:t>
      </w:r>
      <w:r w:rsidR="00E52E42">
        <w:rPr>
          <w:lang w:val="en-ZA"/>
        </w:rPr>
        <w:fldChar w:fldCharType="end"/>
      </w:r>
      <w:r w:rsidRPr="008633D2">
        <w:rPr>
          <w:lang w:val="en-ZA"/>
        </w:rPr>
        <w:t>: G</w:t>
      </w:r>
      <w:r>
        <w:rPr>
          <w:lang w:val="en-ZA"/>
        </w:rPr>
        <w:t>lobal g</w:t>
      </w:r>
      <w:r w:rsidRPr="008633D2">
        <w:rPr>
          <w:lang w:val="en-ZA"/>
        </w:rPr>
        <w:t>rowth of total net assets under management</w:t>
      </w:r>
      <w:bookmarkEnd w:id="100"/>
      <w:r w:rsidRPr="008633D2">
        <w:rPr>
          <w:lang w:val="en-ZA"/>
        </w:rPr>
        <w:t xml:space="preserve"> </w:t>
      </w:r>
      <w:bookmarkEnd w:id="101"/>
    </w:p>
    <w:p w:rsidR="00B46A8C" w:rsidRPr="008633D2" w:rsidRDefault="00B46A8C" w:rsidP="00B46A8C">
      <w:pPr>
        <w:pStyle w:val="Caption"/>
        <w:keepNext/>
        <w:jc w:val="center"/>
        <w:rPr>
          <w:lang w:val="en-ZA"/>
        </w:rPr>
      </w:pPr>
      <w:r w:rsidRPr="008633D2">
        <w:rPr>
          <w:lang w:val="en-ZA"/>
        </w:rPr>
        <w:t xml:space="preserve"> (Source: Investment Company Institute Global, 2014)</w:t>
      </w:r>
    </w:p>
    <w:p w:rsidR="00AA4870" w:rsidRPr="008633D2" w:rsidRDefault="00AA4870" w:rsidP="002003E0">
      <w:pPr>
        <w:rPr>
          <w:lang w:val="en-ZA"/>
        </w:rPr>
      </w:pPr>
    </w:p>
    <w:p w:rsidR="002003E0" w:rsidRPr="008633D2" w:rsidRDefault="002003E0" w:rsidP="002003E0">
      <w:pPr>
        <w:rPr>
          <w:lang w:val="en-ZA"/>
        </w:rPr>
      </w:pPr>
      <w:r w:rsidRPr="008633D2">
        <w:rPr>
          <w:lang w:val="en-ZA"/>
        </w:rPr>
        <w:t xml:space="preserve">The Association for Savings and Investment South Africa (ASISA) represents </w:t>
      </w:r>
      <w:r w:rsidR="0046753E">
        <w:rPr>
          <w:lang w:val="en-ZA"/>
        </w:rPr>
        <w:t>the</w:t>
      </w:r>
      <w:r w:rsidR="00B46A8C">
        <w:rPr>
          <w:lang w:val="en-ZA"/>
        </w:rPr>
        <w:t xml:space="preserve"> </w:t>
      </w:r>
      <w:r w:rsidR="002B2C5B">
        <w:rPr>
          <w:lang w:val="en-ZA"/>
        </w:rPr>
        <w:t>majority</w:t>
      </w:r>
      <w:r w:rsidRPr="008633D2">
        <w:rPr>
          <w:lang w:val="en-ZA"/>
        </w:rPr>
        <w:t xml:space="preserve"> of the South African investment industry</w:t>
      </w:r>
      <w:r w:rsidR="00B46A8C">
        <w:rPr>
          <w:lang w:val="en-ZA"/>
        </w:rPr>
        <w:t>,</w:t>
      </w:r>
      <w:r w:rsidRPr="008633D2">
        <w:rPr>
          <w:lang w:val="en-ZA"/>
        </w:rPr>
        <w:t xml:space="preserve"> including unit trust management companies</w:t>
      </w:r>
      <w:sdt>
        <w:sdtPr>
          <w:rPr>
            <w:lang w:val="en-ZA"/>
          </w:rPr>
          <w:id w:val="1836028726"/>
          <w:citation/>
        </w:sdtPr>
        <w:sdtEndPr/>
        <w:sdtContent>
          <w:r w:rsidRPr="008633D2">
            <w:rPr>
              <w:lang w:val="en-ZA"/>
            </w:rPr>
            <w:fldChar w:fldCharType="begin"/>
          </w:r>
          <w:r w:rsidRPr="008633D2">
            <w:rPr>
              <w:lang w:val="en-ZA"/>
            </w:rPr>
            <w:instrText xml:space="preserve"> CITATION Ass15 \l 1033 </w:instrText>
          </w:r>
          <w:r w:rsidRPr="008633D2">
            <w:rPr>
              <w:lang w:val="en-ZA"/>
            </w:rPr>
            <w:fldChar w:fldCharType="separate"/>
          </w:r>
          <w:r w:rsidRPr="008633D2">
            <w:rPr>
              <w:lang w:val="en-ZA"/>
            </w:rPr>
            <w:t xml:space="preserve"> (Association for Savings and Investment South Africa, 2015)</w:t>
          </w:r>
          <w:r w:rsidRPr="008633D2">
            <w:rPr>
              <w:lang w:val="en-ZA"/>
            </w:rPr>
            <w:fldChar w:fldCharType="end"/>
          </w:r>
        </w:sdtContent>
      </w:sdt>
      <w:r w:rsidRPr="008633D2">
        <w:rPr>
          <w:lang w:val="en-ZA"/>
        </w:rPr>
        <w:t xml:space="preserve">. </w:t>
      </w:r>
      <w:r w:rsidR="002B2C5B">
        <w:rPr>
          <w:lang w:val="en-ZA"/>
        </w:rPr>
        <w:t>Data</w:t>
      </w:r>
      <w:r w:rsidR="00AA4870" w:rsidRPr="008633D2">
        <w:rPr>
          <w:lang w:val="en-ZA"/>
        </w:rPr>
        <w:t xml:space="preserve"> released by ASISA </w:t>
      </w:r>
      <w:r w:rsidR="002B2C5B">
        <w:rPr>
          <w:lang w:val="en-ZA"/>
        </w:rPr>
        <w:t xml:space="preserve">in quarter three of 2015, shows the growth in the unit trust industry of South Africa since quarter three of 2011. A representation of this </w:t>
      </w:r>
      <w:r w:rsidR="00AA4870" w:rsidRPr="008633D2">
        <w:rPr>
          <w:lang w:val="en-ZA"/>
        </w:rPr>
        <w:t>is shown in figure 2</w:t>
      </w:r>
      <w:r w:rsidR="002B2C5B">
        <w:rPr>
          <w:lang w:val="en-ZA"/>
        </w:rPr>
        <w:t>, which highlights</w:t>
      </w:r>
      <w:r w:rsidRPr="008633D2">
        <w:rPr>
          <w:lang w:val="en-ZA"/>
        </w:rPr>
        <w:t xml:space="preserve"> that the South African unit trust industry is continuing to grow rapidly. </w:t>
      </w:r>
    </w:p>
    <w:p w:rsidR="00A11C48" w:rsidRPr="008633D2" w:rsidRDefault="00A11C48" w:rsidP="002003E0">
      <w:pPr>
        <w:rPr>
          <w:lang w:val="en-ZA"/>
        </w:rPr>
      </w:pPr>
    </w:p>
    <w:p w:rsidR="00A11C48" w:rsidRPr="008633D2" w:rsidRDefault="00A11C48" w:rsidP="00A11C48">
      <w:pPr>
        <w:rPr>
          <w:lang w:val="en-ZA"/>
        </w:rPr>
      </w:pPr>
      <w:r w:rsidRPr="008633D2">
        <w:rPr>
          <w:lang w:val="en-ZA"/>
        </w:rPr>
        <w:t>Cairns</w:t>
      </w:r>
      <w:sdt>
        <w:sdtPr>
          <w:rPr>
            <w:lang w:val="en-ZA"/>
          </w:rPr>
          <w:id w:val="1644628032"/>
          <w:citation/>
        </w:sdtPr>
        <w:sdtEndPr/>
        <w:sdtContent>
          <w:r w:rsidRPr="008633D2">
            <w:rPr>
              <w:lang w:val="en-ZA"/>
            </w:rPr>
            <w:fldChar w:fldCharType="begin"/>
          </w:r>
          <w:r w:rsidRPr="008633D2">
            <w:rPr>
              <w:lang w:val="en-ZA"/>
            </w:rPr>
            <w:instrText xml:space="preserve">CITATION Cai13 \n  \t  \l 1033 </w:instrText>
          </w:r>
          <w:r w:rsidRPr="008633D2">
            <w:rPr>
              <w:lang w:val="en-ZA"/>
            </w:rPr>
            <w:fldChar w:fldCharType="separate"/>
          </w:r>
          <w:r w:rsidRPr="008633D2">
            <w:rPr>
              <w:lang w:val="en-ZA"/>
            </w:rPr>
            <w:t xml:space="preserve"> (2013)</w:t>
          </w:r>
          <w:r w:rsidRPr="008633D2">
            <w:rPr>
              <w:lang w:val="en-ZA"/>
            </w:rPr>
            <w:fldChar w:fldCharType="end"/>
          </w:r>
        </w:sdtContent>
      </w:sdt>
      <w:r w:rsidRPr="008633D2">
        <w:rPr>
          <w:lang w:val="en-ZA"/>
        </w:rPr>
        <w:t xml:space="preserve">,  attributes the growth in the number of funds in SA largely to the South African exchange control laws, which restrict local investors to domestic investments more than other countries and  to increased investor sophistication in South Africa.  </w:t>
      </w:r>
    </w:p>
    <w:p w:rsidR="00A11C48" w:rsidRPr="008633D2" w:rsidRDefault="00A11C48" w:rsidP="002003E0">
      <w:pPr>
        <w:rPr>
          <w:lang w:val="en-ZA"/>
        </w:rPr>
      </w:pPr>
    </w:p>
    <w:p w:rsidR="002003E0" w:rsidRPr="008633D2" w:rsidRDefault="002003E0" w:rsidP="002003E0">
      <w:pPr>
        <w:jc w:val="center"/>
        <w:rPr>
          <w:lang w:val="en-ZA"/>
        </w:rPr>
      </w:pPr>
      <w:r w:rsidRPr="008633D2">
        <w:rPr>
          <w:noProof/>
          <w:lang w:val="en-ZA" w:eastAsia="en-ZA"/>
        </w:rPr>
        <w:drawing>
          <wp:inline distT="0" distB="0" distL="0" distR="0" wp14:anchorId="2B7BFE4D" wp14:editId="4ED7961B">
            <wp:extent cx="5400000" cy="2880000"/>
            <wp:effectExtent l="114300" t="95250" r="144145" b="149225"/>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SISA-CIS-10-2015.png"/>
                    <pic:cNvPicPr preferRelativeResize="0"/>
                  </pic:nvPicPr>
                  <pic:blipFill>
                    <a:blip r:embed="rId13">
                      <a:extLst>
                        <a:ext uri="{28A0092B-C50C-407E-A947-70E740481C1C}">
                          <a14:useLocalDpi xmlns:a14="http://schemas.microsoft.com/office/drawing/2010/main" val="0"/>
                        </a:ext>
                      </a:extLst>
                    </a:blip>
                    <a:stretch>
                      <a:fillRect/>
                    </a:stretch>
                  </pic:blipFill>
                  <pic:spPr>
                    <a:xfrm>
                      <a:off x="0" y="0"/>
                      <a:ext cx="5400000" cy="2880000"/>
                    </a:xfrm>
                    <a:prstGeom prst="rect">
                      <a:avLst/>
                    </a:prstGeom>
                    <a:solidFill>
                      <a:srgbClr val="FFFFFF">
                        <a:shade val="85000"/>
                      </a:srgbClr>
                    </a:solidFill>
                    <a:ln w="76200" cap="sq">
                      <a:solidFill>
                        <a:schemeClr val="tx2">
                          <a:lumMod val="40000"/>
                          <a:lumOff val="60000"/>
                        </a:schemeClr>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B46A8C" w:rsidRPr="008633D2" w:rsidRDefault="00B46A8C" w:rsidP="00B46A8C">
      <w:pPr>
        <w:pStyle w:val="Caption"/>
        <w:keepNext/>
        <w:jc w:val="center"/>
        <w:rPr>
          <w:lang w:val="en-ZA"/>
        </w:rPr>
      </w:pPr>
      <w:bookmarkStart w:id="102" w:name="_Toc458610886"/>
      <w:r w:rsidRPr="008633D2">
        <w:rPr>
          <w:lang w:val="en-ZA"/>
        </w:rPr>
        <w:t xml:space="preserve">Figure </w:t>
      </w:r>
      <w:r w:rsidR="00E52E42">
        <w:rPr>
          <w:lang w:val="en-ZA"/>
        </w:rPr>
        <w:fldChar w:fldCharType="begin"/>
      </w:r>
      <w:r w:rsidR="00E52E42">
        <w:rPr>
          <w:lang w:val="en-ZA"/>
        </w:rPr>
        <w:instrText xml:space="preserve"> SEQ Figure \* ARABIC </w:instrText>
      </w:r>
      <w:r w:rsidR="00E52E42">
        <w:rPr>
          <w:lang w:val="en-ZA"/>
        </w:rPr>
        <w:fldChar w:fldCharType="separate"/>
      </w:r>
      <w:r w:rsidR="00C456D9">
        <w:rPr>
          <w:noProof/>
          <w:lang w:val="en-ZA"/>
        </w:rPr>
        <w:t>2</w:t>
      </w:r>
      <w:r w:rsidR="00E52E42">
        <w:rPr>
          <w:lang w:val="en-ZA"/>
        </w:rPr>
        <w:fldChar w:fldCharType="end"/>
      </w:r>
      <w:r w:rsidRPr="008633D2">
        <w:rPr>
          <w:lang w:val="en-ZA"/>
        </w:rPr>
        <w:t>: Growth of the unit trust industry in South Africa</w:t>
      </w:r>
      <w:bookmarkEnd w:id="102"/>
    </w:p>
    <w:p w:rsidR="00B46A8C" w:rsidRPr="008633D2" w:rsidRDefault="00B46A8C" w:rsidP="00B46A8C">
      <w:pPr>
        <w:pStyle w:val="Caption"/>
        <w:keepNext/>
        <w:jc w:val="center"/>
        <w:rPr>
          <w:lang w:val="en-ZA"/>
        </w:rPr>
      </w:pPr>
      <w:r w:rsidRPr="008633D2">
        <w:rPr>
          <w:lang w:val="en-ZA"/>
        </w:rPr>
        <w:t>(Source: ASISA, 2015)</w:t>
      </w:r>
    </w:p>
    <w:p w:rsidR="00AA4870" w:rsidRPr="008633D2" w:rsidRDefault="00AA4870" w:rsidP="0051718F">
      <w:pPr>
        <w:rPr>
          <w:lang w:val="en-ZA"/>
        </w:rPr>
      </w:pPr>
    </w:p>
    <w:p w:rsidR="002003E0" w:rsidRPr="008633D2" w:rsidRDefault="007C4E0C" w:rsidP="0051718F">
      <w:pPr>
        <w:rPr>
          <w:lang w:val="en-ZA"/>
        </w:rPr>
      </w:pPr>
      <w:r w:rsidRPr="008633D2">
        <w:rPr>
          <w:lang w:val="en-ZA"/>
        </w:rPr>
        <w:t>ASISA divides</w:t>
      </w:r>
      <w:r w:rsidR="002003E0" w:rsidRPr="008633D2">
        <w:rPr>
          <w:lang w:val="en-ZA"/>
        </w:rPr>
        <w:t xml:space="preserve"> funds into various sectors based on the investment strategy of the funds</w:t>
      </w:r>
      <w:sdt>
        <w:sdtPr>
          <w:rPr>
            <w:lang w:val="en-ZA"/>
          </w:rPr>
          <w:id w:val="689031652"/>
          <w:citation/>
        </w:sdtPr>
        <w:sdtEndPr/>
        <w:sdtContent>
          <w:r w:rsidR="002003E0" w:rsidRPr="008633D2">
            <w:rPr>
              <w:lang w:val="en-ZA"/>
            </w:rPr>
            <w:fldChar w:fldCharType="begin"/>
          </w:r>
          <w:r w:rsidR="002003E0" w:rsidRPr="008633D2">
            <w:rPr>
              <w:lang w:val="en-ZA"/>
            </w:rPr>
            <w:instrText xml:space="preserve"> CITATION Ass15 \l 1033 </w:instrText>
          </w:r>
          <w:r w:rsidR="002003E0" w:rsidRPr="008633D2">
            <w:rPr>
              <w:lang w:val="en-ZA"/>
            </w:rPr>
            <w:fldChar w:fldCharType="separate"/>
          </w:r>
          <w:r w:rsidR="002003E0" w:rsidRPr="008633D2">
            <w:rPr>
              <w:lang w:val="en-ZA"/>
            </w:rPr>
            <w:t xml:space="preserve"> (Association for Savings and Investment South Africa, 2015)</w:t>
          </w:r>
          <w:r w:rsidR="002003E0" w:rsidRPr="008633D2">
            <w:rPr>
              <w:lang w:val="en-ZA"/>
            </w:rPr>
            <w:fldChar w:fldCharType="end"/>
          </w:r>
        </w:sdtContent>
      </w:sdt>
      <w:r w:rsidR="002003E0" w:rsidRPr="008633D2">
        <w:rPr>
          <w:lang w:val="en-ZA"/>
        </w:rPr>
        <w:t>. An overview of the ASISA fu</w:t>
      </w:r>
      <w:r w:rsidRPr="008633D2">
        <w:rPr>
          <w:lang w:val="en-ZA"/>
        </w:rPr>
        <w:t xml:space="preserve">nd classification structure is </w:t>
      </w:r>
      <w:r w:rsidR="0032469B" w:rsidRPr="008633D2">
        <w:rPr>
          <w:lang w:val="en-ZA"/>
        </w:rPr>
        <w:t xml:space="preserve">provided </w:t>
      </w:r>
      <w:r w:rsidR="002003E0" w:rsidRPr="008633D2">
        <w:rPr>
          <w:lang w:val="en-ZA"/>
        </w:rPr>
        <w:t xml:space="preserve">in </w:t>
      </w:r>
      <w:r w:rsidR="0032469B" w:rsidRPr="008633D2">
        <w:rPr>
          <w:lang w:val="en-ZA"/>
        </w:rPr>
        <w:t>appendix A</w:t>
      </w:r>
      <w:r w:rsidR="002003E0" w:rsidRPr="008633D2">
        <w:rPr>
          <w:lang w:val="en-ZA"/>
        </w:rPr>
        <w:t>.</w:t>
      </w:r>
      <w:r w:rsidR="0032469B" w:rsidRPr="008633D2">
        <w:rPr>
          <w:lang w:val="en-ZA"/>
        </w:rPr>
        <w:t xml:space="preserve"> </w:t>
      </w:r>
    </w:p>
    <w:p w:rsidR="00AA4870" w:rsidRPr="008633D2" w:rsidRDefault="00AA4870" w:rsidP="0051718F">
      <w:pPr>
        <w:rPr>
          <w:lang w:val="en-ZA"/>
        </w:rPr>
      </w:pPr>
    </w:p>
    <w:p w:rsidR="0051718F" w:rsidRPr="008633D2" w:rsidRDefault="0051718F" w:rsidP="0051718F">
      <w:pPr>
        <w:rPr>
          <w:lang w:val="en-ZA"/>
        </w:rPr>
      </w:pPr>
      <w:r w:rsidRPr="008633D2">
        <w:rPr>
          <w:lang w:val="en-ZA"/>
        </w:rPr>
        <w:t>Ruiters</w:t>
      </w:r>
      <w:sdt>
        <w:sdtPr>
          <w:rPr>
            <w:lang w:val="en-ZA"/>
          </w:rPr>
          <w:id w:val="-1258293508"/>
          <w:citation/>
        </w:sdtPr>
        <w:sdtEndPr/>
        <w:sdtContent>
          <w:r w:rsidRPr="008633D2">
            <w:rPr>
              <w:lang w:val="en-ZA"/>
            </w:rPr>
            <w:fldChar w:fldCharType="begin"/>
          </w:r>
          <w:r w:rsidRPr="008633D2">
            <w:rPr>
              <w:lang w:val="en-ZA"/>
            </w:rPr>
            <w:instrText xml:space="preserve">CITATION San15 \n  \t  \l 1033 </w:instrText>
          </w:r>
          <w:r w:rsidRPr="008633D2">
            <w:rPr>
              <w:lang w:val="en-ZA"/>
            </w:rPr>
            <w:fldChar w:fldCharType="separate"/>
          </w:r>
          <w:r w:rsidRPr="008633D2">
            <w:rPr>
              <w:lang w:val="en-ZA"/>
            </w:rPr>
            <w:t xml:space="preserve"> (2015)</w:t>
          </w:r>
          <w:r w:rsidRPr="008633D2">
            <w:rPr>
              <w:lang w:val="en-ZA"/>
            </w:rPr>
            <w:fldChar w:fldCharType="end"/>
          </w:r>
        </w:sdtContent>
      </w:sdt>
      <w:r w:rsidR="00F42F71" w:rsidRPr="008633D2">
        <w:rPr>
          <w:lang w:val="en-ZA"/>
        </w:rPr>
        <w:t xml:space="preserve"> </w:t>
      </w:r>
      <w:r w:rsidRPr="008633D2">
        <w:rPr>
          <w:lang w:val="en-ZA"/>
        </w:rPr>
        <w:t>indicates that most of investments are in the SA Multi Asset sector of funds, in particular the High Equity and</w:t>
      </w:r>
      <w:r w:rsidR="0032469B" w:rsidRPr="008633D2">
        <w:rPr>
          <w:lang w:val="en-ZA"/>
        </w:rPr>
        <w:t xml:space="preserve"> Low Equity categories. Figure 3</w:t>
      </w:r>
      <w:r w:rsidRPr="008633D2">
        <w:rPr>
          <w:lang w:val="en-ZA"/>
        </w:rPr>
        <w:t xml:space="preserve"> shows the breakdown of the SA unit trust industry into the different categories and indicates that SA Multi Asset High Equity category has the largest unit trust market share. </w:t>
      </w:r>
    </w:p>
    <w:p w:rsidR="0051718F" w:rsidRPr="008633D2" w:rsidRDefault="0051718F" w:rsidP="000D4D3C">
      <w:pPr>
        <w:pStyle w:val="Caption"/>
        <w:keepNext/>
        <w:jc w:val="center"/>
        <w:rPr>
          <w:lang w:val="en-ZA"/>
        </w:rPr>
      </w:pPr>
      <w:r w:rsidRPr="008633D2">
        <w:rPr>
          <w:noProof/>
          <w:lang w:val="en-ZA" w:eastAsia="en-ZA"/>
        </w:rPr>
        <w:drawing>
          <wp:inline distT="0" distB="0" distL="0" distR="0" wp14:anchorId="35B70127" wp14:editId="48B3FBE6">
            <wp:extent cx="5400000" cy="2880000"/>
            <wp:effectExtent l="114300" t="95250" r="144145" b="149225"/>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size of unit trusts.jpg"/>
                    <pic:cNvPicPr preferRelativeResize="0"/>
                  </pic:nvPicPr>
                  <pic:blipFill>
                    <a:blip r:embed="rId14">
                      <a:extLst>
                        <a:ext uri="{28A0092B-C50C-407E-A947-70E740481C1C}">
                          <a14:useLocalDpi xmlns:a14="http://schemas.microsoft.com/office/drawing/2010/main" val="0"/>
                        </a:ext>
                      </a:extLst>
                    </a:blip>
                    <a:stretch>
                      <a:fillRect/>
                    </a:stretch>
                  </pic:blipFill>
                  <pic:spPr>
                    <a:xfrm>
                      <a:off x="0" y="0"/>
                      <a:ext cx="5400000" cy="2880000"/>
                    </a:xfrm>
                    <a:prstGeom prst="rect">
                      <a:avLst/>
                    </a:prstGeom>
                    <a:solidFill>
                      <a:srgbClr val="FFFFFF">
                        <a:shade val="85000"/>
                      </a:srgbClr>
                    </a:solidFill>
                    <a:ln w="76200" cap="sq">
                      <a:solidFill>
                        <a:schemeClr val="tx2">
                          <a:lumMod val="40000"/>
                          <a:lumOff val="60000"/>
                        </a:schemeClr>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B46A8C" w:rsidRPr="008633D2" w:rsidRDefault="00B46A8C" w:rsidP="00B46A8C">
      <w:pPr>
        <w:pStyle w:val="Caption"/>
        <w:keepNext/>
        <w:jc w:val="center"/>
        <w:rPr>
          <w:lang w:val="en-ZA"/>
        </w:rPr>
      </w:pPr>
      <w:bookmarkStart w:id="103" w:name="_Toc423372683"/>
      <w:bookmarkStart w:id="104" w:name="_Toc458610887"/>
      <w:r w:rsidRPr="008633D2">
        <w:rPr>
          <w:lang w:val="en-ZA"/>
        </w:rPr>
        <w:t xml:space="preserve">Figure </w:t>
      </w:r>
      <w:r w:rsidR="00E52E42">
        <w:rPr>
          <w:lang w:val="en-ZA"/>
        </w:rPr>
        <w:fldChar w:fldCharType="begin"/>
      </w:r>
      <w:r w:rsidR="00E52E42">
        <w:rPr>
          <w:lang w:val="en-ZA"/>
        </w:rPr>
        <w:instrText xml:space="preserve"> SEQ Figure \* ARABIC </w:instrText>
      </w:r>
      <w:r w:rsidR="00E52E42">
        <w:rPr>
          <w:lang w:val="en-ZA"/>
        </w:rPr>
        <w:fldChar w:fldCharType="separate"/>
      </w:r>
      <w:r w:rsidR="00C456D9">
        <w:rPr>
          <w:noProof/>
          <w:lang w:val="en-ZA"/>
        </w:rPr>
        <w:t>3</w:t>
      </w:r>
      <w:r w:rsidR="00E52E42">
        <w:rPr>
          <w:lang w:val="en-ZA"/>
        </w:rPr>
        <w:fldChar w:fldCharType="end"/>
      </w:r>
      <w:r w:rsidRPr="008633D2">
        <w:rPr>
          <w:lang w:val="en-ZA"/>
        </w:rPr>
        <w:t xml:space="preserve">: Breakdown of South African unit trust industry into </w:t>
      </w:r>
      <w:bookmarkEnd w:id="103"/>
      <w:r w:rsidRPr="008633D2">
        <w:rPr>
          <w:lang w:val="en-ZA"/>
        </w:rPr>
        <w:t>sectors</w:t>
      </w:r>
      <w:bookmarkEnd w:id="104"/>
    </w:p>
    <w:p w:rsidR="002B2C5B" w:rsidRDefault="007A5FD1" w:rsidP="00AF5A1A">
      <w:pPr>
        <w:ind w:left="2160" w:firstLine="720"/>
        <w:rPr>
          <w:b/>
          <w:lang w:val="en-ZA"/>
        </w:rPr>
      </w:pPr>
      <w:r>
        <w:rPr>
          <w:b/>
          <w:lang w:val="en-ZA"/>
        </w:rPr>
        <w:t>(</w:t>
      </w:r>
      <w:r w:rsidR="00B46A8C" w:rsidRPr="007A5FD1">
        <w:rPr>
          <w:b/>
          <w:lang w:val="en-ZA"/>
        </w:rPr>
        <w:t>Source: Ruiters (2015)</w:t>
      </w:r>
      <w:r>
        <w:rPr>
          <w:b/>
          <w:lang w:val="en-ZA"/>
        </w:rPr>
        <w:t>)</w:t>
      </w:r>
    </w:p>
    <w:p w:rsidR="007A5FD1" w:rsidRPr="007A5FD1" w:rsidRDefault="007A5FD1" w:rsidP="00AF5A1A">
      <w:pPr>
        <w:ind w:left="2160" w:firstLine="720"/>
        <w:rPr>
          <w:b/>
          <w:lang w:val="en-ZA"/>
        </w:rPr>
      </w:pPr>
    </w:p>
    <w:p w:rsidR="0051718F" w:rsidRPr="008633D2" w:rsidRDefault="002B2C5B" w:rsidP="0051718F">
      <w:pPr>
        <w:rPr>
          <w:lang w:val="en-ZA"/>
        </w:rPr>
      </w:pPr>
      <w:r>
        <w:rPr>
          <w:lang w:val="en-ZA"/>
        </w:rPr>
        <w:t>I</w:t>
      </w:r>
      <w:r w:rsidR="0051718F" w:rsidRPr="008633D2">
        <w:rPr>
          <w:lang w:val="en-ZA"/>
        </w:rPr>
        <w:t>t has been recorded that households have increased their exposure to financial risk</w:t>
      </w:r>
      <w:r>
        <w:rPr>
          <w:lang w:val="en-ZA"/>
        </w:rPr>
        <w:t>, in recent years</w:t>
      </w:r>
      <w:sdt>
        <w:sdtPr>
          <w:rPr>
            <w:lang w:val="en-ZA"/>
          </w:rPr>
          <w:id w:val="-690682203"/>
          <w:citation/>
        </w:sdtPr>
        <w:sdtEndPr/>
        <w:sdtContent>
          <w:r w:rsidR="0051718F" w:rsidRPr="008633D2">
            <w:rPr>
              <w:lang w:val="en-ZA"/>
            </w:rPr>
            <w:fldChar w:fldCharType="begin"/>
          </w:r>
          <w:r w:rsidR="005B7BCE">
            <w:rPr>
              <w:lang w:val="en-ZA"/>
            </w:rPr>
            <w:instrText xml:space="preserve">CITATION Hac09 \l 1033 </w:instrText>
          </w:r>
          <w:r w:rsidR="0051718F" w:rsidRPr="008633D2">
            <w:rPr>
              <w:lang w:val="en-ZA"/>
            </w:rPr>
            <w:fldChar w:fldCharType="separate"/>
          </w:r>
          <w:r w:rsidR="005B7BCE">
            <w:rPr>
              <w:noProof/>
              <w:lang w:val="en-ZA"/>
            </w:rPr>
            <w:t xml:space="preserve"> </w:t>
          </w:r>
          <w:r w:rsidR="005B7BCE" w:rsidRPr="005B7BCE">
            <w:rPr>
              <w:noProof/>
              <w:lang w:val="en-ZA"/>
            </w:rPr>
            <w:t>(Hackethal, Haliassos, &amp; Jappelli, 2012)</w:t>
          </w:r>
          <w:r w:rsidR="0051718F" w:rsidRPr="008633D2">
            <w:rPr>
              <w:lang w:val="en-ZA"/>
            </w:rPr>
            <w:fldChar w:fldCharType="end"/>
          </w:r>
        </w:sdtContent>
      </w:sdt>
      <w:r w:rsidR="0051718F" w:rsidRPr="008633D2">
        <w:rPr>
          <w:lang w:val="en-ZA"/>
        </w:rPr>
        <w:t>. Plantie</w:t>
      </w:r>
      <w:r w:rsidR="0032469B" w:rsidRPr="008633D2">
        <w:rPr>
          <w:lang w:val="en-ZA"/>
        </w:rPr>
        <w:t xml:space="preserve">r </w:t>
      </w:r>
      <w:sdt>
        <w:sdtPr>
          <w:rPr>
            <w:lang w:val="en-ZA"/>
          </w:rPr>
          <w:id w:val="122199413"/>
          <w:citation/>
        </w:sdtPr>
        <w:sdtEndPr/>
        <w:sdtContent>
          <w:r w:rsidR="0032469B" w:rsidRPr="008633D2">
            <w:rPr>
              <w:lang w:val="en-ZA"/>
            </w:rPr>
            <w:fldChar w:fldCharType="begin"/>
          </w:r>
          <w:r w:rsidR="005B7BCE">
            <w:rPr>
              <w:lang w:val="en-ZA"/>
            </w:rPr>
            <w:instrText xml:space="preserve">CITATION Pla14 \n  \t  \l 1033 </w:instrText>
          </w:r>
          <w:r w:rsidR="0032469B" w:rsidRPr="008633D2">
            <w:rPr>
              <w:lang w:val="en-ZA"/>
            </w:rPr>
            <w:fldChar w:fldCharType="separate"/>
          </w:r>
          <w:r w:rsidR="005B7BCE" w:rsidRPr="005B7BCE">
            <w:rPr>
              <w:noProof/>
              <w:lang w:val="en-ZA"/>
            </w:rPr>
            <w:t>(2014)</w:t>
          </w:r>
          <w:r w:rsidR="0032469B" w:rsidRPr="008633D2">
            <w:rPr>
              <w:lang w:val="en-ZA"/>
            </w:rPr>
            <w:fldChar w:fldCharType="end"/>
          </w:r>
        </w:sdtContent>
      </w:sdt>
      <w:r w:rsidR="0032469B" w:rsidRPr="008633D2">
        <w:rPr>
          <w:lang w:val="en-ZA"/>
        </w:rPr>
        <w:t>,</w:t>
      </w:r>
      <w:r w:rsidR="0051718F" w:rsidRPr="008633D2">
        <w:rPr>
          <w:lang w:val="en-ZA"/>
        </w:rPr>
        <w:t xml:space="preserve"> advises that unit trust industries in emerging market economies have the potential to grow as rapidly as their populations mature, their middle classes expand and as investors understand financial markets</w:t>
      </w:r>
      <w:r>
        <w:rPr>
          <w:lang w:val="en-ZA"/>
        </w:rPr>
        <w:t xml:space="preserve"> better</w:t>
      </w:r>
      <w:r w:rsidR="0051718F" w:rsidRPr="008633D2">
        <w:rPr>
          <w:lang w:val="en-ZA"/>
        </w:rPr>
        <w:t>.</w:t>
      </w:r>
    </w:p>
    <w:p w:rsidR="007C4E0C" w:rsidRPr="008633D2" w:rsidRDefault="007C4E0C" w:rsidP="0051718F">
      <w:pPr>
        <w:rPr>
          <w:lang w:val="en-ZA"/>
        </w:rPr>
      </w:pPr>
    </w:p>
    <w:p w:rsidR="003F077B" w:rsidRPr="008633D2" w:rsidRDefault="003F077B" w:rsidP="0051718F">
      <w:pPr>
        <w:rPr>
          <w:lang w:val="en-ZA"/>
        </w:rPr>
      </w:pPr>
      <w:r w:rsidRPr="008633D2">
        <w:rPr>
          <w:lang w:val="en-ZA"/>
        </w:rPr>
        <w:t xml:space="preserve">It is clear that the unit trust industry is growing internationally and locally and therefore insight into the sources of unit trust performance will be of increasing importance. </w:t>
      </w:r>
    </w:p>
    <w:p w:rsidR="00A11C48" w:rsidRPr="008633D2" w:rsidRDefault="00A11C48" w:rsidP="0051718F">
      <w:pPr>
        <w:rPr>
          <w:lang w:val="en-ZA"/>
        </w:rPr>
      </w:pPr>
    </w:p>
    <w:p w:rsidR="008D7AD4" w:rsidRPr="008633D2" w:rsidRDefault="008D7AD4" w:rsidP="0051718F">
      <w:pPr>
        <w:pStyle w:val="Heading3"/>
        <w:rPr>
          <w:lang w:val="en-ZA"/>
        </w:rPr>
      </w:pPr>
      <w:bookmarkStart w:id="105" w:name="_Toc458610775"/>
      <w:bookmarkStart w:id="106" w:name="_Toc423372650"/>
      <w:r w:rsidRPr="008633D2">
        <w:rPr>
          <w:lang w:val="en-ZA"/>
        </w:rPr>
        <w:t>The presence of female fund managers in the unit trust industry</w:t>
      </w:r>
      <w:bookmarkEnd w:id="105"/>
    </w:p>
    <w:p w:rsidR="00BF65A8" w:rsidRPr="008633D2" w:rsidRDefault="00BF65A8" w:rsidP="00BF65A8">
      <w:pPr>
        <w:rPr>
          <w:lang w:val="en-ZA"/>
        </w:rPr>
      </w:pPr>
      <w:r w:rsidRPr="008633D2">
        <w:rPr>
          <w:lang w:val="en-ZA"/>
        </w:rPr>
        <w:t xml:space="preserve">The ranks of professional money managers in the United </w:t>
      </w:r>
      <w:r w:rsidR="008633D2" w:rsidRPr="008633D2">
        <w:rPr>
          <w:lang w:val="en-ZA"/>
        </w:rPr>
        <w:t>States (</w:t>
      </w:r>
      <w:r w:rsidRPr="008633D2">
        <w:rPr>
          <w:lang w:val="en-ZA"/>
        </w:rPr>
        <w:t xml:space="preserve">US) who are women remain </w:t>
      </w:r>
      <w:r w:rsidR="008633D2" w:rsidRPr="008633D2">
        <w:rPr>
          <w:lang w:val="en-ZA"/>
        </w:rPr>
        <w:t>exceedingly</w:t>
      </w:r>
      <w:r w:rsidRPr="008633D2">
        <w:rPr>
          <w:lang w:val="en-ZA"/>
        </w:rPr>
        <w:t xml:space="preserve"> small</w:t>
      </w:r>
      <w:r w:rsidR="00B46A8C">
        <w:rPr>
          <w:lang w:val="en-ZA"/>
        </w:rPr>
        <w:t>,</w:t>
      </w:r>
      <w:r w:rsidRPr="008633D2">
        <w:rPr>
          <w:lang w:val="en-ZA"/>
        </w:rPr>
        <w:t xml:space="preserve"> according to a recent research report by Lutton and Davis</w:t>
      </w:r>
      <w:sdt>
        <w:sdtPr>
          <w:rPr>
            <w:lang w:val="en-ZA"/>
          </w:rPr>
          <w:id w:val="1853602249"/>
          <w:citation/>
        </w:sdtPr>
        <w:sdtEndPr/>
        <w:sdtContent>
          <w:r w:rsidRPr="008633D2">
            <w:rPr>
              <w:lang w:val="en-ZA"/>
            </w:rPr>
            <w:fldChar w:fldCharType="begin"/>
          </w:r>
          <w:r w:rsidR="005B7BCE">
            <w:rPr>
              <w:lang w:val="en-ZA"/>
            </w:rPr>
            <w:instrText xml:space="preserve">CITATION Lut15 \n  \t  \l 1033 </w:instrText>
          </w:r>
          <w:r w:rsidRPr="008633D2">
            <w:rPr>
              <w:lang w:val="en-ZA"/>
            </w:rPr>
            <w:fldChar w:fldCharType="separate"/>
          </w:r>
          <w:r w:rsidR="005B7BCE">
            <w:rPr>
              <w:noProof/>
              <w:lang w:val="en-ZA"/>
            </w:rPr>
            <w:t xml:space="preserve"> </w:t>
          </w:r>
          <w:r w:rsidR="005B7BCE" w:rsidRPr="005B7BCE">
            <w:rPr>
              <w:noProof/>
              <w:lang w:val="en-ZA"/>
            </w:rPr>
            <w:t>(2015)</w:t>
          </w:r>
          <w:r w:rsidRPr="008633D2">
            <w:rPr>
              <w:lang w:val="en-ZA"/>
            </w:rPr>
            <w:fldChar w:fldCharType="end"/>
          </w:r>
        </w:sdtContent>
      </w:sdt>
      <w:r w:rsidR="00CC6274" w:rsidRPr="008633D2">
        <w:rPr>
          <w:lang w:val="en-ZA"/>
        </w:rPr>
        <w:t xml:space="preserve">. </w:t>
      </w:r>
      <w:r w:rsidR="009044A0" w:rsidRPr="008633D2">
        <w:rPr>
          <w:lang w:val="en-ZA"/>
        </w:rPr>
        <w:t>It has hovered around 10% over the last 20 years</w:t>
      </w:r>
      <w:sdt>
        <w:sdtPr>
          <w:rPr>
            <w:lang w:val="en-ZA"/>
          </w:rPr>
          <w:id w:val="-1376849637"/>
          <w:citation/>
        </w:sdtPr>
        <w:sdtEndPr/>
        <w:sdtContent>
          <w:r w:rsidR="009044A0" w:rsidRPr="008633D2">
            <w:rPr>
              <w:lang w:val="en-ZA"/>
            </w:rPr>
            <w:fldChar w:fldCharType="begin"/>
          </w:r>
          <w:r w:rsidR="005B7BCE">
            <w:rPr>
              <w:lang w:val="en-ZA"/>
            </w:rPr>
            <w:instrText xml:space="preserve">CITATION Nie15 \l 1033 </w:instrText>
          </w:r>
          <w:r w:rsidR="009044A0" w:rsidRPr="008633D2">
            <w:rPr>
              <w:lang w:val="en-ZA"/>
            </w:rPr>
            <w:fldChar w:fldCharType="separate"/>
          </w:r>
          <w:r w:rsidR="005B7BCE">
            <w:rPr>
              <w:noProof/>
              <w:lang w:val="en-ZA"/>
            </w:rPr>
            <w:t xml:space="preserve"> </w:t>
          </w:r>
          <w:r w:rsidR="005B7BCE" w:rsidRPr="005B7BCE">
            <w:rPr>
              <w:noProof/>
              <w:lang w:val="en-ZA"/>
            </w:rPr>
            <w:t>(Niessen-Ruenzi &amp; Ruenzi, 2015)</w:t>
          </w:r>
          <w:r w:rsidR="009044A0" w:rsidRPr="008633D2">
            <w:rPr>
              <w:lang w:val="en-ZA"/>
            </w:rPr>
            <w:fldChar w:fldCharType="end"/>
          </w:r>
        </w:sdtContent>
      </w:sdt>
      <w:r w:rsidR="009044A0" w:rsidRPr="008633D2">
        <w:rPr>
          <w:lang w:val="en-ZA"/>
        </w:rPr>
        <w:t>.</w:t>
      </w:r>
      <w:r w:rsidR="006A6559" w:rsidRPr="008633D2">
        <w:rPr>
          <w:lang w:val="en-ZA"/>
        </w:rPr>
        <w:t xml:space="preserve"> Newlands</w:t>
      </w:r>
      <w:sdt>
        <w:sdtPr>
          <w:rPr>
            <w:lang w:val="en-ZA"/>
          </w:rPr>
          <w:id w:val="81884242"/>
          <w:citation/>
        </w:sdtPr>
        <w:sdtEndPr/>
        <w:sdtContent>
          <w:r w:rsidR="006A6559" w:rsidRPr="008633D2">
            <w:rPr>
              <w:lang w:val="en-ZA"/>
            </w:rPr>
            <w:fldChar w:fldCharType="begin"/>
          </w:r>
          <w:r w:rsidR="006A6559" w:rsidRPr="008633D2">
            <w:rPr>
              <w:lang w:val="en-ZA"/>
            </w:rPr>
            <w:instrText xml:space="preserve">CITATION New15 \n  \t  \l 1033 </w:instrText>
          </w:r>
          <w:r w:rsidR="006A6559" w:rsidRPr="008633D2">
            <w:rPr>
              <w:lang w:val="en-ZA"/>
            </w:rPr>
            <w:fldChar w:fldCharType="separate"/>
          </w:r>
          <w:r w:rsidR="006A6559" w:rsidRPr="008633D2">
            <w:rPr>
              <w:lang w:val="en-ZA"/>
            </w:rPr>
            <w:t xml:space="preserve"> (2015)</w:t>
          </w:r>
          <w:r w:rsidR="006A6559" w:rsidRPr="008633D2">
            <w:rPr>
              <w:lang w:val="en-ZA"/>
            </w:rPr>
            <w:fldChar w:fldCharType="end"/>
          </w:r>
        </w:sdtContent>
      </w:sdt>
      <w:r w:rsidR="006A6559" w:rsidRPr="008633D2">
        <w:rPr>
          <w:lang w:val="en-ZA"/>
        </w:rPr>
        <w:t xml:space="preserve"> has indicated the number of fund managers in the US may actually be in decline and offers the </w:t>
      </w:r>
      <w:r w:rsidR="008633D2" w:rsidRPr="008633D2">
        <w:rPr>
          <w:lang w:val="en-ZA"/>
        </w:rPr>
        <w:t>possibility</w:t>
      </w:r>
      <w:r w:rsidR="006A6559" w:rsidRPr="008633D2">
        <w:rPr>
          <w:lang w:val="en-ZA"/>
        </w:rPr>
        <w:t xml:space="preserve"> of women being more put off by the tarnished image of the financial services market as an explanation. </w:t>
      </w:r>
    </w:p>
    <w:p w:rsidR="009044A0" w:rsidRPr="008633D2" w:rsidRDefault="009044A0" w:rsidP="00BF65A8">
      <w:pPr>
        <w:rPr>
          <w:lang w:val="en-ZA"/>
        </w:rPr>
      </w:pPr>
    </w:p>
    <w:p w:rsidR="00BF65A8" w:rsidRPr="008633D2" w:rsidRDefault="009044A0" w:rsidP="00BF65A8">
      <w:pPr>
        <w:rPr>
          <w:lang w:val="en-ZA"/>
        </w:rPr>
      </w:pPr>
      <w:r w:rsidRPr="008633D2">
        <w:rPr>
          <w:lang w:val="en-ZA"/>
        </w:rPr>
        <w:t>Lutton and Davis</w:t>
      </w:r>
      <w:sdt>
        <w:sdtPr>
          <w:rPr>
            <w:lang w:val="en-ZA"/>
          </w:rPr>
          <w:id w:val="145179169"/>
          <w:citation/>
        </w:sdtPr>
        <w:sdtEndPr/>
        <w:sdtContent>
          <w:r w:rsidRPr="008633D2">
            <w:rPr>
              <w:lang w:val="en-ZA"/>
            </w:rPr>
            <w:fldChar w:fldCharType="begin"/>
          </w:r>
          <w:r w:rsidR="005B7BCE">
            <w:rPr>
              <w:lang w:val="en-ZA"/>
            </w:rPr>
            <w:instrText xml:space="preserve">CITATION Lut15 \n  \t  \l 1033 </w:instrText>
          </w:r>
          <w:r w:rsidRPr="008633D2">
            <w:rPr>
              <w:lang w:val="en-ZA"/>
            </w:rPr>
            <w:fldChar w:fldCharType="separate"/>
          </w:r>
          <w:r w:rsidR="005B7BCE">
            <w:rPr>
              <w:noProof/>
              <w:lang w:val="en-ZA"/>
            </w:rPr>
            <w:t xml:space="preserve"> </w:t>
          </w:r>
          <w:r w:rsidR="005B7BCE" w:rsidRPr="005B7BCE">
            <w:rPr>
              <w:noProof/>
              <w:lang w:val="en-ZA"/>
            </w:rPr>
            <w:t>(2015)</w:t>
          </w:r>
          <w:r w:rsidRPr="008633D2">
            <w:rPr>
              <w:lang w:val="en-ZA"/>
            </w:rPr>
            <w:fldChar w:fldCharType="end"/>
          </w:r>
        </w:sdtContent>
      </w:sdt>
      <w:r w:rsidRPr="008633D2">
        <w:rPr>
          <w:lang w:val="en-ZA"/>
        </w:rPr>
        <w:t>,</w:t>
      </w:r>
      <w:r w:rsidR="00BF65A8" w:rsidRPr="008633D2">
        <w:rPr>
          <w:lang w:val="en-ZA"/>
        </w:rPr>
        <w:t xml:space="preserve"> identify that only 9% of </w:t>
      </w:r>
      <w:r w:rsidRPr="008633D2">
        <w:rPr>
          <w:lang w:val="en-ZA"/>
        </w:rPr>
        <w:t>open-end fund man</w:t>
      </w:r>
      <w:r w:rsidR="0046753E">
        <w:rPr>
          <w:lang w:val="en-ZA"/>
        </w:rPr>
        <w:t>a</w:t>
      </w:r>
      <w:r w:rsidRPr="008633D2">
        <w:rPr>
          <w:lang w:val="en-ZA"/>
        </w:rPr>
        <w:t>gers are women as at June 2015 in the US. In addition</w:t>
      </w:r>
      <w:r w:rsidR="006B4363" w:rsidRPr="008633D2">
        <w:rPr>
          <w:lang w:val="en-ZA"/>
        </w:rPr>
        <w:t>,</w:t>
      </w:r>
      <w:r w:rsidRPr="008633D2">
        <w:rPr>
          <w:lang w:val="en-ZA"/>
        </w:rPr>
        <w:t xml:space="preserve"> it is highlighted that these women </w:t>
      </w:r>
      <w:r w:rsidR="00BF65A8" w:rsidRPr="008633D2">
        <w:rPr>
          <w:lang w:val="en-ZA"/>
        </w:rPr>
        <w:t>manag</w:t>
      </w:r>
      <w:r w:rsidRPr="008633D2">
        <w:rPr>
          <w:lang w:val="en-ZA"/>
        </w:rPr>
        <w:t>e just 2.5% of funds</w:t>
      </w:r>
      <w:r w:rsidR="00F235F0">
        <w:rPr>
          <w:lang w:val="en-ZA"/>
        </w:rPr>
        <w:t>. This</w:t>
      </w:r>
      <w:r w:rsidR="007A5FD1">
        <w:rPr>
          <w:lang w:val="en-ZA"/>
        </w:rPr>
        <w:t xml:space="preserve"> figure is highly disappointing</w:t>
      </w:r>
      <w:r w:rsidR="00F235F0">
        <w:rPr>
          <w:lang w:val="en-ZA"/>
        </w:rPr>
        <w:t xml:space="preserve"> as the authors also highlight that</w:t>
      </w:r>
      <w:r w:rsidR="00BF65A8" w:rsidRPr="008633D2">
        <w:rPr>
          <w:lang w:val="en-ZA"/>
        </w:rPr>
        <w:t xml:space="preserve"> more </w:t>
      </w:r>
      <w:r w:rsidRPr="008633D2">
        <w:rPr>
          <w:lang w:val="en-ZA"/>
        </w:rPr>
        <w:t xml:space="preserve">than </w:t>
      </w:r>
      <w:r w:rsidR="00BF65A8" w:rsidRPr="008633D2">
        <w:rPr>
          <w:lang w:val="en-ZA"/>
        </w:rPr>
        <w:t xml:space="preserve">30% of doctors, </w:t>
      </w:r>
      <w:r w:rsidR="00CC6274" w:rsidRPr="008633D2">
        <w:rPr>
          <w:lang w:val="en-ZA"/>
        </w:rPr>
        <w:t>lawyers,</w:t>
      </w:r>
      <w:r w:rsidR="00BF65A8" w:rsidRPr="008633D2">
        <w:rPr>
          <w:lang w:val="en-ZA"/>
        </w:rPr>
        <w:t xml:space="preserve"> or accountants </w:t>
      </w:r>
      <w:r w:rsidRPr="008633D2">
        <w:rPr>
          <w:lang w:val="en-ZA"/>
        </w:rPr>
        <w:t xml:space="preserve">in the US </w:t>
      </w:r>
      <w:r w:rsidR="00BF65A8" w:rsidRPr="008633D2">
        <w:rPr>
          <w:lang w:val="en-ZA"/>
        </w:rPr>
        <w:t xml:space="preserve">are women. </w:t>
      </w:r>
    </w:p>
    <w:p w:rsidR="005C146F" w:rsidRPr="008633D2" w:rsidRDefault="005C146F" w:rsidP="00BF65A8">
      <w:pPr>
        <w:rPr>
          <w:lang w:val="en-ZA"/>
        </w:rPr>
      </w:pPr>
    </w:p>
    <w:p w:rsidR="00BF65A8" w:rsidRPr="008633D2" w:rsidRDefault="00D15BCE" w:rsidP="00BF65A8">
      <w:pPr>
        <w:rPr>
          <w:lang w:val="en-ZA"/>
        </w:rPr>
      </w:pPr>
      <w:r>
        <w:rPr>
          <w:lang w:val="en-ZA"/>
        </w:rPr>
        <w:t>Aggarwal and Boyson</w:t>
      </w:r>
      <w:sdt>
        <w:sdtPr>
          <w:rPr>
            <w:lang w:val="en-ZA"/>
          </w:rPr>
          <w:id w:val="1025064935"/>
          <w:citation/>
        </w:sdtPr>
        <w:sdtEndPr/>
        <w:sdtContent>
          <w:r>
            <w:rPr>
              <w:lang w:val="en-ZA"/>
            </w:rPr>
            <w:fldChar w:fldCharType="begin"/>
          </w:r>
          <w:r w:rsidR="005B7BCE">
            <w:rPr>
              <w:lang w:val="en-US"/>
            </w:rPr>
            <w:instrText xml:space="preserve">CITATION Agg15 \n  \t  \l 1033 </w:instrText>
          </w:r>
          <w:r>
            <w:rPr>
              <w:lang w:val="en-ZA"/>
            </w:rPr>
            <w:fldChar w:fldCharType="separate"/>
          </w:r>
          <w:r w:rsidR="005B7BCE">
            <w:rPr>
              <w:noProof/>
              <w:lang w:val="en-US"/>
            </w:rPr>
            <w:t xml:space="preserve"> (2015)</w:t>
          </w:r>
          <w:r>
            <w:rPr>
              <w:lang w:val="en-ZA"/>
            </w:rPr>
            <w:fldChar w:fldCharType="end"/>
          </w:r>
        </w:sdtContent>
      </w:sdt>
      <w:r>
        <w:rPr>
          <w:lang w:val="en-ZA"/>
        </w:rPr>
        <w:t xml:space="preserve"> </w:t>
      </w:r>
      <w:r w:rsidR="005C146F" w:rsidRPr="008633D2">
        <w:rPr>
          <w:lang w:val="en-ZA"/>
        </w:rPr>
        <w:t xml:space="preserve">look at hedge funds and find that only 2.5% of hedge funds with identifiable portfolio managers are female. </w:t>
      </w:r>
      <w:r w:rsidR="006A6559" w:rsidRPr="008633D2">
        <w:rPr>
          <w:lang w:val="en-ZA"/>
        </w:rPr>
        <w:t xml:space="preserve">In the United Kingdom, 7% of retail investment fund </w:t>
      </w:r>
      <w:r w:rsidR="000D4D3C" w:rsidRPr="008633D2">
        <w:rPr>
          <w:lang w:val="en-ZA"/>
        </w:rPr>
        <w:t>managers w</w:t>
      </w:r>
      <w:r w:rsidR="006A6559" w:rsidRPr="008633D2">
        <w:rPr>
          <w:lang w:val="en-ZA"/>
        </w:rPr>
        <w:t>ere reported to be female</w:t>
      </w:r>
      <w:sdt>
        <w:sdtPr>
          <w:rPr>
            <w:lang w:val="en-ZA"/>
          </w:rPr>
          <w:id w:val="637451784"/>
          <w:citation/>
        </w:sdtPr>
        <w:sdtEndPr/>
        <w:sdtContent>
          <w:r w:rsidR="006A6559" w:rsidRPr="008633D2">
            <w:rPr>
              <w:lang w:val="en-ZA"/>
            </w:rPr>
            <w:fldChar w:fldCharType="begin"/>
          </w:r>
          <w:r w:rsidR="006A6559" w:rsidRPr="008633D2">
            <w:rPr>
              <w:lang w:val="en-ZA"/>
            </w:rPr>
            <w:instrText xml:space="preserve"> CITATION New15 \l 1033 </w:instrText>
          </w:r>
          <w:r w:rsidR="006A6559" w:rsidRPr="008633D2">
            <w:rPr>
              <w:lang w:val="en-ZA"/>
            </w:rPr>
            <w:fldChar w:fldCharType="separate"/>
          </w:r>
          <w:r w:rsidR="006A6559" w:rsidRPr="008633D2">
            <w:rPr>
              <w:lang w:val="en-ZA"/>
            </w:rPr>
            <w:t xml:space="preserve"> (Newlands, 2015)</w:t>
          </w:r>
          <w:r w:rsidR="006A6559" w:rsidRPr="008633D2">
            <w:rPr>
              <w:lang w:val="en-ZA"/>
            </w:rPr>
            <w:fldChar w:fldCharType="end"/>
          </w:r>
        </w:sdtContent>
      </w:sdt>
      <w:r w:rsidR="006A6559" w:rsidRPr="008633D2">
        <w:rPr>
          <w:lang w:val="en-ZA"/>
        </w:rPr>
        <w:t xml:space="preserve">. </w:t>
      </w:r>
      <w:r w:rsidR="009044A0" w:rsidRPr="008633D2">
        <w:rPr>
          <w:lang w:val="en-ZA"/>
        </w:rPr>
        <w:t xml:space="preserve">Interestingly, </w:t>
      </w:r>
      <w:r w:rsidR="00BF65A8" w:rsidRPr="008633D2">
        <w:rPr>
          <w:lang w:val="en-ZA"/>
        </w:rPr>
        <w:t xml:space="preserve">Babalos, Caporale and Philippas </w:t>
      </w:r>
      <w:sdt>
        <w:sdtPr>
          <w:rPr>
            <w:lang w:val="en-ZA"/>
          </w:rPr>
          <w:id w:val="38324209"/>
          <w:citation/>
        </w:sdtPr>
        <w:sdtEndPr/>
        <w:sdtContent>
          <w:r w:rsidR="00BF65A8" w:rsidRPr="008633D2">
            <w:rPr>
              <w:lang w:val="en-ZA"/>
            </w:rPr>
            <w:fldChar w:fldCharType="begin"/>
          </w:r>
          <w:r w:rsidR="005B7BCE">
            <w:rPr>
              <w:lang w:val="en-ZA"/>
            </w:rPr>
            <w:instrText xml:space="preserve">CITATION Bab15 \n  \t  \l 1033 </w:instrText>
          </w:r>
          <w:r w:rsidR="00BF65A8" w:rsidRPr="008633D2">
            <w:rPr>
              <w:lang w:val="en-ZA"/>
            </w:rPr>
            <w:fldChar w:fldCharType="separate"/>
          </w:r>
          <w:r w:rsidR="005B7BCE" w:rsidRPr="005B7BCE">
            <w:rPr>
              <w:noProof/>
              <w:lang w:val="en-ZA"/>
            </w:rPr>
            <w:t>(2015)</w:t>
          </w:r>
          <w:r w:rsidR="00BF65A8" w:rsidRPr="008633D2">
            <w:rPr>
              <w:lang w:val="en-ZA"/>
            </w:rPr>
            <w:fldChar w:fldCharType="end"/>
          </w:r>
        </w:sdtContent>
      </w:sdt>
      <w:r w:rsidR="00BF65A8" w:rsidRPr="008633D2">
        <w:rPr>
          <w:lang w:val="en-ZA"/>
        </w:rPr>
        <w:t xml:space="preserve"> identify </w:t>
      </w:r>
      <w:r w:rsidR="009044A0" w:rsidRPr="008633D2">
        <w:rPr>
          <w:lang w:val="en-ZA"/>
        </w:rPr>
        <w:t xml:space="preserve">a high of </w:t>
      </w:r>
      <w:r w:rsidR="00BF65A8" w:rsidRPr="008633D2">
        <w:rPr>
          <w:lang w:val="en-ZA"/>
        </w:rPr>
        <w:t xml:space="preserve">16.5% of all </w:t>
      </w:r>
      <w:r w:rsidR="005C146F" w:rsidRPr="008633D2">
        <w:rPr>
          <w:lang w:val="en-ZA"/>
        </w:rPr>
        <w:t xml:space="preserve">mutual </w:t>
      </w:r>
      <w:r w:rsidR="00BF65A8" w:rsidRPr="008633D2">
        <w:rPr>
          <w:lang w:val="en-ZA"/>
        </w:rPr>
        <w:t xml:space="preserve">funds in Spain, France, </w:t>
      </w:r>
      <w:r w:rsidR="00CC6274" w:rsidRPr="008633D2">
        <w:rPr>
          <w:lang w:val="en-ZA"/>
        </w:rPr>
        <w:t>Germany,</w:t>
      </w:r>
      <w:r w:rsidR="00BF65A8" w:rsidRPr="008633D2">
        <w:rPr>
          <w:lang w:val="en-ZA"/>
        </w:rPr>
        <w:t xml:space="preserve"> and</w:t>
      </w:r>
      <w:r w:rsidR="00F235F0">
        <w:rPr>
          <w:lang w:val="en-ZA"/>
        </w:rPr>
        <w:t xml:space="preserve"> Italy to be manged by females. This figure is still low in comparison to the number of women present in other previously male-dominated fields such as medicine, law and accountancy.</w:t>
      </w:r>
    </w:p>
    <w:p w:rsidR="00A5338A" w:rsidRDefault="00A5338A" w:rsidP="00BF65A8">
      <w:pPr>
        <w:rPr>
          <w:lang w:val="en-ZA"/>
        </w:rPr>
      </w:pPr>
    </w:p>
    <w:p w:rsidR="007A5FD1" w:rsidRDefault="007A5FD1" w:rsidP="00BF65A8">
      <w:pPr>
        <w:rPr>
          <w:lang w:val="en-ZA"/>
        </w:rPr>
      </w:pPr>
    </w:p>
    <w:p w:rsidR="007A5FD1" w:rsidRPr="008633D2" w:rsidRDefault="007A5FD1" w:rsidP="00BF65A8">
      <w:pPr>
        <w:rPr>
          <w:lang w:val="en-ZA"/>
        </w:rPr>
      </w:pPr>
    </w:p>
    <w:p w:rsidR="007A5FD1" w:rsidRDefault="00A5338A" w:rsidP="00BF65A8">
      <w:pPr>
        <w:rPr>
          <w:lang w:val="en-ZA"/>
        </w:rPr>
      </w:pPr>
      <w:r w:rsidRPr="008633D2">
        <w:rPr>
          <w:lang w:val="en-ZA"/>
        </w:rPr>
        <w:t>Three possible explanations for the dearth of female managed hedge funds have been explored by Aggarwal and</w:t>
      </w:r>
      <w:r w:rsidR="000D4D3C" w:rsidRPr="008633D2">
        <w:rPr>
          <w:lang w:val="en-ZA"/>
        </w:rPr>
        <w:t xml:space="preserve"> </w:t>
      </w:r>
      <w:r w:rsidRPr="008633D2">
        <w:rPr>
          <w:lang w:val="en-ZA"/>
        </w:rPr>
        <w:t xml:space="preserve">Boyson (2015). The authors firstly consider that women simply do not want to be hedge fund managers; they discard this explanation based on a much higher presence of women who work at hedge funds but not </w:t>
      </w:r>
      <w:r w:rsidR="00093481" w:rsidRPr="008633D2">
        <w:rPr>
          <w:lang w:val="en-ZA"/>
        </w:rPr>
        <w:t>in portfolio manager roles</w:t>
      </w:r>
      <w:r w:rsidRPr="008633D2">
        <w:rPr>
          <w:lang w:val="en-ZA"/>
        </w:rPr>
        <w:t>. Next the possibility that women are worse portfolio managers is considered, this explanation is also discarded as the authors show that performance amongst male managed and female managed funds with similar risk is equivalent</w:t>
      </w:r>
      <w:r w:rsidR="00CC6274" w:rsidRPr="008633D2">
        <w:rPr>
          <w:lang w:val="en-ZA"/>
        </w:rPr>
        <w:t>. Finally,</w:t>
      </w:r>
      <w:r w:rsidRPr="008633D2">
        <w:rPr>
          <w:lang w:val="en-ZA"/>
        </w:rPr>
        <w:t xml:space="preserve"> the authors consider that it is the investors that are unwilling to invest with female hedge fund managers. Th</w:t>
      </w:r>
      <w:r w:rsidR="00F235F0">
        <w:rPr>
          <w:lang w:val="en-ZA"/>
        </w:rPr>
        <w:t xml:space="preserve">e authors found in their research </w:t>
      </w:r>
      <w:r w:rsidRPr="008633D2">
        <w:rPr>
          <w:lang w:val="en-ZA"/>
        </w:rPr>
        <w:t xml:space="preserve">that women are not viewed as fund managers and therefore are often </w:t>
      </w:r>
      <w:r w:rsidR="00F235F0" w:rsidRPr="008633D2">
        <w:rPr>
          <w:lang w:val="en-ZA"/>
        </w:rPr>
        <w:t>overlooked</w:t>
      </w:r>
      <w:r w:rsidR="00F235F0">
        <w:rPr>
          <w:lang w:val="en-ZA"/>
        </w:rPr>
        <w:t xml:space="preserve">; this provides an increased plausibility of this last explanation for the limited number of female fund managers. </w:t>
      </w:r>
    </w:p>
    <w:p w:rsidR="007A5FD1" w:rsidRDefault="007A5FD1" w:rsidP="00BF65A8">
      <w:pPr>
        <w:rPr>
          <w:lang w:val="en-ZA"/>
        </w:rPr>
      </w:pPr>
    </w:p>
    <w:p w:rsidR="00A5338A" w:rsidRPr="008633D2" w:rsidRDefault="007A5FD1" w:rsidP="00BF65A8">
      <w:pPr>
        <w:rPr>
          <w:lang w:val="en-ZA"/>
        </w:rPr>
      </w:pPr>
      <w:r>
        <w:rPr>
          <w:lang w:val="en-ZA"/>
        </w:rPr>
        <w:t xml:space="preserve">The research of </w:t>
      </w:r>
      <w:r w:rsidRPr="008633D2">
        <w:rPr>
          <w:lang w:val="en-ZA"/>
        </w:rPr>
        <w:t>Aggarwal and Boyson (2015)</w:t>
      </w:r>
      <w:r>
        <w:rPr>
          <w:lang w:val="en-ZA"/>
        </w:rPr>
        <w:t xml:space="preserve"> is</w:t>
      </w:r>
      <w:r w:rsidR="00F235F0">
        <w:rPr>
          <w:lang w:val="en-ZA"/>
        </w:rPr>
        <w:t xml:space="preserve"> </w:t>
      </w:r>
      <w:r w:rsidR="0077375C" w:rsidRPr="008633D2">
        <w:rPr>
          <w:lang w:val="en-ZA"/>
        </w:rPr>
        <w:t xml:space="preserve">supported by </w:t>
      </w:r>
      <w:r w:rsidR="00F235F0">
        <w:rPr>
          <w:lang w:val="en-ZA"/>
        </w:rPr>
        <w:t xml:space="preserve">the results of </w:t>
      </w:r>
      <w:r w:rsidR="0077375C" w:rsidRPr="008633D2">
        <w:rPr>
          <w:lang w:val="en-ZA"/>
        </w:rPr>
        <w:t>N</w:t>
      </w:r>
      <w:r w:rsidR="00F235F0">
        <w:rPr>
          <w:lang w:val="en-ZA"/>
        </w:rPr>
        <w:t xml:space="preserve">iessen-Ruenzi and Ruenzi (2015), who conducted </w:t>
      </w:r>
      <w:r w:rsidR="0077375C" w:rsidRPr="008633D2">
        <w:rPr>
          <w:lang w:val="en-ZA"/>
        </w:rPr>
        <w:t xml:space="preserve">an </w:t>
      </w:r>
      <w:r w:rsidR="008633D2" w:rsidRPr="008633D2">
        <w:rPr>
          <w:lang w:val="en-ZA"/>
        </w:rPr>
        <w:t>empirical</w:t>
      </w:r>
      <w:r w:rsidR="0077375C" w:rsidRPr="008633D2">
        <w:rPr>
          <w:lang w:val="en-ZA"/>
        </w:rPr>
        <w:t xml:space="preserve"> study</w:t>
      </w:r>
      <w:r w:rsidR="00F235F0">
        <w:rPr>
          <w:lang w:val="en-ZA"/>
        </w:rPr>
        <w:t xml:space="preserve"> that concluded that</w:t>
      </w:r>
      <w:r w:rsidR="0077375C" w:rsidRPr="008633D2">
        <w:rPr>
          <w:lang w:val="en-ZA"/>
        </w:rPr>
        <w:t xml:space="preserve"> mutual fund </w:t>
      </w:r>
      <w:r w:rsidR="00F235F0" w:rsidRPr="008633D2">
        <w:rPr>
          <w:lang w:val="en-ZA"/>
        </w:rPr>
        <w:t>investor’s</w:t>
      </w:r>
      <w:r w:rsidR="0077375C" w:rsidRPr="008633D2">
        <w:rPr>
          <w:lang w:val="en-ZA"/>
        </w:rPr>
        <w:t xml:space="preserve"> exhibit gender bias and therefore invest significantly less money into female manged funds. </w:t>
      </w:r>
    </w:p>
    <w:p w:rsidR="006A6559" w:rsidRPr="008633D2" w:rsidRDefault="006A6559" w:rsidP="00BF65A8">
      <w:pPr>
        <w:rPr>
          <w:lang w:val="en-ZA"/>
        </w:rPr>
      </w:pPr>
    </w:p>
    <w:p w:rsidR="006A6559" w:rsidRPr="008633D2" w:rsidRDefault="006A6559" w:rsidP="00BF65A8">
      <w:pPr>
        <w:rPr>
          <w:lang w:val="en-ZA"/>
        </w:rPr>
      </w:pPr>
      <w:r w:rsidRPr="008633D2">
        <w:rPr>
          <w:lang w:val="en-ZA"/>
        </w:rPr>
        <w:t xml:space="preserve">The literature indicates that the presence of females in the financial services industry remains low. There is an increasing focus on improving diversity across work teams </w:t>
      </w:r>
      <w:r w:rsidR="006B4363" w:rsidRPr="008633D2">
        <w:rPr>
          <w:lang w:val="en-ZA"/>
        </w:rPr>
        <w:t>and in portfolios and t</w:t>
      </w:r>
      <w:r w:rsidRPr="008633D2">
        <w:rPr>
          <w:lang w:val="en-ZA"/>
        </w:rPr>
        <w:t>herefore</w:t>
      </w:r>
      <w:r w:rsidR="0054183A" w:rsidRPr="008633D2">
        <w:rPr>
          <w:lang w:val="en-ZA"/>
        </w:rPr>
        <w:t>,</w:t>
      </w:r>
      <w:r w:rsidRPr="008633D2">
        <w:rPr>
          <w:lang w:val="en-ZA"/>
        </w:rPr>
        <w:t xml:space="preserve"> it remains important that the number </w:t>
      </w:r>
      <w:r w:rsidR="0046753E">
        <w:rPr>
          <w:lang w:val="en-ZA"/>
        </w:rPr>
        <w:t xml:space="preserve">female </w:t>
      </w:r>
      <w:r w:rsidRPr="008633D2">
        <w:rPr>
          <w:lang w:val="en-ZA"/>
        </w:rPr>
        <w:t>of fund man</w:t>
      </w:r>
      <w:r w:rsidR="0046753E">
        <w:rPr>
          <w:lang w:val="en-ZA"/>
        </w:rPr>
        <w:t>a</w:t>
      </w:r>
      <w:r w:rsidRPr="008633D2">
        <w:rPr>
          <w:lang w:val="en-ZA"/>
        </w:rPr>
        <w:t>gers increase.</w:t>
      </w:r>
      <w:r w:rsidR="00F235F0">
        <w:rPr>
          <w:lang w:val="en-ZA"/>
        </w:rPr>
        <w:t xml:space="preserve"> The literature explored in this chapter highlights that investor sentiment towards female fund man</w:t>
      </w:r>
      <w:r w:rsidR="0046753E">
        <w:rPr>
          <w:lang w:val="en-ZA"/>
        </w:rPr>
        <w:t>a</w:t>
      </w:r>
      <w:r w:rsidR="00F235F0">
        <w:rPr>
          <w:lang w:val="en-ZA"/>
        </w:rPr>
        <w:t xml:space="preserve">gers remains negative. </w:t>
      </w:r>
    </w:p>
    <w:p w:rsidR="009044A0" w:rsidRPr="008633D2" w:rsidRDefault="009044A0" w:rsidP="00BF65A8">
      <w:pPr>
        <w:rPr>
          <w:lang w:val="en-ZA"/>
        </w:rPr>
      </w:pPr>
    </w:p>
    <w:p w:rsidR="008D7AD4" w:rsidRPr="008633D2" w:rsidRDefault="008D7AD4" w:rsidP="008D7AD4">
      <w:pPr>
        <w:pStyle w:val="Heading3"/>
        <w:rPr>
          <w:lang w:val="en-ZA"/>
        </w:rPr>
      </w:pPr>
      <w:bookmarkStart w:id="107" w:name="_Toc423372652"/>
      <w:bookmarkStart w:id="108" w:name="_Toc458610776"/>
      <w:bookmarkStart w:id="109" w:name="_Toc423372651"/>
      <w:r w:rsidRPr="008633D2">
        <w:rPr>
          <w:lang w:val="en-ZA"/>
        </w:rPr>
        <w:t>The role of gender in management</w:t>
      </w:r>
      <w:bookmarkEnd w:id="107"/>
      <w:bookmarkEnd w:id="108"/>
    </w:p>
    <w:p w:rsidR="00A15BE5" w:rsidRPr="008633D2" w:rsidRDefault="0054183A" w:rsidP="008D7AD4">
      <w:pPr>
        <w:rPr>
          <w:lang w:val="en-ZA"/>
        </w:rPr>
      </w:pPr>
      <w:r w:rsidRPr="008633D2">
        <w:rPr>
          <w:lang w:val="en-ZA"/>
        </w:rPr>
        <w:t xml:space="preserve">In recent </w:t>
      </w:r>
      <w:r w:rsidR="00CC6274" w:rsidRPr="008633D2">
        <w:rPr>
          <w:lang w:val="en-ZA"/>
        </w:rPr>
        <w:t>years,</w:t>
      </w:r>
      <w:r w:rsidRPr="008633D2">
        <w:rPr>
          <w:lang w:val="en-ZA"/>
        </w:rPr>
        <w:t xml:space="preserve"> there has been a large focus on improving the number of women in management roles</w:t>
      </w:r>
      <w:sdt>
        <w:sdtPr>
          <w:rPr>
            <w:lang w:val="en-ZA"/>
          </w:rPr>
          <w:id w:val="-611666874"/>
          <w:citation/>
        </w:sdtPr>
        <w:sdtEndPr/>
        <w:sdtContent>
          <w:r w:rsidRPr="008633D2">
            <w:rPr>
              <w:lang w:val="en-ZA"/>
            </w:rPr>
            <w:fldChar w:fldCharType="begin"/>
          </w:r>
          <w:r w:rsidR="005B7BCE">
            <w:rPr>
              <w:lang w:val="en-ZA"/>
            </w:rPr>
            <w:instrText xml:space="preserve">CITATION Per16 \l 1033 </w:instrText>
          </w:r>
          <w:r w:rsidRPr="008633D2">
            <w:rPr>
              <w:lang w:val="en-ZA"/>
            </w:rPr>
            <w:fldChar w:fldCharType="separate"/>
          </w:r>
          <w:r w:rsidR="005B7BCE">
            <w:rPr>
              <w:noProof/>
              <w:lang w:val="en-ZA"/>
            </w:rPr>
            <w:t xml:space="preserve"> </w:t>
          </w:r>
          <w:r w:rsidR="005B7BCE" w:rsidRPr="005B7BCE">
            <w:rPr>
              <w:noProof/>
              <w:lang w:val="en-ZA"/>
            </w:rPr>
            <w:t>(Perryman, Fernando, &amp; Tripathy, 2016)</w:t>
          </w:r>
          <w:r w:rsidRPr="008633D2">
            <w:rPr>
              <w:lang w:val="en-ZA"/>
            </w:rPr>
            <w:fldChar w:fldCharType="end"/>
          </w:r>
        </w:sdtContent>
      </w:sdt>
      <w:r w:rsidRPr="008633D2">
        <w:rPr>
          <w:lang w:val="en-ZA"/>
        </w:rPr>
        <w:t>. However, d</w:t>
      </w:r>
      <w:r w:rsidR="006B4363" w:rsidRPr="008633D2">
        <w:rPr>
          <w:lang w:val="en-ZA"/>
        </w:rPr>
        <w:t>espite the</w:t>
      </w:r>
      <w:r w:rsidR="008D7AD4" w:rsidRPr="008633D2">
        <w:rPr>
          <w:lang w:val="en-ZA"/>
        </w:rPr>
        <w:t xml:space="preserve"> fact that the number of female CEO’s of Fortune 500 companies is at its highest historically, it is still below 5%</w:t>
      </w:r>
      <w:sdt>
        <w:sdtPr>
          <w:rPr>
            <w:lang w:val="en-ZA"/>
          </w:rPr>
          <w:id w:val="-1820109259"/>
          <w:citation/>
        </w:sdtPr>
        <w:sdtEndPr/>
        <w:sdtContent>
          <w:r w:rsidR="008D7AD4" w:rsidRPr="008633D2">
            <w:rPr>
              <w:lang w:val="en-ZA"/>
            </w:rPr>
            <w:fldChar w:fldCharType="begin"/>
          </w:r>
          <w:r w:rsidR="005B7BCE">
            <w:rPr>
              <w:lang w:val="en-ZA"/>
            </w:rPr>
            <w:instrText xml:space="preserve">CITATION Fac14 \l 1033 </w:instrText>
          </w:r>
          <w:r w:rsidR="008D7AD4" w:rsidRPr="008633D2">
            <w:rPr>
              <w:lang w:val="en-ZA"/>
            </w:rPr>
            <w:fldChar w:fldCharType="separate"/>
          </w:r>
          <w:r w:rsidR="005B7BCE">
            <w:rPr>
              <w:noProof/>
              <w:lang w:val="en-ZA"/>
            </w:rPr>
            <w:t xml:space="preserve"> </w:t>
          </w:r>
          <w:r w:rsidR="005B7BCE" w:rsidRPr="005B7BCE">
            <w:rPr>
              <w:noProof/>
              <w:lang w:val="en-ZA"/>
            </w:rPr>
            <w:t>(Faccio, Marchica, &amp; Mura, 2014)</w:t>
          </w:r>
          <w:r w:rsidR="008D7AD4" w:rsidRPr="008633D2">
            <w:rPr>
              <w:lang w:val="en-ZA"/>
            </w:rPr>
            <w:fldChar w:fldCharType="end"/>
          </w:r>
        </w:sdtContent>
      </w:sdt>
      <w:r w:rsidR="00A15BE5" w:rsidRPr="008633D2">
        <w:rPr>
          <w:lang w:val="en-ZA"/>
        </w:rPr>
        <w:t xml:space="preserve">. </w:t>
      </w:r>
      <w:r w:rsidR="00093481" w:rsidRPr="008633D2">
        <w:rPr>
          <w:lang w:val="en-ZA"/>
        </w:rPr>
        <w:t>Oakley (</w:t>
      </w:r>
      <w:r w:rsidR="00A15BE5" w:rsidRPr="008633D2">
        <w:rPr>
          <w:lang w:val="en-ZA"/>
        </w:rPr>
        <w:t>2000) identifies gender-based stereotyping and the closed circle of the “old boy network</w:t>
      </w:r>
      <w:r w:rsidR="00093481" w:rsidRPr="008633D2">
        <w:rPr>
          <w:lang w:val="en-ZA"/>
        </w:rPr>
        <w:t>” as</w:t>
      </w:r>
      <w:r w:rsidR="00A15BE5" w:rsidRPr="008633D2">
        <w:rPr>
          <w:lang w:val="en-ZA"/>
        </w:rPr>
        <w:t xml:space="preserve"> slow to change social forces that </w:t>
      </w:r>
      <w:r w:rsidR="00CC6274" w:rsidRPr="008633D2">
        <w:rPr>
          <w:lang w:val="en-ZA"/>
        </w:rPr>
        <w:t>influence</w:t>
      </w:r>
      <w:r w:rsidR="00A15BE5" w:rsidRPr="008633D2">
        <w:rPr>
          <w:lang w:val="en-ZA"/>
        </w:rPr>
        <w:t xml:space="preserve"> the presence of women in management.</w:t>
      </w:r>
    </w:p>
    <w:p w:rsidR="00F235F0" w:rsidRDefault="00F235F0" w:rsidP="008D7AD4">
      <w:pPr>
        <w:rPr>
          <w:lang w:val="en-ZA"/>
        </w:rPr>
      </w:pPr>
    </w:p>
    <w:p w:rsidR="008D7AD4" w:rsidRDefault="0054183A" w:rsidP="008D7AD4">
      <w:pPr>
        <w:rPr>
          <w:lang w:val="en-ZA"/>
        </w:rPr>
      </w:pPr>
      <w:r w:rsidRPr="008633D2">
        <w:rPr>
          <w:lang w:val="en-ZA"/>
        </w:rPr>
        <w:t>W</w:t>
      </w:r>
      <w:r w:rsidR="008D7AD4" w:rsidRPr="008633D2">
        <w:rPr>
          <w:lang w:val="en-ZA"/>
        </w:rPr>
        <w:t>omen hold few corporate board seats occupying just 14.8% of the board seats for Fortune 500 companies, in the United States</w:t>
      </w:r>
      <w:sdt>
        <w:sdtPr>
          <w:rPr>
            <w:lang w:val="en-ZA"/>
          </w:rPr>
          <w:id w:val="1194502626"/>
          <w:citation/>
        </w:sdtPr>
        <w:sdtEndPr/>
        <w:sdtContent>
          <w:r w:rsidR="008D7AD4" w:rsidRPr="008633D2">
            <w:rPr>
              <w:lang w:val="en-ZA"/>
            </w:rPr>
            <w:fldChar w:fldCharType="begin"/>
          </w:r>
          <w:r w:rsidR="005B7BCE">
            <w:rPr>
              <w:lang w:val="en-ZA"/>
            </w:rPr>
            <w:instrText xml:space="preserve">CITATION Ada09 \l 1033 </w:instrText>
          </w:r>
          <w:r w:rsidR="008D7AD4" w:rsidRPr="008633D2">
            <w:rPr>
              <w:lang w:val="en-ZA"/>
            </w:rPr>
            <w:fldChar w:fldCharType="separate"/>
          </w:r>
          <w:r w:rsidR="005B7BCE">
            <w:rPr>
              <w:noProof/>
              <w:lang w:val="en-ZA"/>
            </w:rPr>
            <w:t xml:space="preserve"> </w:t>
          </w:r>
          <w:r w:rsidR="005B7BCE" w:rsidRPr="005B7BCE">
            <w:rPr>
              <w:noProof/>
              <w:lang w:val="en-ZA"/>
            </w:rPr>
            <w:t>(Adams &amp; Ferreira, 2009)</w:t>
          </w:r>
          <w:r w:rsidR="008D7AD4" w:rsidRPr="008633D2">
            <w:rPr>
              <w:lang w:val="en-ZA"/>
            </w:rPr>
            <w:fldChar w:fldCharType="end"/>
          </w:r>
        </w:sdtContent>
      </w:sdt>
      <w:r w:rsidR="008D7AD4" w:rsidRPr="008633D2">
        <w:rPr>
          <w:lang w:val="en-ZA"/>
        </w:rPr>
        <w:t xml:space="preserve">. The absence of women in senior management and in the position of CEO indicates that the process of </w:t>
      </w:r>
      <w:r w:rsidR="008633D2" w:rsidRPr="008633D2">
        <w:rPr>
          <w:lang w:val="en-ZA"/>
        </w:rPr>
        <w:t>recruitment</w:t>
      </w:r>
      <w:r w:rsidR="008D7AD4" w:rsidRPr="008633D2">
        <w:rPr>
          <w:lang w:val="en-ZA"/>
        </w:rPr>
        <w:t xml:space="preserve">, </w:t>
      </w:r>
      <w:r w:rsidR="00CC6274" w:rsidRPr="008633D2">
        <w:rPr>
          <w:lang w:val="en-ZA"/>
        </w:rPr>
        <w:t>selection,</w:t>
      </w:r>
      <w:r w:rsidR="008D7AD4" w:rsidRPr="008633D2">
        <w:rPr>
          <w:lang w:val="en-ZA"/>
        </w:rPr>
        <w:t xml:space="preserve"> and promotions </w:t>
      </w:r>
      <w:r w:rsidRPr="008633D2">
        <w:rPr>
          <w:lang w:val="en-ZA"/>
        </w:rPr>
        <w:t xml:space="preserve">is </w:t>
      </w:r>
      <w:r w:rsidR="0046753E">
        <w:rPr>
          <w:lang w:val="en-ZA"/>
        </w:rPr>
        <w:t>biased</w:t>
      </w:r>
      <w:sdt>
        <w:sdtPr>
          <w:rPr>
            <w:lang w:val="en-ZA"/>
          </w:rPr>
          <w:id w:val="-952550702"/>
          <w:citation/>
        </w:sdtPr>
        <w:sdtEndPr/>
        <w:sdtContent>
          <w:r w:rsidR="008D7AD4" w:rsidRPr="008633D2">
            <w:rPr>
              <w:lang w:val="en-ZA"/>
            </w:rPr>
            <w:fldChar w:fldCharType="begin"/>
          </w:r>
          <w:r w:rsidR="005B7BCE">
            <w:rPr>
              <w:lang w:val="en-ZA"/>
            </w:rPr>
            <w:instrText xml:space="preserve">CITATION Oak00 \l 1033 </w:instrText>
          </w:r>
          <w:r w:rsidR="008D7AD4" w:rsidRPr="008633D2">
            <w:rPr>
              <w:lang w:val="en-ZA"/>
            </w:rPr>
            <w:fldChar w:fldCharType="separate"/>
          </w:r>
          <w:r w:rsidR="005B7BCE">
            <w:rPr>
              <w:noProof/>
              <w:lang w:val="en-ZA"/>
            </w:rPr>
            <w:t xml:space="preserve"> </w:t>
          </w:r>
          <w:r w:rsidR="005B7BCE" w:rsidRPr="005B7BCE">
            <w:rPr>
              <w:noProof/>
              <w:lang w:val="en-ZA"/>
            </w:rPr>
            <w:t>(Oakley, 2000)</w:t>
          </w:r>
          <w:r w:rsidR="008D7AD4" w:rsidRPr="008633D2">
            <w:rPr>
              <w:lang w:val="en-ZA"/>
            </w:rPr>
            <w:fldChar w:fldCharType="end"/>
          </w:r>
        </w:sdtContent>
      </w:sdt>
      <w:r w:rsidR="00CC6274" w:rsidRPr="008633D2">
        <w:rPr>
          <w:lang w:val="en-ZA"/>
        </w:rPr>
        <w:t xml:space="preserve">. </w:t>
      </w:r>
      <w:r w:rsidR="006B4363" w:rsidRPr="008633D2">
        <w:rPr>
          <w:lang w:val="en-ZA"/>
        </w:rPr>
        <w:t>However, t</w:t>
      </w:r>
      <w:r w:rsidRPr="008633D2">
        <w:rPr>
          <w:lang w:val="en-ZA"/>
        </w:rPr>
        <w:t>his</w:t>
      </w:r>
      <w:r w:rsidR="008D7AD4" w:rsidRPr="008633D2">
        <w:rPr>
          <w:lang w:val="en-ZA"/>
        </w:rPr>
        <w:t xml:space="preserve"> is </w:t>
      </w:r>
      <w:r w:rsidR="008633D2" w:rsidRPr="008633D2">
        <w:rPr>
          <w:lang w:val="en-ZA"/>
        </w:rPr>
        <w:t>likely</w:t>
      </w:r>
      <w:r w:rsidR="008D7AD4" w:rsidRPr="008633D2">
        <w:rPr>
          <w:lang w:val="en-ZA"/>
        </w:rPr>
        <w:t xml:space="preserve"> to change as companies around the world are under pressure to include females in senior management</w:t>
      </w:r>
      <w:sdt>
        <w:sdtPr>
          <w:rPr>
            <w:lang w:val="en-ZA"/>
          </w:rPr>
          <w:id w:val="-1345552723"/>
          <w:citation/>
        </w:sdtPr>
        <w:sdtEndPr/>
        <w:sdtContent>
          <w:r w:rsidR="008D7AD4" w:rsidRPr="008633D2">
            <w:rPr>
              <w:lang w:val="en-ZA"/>
            </w:rPr>
            <w:fldChar w:fldCharType="begin"/>
          </w:r>
          <w:r w:rsidR="005B7BCE">
            <w:rPr>
              <w:lang w:val="en-ZA"/>
            </w:rPr>
            <w:instrText xml:space="preserve">CITATION Ada09 \l 1033 </w:instrText>
          </w:r>
          <w:r w:rsidR="008D7AD4" w:rsidRPr="008633D2">
            <w:rPr>
              <w:lang w:val="en-ZA"/>
            </w:rPr>
            <w:fldChar w:fldCharType="separate"/>
          </w:r>
          <w:r w:rsidR="005B7BCE">
            <w:rPr>
              <w:noProof/>
              <w:lang w:val="en-ZA"/>
            </w:rPr>
            <w:t xml:space="preserve"> </w:t>
          </w:r>
          <w:r w:rsidR="005B7BCE" w:rsidRPr="005B7BCE">
            <w:rPr>
              <w:noProof/>
              <w:lang w:val="en-ZA"/>
            </w:rPr>
            <w:t>(Adams &amp; Ferreira, 2009)</w:t>
          </w:r>
          <w:r w:rsidR="008D7AD4" w:rsidRPr="008633D2">
            <w:rPr>
              <w:lang w:val="en-ZA"/>
            </w:rPr>
            <w:fldChar w:fldCharType="end"/>
          </w:r>
        </w:sdtContent>
      </w:sdt>
      <w:r w:rsidR="008D7AD4" w:rsidRPr="008633D2">
        <w:rPr>
          <w:lang w:val="en-ZA"/>
        </w:rPr>
        <w:t xml:space="preserve">. </w:t>
      </w:r>
    </w:p>
    <w:p w:rsidR="00F235F0" w:rsidRPr="008633D2" w:rsidRDefault="00F235F0" w:rsidP="008D7AD4">
      <w:pPr>
        <w:rPr>
          <w:lang w:val="en-ZA"/>
        </w:rPr>
      </w:pPr>
    </w:p>
    <w:p w:rsidR="00A15BE5" w:rsidRPr="008633D2" w:rsidRDefault="00AA03E5" w:rsidP="008D7AD4">
      <w:pPr>
        <w:rPr>
          <w:lang w:val="en-ZA"/>
        </w:rPr>
      </w:pPr>
      <w:r w:rsidRPr="008633D2">
        <w:rPr>
          <w:lang w:val="en-ZA"/>
        </w:rPr>
        <w:t xml:space="preserve">The basic </w:t>
      </w:r>
      <w:r w:rsidR="008633D2" w:rsidRPr="008633D2">
        <w:rPr>
          <w:lang w:val="en-ZA"/>
        </w:rPr>
        <w:t>a</w:t>
      </w:r>
      <w:r w:rsidR="0046753E">
        <w:rPr>
          <w:lang w:val="en-ZA"/>
        </w:rPr>
        <w:t>rgu</w:t>
      </w:r>
      <w:r w:rsidR="008633D2" w:rsidRPr="008633D2">
        <w:rPr>
          <w:lang w:val="en-ZA"/>
        </w:rPr>
        <w:t>ment</w:t>
      </w:r>
      <w:r w:rsidRPr="008633D2">
        <w:rPr>
          <w:lang w:val="en-ZA"/>
        </w:rPr>
        <w:t xml:space="preserve"> is that</w:t>
      </w:r>
      <w:r w:rsidR="00F235F0">
        <w:rPr>
          <w:lang w:val="en-ZA"/>
        </w:rPr>
        <w:t>,</w:t>
      </w:r>
      <w:r w:rsidRPr="008633D2">
        <w:rPr>
          <w:lang w:val="en-ZA"/>
        </w:rPr>
        <w:t xml:space="preserve"> companies that have higher percentages of women in top mana</w:t>
      </w:r>
      <w:r w:rsidR="006B4363" w:rsidRPr="008633D2">
        <w:rPr>
          <w:lang w:val="en-ZA"/>
        </w:rPr>
        <w:t xml:space="preserve">gement positions </w:t>
      </w:r>
      <w:r w:rsidR="008633D2" w:rsidRPr="008633D2">
        <w:rPr>
          <w:lang w:val="en-ZA"/>
        </w:rPr>
        <w:t>perform</w:t>
      </w:r>
      <w:r w:rsidR="00F235F0">
        <w:rPr>
          <w:lang w:val="en-ZA"/>
        </w:rPr>
        <w:t xml:space="preserve"> better than</w:t>
      </w:r>
      <w:r w:rsidRPr="008633D2">
        <w:rPr>
          <w:lang w:val="en-ZA"/>
        </w:rPr>
        <w:t xml:space="preserve"> companies that have male dominated top management</w:t>
      </w:r>
      <w:sdt>
        <w:sdtPr>
          <w:rPr>
            <w:lang w:val="en-ZA"/>
          </w:rPr>
          <w:id w:val="829718579"/>
          <w:citation/>
        </w:sdtPr>
        <w:sdtEndPr/>
        <w:sdtContent>
          <w:r w:rsidRPr="008633D2">
            <w:rPr>
              <w:lang w:val="en-ZA"/>
            </w:rPr>
            <w:fldChar w:fldCharType="begin"/>
          </w:r>
          <w:r w:rsidRPr="008633D2">
            <w:rPr>
              <w:lang w:val="en-ZA"/>
            </w:rPr>
            <w:instrText xml:space="preserve"> CITATION Col15 \l 1033 </w:instrText>
          </w:r>
          <w:r w:rsidRPr="008633D2">
            <w:rPr>
              <w:lang w:val="en-ZA"/>
            </w:rPr>
            <w:fldChar w:fldCharType="separate"/>
          </w:r>
          <w:r w:rsidRPr="008633D2">
            <w:rPr>
              <w:lang w:val="en-ZA"/>
            </w:rPr>
            <w:t xml:space="preserve"> (Colby, 2015)</w:t>
          </w:r>
          <w:r w:rsidRPr="008633D2">
            <w:rPr>
              <w:lang w:val="en-ZA"/>
            </w:rPr>
            <w:fldChar w:fldCharType="end"/>
          </w:r>
        </w:sdtContent>
      </w:sdt>
      <w:r w:rsidRPr="008633D2">
        <w:rPr>
          <w:lang w:val="en-ZA"/>
        </w:rPr>
        <w:t xml:space="preserve">. </w:t>
      </w:r>
      <w:r w:rsidR="00A15BE5" w:rsidRPr="008633D2">
        <w:rPr>
          <w:lang w:val="en-ZA"/>
        </w:rPr>
        <w:t>Firms that include at least one female in their top management team can generate on average one percent more economic value than a firm without any women in its top management team</w:t>
      </w:r>
      <w:sdt>
        <w:sdtPr>
          <w:rPr>
            <w:lang w:val="en-ZA"/>
          </w:rPr>
          <w:id w:val="1095363263"/>
          <w:citation/>
        </w:sdtPr>
        <w:sdtEndPr/>
        <w:sdtContent>
          <w:r w:rsidR="00A15BE5" w:rsidRPr="008633D2">
            <w:rPr>
              <w:lang w:val="en-ZA"/>
            </w:rPr>
            <w:fldChar w:fldCharType="begin"/>
          </w:r>
          <w:r w:rsidR="005B7BCE">
            <w:rPr>
              <w:lang w:val="en-ZA"/>
            </w:rPr>
            <w:instrText xml:space="preserve">CITATION Dez12 \l 1033 </w:instrText>
          </w:r>
          <w:r w:rsidR="00A15BE5" w:rsidRPr="008633D2">
            <w:rPr>
              <w:lang w:val="en-ZA"/>
            </w:rPr>
            <w:fldChar w:fldCharType="separate"/>
          </w:r>
          <w:r w:rsidR="005B7BCE">
            <w:rPr>
              <w:noProof/>
              <w:lang w:val="en-ZA"/>
            </w:rPr>
            <w:t xml:space="preserve"> </w:t>
          </w:r>
          <w:r w:rsidR="005B7BCE" w:rsidRPr="005B7BCE">
            <w:rPr>
              <w:noProof/>
              <w:lang w:val="en-ZA"/>
            </w:rPr>
            <w:t>(Dezso &amp; Ross, 2012)</w:t>
          </w:r>
          <w:r w:rsidR="00A15BE5" w:rsidRPr="008633D2">
            <w:rPr>
              <w:lang w:val="en-ZA"/>
            </w:rPr>
            <w:fldChar w:fldCharType="end"/>
          </w:r>
        </w:sdtContent>
      </w:sdt>
      <w:r w:rsidR="00A15BE5" w:rsidRPr="008633D2">
        <w:rPr>
          <w:lang w:val="en-ZA"/>
        </w:rPr>
        <w:t xml:space="preserve">. </w:t>
      </w:r>
      <w:r w:rsidR="008D7AD4" w:rsidRPr="008633D2">
        <w:rPr>
          <w:lang w:val="en-ZA"/>
        </w:rPr>
        <w:t>Adams and Ferreira</w:t>
      </w:r>
      <w:sdt>
        <w:sdtPr>
          <w:rPr>
            <w:lang w:val="en-ZA"/>
          </w:rPr>
          <w:id w:val="-1546141366"/>
          <w:citation/>
        </w:sdtPr>
        <w:sdtEndPr/>
        <w:sdtContent>
          <w:r w:rsidR="006B4363" w:rsidRPr="008633D2">
            <w:rPr>
              <w:lang w:val="en-ZA"/>
            </w:rPr>
            <w:fldChar w:fldCharType="begin"/>
          </w:r>
          <w:r w:rsidR="005B7BCE">
            <w:rPr>
              <w:lang w:val="en-ZA"/>
            </w:rPr>
            <w:instrText xml:space="preserve">CITATION Ada09 \n  \t  \l 1033 </w:instrText>
          </w:r>
          <w:r w:rsidR="006B4363" w:rsidRPr="008633D2">
            <w:rPr>
              <w:lang w:val="en-ZA"/>
            </w:rPr>
            <w:fldChar w:fldCharType="separate"/>
          </w:r>
          <w:r w:rsidR="005B7BCE">
            <w:rPr>
              <w:noProof/>
              <w:lang w:val="en-ZA"/>
            </w:rPr>
            <w:t xml:space="preserve"> </w:t>
          </w:r>
          <w:r w:rsidR="005B7BCE" w:rsidRPr="005B7BCE">
            <w:rPr>
              <w:noProof/>
              <w:lang w:val="en-ZA"/>
            </w:rPr>
            <w:t>(2009)</w:t>
          </w:r>
          <w:r w:rsidR="006B4363" w:rsidRPr="008633D2">
            <w:rPr>
              <w:lang w:val="en-ZA"/>
            </w:rPr>
            <w:fldChar w:fldCharType="end"/>
          </w:r>
        </w:sdtContent>
      </w:sdt>
      <w:r w:rsidR="006B4363" w:rsidRPr="008633D2">
        <w:rPr>
          <w:lang w:val="en-ZA"/>
        </w:rPr>
        <w:t xml:space="preserve"> found</w:t>
      </w:r>
      <w:r w:rsidR="008D7AD4" w:rsidRPr="008633D2">
        <w:rPr>
          <w:lang w:val="en-ZA"/>
        </w:rPr>
        <w:t xml:space="preserve"> that female directors have a </w:t>
      </w:r>
      <w:r w:rsidR="008633D2" w:rsidRPr="008633D2">
        <w:rPr>
          <w:lang w:val="en-ZA"/>
        </w:rPr>
        <w:t>substantial</w:t>
      </w:r>
      <w:r w:rsidR="008D7AD4" w:rsidRPr="008633D2">
        <w:rPr>
          <w:lang w:val="en-ZA"/>
        </w:rPr>
        <w:t xml:space="preserve"> and value-relevant impact on the inputs and outputs of a firm. </w:t>
      </w:r>
    </w:p>
    <w:p w:rsidR="00A15BE5" w:rsidRDefault="00A15BE5" w:rsidP="008D7AD4">
      <w:pPr>
        <w:rPr>
          <w:lang w:val="en-ZA"/>
        </w:rPr>
      </w:pPr>
    </w:p>
    <w:p w:rsidR="007A5FD1" w:rsidRDefault="007A5FD1" w:rsidP="008D7AD4">
      <w:pPr>
        <w:rPr>
          <w:lang w:val="en-ZA"/>
        </w:rPr>
      </w:pPr>
    </w:p>
    <w:p w:rsidR="007A5FD1" w:rsidRPr="008633D2" w:rsidRDefault="007A5FD1" w:rsidP="008D7AD4">
      <w:pPr>
        <w:rPr>
          <w:lang w:val="en-ZA"/>
        </w:rPr>
      </w:pPr>
    </w:p>
    <w:p w:rsidR="00A15BE5" w:rsidRPr="008633D2" w:rsidRDefault="008D7AD4" w:rsidP="008D7AD4">
      <w:pPr>
        <w:rPr>
          <w:lang w:val="en-ZA"/>
        </w:rPr>
      </w:pPr>
      <w:r w:rsidRPr="008633D2">
        <w:rPr>
          <w:lang w:val="en-ZA"/>
        </w:rPr>
        <w:t>Faccio, Marchica and Mura</w:t>
      </w:r>
      <w:sdt>
        <w:sdtPr>
          <w:rPr>
            <w:lang w:val="en-ZA"/>
          </w:rPr>
          <w:id w:val="-1624758547"/>
          <w:citation/>
        </w:sdtPr>
        <w:sdtEndPr/>
        <w:sdtContent>
          <w:r w:rsidR="0054183A" w:rsidRPr="008633D2">
            <w:rPr>
              <w:lang w:val="en-ZA"/>
            </w:rPr>
            <w:fldChar w:fldCharType="begin"/>
          </w:r>
          <w:r w:rsidR="005B7BCE">
            <w:rPr>
              <w:lang w:val="en-ZA"/>
            </w:rPr>
            <w:instrText xml:space="preserve">CITATION Fac14 \n  \t  \l 1033 </w:instrText>
          </w:r>
          <w:r w:rsidR="0054183A" w:rsidRPr="008633D2">
            <w:rPr>
              <w:lang w:val="en-ZA"/>
            </w:rPr>
            <w:fldChar w:fldCharType="separate"/>
          </w:r>
          <w:r w:rsidR="005B7BCE">
            <w:rPr>
              <w:noProof/>
              <w:lang w:val="en-ZA"/>
            </w:rPr>
            <w:t xml:space="preserve"> </w:t>
          </w:r>
          <w:r w:rsidR="005B7BCE" w:rsidRPr="005B7BCE">
            <w:rPr>
              <w:noProof/>
              <w:lang w:val="en-ZA"/>
            </w:rPr>
            <w:t>(2014)</w:t>
          </w:r>
          <w:r w:rsidR="0054183A" w:rsidRPr="008633D2">
            <w:rPr>
              <w:lang w:val="en-ZA"/>
            </w:rPr>
            <w:fldChar w:fldCharType="end"/>
          </w:r>
        </w:sdtContent>
      </w:sdt>
      <w:r w:rsidR="0054183A" w:rsidRPr="008633D2">
        <w:rPr>
          <w:lang w:val="en-ZA"/>
        </w:rPr>
        <w:t xml:space="preserve"> </w:t>
      </w:r>
      <w:r w:rsidR="006B4363" w:rsidRPr="008633D2">
        <w:rPr>
          <w:lang w:val="en-ZA"/>
        </w:rPr>
        <w:t>have found</w:t>
      </w:r>
      <w:r w:rsidRPr="008633D2">
        <w:rPr>
          <w:lang w:val="en-ZA"/>
        </w:rPr>
        <w:t xml:space="preserve"> evidence that companies run by female CEOs are </w:t>
      </w:r>
      <w:r w:rsidR="006B4363" w:rsidRPr="008633D2">
        <w:rPr>
          <w:lang w:val="en-ZA"/>
        </w:rPr>
        <w:t xml:space="preserve">generally </w:t>
      </w:r>
      <w:r w:rsidRPr="008633D2">
        <w:rPr>
          <w:lang w:val="en-ZA"/>
        </w:rPr>
        <w:t xml:space="preserve">less leveraged, have less volatile </w:t>
      </w:r>
      <w:r w:rsidR="008633D2" w:rsidRPr="008633D2">
        <w:rPr>
          <w:lang w:val="en-ZA"/>
        </w:rPr>
        <w:t>earnings,</w:t>
      </w:r>
      <w:r w:rsidRPr="008633D2">
        <w:rPr>
          <w:lang w:val="en-ZA"/>
        </w:rPr>
        <w:t xml:space="preserve"> and are </w:t>
      </w:r>
      <w:r w:rsidR="0046753E">
        <w:rPr>
          <w:lang w:val="en-ZA"/>
        </w:rPr>
        <w:t>more likely</w:t>
      </w:r>
      <w:r w:rsidRPr="008633D2">
        <w:rPr>
          <w:lang w:val="en-ZA"/>
        </w:rPr>
        <w:t xml:space="preserve"> to remain in operation than those run by male CEOs</w:t>
      </w:r>
      <w:r w:rsidR="008633D2" w:rsidRPr="008633D2">
        <w:rPr>
          <w:lang w:val="en-ZA"/>
        </w:rPr>
        <w:t xml:space="preserve">. </w:t>
      </w:r>
      <w:r w:rsidR="0054183A" w:rsidRPr="008633D2">
        <w:rPr>
          <w:lang w:val="en-ZA"/>
        </w:rPr>
        <w:t xml:space="preserve">This is supported by Perryman, Fernando and Tripathy (2016), who found that increased gender diversity reduces the wage gap at top </w:t>
      </w:r>
      <w:r w:rsidR="008633D2" w:rsidRPr="008633D2">
        <w:rPr>
          <w:lang w:val="en-ZA"/>
        </w:rPr>
        <w:t>executive</w:t>
      </w:r>
      <w:r w:rsidR="0054183A" w:rsidRPr="008633D2">
        <w:rPr>
          <w:lang w:val="en-ZA"/>
        </w:rPr>
        <w:t xml:space="preserve"> levels while reducing the firm’s risk and improving performance. </w:t>
      </w:r>
    </w:p>
    <w:p w:rsidR="007D2FB0" w:rsidRPr="008633D2" w:rsidRDefault="007D2FB0" w:rsidP="008D7AD4">
      <w:pPr>
        <w:rPr>
          <w:lang w:val="en-ZA"/>
        </w:rPr>
      </w:pPr>
    </w:p>
    <w:p w:rsidR="00A15BE5" w:rsidRPr="008633D2" w:rsidRDefault="00A15BE5" w:rsidP="008D7AD4">
      <w:pPr>
        <w:rPr>
          <w:lang w:val="en-ZA"/>
        </w:rPr>
      </w:pPr>
      <w:r w:rsidRPr="008633D2">
        <w:rPr>
          <w:lang w:val="en-ZA"/>
        </w:rPr>
        <w:t xml:space="preserve">The literature reviewed in this </w:t>
      </w:r>
      <w:r w:rsidR="00F235F0">
        <w:rPr>
          <w:lang w:val="en-ZA"/>
        </w:rPr>
        <w:t>section clearly highlights that recent research indicates</w:t>
      </w:r>
      <w:r w:rsidRPr="008633D2">
        <w:rPr>
          <w:lang w:val="en-ZA"/>
        </w:rPr>
        <w:t xml:space="preserve"> that gender divers</w:t>
      </w:r>
      <w:r w:rsidR="006B4363" w:rsidRPr="008633D2">
        <w:rPr>
          <w:lang w:val="en-ZA"/>
        </w:rPr>
        <w:t xml:space="preserve">ity can provide greater </w:t>
      </w:r>
      <w:r w:rsidR="008633D2" w:rsidRPr="008633D2">
        <w:rPr>
          <w:lang w:val="en-ZA"/>
        </w:rPr>
        <w:t>returns;</w:t>
      </w:r>
      <w:r w:rsidR="006B4363" w:rsidRPr="008633D2">
        <w:rPr>
          <w:lang w:val="en-ZA"/>
        </w:rPr>
        <w:t xml:space="preserve"> in </w:t>
      </w:r>
      <w:r w:rsidR="008633D2" w:rsidRPr="008633D2">
        <w:rPr>
          <w:lang w:val="en-ZA"/>
        </w:rPr>
        <w:t>particular,</w:t>
      </w:r>
      <w:r w:rsidR="006B4363" w:rsidRPr="008633D2">
        <w:rPr>
          <w:lang w:val="en-ZA"/>
        </w:rPr>
        <w:t xml:space="preserve"> </w:t>
      </w:r>
      <w:r w:rsidR="00F235F0">
        <w:rPr>
          <w:lang w:val="en-ZA"/>
        </w:rPr>
        <w:t xml:space="preserve">including females in upper </w:t>
      </w:r>
      <w:r w:rsidR="006B4363" w:rsidRPr="008633D2">
        <w:rPr>
          <w:lang w:val="en-ZA"/>
        </w:rPr>
        <w:t>management can produce higher returns</w:t>
      </w:r>
      <w:r w:rsidR="008633D2" w:rsidRPr="008633D2">
        <w:rPr>
          <w:lang w:val="en-ZA"/>
        </w:rPr>
        <w:t xml:space="preserve">. </w:t>
      </w:r>
      <w:r w:rsidR="00F235F0">
        <w:rPr>
          <w:lang w:val="en-ZA"/>
        </w:rPr>
        <w:t xml:space="preserve">This research explores this theme throughout the paper to establish if </w:t>
      </w:r>
      <w:r w:rsidRPr="008633D2">
        <w:rPr>
          <w:lang w:val="en-ZA"/>
        </w:rPr>
        <w:t xml:space="preserve">this is the case of mutual funds as well. </w:t>
      </w:r>
    </w:p>
    <w:p w:rsidR="00A15BE5" w:rsidRPr="008633D2" w:rsidRDefault="00A15BE5" w:rsidP="008D7AD4">
      <w:pPr>
        <w:rPr>
          <w:lang w:val="en-ZA"/>
        </w:rPr>
      </w:pPr>
    </w:p>
    <w:p w:rsidR="008D7AD4" w:rsidRPr="008633D2" w:rsidRDefault="008D7AD4" w:rsidP="008D7AD4">
      <w:pPr>
        <w:pStyle w:val="Heading3"/>
        <w:rPr>
          <w:lang w:val="en-ZA"/>
        </w:rPr>
      </w:pPr>
      <w:bookmarkStart w:id="110" w:name="_Toc458610777"/>
      <w:r w:rsidRPr="008633D2">
        <w:rPr>
          <w:lang w:val="en-ZA"/>
        </w:rPr>
        <w:t>The relationship between gender and risk taking</w:t>
      </w:r>
      <w:bookmarkEnd w:id="109"/>
      <w:bookmarkEnd w:id="110"/>
    </w:p>
    <w:p w:rsidR="00525513" w:rsidRPr="008633D2" w:rsidRDefault="00B1103A" w:rsidP="008D7AD4">
      <w:pPr>
        <w:rPr>
          <w:lang w:val="en-ZA"/>
        </w:rPr>
      </w:pPr>
      <w:r>
        <w:rPr>
          <w:lang w:val="en-ZA"/>
        </w:rPr>
        <w:t>The s</w:t>
      </w:r>
      <w:r w:rsidR="008D7AD4" w:rsidRPr="008633D2">
        <w:rPr>
          <w:lang w:val="en-ZA"/>
        </w:rPr>
        <w:t xml:space="preserve">peculation on whether the 2008 financial crisis could have been averted had there been more female decision makers </w:t>
      </w:r>
      <w:r>
        <w:rPr>
          <w:lang w:val="en-ZA"/>
        </w:rPr>
        <w:t>together with</w:t>
      </w:r>
      <w:r w:rsidR="008D7AD4" w:rsidRPr="008633D2">
        <w:rPr>
          <w:lang w:val="en-ZA"/>
        </w:rPr>
        <w:t xml:space="preserve"> the gendered language used to describe the crisis, reveal an </w:t>
      </w:r>
      <w:r w:rsidR="006B4363" w:rsidRPr="008633D2">
        <w:rPr>
          <w:lang w:val="en-ZA"/>
        </w:rPr>
        <w:t>enduring</w:t>
      </w:r>
      <w:r w:rsidR="008D7AD4" w:rsidRPr="008633D2">
        <w:rPr>
          <w:lang w:val="en-ZA"/>
        </w:rPr>
        <w:t xml:space="preserve"> conflation between risk-taking and gender</w:t>
      </w:r>
      <w:sdt>
        <w:sdtPr>
          <w:rPr>
            <w:lang w:val="en-ZA"/>
          </w:rPr>
          <w:id w:val="-1228610201"/>
          <w:citation/>
        </w:sdtPr>
        <w:sdtEndPr/>
        <w:sdtContent>
          <w:r w:rsidR="008D7AD4" w:rsidRPr="008633D2">
            <w:rPr>
              <w:lang w:val="en-ZA"/>
            </w:rPr>
            <w:fldChar w:fldCharType="begin"/>
          </w:r>
          <w:r w:rsidR="008D7AD4" w:rsidRPr="008633D2">
            <w:rPr>
              <w:lang w:val="en-ZA"/>
            </w:rPr>
            <w:instrText xml:space="preserve"> CITATION Max10 \l 1033 </w:instrText>
          </w:r>
          <w:r w:rsidR="008D7AD4" w:rsidRPr="008633D2">
            <w:rPr>
              <w:lang w:val="en-ZA"/>
            </w:rPr>
            <w:fldChar w:fldCharType="separate"/>
          </w:r>
          <w:r w:rsidR="008D7AD4" w:rsidRPr="008633D2">
            <w:rPr>
              <w:lang w:val="en-ZA"/>
            </w:rPr>
            <w:t xml:space="preserve"> (Maxfield &amp; Shapiro, 2010)</w:t>
          </w:r>
          <w:r w:rsidR="008D7AD4" w:rsidRPr="008633D2">
            <w:rPr>
              <w:lang w:val="en-ZA"/>
            </w:rPr>
            <w:fldChar w:fldCharType="end"/>
          </w:r>
        </w:sdtContent>
      </w:sdt>
      <w:r w:rsidR="008D7AD4" w:rsidRPr="008633D2">
        <w:rPr>
          <w:lang w:val="en-ZA"/>
        </w:rPr>
        <w:t>.</w:t>
      </w:r>
      <w:r w:rsidR="006B4363" w:rsidRPr="008633D2">
        <w:rPr>
          <w:lang w:val="en-ZA"/>
        </w:rPr>
        <w:t xml:space="preserve"> </w:t>
      </w:r>
      <w:r w:rsidR="00525513" w:rsidRPr="008633D2">
        <w:rPr>
          <w:lang w:val="en-ZA"/>
        </w:rPr>
        <w:t xml:space="preserve">Stereotypes when thinking about the behaviour of men and women towards </w:t>
      </w:r>
      <w:r w:rsidR="00093481" w:rsidRPr="008633D2">
        <w:rPr>
          <w:lang w:val="en-ZA"/>
        </w:rPr>
        <w:t>risk are</w:t>
      </w:r>
      <w:r w:rsidR="00525513" w:rsidRPr="008633D2">
        <w:rPr>
          <w:lang w:val="en-ZA"/>
        </w:rPr>
        <w:t xml:space="preserve"> well established in society, women are often seen as being more risk averse, less overconfident and to be less competitive when compared to men</w:t>
      </w:r>
      <w:sdt>
        <w:sdtPr>
          <w:rPr>
            <w:lang w:val="en-ZA"/>
          </w:rPr>
          <w:id w:val="-913780362"/>
          <w:citation/>
        </w:sdtPr>
        <w:sdtEndPr/>
        <w:sdtContent>
          <w:r w:rsidR="00525513" w:rsidRPr="008633D2">
            <w:rPr>
              <w:lang w:val="en-ZA"/>
            </w:rPr>
            <w:fldChar w:fldCharType="begin"/>
          </w:r>
          <w:r w:rsidR="005B7BCE">
            <w:rPr>
              <w:lang w:val="en-ZA"/>
            </w:rPr>
            <w:instrText xml:space="preserve">CITATION Bec08 \l 1033 </w:instrText>
          </w:r>
          <w:r w:rsidR="00525513" w:rsidRPr="008633D2">
            <w:rPr>
              <w:lang w:val="en-ZA"/>
            </w:rPr>
            <w:fldChar w:fldCharType="separate"/>
          </w:r>
          <w:r w:rsidR="005B7BCE">
            <w:rPr>
              <w:noProof/>
              <w:lang w:val="en-ZA"/>
            </w:rPr>
            <w:t xml:space="preserve"> </w:t>
          </w:r>
          <w:r w:rsidR="005B7BCE" w:rsidRPr="005B7BCE">
            <w:rPr>
              <w:noProof/>
              <w:lang w:val="en-ZA"/>
            </w:rPr>
            <w:t>(Beckmann &amp; Menkhoff, 2008)</w:t>
          </w:r>
          <w:r w:rsidR="00525513" w:rsidRPr="008633D2">
            <w:rPr>
              <w:lang w:val="en-ZA"/>
            </w:rPr>
            <w:fldChar w:fldCharType="end"/>
          </w:r>
        </w:sdtContent>
      </w:sdt>
      <w:r w:rsidR="00CC6274" w:rsidRPr="008633D2">
        <w:rPr>
          <w:lang w:val="en-ZA"/>
        </w:rPr>
        <w:t>. Furthermore, it is believed in western culture that men should and do, take greater risks than women</w:t>
      </w:r>
      <w:r w:rsidR="00CC6274">
        <w:rPr>
          <w:lang w:val="en-ZA"/>
        </w:rPr>
        <w:t xml:space="preserve"> take</w:t>
      </w:r>
      <w:sdt>
        <w:sdtPr>
          <w:rPr>
            <w:lang w:val="en-ZA"/>
          </w:rPr>
          <w:id w:val="2048786341"/>
          <w:citation/>
        </w:sdtPr>
        <w:sdtEndPr/>
        <w:sdtContent>
          <w:r w:rsidR="00CC6274" w:rsidRPr="008633D2">
            <w:rPr>
              <w:lang w:val="en-ZA"/>
            </w:rPr>
            <w:fldChar w:fldCharType="begin"/>
          </w:r>
          <w:r w:rsidR="00CC6274" w:rsidRPr="008633D2">
            <w:rPr>
              <w:lang w:val="en-ZA"/>
            </w:rPr>
            <w:instrText xml:space="preserve"> CITATION Slo \l 1033 </w:instrText>
          </w:r>
          <w:r w:rsidR="00CC6274" w:rsidRPr="008633D2">
            <w:rPr>
              <w:lang w:val="en-ZA"/>
            </w:rPr>
            <w:fldChar w:fldCharType="separate"/>
          </w:r>
          <w:r w:rsidR="00CC6274" w:rsidRPr="008633D2">
            <w:rPr>
              <w:lang w:val="en-ZA"/>
            </w:rPr>
            <w:t xml:space="preserve"> (Slovic, 1966)</w:t>
          </w:r>
          <w:r w:rsidR="00CC6274" w:rsidRPr="008633D2">
            <w:rPr>
              <w:lang w:val="en-ZA"/>
            </w:rPr>
            <w:fldChar w:fldCharType="end"/>
          </w:r>
        </w:sdtContent>
      </w:sdt>
      <w:r w:rsidR="00CC6274" w:rsidRPr="008633D2">
        <w:rPr>
          <w:lang w:val="en-ZA"/>
        </w:rPr>
        <w:t xml:space="preserve">.  </w:t>
      </w:r>
    </w:p>
    <w:p w:rsidR="00525513" w:rsidRDefault="00525513" w:rsidP="008D7AD4">
      <w:pPr>
        <w:rPr>
          <w:lang w:val="en-ZA"/>
        </w:rPr>
      </w:pPr>
    </w:p>
    <w:p w:rsidR="007A5FD1" w:rsidRDefault="007A5FD1" w:rsidP="008D7AD4">
      <w:pPr>
        <w:rPr>
          <w:lang w:val="en-ZA"/>
        </w:rPr>
      </w:pPr>
    </w:p>
    <w:p w:rsidR="007A5FD1" w:rsidRPr="008633D2" w:rsidRDefault="007A5FD1" w:rsidP="008D7AD4">
      <w:pPr>
        <w:rPr>
          <w:lang w:val="en-ZA"/>
        </w:rPr>
      </w:pPr>
    </w:p>
    <w:p w:rsidR="008D7AD4" w:rsidRPr="008633D2" w:rsidRDefault="008D7AD4" w:rsidP="008D7AD4">
      <w:pPr>
        <w:rPr>
          <w:lang w:val="en-ZA"/>
        </w:rPr>
      </w:pPr>
      <w:r w:rsidRPr="008633D2">
        <w:rPr>
          <w:lang w:val="en-ZA"/>
        </w:rPr>
        <w:t>Slovic</w:t>
      </w:r>
      <w:sdt>
        <w:sdtPr>
          <w:rPr>
            <w:lang w:val="en-ZA"/>
          </w:rPr>
          <w:id w:val="-1388489766"/>
          <w:citation/>
        </w:sdtPr>
        <w:sdtEndPr/>
        <w:sdtContent>
          <w:r w:rsidRPr="008633D2">
            <w:rPr>
              <w:lang w:val="en-ZA"/>
            </w:rPr>
            <w:fldChar w:fldCharType="begin"/>
          </w:r>
          <w:r w:rsidRPr="008633D2">
            <w:rPr>
              <w:lang w:val="en-ZA"/>
            </w:rPr>
            <w:instrText xml:space="preserve">CITATION Slo \n  \t  \l 1033 </w:instrText>
          </w:r>
          <w:r w:rsidRPr="008633D2">
            <w:rPr>
              <w:lang w:val="en-ZA"/>
            </w:rPr>
            <w:fldChar w:fldCharType="separate"/>
          </w:r>
          <w:r w:rsidRPr="008633D2">
            <w:rPr>
              <w:lang w:val="en-ZA"/>
            </w:rPr>
            <w:t xml:space="preserve"> (1966)</w:t>
          </w:r>
          <w:r w:rsidRPr="008633D2">
            <w:rPr>
              <w:lang w:val="en-ZA"/>
            </w:rPr>
            <w:fldChar w:fldCharType="end"/>
          </w:r>
        </w:sdtContent>
      </w:sdt>
      <w:r w:rsidRPr="008633D2">
        <w:rPr>
          <w:lang w:val="en-ZA"/>
        </w:rPr>
        <w:t xml:space="preserve"> showed that males become more daring th</w:t>
      </w:r>
      <w:r w:rsidR="00B1103A">
        <w:rPr>
          <w:lang w:val="en-ZA"/>
        </w:rPr>
        <w:t>an females after a certain age. The author a</w:t>
      </w:r>
      <w:r w:rsidRPr="008633D2">
        <w:rPr>
          <w:lang w:val="en-ZA"/>
        </w:rPr>
        <w:t xml:space="preserve">lso </w:t>
      </w:r>
      <w:r w:rsidR="00B1103A">
        <w:rPr>
          <w:lang w:val="en-ZA"/>
        </w:rPr>
        <w:t>found</w:t>
      </w:r>
      <w:r w:rsidRPr="008633D2">
        <w:rPr>
          <w:lang w:val="en-ZA"/>
        </w:rPr>
        <w:t xml:space="preserve"> that the caution exhibited by females worked to their advantage leading to them being more profitable in the study</w:t>
      </w:r>
      <w:r w:rsidR="00CC6274" w:rsidRPr="008633D2">
        <w:rPr>
          <w:lang w:val="en-ZA"/>
        </w:rPr>
        <w:t xml:space="preserve">. </w:t>
      </w:r>
      <w:r w:rsidR="00D15BCE">
        <w:rPr>
          <w:lang w:val="en-ZA"/>
        </w:rPr>
        <w:t xml:space="preserve">Byrnes, Miller and Schafer </w:t>
      </w:r>
      <w:sdt>
        <w:sdtPr>
          <w:rPr>
            <w:lang w:val="en-ZA"/>
          </w:rPr>
          <w:id w:val="990068471"/>
          <w:citation/>
        </w:sdtPr>
        <w:sdtEndPr/>
        <w:sdtContent>
          <w:r w:rsidR="00D15BCE">
            <w:rPr>
              <w:lang w:val="en-ZA"/>
            </w:rPr>
            <w:fldChar w:fldCharType="begin"/>
          </w:r>
          <w:r w:rsidR="005B7BCE">
            <w:rPr>
              <w:lang w:val="en-US"/>
            </w:rPr>
            <w:instrText xml:space="preserve">CITATION Byr99 \n  \t  \l 1033 </w:instrText>
          </w:r>
          <w:r w:rsidR="00D15BCE">
            <w:rPr>
              <w:lang w:val="en-ZA"/>
            </w:rPr>
            <w:fldChar w:fldCharType="separate"/>
          </w:r>
          <w:r w:rsidR="005B7BCE">
            <w:rPr>
              <w:noProof/>
              <w:lang w:val="en-US"/>
            </w:rPr>
            <w:t>(1999)</w:t>
          </w:r>
          <w:r w:rsidR="00D15BCE">
            <w:rPr>
              <w:lang w:val="en-ZA"/>
            </w:rPr>
            <w:fldChar w:fldCharType="end"/>
          </w:r>
        </w:sdtContent>
      </w:sdt>
      <w:r w:rsidRPr="008633D2">
        <w:rPr>
          <w:lang w:val="en-ZA"/>
        </w:rPr>
        <w:t xml:space="preserve"> confirmed that females are less likely to take risks than males and more recently, Bliss, Potter and Schwarz </w:t>
      </w:r>
      <w:sdt>
        <w:sdtPr>
          <w:rPr>
            <w:lang w:val="en-ZA"/>
          </w:rPr>
          <w:id w:val="329029715"/>
          <w:citation/>
        </w:sdtPr>
        <w:sdtEndPr/>
        <w:sdtContent>
          <w:r w:rsidRPr="008633D2">
            <w:rPr>
              <w:lang w:val="en-ZA"/>
            </w:rPr>
            <w:fldChar w:fldCharType="begin"/>
          </w:r>
          <w:r w:rsidRPr="008633D2">
            <w:rPr>
              <w:lang w:val="en-ZA"/>
            </w:rPr>
            <w:instrText xml:space="preserve">CITATION Bli11 \n  \t  \l 1033 </w:instrText>
          </w:r>
          <w:r w:rsidRPr="008633D2">
            <w:rPr>
              <w:lang w:val="en-ZA"/>
            </w:rPr>
            <w:fldChar w:fldCharType="separate"/>
          </w:r>
          <w:r w:rsidRPr="008633D2">
            <w:rPr>
              <w:lang w:val="en-ZA"/>
            </w:rPr>
            <w:t>(2011)</w:t>
          </w:r>
          <w:r w:rsidRPr="008633D2">
            <w:rPr>
              <w:lang w:val="en-ZA"/>
            </w:rPr>
            <w:fldChar w:fldCharType="end"/>
          </w:r>
        </w:sdtContent>
      </w:sdt>
      <w:r w:rsidRPr="008633D2">
        <w:rPr>
          <w:lang w:val="en-ZA"/>
        </w:rPr>
        <w:t xml:space="preserve"> conducted a study </w:t>
      </w:r>
      <w:r w:rsidR="008633D2" w:rsidRPr="008633D2">
        <w:rPr>
          <w:lang w:val="en-ZA"/>
        </w:rPr>
        <w:t>modelled</w:t>
      </w:r>
      <w:r w:rsidRPr="008633D2">
        <w:rPr>
          <w:lang w:val="en-ZA"/>
        </w:rPr>
        <w:t xml:space="preserve"> after the TV game “Cash Cab”, to assess the risk-aversion of individuals and groups. </w:t>
      </w:r>
      <w:r w:rsidR="006B4363" w:rsidRPr="008633D2">
        <w:rPr>
          <w:lang w:val="en-ZA"/>
        </w:rPr>
        <w:t xml:space="preserve">The study </w:t>
      </w:r>
      <w:r w:rsidRPr="008633D2">
        <w:rPr>
          <w:lang w:val="en-ZA"/>
        </w:rPr>
        <w:t xml:space="preserve">concluded that female participants are more risk averse than the male participants. </w:t>
      </w:r>
    </w:p>
    <w:p w:rsidR="008D7AD4" w:rsidRPr="008633D2" w:rsidRDefault="008D7AD4" w:rsidP="008D7AD4">
      <w:pPr>
        <w:rPr>
          <w:lang w:val="en-ZA"/>
        </w:rPr>
      </w:pPr>
    </w:p>
    <w:p w:rsidR="008D7AD4" w:rsidRDefault="008D7AD4" w:rsidP="008D7AD4">
      <w:pPr>
        <w:rPr>
          <w:lang w:val="en-ZA"/>
        </w:rPr>
      </w:pPr>
      <w:r w:rsidRPr="008633D2">
        <w:rPr>
          <w:lang w:val="en-ZA"/>
        </w:rPr>
        <w:t>The influence of risk tolerance on investment decisions is an important determinant in the financial well-being of individuals</w:t>
      </w:r>
      <w:r w:rsidR="00B46A8C">
        <w:rPr>
          <w:lang w:val="en-ZA"/>
        </w:rPr>
        <w:t>,</w:t>
      </w:r>
      <w:r w:rsidRPr="008633D2">
        <w:rPr>
          <w:lang w:val="en-ZA"/>
        </w:rPr>
        <w:t xml:space="preserve"> especially women in </w:t>
      </w:r>
      <w:r w:rsidR="008633D2" w:rsidRPr="008633D2">
        <w:rPr>
          <w:lang w:val="en-ZA"/>
        </w:rPr>
        <w:t xml:space="preserve">retirement </w:t>
      </w:r>
      <w:sdt>
        <w:sdtPr>
          <w:rPr>
            <w:lang w:val="en-ZA"/>
          </w:rPr>
          <w:id w:val="-918641586"/>
          <w:citation/>
        </w:sdtPr>
        <w:sdtEndPr/>
        <w:sdtContent>
          <w:r w:rsidRPr="008633D2">
            <w:rPr>
              <w:lang w:val="en-ZA"/>
            </w:rPr>
            <w:fldChar w:fldCharType="begin"/>
          </w:r>
          <w:r w:rsidRPr="008633D2">
            <w:rPr>
              <w:lang w:val="en-ZA"/>
            </w:rPr>
            <w:instrText xml:space="preserve"> CITATION Faf11 \l 1033 </w:instrText>
          </w:r>
          <w:r w:rsidRPr="008633D2">
            <w:rPr>
              <w:lang w:val="en-ZA"/>
            </w:rPr>
            <w:fldChar w:fldCharType="separate"/>
          </w:r>
          <w:r w:rsidRPr="008633D2">
            <w:rPr>
              <w:lang w:val="en-ZA"/>
            </w:rPr>
            <w:t>(Faff, Hallahan, &amp; McKenzie, 2011)</w:t>
          </w:r>
          <w:r w:rsidRPr="008633D2">
            <w:rPr>
              <w:lang w:val="en-ZA"/>
            </w:rPr>
            <w:fldChar w:fldCharType="end"/>
          </w:r>
        </w:sdtContent>
      </w:sdt>
      <w:r w:rsidRPr="008633D2">
        <w:rPr>
          <w:lang w:val="en-ZA"/>
        </w:rPr>
        <w:t xml:space="preserve">. Faff, </w:t>
      </w:r>
      <w:r w:rsidR="00B46A8C">
        <w:rPr>
          <w:lang w:val="en-ZA"/>
        </w:rPr>
        <w:t>et al.</w:t>
      </w:r>
      <w:r w:rsidRPr="008633D2">
        <w:rPr>
          <w:lang w:val="en-ZA"/>
        </w:rPr>
        <w:t xml:space="preserve"> </w:t>
      </w:r>
      <w:sdt>
        <w:sdtPr>
          <w:rPr>
            <w:lang w:val="en-ZA"/>
          </w:rPr>
          <w:id w:val="-1069497554"/>
          <w:citation/>
        </w:sdtPr>
        <w:sdtEndPr/>
        <w:sdtContent>
          <w:r w:rsidRPr="008633D2">
            <w:rPr>
              <w:lang w:val="en-ZA"/>
            </w:rPr>
            <w:fldChar w:fldCharType="begin"/>
          </w:r>
          <w:r w:rsidRPr="008633D2">
            <w:rPr>
              <w:lang w:val="en-ZA"/>
            </w:rPr>
            <w:instrText xml:space="preserve">CITATION Faf11 \n  \t  \l 1033 </w:instrText>
          </w:r>
          <w:r w:rsidRPr="008633D2">
            <w:rPr>
              <w:lang w:val="en-ZA"/>
            </w:rPr>
            <w:fldChar w:fldCharType="separate"/>
          </w:r>
          <w:r w:rsidRPr="008633D2">
            <w:rPr>
              <w:lang w:val="en-ZA"/>
            </w:rPr>
            <w:t>(2011)</w:t>
          </w:r>
          <w:r w:rsidRPr="008633D2">
            <w:rPr>
              <w:lang w:val="en-ZA"/>
            </w:rPr>
            <w:fldChar w:fldCharType="end"/>
          </w:r>
        </w:sdtContent>
      </w:sdt>
      <w:r w:rsidRPr="008633D2">
        <w:rPr>
          <w:lang w:val="en-ZA"/>
        </w:rPr>
        <w:t xml:space="preserve"> expect that in the context of an increasingly female and aging world, asset allocation will move to less risky investment portfolios, which could lead to lower levels of wealth for women in retirement years. The authors also find strong evidence that women differ from men in their tolerance to financial risk. This supports previous evidence found by Powell and Ansic</w:t>
      </w:r>
      <w:sdt>
        <w:sdtPr>
          <w:rPr>
            <w:lang w:val="en-ZA"/>
          </w:rPr>
          <w:id w:val="-1873449647"/>
          <w:citation/>
        </w:sdtPr>
        <w:sdtEndPr/>
        <w:sdtContent>
          <w:r w:rsidRPr="008633D2">
            <w:rPr>
              <w:lang w:val="en-ZA"/>
            </w:rPr>
            <w:fldChar w:fldCharType="begin"/>
          </w:r>
          <w:r w:rsidRPr="008633D2">
            <w:rPr>
              <w:lang w:val="en-ZA"/>
            </w:rPr>
            <w:instrText xml:space="preserve">CITATION Pow97 \n  \t  \l 1033 </w:instrText>
          </w:r>
          <w:r w:rsidRPr="008633D2">
            <w:rPr>
              <w:lang w:val="en-ZA"/>
            </w:rPr>
            <w:fldChar w:fldCharType="separate"/>
          </w:r>
          <w:r w:rsidRPr="008633D2">
            <w:rPr>
              <w:lang w:val="en-ZA"/>
            </w:rPr>
            <w:t xml:space="preserve"> (1997)</w:t>
          </w:r>
          <w:r w:rsidRPr="008633D2">
            <w:rPr>
              <w:lang w:val="en-ZA"/>
            </w:rPr>
            <w:fldChar w:fldCharType="end"/>
          </w:r>
        </w:sdtContent>
      </w:sdt>
      <w:r w:rsidRPr="008633D2">
        <w:rPr>
          <w:lang w:val="en-ZA"/>
        </w:rPr>
        <w:t xml:space="preserve"> that gender differences in financial risk preference exist.</w:t>
      </w:r>
    </w:p>
    <w:p w:rsidR="007A5FD1" w:rsidRPr="008633D2" w:rsidRDefault="007A5FD1" w:rsidP="008D7AD4">
      <w:pPr>
        <w:rPr>
          <w:lang w:val="en-ZA"/>
        </w:rPr>
      </w:pPr>
    </w:p>
    <w:p w:rsidR="008D7AD4" w:rsidRPr="008633D2" w:rsidRDefault="00525513" w:rsidP="008D7AD4">
      <w:pPr>
        <w:rPr>
          <w:lang w:val="en-ZA"/>
        </w:rPr>
      </w:pPr>
      <w:r w:rsidRPr="008633D2">
        <w:rPr>
          <w:lang w:val="en-ZA"/>
        </w:rPr>
        <w:t>Beckmann and Menkhoff (2008) conclude in their study of gender differences amongst financial experts that women behave differently from men in two important aspects of fund management</w:t>
      </w:r>
      <w:r w:rsidR="00CC6274" w:rsidRPr="008633D2">
        <w:rPr>
          <w:lang w:val="en-ZA"/>
        </w:rPr>
        <w:t xml:space="preserve">. </w:t>
      </w:r>
      <w:r w:rsidRPr="008633D2">
        <w:rPr>
          <w:lang w:val="en-ZA"/>
        </w:rPr>
        <w:t xml:space="preserve">The authors find that women are more risk averse </w:t>
      </w:r>
      <w:r w:rsidR="00CC6274" w:rsidRPr="008633D2">
        <w:rPr>
          <w:lang w:val="en-ZA"/>
        </w:rPr>
        <w:t>and</w:t>
      </w:r>
      <w:r w:rsidR="007A5FD1">
        <w:rPr>
          <w:lang w:val="en-ZA"/>
        </w:rPr>
        <w:t xml:space="preserve"> shy away from competition, however, they </w:t>
      </w:r>
      <w:r w:rsidR="00575A99" w:rsidRPr="008633D2">
        <w:rPr>
          <w:lang w:val="en-ZA"/>
        </w:rPr>
        <w:t xml:space="preserve">could not find conclusive evidence </w:t>
      </w:r>
      <w:r w:rsidR="007A5FD1">
        <w:rPr>
          <w:lang w:val="en-ZA"/>
        </w:rPr>
        <w:t>to indicate</w:t>
      </w:r>
      <w:r w:rsidR="0046753E">
        <w:rPr>
          <w:lang w:val="en-ZA"/>
        </w:rPr>
        <w:t xml:space="preserve"> whether</w:t>
      </w:r>
      <w:r w:rsidR="00575A99" w:rsidRPr="008633D2">
        <w:rPr>
          <w:lang w:val="en-ZA"/>
        </w:rPr>
        <w:t xml:space="preserve"> females are less confident than males or not. </w:t>
      </w:r>
    </w:p>
    <w:p w:rsidR="007A5FD1" w:rsidRDefault="007A5FD1" w:rsidP="008D7AD4">
      <w:pPr>
        <w:rPr>
          <w:lang w:val="en-ZA"/>
        </w:rPr>
      </w:pPr>
    </w:p>
    <w:p w:rsidR="007A5FD1" w:rsidRDefault="007A5FD1" w:rsidP="008D7AD4">
      <w:pPr>
        <w:rPr>
          <w:lang w:val="en-ZA"/>
        </w:rPr>
      </w:pPr>
    </w:p>
    <w:p w:rsidR="00575A99" w:rsidRDefault="00575A99" w:rsidP="008D7AD4">
      <w:pPr>
        <w:rPr>
          <w:lang w:val="en-ZA"/>
        </w:rPr>
      </w:pPr>
      <w:r w:rsidRPr="008633D2">
        <w:rPr>
          <w:lang w:val="en-ZA"/>
        </w:rPr>
        <w:t xml:space="preserve">A fund manager’s job involves taking risk, operating in a competitive environment and making confident decisions. The literature reviewed in this section confirms that females are </w:t>
      </w:r>
      <w:r w:rsidR="006B4363" w:rsidRPr="008633D2">
        <w:rPr>
          <w:lang w:val="en-ZA"/>
        </w:rPr>
        <w:t xml:space="preserve">generally more risk averse and less </w:t>
      </w:r>
      <w:r w:rsidRPr="008633D2">
        <w:rPr>
          <w:lang w:val="en-ZA"/>
        </w:rPr>
        <w:t xml:space="preserve">competitive than males. This raises questions regarding the impact of these findings </w:t>
      </w:r>
      <w:r w:rsidR="007E4D0C">
        <w:rPr>
          <w:lang w:val="en-ZA"/>
        </w:rPr>
        <w:t>on the performance of a fund given the relationship between risk and performance.</w:t>
      </w:r>
      <w:r w:rsidRPr="008633D2">
        <w:rPr>
          <w:lang w:val="en-ZA"/>
        </w:rPr>
        <w:t xml:space="preserve"> </w:t>
      </w:r>
    </w:p>
    <w:p w:rsidR="007A5FD1" w:rsidRPr="007A5FD1" w:rsidRDefault="007A5FD1" w:rsidP="008D7AD4">
      <w:pPr>
        <w:rPr>
          <w:sz w:val="20"/>
          <w:szCs w:val="20"/>
          <w:lang w:val="en-ZA"/>
        </w:rPr>
      </w:pPr>
    </w:p>
    <w:p w:rsidR="000D4D3C" w:rsidRPr="008633D2" w:rsidRDefault="000D4D3C" w:rsidP="000D4D3C">
      <w:pPr>
        <w:pStyle w:val="Heading3"/>
        <w:rPr>
          <w:lang w:val="en-ZA"/>
        </w:rPr>
      </w:pPr>
      <w:bookmarkStart w:id="111" w:name="_Toc458610778"/>
      <w:r w:rsidRPr="008633D2">
        <w:rPr>
          <w:lang w:val="en-ZA"/>
        </w:rPr>
        <w:t xml:space="preserve">The </w:t>
      </w:r>
      <w:r w:rsidR="00D250DF">
        <w:rPr>
          <w:lang w:val="en-ZA"/>
        </w:rPr>
        <w:t xml:space="preserve">role of gender </w:t>
      </w:r>
      <w:r w:rsidR="001512FD">
        <w:rPr>
          <w:lang w:val="en-ZA"/>
        </w:rPr>
        <w:t>in personal investment decision making</w:t>
      </w:r>
      <w:bookmarkEnd w:id="111"/>
    </w:p>
    <w:p w:rsidR="0013597B" w:rsidRDefault="001512FD" w:rsidP="001512FD">
      <w:pPr>
        <w:rPr>
          <w:lang w:val="en-ZA"/>
        </w:rPr>
      </w:pPr>
      <w:r w:rsidRPr="001512FD">
        <w:rPr>
          <w:lang w:val="en-ZA"/>
        </w:rPr>
        <w:t xml:space="preserve">Given </w:t>
      </w:r>
      <w:r>
        <w:rPr>
          <w:lang w:val="en-ZA"/>
        </w:rPr>
        <w:t>the themes appearing from the literature reviewed</w:t>
      </w:r>
      <w:r w:rsidR="0046753E">
        <w:rPr>
          <w:lang w:val="en-ZA"/>
        </w:rPr>
        <w:t xml:space="preserve"> up</w:t>
      </w:r>
      <w:r>
        <w:rPr>
          <w:lang w:val="en-ZA"/>
        </w:rPr>
        <w:t xml:space="preserve"> to this point it is important to explore the sources of funds </w:t>
      </w:r>
      <w:r w:rsidR="0046753E">
        <w:rPr>
          <w:lang w:val="en-ZA"/>
        </w:rPr>
        <w:t>invested by</w:t>
      </w:r>
      <w:r>
        <w:rPr>
          <w:lang w:val="en-ZA"/>
        </w:rPr>
        <w:t xml:space="preserve"> households and the factors contributing to the investment decisions made.</w:t>
      </w:r>
    </w:p>
    <w:p w:rsidR="00DD3ACD" w:rsidRDefault="00DD3ACD" w:rsidP="001512FD">
      <w:pPr>
        <w:rPr>
          <w:noProof/>
          <w:lang w:val="en-US"/>
        </w:rPr>
      </w:pPr>
    </w:p>
    <w:p w:rsidR="00DD3ACD" w:rsidRDefault="00DD3ACD" w:rsidP="00DD3ACD">
      <w:pPr>
        <w:rPr>
          <w:noProof/>
          <w:lang w:val="en-US"/>
        </w:rPr>
      </w:pPr>
      <w:r>
        <w:rPr>
          <w:noProof/>
          <w:lang w:val="en-US"/>
        </w:rPr>
        <w:t>Hira and Loibl</w:t>
      </w:r>
      <w:r w:rsidRPr="00DD3ACD">
        <w:rPr>
          <w:noProof/>
          <w:lang w:val="en-US"/>
        </w:rPr>
        <w:t xml:space="preserve"> </w:t>
      </w:r>
      <w:sdt>
        <w:sdtPr>
          <w:rPr>
            <w:noProof/>
            <w:lang w:val="en-US"/>
          </w:rPr>
          <w:id w:val="10499986"/>
          <w:citation/>
        </w:sdtPr>
        <w:sdtEndPr/>
        <w:sdtContent>
          <w:r>
            <w:rPr>
              <w:noProof/>
              <w:lang w:val="en-US"/>
            </w:rPr>
            <w:fldChar w:fldCharType="begin"/>
          </w:r>
          <w:r w:rsidR="005B7BCE">
            <w:rPr>
              <w:noProof/>
              <w:lang w:val="en-US"/>
            </w:rPr>
            <w:instrText xml:space="preserve">CITATION Hir06 \n  \t  \l 1033 </w:instrText>
          </w:r>
          <w:r>
            <w:rPr>
              <w:noProof/>
              <w:lang w:val="en-US"/>
            </w:rPr>
            <w:fldChar w:fldCharType="separate"/>
          </w:r>
          <w:r w:rsidR="005B7BCE">
            <w:rPr>
              <w:noProof/>
              <w:lang w:val="en-US"/>
            </w:rPr>
            <w:t>(2008)</w:t>
          </w:r>
          <w:r>
            <w:rPr>
              <w:noProof/>
              <w:lang w:val="en-US"/>
            </w:rPr>
            <w:fldChar w:fldCharType="end"/>
          </w:r>
        </w:sdtContent>
      </w:sdt>
      <w:r>
        <w:rPr>
          <w:noProof/>
          <w:lang w:val="en-US"/>
        </w:rPr>
        <w:t xml:space="preserve"> conduct</w:t>
      </w:r>
      <w:r w:rsidR="00B46A8C">
        <w:rPr>
          <w:noProof/>
          <w:lang w:val="en-US"/>
        </w:rPr>
        <w:t>ed</w:t>
      </w:r>
      <w:r>
        <w:rPr>
          <w:noProof/>
          <w:lang w:val="en-US"/>
        </w:rPr>
        <w:t xml:space="preserve"> a study on the key factors that influence investment beh</w:t>
      </w:r>
      <w:r w:rsidR="00B46A8C">
        <w:rPr>
          <w:noProof/>
          <w:lang w:val="en-US"/>
        </w:rPr>
        <w:t>a</w:t>
      </w:r>
      <w:r>
        <w:rPr>
          <w:noProof/>
          <w:lang w:val="en-US"/>
        </w:rPr>
        <w:t>viour and the impact of these factors on the investment dec</w:t>
      </w:r>
      <w:r w:rsidR="0046753E">
        <w:rPr>
          <w:noProof/>
          <w:lang w:val="en-US"/>
        </w:rPr>
        <w:t>i</w:t>
      </w:r>
      <w:r>
        <w:rPr>
          <w:noProof/>
          <w:lang w:val="en-US"/>
        </w:rPr>
        <w:t>sion making process for men and women. The authors find that while more women are responsible for managing money on a dail</w:t>
      </w:r>
      <w:r w:rsidR="0046753E">
        <w:rPr>
          <w:noProof/>
          <w:lang w:val="en-US"/>
        </w:rPr>
        <w:t>y basis, investment decisions w</w:t>
      </w:r>
      <w:r>
        <w:rPr>
          <w:noProof/>
          <w:lang w:val="en-US"/>
        </w:rPr>
        <w:t>ere usually made jointly between spouses or partners.  Women indicate that they find investment decisions more stressful, time-consuming and difficult than men do</w:t>
      </w:r>
      <w:sdt>
        <w:sdtPr>
          <w:rPr>
            <w:noProof/>
            <w:lang w:val="en-US"/>
          </w:rPr>
          <w:id w:val="-1186433533"/>
          <w:citation/>
        </w:sdtPr>
        <w:sdtEndPr/>
        <w:sdtContent>
          <w:r>
            <w:rPr>
              <w:noProof/>
              <w:lang w:val="en-US"/>
            </w:rPr>
            <w:fldChar w:fldCharType="begin"/>
          </w:r>
          <w:r w:rsidR="005B7BCE">
            <w:rPr>
              <w:noProof/>
              <w:lang w:val="en-US"/>
            </w:rPr>
            <w:instrText xml:space="preserve">CITATION Hir06 \l 1033 </w:instrText>
          </w:r>
          <w:r>
            <w:rPr>
              <w:noProof/>
              <w:lang w:val="en-US"/>
            </w:rPr>
            <w:fldChar w:fldCharType="separate"/>
          </w:r>
          <w:r w:rsidR="005B7BCE">
            <w:rPr>
              <w:noProof/>
              <w:lang w:val="en-US"/>
            </w:rPr>
            <w:t xml:space="preserve"> (Hira &amp; Loibl, 2008)</w:t>
          </w:r>
          <w:r>
            <w:rPr>
              <w:noProof/>
              <w:lang w:val="en-US"/>
            </w:rPr>
            <w:fldChar w:fldCharType="end"/>
          </w:r>
        </w:sdtContent>
      </w:sdt>
      <w:r>
        <w:rPr>
          <w:noProof/>
          <w:lang w:val="en-US"/>
        </w:rPr>
        <w:t>. The</w:t>
      </w:r>
      <w:r w:rsidR="006F07D6">
        <w:rPr>
          <w:noProof/>
          <w:lang w:val="en-US"/>
        </w:rPr>
        <w:t>se</w:t>
      </w:r>
      <w:r>
        <w:rPr>
          <w:noProof/>
          <w:lang w:val="en-US"/>
        </w:rPr>
        <w:t xml:space="preserve"> authors also found that women are less likely to make investment changes when investments did not produce the returns expected.  </w:t>
      </w:r>
    </w:p>
    <w:p w:rsidR="006F07D6" w:rsidRDefault="006F07D6" w:rsidP="00DD3ACD">
      <w:pPr>
        <w:rPr>
          <w:lang w:val="en-ZA"/>
        </w:rPr>
      </w:pPr>
    </w:p>
    <w:p w:rsidR="007A5FD1" w:rsidRDefault="006F07D6" w:rsidP="00DD3ACD">
      <w:pPr>
        <w:rPr>
          <w:lang w:val="en-ZA"/>
        </w:rPr>
      </w:pPr>
      <w:r w:rsidRPr="00DD3ACD">
        <w:rPr>
          <w:lang w:val="en-ZA"/>
        </w:rPr>
        <w:t xml:space="preserve">Sundén and Surette </w:t>
      </w:r>
      <w:sdt>
        <w:sdtPr>
          <w:rPr>
            <w:lang w:val="en-ZA"/>
          </w:rPr>
          <w:id w:val="1971322916"/>
          <w:citation/>
        </w:sdtPr>
        <w:sdtEndPr/>
        <w:sdtContent>
          <w:r w:rsidRPr="00DD3ACD">
            <w:rPr>
              <w:lang w:val="en-ZA"/>
            </w:rPr>
            <w:fldChar w:fldCharType="begin"/>
          </w:r>
          <w:r w:rsidR="005B7BCE">
            <w:rPr>
              <w:lang w:val="en-ZA"/>
            </w:rPr>
            <w:instrText xml:space="preserve">CITATION Gen98 \n  \t  \l 1033 </w:instrText>
          </w:r>
          <w:r w:rsidRPr="00DD3ACD">
            <w:rPr>
              <w:lang w:val="en-ZA"/>
            </w:rPr>
            <w:fldChar w:fldCharType="separate"/>
          </w:r>
          <w:r w:rsidR="005B7BCE" w:rsidRPr="005B7BCE">
            <w:rPr>
              <w:noProof/>
              <w:lang w:val="en-ZA"/>
            </w:rPr>
            <w:t>(1998)</w:t>
          </w:r>
          <w:r w:rsidRPr="00DD3ACD">
            <w:rPr>
              <w:lang w:val="en-ZA"/>
            </w:rPr>
            <w:fldChar w:fldCharType="end"/>
          </w:r>
        </w:sdtContent>
      </w:sdt>
      <w:r>
        <w:rPr>
          <w:lang w:val="en-ZA"/>
        </w:rPr>
        <w:t xml:space="preserve">, show that single women </w:t>
      </w:r>
      <w:r w:rsidRPr="00DD3ACD">
        <w:rPr>
          <w:lang w:val="en-ZA"/>
        </w:rPr>
        <w:t xml:space="preserve">fail to invest in sufficient assets into stocks </w:t>
      </w:r>
      <w:r>
        <w:rPr>
          <w:lang w:val="en-ZA"/>
        </w:rPr>
        <w:t>and this</w:t>
      </w:r>
      <w:r w:rsidRPr="00DD3ACD">
        <w:rPr>
          <w:lang w:val="en-ZA"/>
        </w:rPr>
        <w:t xml:space="preserve"> may lead to lower retirement wealth</w:t>
      </w:r>
      <w:r>
        <w:rPr>
          <w:lang w:val="en-ZA"/>
        </w:rPr>
        <w:t xml:space="preserve"> in the presence of equity premium in the financial market</w:t>
      </w:r>
      <w:r w:rsidRPr="00DD3ACD">
        <w:rPr>
          <w:lang w:val="en-ZA"/>
        </w:rPr>
        <w:t>.</w:t>
      </w:r>
      <w:r>
        <w:rPr>
          <w:lang w:val="en-ZA"/>
        </w:rPr>
        <w:t xml:space="preserve"> The marital status of women affect</w:t>
      </w:r>
      <w:r w:rsidR="00D85665">
        <w:rPr>
          <w:lang w:val="en-ZA"/>
        </w:rPr>
        <w:t>s</w:t>
      </w:r>
      <w:r>
        <w:rPr>
          <w:lang w:val="en-ZA"/>
        </w:rPr>
        <w:t xml:space="preserve"> the amount of annual savings, this is attributed to an increased household income rather than increased levels of risk tolerance</w:t>
      </w:r>
      <w:r>
        <w:rPr>
          <w:noProof/>
          <w:lang w:val="en-US"/>
        </w:rPr>
        <w:t xml:space="preserve"> </w:t>
      </w:r>
      <w:sdt>
        <w:sdtPr>
          <w:rPr>
            <w:noProof/>
            <w:lang w:val="en-US"/>
          </w:rPr>
          <w:id w:val="1731575391"/>
          <w:citation/>
        </w:sdtPr>
        <w:sdtEndPr/>
        <w:sdtContent>
          <w:r>
            <w:rPr>
              <w:noProof/>
              <w:lang w:val="en-US"/>
            </w:rPr>
            <w:fldChar w:fldCharType="begin"/>
          </w:r>
          <w:r w:rsidR="005B7BCE">
            <w:rPr>
              <w:noProof/>
              <w:lang w:val="en-US"/>
            </w:rPr>
            <w:instrText xml:space="preserve">CITATION Mur12 \l 1033 </w:instrText>
          </w:r>
          <w:r>
            <w:rPr>
              <w:noProof/>
              <w:lang w:val="en-US"/>
            </w:rPr>
            <w:fldChar w:fldCharType="separate"/>
          </w:r>
          <w:r w:rsidR="005B7BCE">
            <w:rPr>
              <w:noProof/>
              <w:lang w:val="en-US"/>
            </w:rPr>
            <w:t>(Muriithi &amp; Muriithi, 2015)</w:t>
          </w:r>
          <w:r>
            <w:rPr>
              <w:noProof/>
              <w:lang w:val="en-US"/>
            </w:rPr>
            <w:fldChar w:fldCharType="end"/>
          </w:r>
        </w:sdtContent>
      </w:sdt>
      <w:r>
        <w:rPr>
          <w:noProof/>
          <w:lang w:val="en-US"/>
        </w:rPr>
        <w:t>. Higher earnings are critical to increased savings, however the gender wage gap in the workplace puts women at a disadvantage and thus reduces their ability to invest</w:t>
      </w:r>
      <w:sdt>
        <w:sdtPr>
          <w:rPr>
            <w:noProof/>
            <w:lang w:val="en-US"/>
          </w:rPr>
          <w:id w:val="1002324702"/>
          <w:citation/>
        </w:sdtPr>
        <w:sdtEndPr/>
        <w:sdtContent>
          <w:r>
            <w:rPr>
              <w:noProof/>
              <w:lang w:val="en-US"/>
            </w:rPr>
            <w:fldChar w:fldCharType="begin"/>
          </w:r>
          <w:r w:rsidR="005B7BCE">
            <w:rPr>
              <w:noProof/>
              <w:lang w:val="en-US"/>
            </w:rPr>
            <w:instrText xml:space="preserve">CITATION Whi13 \l 1033 </w:instrText>
          </w:r>
          <w:r>
            <w:rPr>
              <w:noProof/>
              <w:lang w:val="en-US"/>
            </w:rPr>
            <w:fldChar w:fldCharType="separate"/>
          </w:r>
          <w:r w:rsidR="005B7BCE">
            <w:rPr>
              <w:noProof/>
              <w:lang w:val="en-US"/>
            </w:rPr>
            <w:t xml:space="preserve"> (Whitaker, Bokemeiner, &amp; Loveridge, 2013)</w:t>
          </w:r>
          <w:r>
            <w:rPr>
              <w:noProof/>
              <w:lang w:val="en-US"/>
            </w:rPr>
            <w:fldChar w:fldCharType="end"/>
          </w:r>
        </w:sdtContent>
      </w:sdt>
      <w:r>
        <w:rPr>
          <w:noProof/>
          <w:lang w:val="en-US"/>
        </w:rPr>
        <w:t xml:space="preserve">. </w:t>
      </w:r>
    </w:p>
    <w:p w:rsidR="006F07D6" w:rsidRDefault="00DD3ACD" w:rsidP="00DD3ACD">
      <w:pPr>
        <w:rPr>
          <w:lang w:val="en-ZA"/>
        </w:rPr>
      </w:pPr>
      <w:r w:rsidRPr="00DD3ACD">
        <w:rPr>
          <w:lang w:val="en-ZA"/>
        </w:rPr>
        <w:t>The gender composition of the world is expected</w:t>
      </w:r>
      <w:r w:rsidR="0046753E">
        <w:rPr>
          <w:lang w:val="en-ZA"/>
        </w:rPr>
        <w:t xml:space="preserve"> to</w:t>
      </w:r>
      <w:r w:rsidRPr="00DD3ACD">
        <w:rPr>
          <w:lang w:val="en-ZA"/>
        </w:rPr>
        <w:t xml:space="preserve"> shift furthe</w:t>
      </w:r>
      <w:r w:rsidR="006F07D6">
        <w:rPr>
          <w:lang w:val="en-ZA"/>
        </w:rPr>
        <w:t xml:space="preserve">r in the favour of women as the </w:t>
      </w:r>
      <w:r w:rsidRPr="00DD3ACD">
        <w:rPr>
          <w:lang w:val="en-ZA"/>
        </w:rPr>
        <w:t xml:space="preserve">age profile of the baby boomer </w:t>
      </w:r>
      <w:r w:rsidR="006F07D6" w:rsidRPr="00DD3ACD">
        <w:rPr>
          <w:lang w:val="en-ZA"/>
        </w:rPr>
        <w:t>bu</w:t>
      </w:r>
      <w:r w:rsidR="006F07D6">
        <w:rPr>
          <w:lang w:val="en-ZA"/>
        </w:rPr>
        <w:t>l</w:t>
      </w:r>
      <w:r w:rsidR="006F07D6" w:rsidRPr="00DD3ACD">
        <w:rPr>
          <w:lang w:val="en-ZA"/>
        </w:rPr>
        <w:t>ge</w:t>
      </w:r>
      <w:r w:rsidRPr="00DD3ACD">
        <w:rPr>
          <w:lang w:val="en-ZA"/>
        </w:rPr>
        <w:t xml:space="preserve"> increases</w:t>
      </w:r>
      <w:sdt>
        <w:sdtPr>
          <w:rPr>
            <w:lang w:val="en-ZA"/>
          </w:rPr>
          <w:id w:val="1313998268"/>
          <w:citation/>
        </w:sdtPr>
        <w:sdtEndPr/>
        <w:sdtContent>
          <w:r w:rsidRPr="00DD3ACD">
            <w:rPr>
              <w:lang w:val="en-ZA"/>
            </w:rPr>
            <w:fldChar w:fldCharType="begin"/>
          </w:r>
          <w:r w:rsidRPr="00DD3ACD">
            <w:rPr>
              <w:lang w:val="en-ZA"/>
            </w:rPr>
            <w:instrText xml:space="preserve"> CITATION Faf11 \l 1033 </w:instrText>
          </w:r>
          <w:r w:rsidRPr="00DD3ACD">
            <w:rPr>
              <w:lang w:val="en-ZA"/>
            </w:rPr>
            <w:fldChar w:fldCharType="separate"/>
          </w:r>
          <w:r w:rsidRPr="00DD3ACD">
            <w:rPr>
              <w:lang w:val="en-ZA"/>
            </w:rPr>
            <w:t xml:space="preserve"> (Faff, Hallahan, &amp; McKenzie, 2011)</w:t>
          </w:r>
          <w:r w:rsidRPr="00DD3ACD">
            <w:rPr>
              <w:lang w:val="en-ZA"/>
            </w:rPr>
            <w:fldChar w:fldCharType="end"/>
          </w:r>
        </w:sdtContent>
      </w:sdt>
      <w:r w:rsidRPr="00DD3ACD">
        <w:rPr>
          <w:lang w:val="en-ZA"/>
        </w:rPr>
        <w:t xml:space="preserve">. </w:t>
      </w:r>
      <w:r w:rsidR="006F07D6">
        <w:rPr>
          <w:lang w:val="en-ZA"/>
        </w:rPr>
        <w:t xml:space="preserve">Women are expected to control </w:t>
      </w:r>
      <w:r w:rsidR="0046753E">
        <w:rPr>
          <w:lang w:val="en-ZA"/>
        </w:rPr>
        <w:t xml:space="preserve">a </w:t>
      </w:r>
      <w:r w:rsidR="006F07D6">
        <w:rPr>
          <w:lang w:val="en-ZA"/>
        </w:rPr>
        <w:t xml:space="preserve">majority of $41 trillion that will be passed between generations in the United States over the next 50 years, as women </w:t>
      </w:r>
      <w:r w:rsidR="0046753E">
        <w:rPr>
          <w:lang w:val="en-ZA"/>
        </w:rPr>
        <w:t>have a higher life expectancy</w:t>
      </w:r>
      <w:r w:rsidR="006F07D6">
        <w:rPr>
          <w:lang w:val="en-ZA"/>
        </w:rPr>
        <w:t xml:space="preserve"> than men</w:t>
      </w:r>
      <w:sdt>
        <w:sdtPr>
          <w:rPr>
            <w:lang w:val="en-ZA"/>
          </w:rPr>
          <w:id w:val="1086577261"/>
          <w:citation/>
        </w:sdtPr>
        <w:sdtEndPr/>
        <w:sdtContent>
          <w:r w:rsidR="006F07D6">
            <w:rPr>
              <w:lang w:val="en-ZA"/>
            </w:rPr>
            <w:fldChar w:fldCharType="begin"/>
          </w:r>
          <w:r w:rsidR="006F07D6">
            <w:rPr>
              <w:lang w:val="en-US"/>
            </w:rPr>
            <w:instrText xml:space="preserve"> CITATION Vir12 \l 1033 </w:instrText>
          </w:r>
          <w:r w:rsidR="006F07D6">
            <w:rPr>
              <w:lang w:val="en-ZA"/>
            </w:rPr>
            <w:fldChar w:fldCharType="separate"/>
          </w:r>
          <w:r w:rsidR="006F07D6">
            <w:rPr>
              <w:noProof/>
              <w:lang w:val="en-US"/>
            </w:rPr>
            <w:t xml:space="preserve"> (VirginiaTech, 2012)</w:t>
          </w:r>
          <w:r w:rsidR="006F07D6">
            <w:rPr>
              <w:lang w:val="en-ZA"/>
            </w:rPr>
            <w:fldChar w:fldCharType="end"/>
          </w:r>
        </w:sdtContent>
      </w:sdt>
      <w:r w:rsidR="006F07D6">
        <w:rPr>
          <w:lang w:val="en-ZA"/>
        </w:rPr>
        <w:t xml:space="preserve">. </w:t>
      </w:r>
      <w:r w:rsidR="006F07D6" w:rsidRPr="00DD3ACD">
        <w:rPr>
          <w:lang w:val="en-ZA"/>
        </w:rPr>
        <w:t>Faff</w:t>
      </w:r>
      <w:r w:rsidR="007A5FD1">
        <w:rPr>
          <w:lang w:val="en-ZA"/>
        </w:rPr>
        <w:t xml:space="preserve"> et al</w:t>
      </w:r>
      <w:sdt>
        <w:sdtPr>
          <w:rPr>
            <w:lang w:val="en-ZA"/>
          </w:rPr>
          <w:id w:val="123506479"/>
          <w:citation/>
        </w:sdtPr>
        <w:sdtEndPr/>
        <w:sdtContent>
          <w:r w:rsidR="006F07D6" w:rsidRPr="00DD3ACD">
            <w:rPr>
              <w:lang w:val="en-ZA"/>
            </w:rPr>
            <w:fldChar w:fldCharType="begin"/>
          </w:r>
          <w:r w:rsidR="006F07D6" w:rsidRPr="00DD3ACD">
            <w:rPr>
              <w:lang w:val="en-ZA"/>
            </w:rPr>
            <w:instrText xml:space="preserve">CITATION Faf11 \n  \t  \l 1033 </w:instrText>
          </w:r>
          <w:r w:rsidR="006F07D6" w:rsidRPr="00DD3ACD">
            <w:rPr>
              <w:lang w:val="en-ZA"/>
            </w:rPr>
            <w:fldChar w:fldCharType="separate"/>
          </w:r>
          <w:r w:rsidR="006F07D6" w:rsidRPr="00DD3ACD">
            <w:rPr>
              <w:lang w:val="en-ZA"/>
            </w:rPr>
            <w:t xml:space="preserve"> (2011)</w:t>
          </w:r>
          <w:r w:rsidR="006F07D6" w:rsidRPr="00DD3ACD">
            <w:rPr>
              <w:lang w:val="en-ZA"/>
            </w:rPr>
            <w:fldChar w:fldCharType="end"/>
          </w:r>
        </w:sdtContent>
      </w:sdt>
      <w:r w:rsidR="007A5FD1">
        <w:rPr>
          <w:lang w:val="en-ZA"/>
        </w:rPr>
        <w:t>,</w:t>
      </w:r>
      <w:r w:rsidR="006F07D6">
        <w:rPr>
          <w:lang w:val="en-ZA"/>
        </w:rPr>
        <w:t xml:space="preserve"> consider </w:t>
      </w:r>
      <w:r w:rsidR="006F07D6" w:rsidRPr="00DD3ACD">
        <w:rPr>
          <w:lang w:val="en-ZA"/>
        </w:rPr>
        <w:t xml:space="preserve">women </w:t>
      </w:r>
      <w:r w:rsidR="0046753E">
        <w:rPr>
          <w:lang w:val="en-ZA"/>
        </w:rPr>
        <w:t xml:space="preserve">in </w:t>
      </w:r>
      <w:r w:rsidR="006F07D6">
        <w:rPr>
          <w:lang w:val="en-ZA"/>
        </w:rPr>
        <w:t xml:space="preserve">general to be </w:t>
      </w:r>
      <w:r w:rsidR="006F07D6" w:rsidRPr="00DD3ACD">
        <w:rPr>
          <w:lang w:val="en-ZA"/>
        </w:rPr>
        <w:t>at risk of having lower levels of wealth during retirement years based on women having more conservative risk profiles.</w:t>
      </w:r>
    </w:p>
    <w:p w:rsidR="006F07D6" w:rsidRPr="008633D2" w:rsidRDefault="006F07D6" w:rsidP="008D7AD4">
      <w:pPr>
        <w:rPr>
          <w:lang w:val="en-ZA"/>
        </w:rPr>
      </w:pPr>
    </w:p>
    <w:p w:rsidR="007707D4" w:rsidRDefault="007707D4" w:rsidP="007707D4">
      <w:pPr>
        <w:pStyle w:val="Heading3"/>
        <w:rPr>
          <w:lang w:val="en-ZA"/>
        </w:rPr>
      </w:pPr>
      <w:bookmarkStart w:id="112" w:name="_Toc458610779"/>
      <w:r w:rsidRPr="008633D2">
        <w:rPr>
          <w:lang w:val="en-ZA"/>
        </w:rPr>
        <w:t xml:space="preserve">The </w:t>
      </w:r>
      <w:r>
        <w:rPr>
          <w:lang w:val="en-ZA"/>
        </w:rPr>
        <w:t xml:space="preserve">performance of funds </w:t>
      </w:r>
      <w:r w:rsidR="00036DD0">
        <w:rPr>
          <w:lang w:val="en-ZA"/>
        </w:rPr>
        <w:t xml:space="preserve">in relation to </w:t>
      </w:r>
      <w:r>
        <w:rPr>
          <w:lang w:val="en-ZA"/>
        </w:rPr>
        <w:t>market return</w:t>
      </w:r>
      <w:bookmarkEnd w:id="112"/>
    </w:p>
    <w:p w:rsidR="0093504E" w:rsidRDefault="00A82845" w:rsidP="00A82845">
      <w:pPr>
        <w:rPr>
          <w:lang w:val="en-ZA"/>
        </w:rPr>
      </w:pPr>
      <w:r w:rsidRPr="008633D2">
        <w:rPr>
          <w:lang w:val="en-ZA"/>
        </w:rPr>
        <w:t>The efficient markets hypothesis in finance provides that securities are fairly priced in the market and that the prices fully reflect all available information</w:t>
      </w:r>
      <w:sdt>
        <w:sdtPr>
          <w:rPr>
            <w:lang w:val="en-ZA"/>
          </w:rPr>
          <w:id w:val="-1091393998"/>
          <w:citation/>
        </w:sdtPr>
        <w:sdtEndPr/>
        <w:sdtContent>
          <w:r w:rsidRPr="008633D2">
            <w:rPr>
              <w:lang w:val="en-ZA"/>
            </w:rPr>
            <w:fldChar w:fldCharType="begin"/>
          </w:r>
          <w:r w:rsidRPr="008633D2">
            <w:rPr>
              <w:lang w:val="en-ZA"/>
            </w:rPr>
            <w:instrText xml:space="preserve"> CITATION Fam70 \l 1033 </w:instrText>
          </w:r>
          <w:r w:rsidRPr="008633D2">
            <w:rPr>
              <w:lang w:val="en-ZA"/>
            </w:rPr>
            <w:fldChar w:fldCharType="separate"/>
          </w:r>
          <w:r w:rsidRPr="008633D2">
            <w:rPr>
              <w:lang w:val="en-ZA"/>
            </w:rPr>
            <w:t xml:space="preserve"> (Fama, 1970)</w:t>
          </w:r>
          <w:r w:rsidRPr="008633D2">
            <w:rPr>
              <w:lang w:val="en-ZA"/>
            </w:rPr>
            <w:fldChar w:fldCharType="end"/>
          </w:r>
        </w:sdtContent>
      </w:sdt>
      <w:r>
        <w:rPr>
          <w:lang w:val="en-ZA"/>
        </w:rPr>
        <w:t xml:space="preserve">. </w:t>
      </w:r>
      <w:r w:rsidRPr="008633D2">
        <w:rPr>
          <w:lang w:val="en-ZA"/>
        </w:rPr>
        <w:t xml:space="preserve">This indicates that investors are not able to systematically beat the market </w:t>
      </w:r>
      <w:r>
        <w:rPr>
          <w:lang w:val="en-ZA"/>
        </w:rPr>
        <w:t xml:space="preserve">if the </w:t>
      </w:r>
      <w:r w:rsidRPr="008633D2">
        <w:rPr>
          <w:lang w:val="en-ZA"/>
        </w:rPr>
        <w:t>market</w:t>
      </w:r>
      <w:r>
        <w:rPr>
          <w:lang w:val="en-ZA"/>
        </w:rPr>
        <w:t xml:space="preserve"> is efficient</w:t>
      </w:r>
      <w:sdt>
        <w:sdtPr>
          <w:rPr>
            <w:lang w:val="en-ZA"/>
          </w:rPr>
          <w:id w:val="-524937444"/>
          <w:citation/>
        </w:sdtPr>
        <w:sdtEndPr/>
        <w:sdtContent>
          <w:r w:rsidRPr="008633D2">
            <w:rPr>
              <w:lang w:val="en-ZA"/>
            </w:rPr>
            <w:fldChar w:fldCharType="begin"/>
          </w:r>
          <w:r w:rsidR="005B7BCE">
            <w:rPr>
              <w:lang w:val="en-ZA"/>
            </w:rPr>
            <w:instrText xml:space="preserve">CITATION Gre05 \l 1033 </w:instrText>
          </w:r>
          <w:r w:rsidRPr="008633D2">
            <w:rPr>
              <w:lang w:val="en-ZA"/>
            </w:rPr>
            <w:fldChar w:fldCharType="separate"/>
          </w:r>
          <w:r w:rsidR="005B7BCE">
            <w:rPr>
              <w:noProof/>
              <w:lang w:val="en-ZA"/>
            </w:rPr>
            <w:t xml:space="preserve"> </w:t>
          </w:r>
          <w:r w:rsidR="005B7BCE" w:rsidRPr="005B7BCE">
            <w:rPr>
              <w:noProof/>
              <w:lang w:val="en-ZA"/>
            </w:rPr>
            <w:t>(Grey, 2005)</w:t>
          </w:r>
          <w:r w:rsidRPr="008633D2">
            <w:rPr>
              <w:lang w:val="en-ZA"/>
            </w:rPr>
            <w:fldChar w:fldCharType="end"/>
          </w:r>
        </w:sdtContent>
      </w:sdt>
      <w:r w:rsidRPr="008633D2">
        <w:rPr>
          <w:lang w:val="en-ZA"/>
        </w:rPr>
        <w:t>.</w:t>
      </w:r>
      <w:r>
        <w:rPr>
          <w:lang w:val="en-ZA"/>
        </w:rPr>
        <w:t xml:space="preserve"> </w:t>
      </w:r>
      <w:r w:rsidR="0093504E">
        <w:rPr>
          <w:lang w:val="en-ZA"/>
        </w:rPr>
        <w:t>In South Africa, investors are subject to a high amount of information asymmetry, which impacts on the pace of market movements and investor decisions and thus overall returns</w:t>
      </w:r>
      <w:r w:rsidR="005A0A49">
        <w:rPr>
          <w:lang w:val="en-ZA"/>
        </w:rPr>
        <w:t>.</w:t>
      </w:r>
    </w:p>
    <w:p w:rsidR="0093504E" w:rsidRDefault="0093504E" w:rsidP="00A82845">
      <w:pPr>
        <w:rPr>
          <w:lang w:val="en-ZA"/>
        </w:rPr>
      </w:pPr>
    </w:p>
    <w:p w:rsidR="00A82845" w:rsidRDefault="00036DD0" w:rsidP="00A82845">
      <w:pPr>
        <w:rPr>
          <w:lang w:val="en-ZA"/>
        </w:rPr>
      </w:pPr>
      <w:r>
        <w:rPr>
          <w:lang w:val="en-ZA"/>
        </w:rPr>
        <w:t>Unit trust managers insist that they are able to provide better returns, which defies the notion of an efficient market</w:t>
      </w:r>
      <w:sdt>
        <w:sdtPr>
          <w:rPr>
            <w:lang w:val="en-ZA"/>
          </w:rPr>
          <w:id w:val="-415863524"/>
          <w:citation/>
        </w:sdtPr>
        <w:sdtEndPr/>
        <w:sdtContent>
          <w:r>
            <w:rPr>
              <w:lang w:val="en-ZA"/>
            </w:rPr>
            <w:fldChar w:fldCharType="begin"/>
          </w:r>
          <w:r w:rsidR="005B7BCE">
            <w:rPr>
              <w:lang w:val="en-US"/>
            </w:rPr>
            <w:instrText xml:space="preserve">CITATION Old97 \l 1033 </w:instrText>
          </w:r>
          <w:r>
            <w:rPr>
              <w:lang w:val="en-ZA"/>
            </w:rPr>
            <w:fldChar w:fldCharType="separate"/>
          </w:r>
          <w:r w:rsidR="005B7BCE">
            <w:rPr>
              <w:noProof/>
              <w:lang w:val="en-US"/>
            </w:rPr>
            <w:t xml:space="preserve"> (Oldfield &amp; Page, 1997)</w:t>
          </w:r>
          <w:r>
            <w:rPr>
              <w:lang w:val="en-ZA"/>
            </w:rPr>
            <w:fldChar w:fldCharType="end"/>
          </w:r>
        </w:sdtContent>
      </w:sdt>
      <w:r>
        <w:rPr>
          <w:lang w:val="en-ZA"/>
        </w:rPr>
        <w:t xml:space="preserve">. </w:t>
      </w:r>
      <w:r w:rsidR="00AD2129">
        <w:rPr>
          <w:lang w:val="en-ZA"/>
        </w:rPr>
        <w:t>Extra return for the fund’s level of systemic risk or for the value added by the fund manager is known as alpha</w:t>
      </w:r>
      <w:sdt>
        <w:sdtPr>
          <w:rPr>
            <w:lang w:val="en-ZA"/>
          </w:rPr>
          <w:id w:val="1655575688"/>
          <w:citation/>
        </w:sdtPr>
        <w:sdtEndPr/>
        <w:sdtContent>
          <w:r w:rsidR="00AD2129">
            <w:rPr>
              <w:lang w:val="en-ZA"/>
            </w:rPr>
            <w:fldChar w:fldCharType="begin"/>
          </w:r>
          <w:r w:rsidR="005B7BCE">
            <w:rPr>
              <w:lang w:val="en-US"/>
            </w:rPr>
            <w:instrText xml:space="preserve">CITATION Sim98 \l 1033 </w:instrText>
          </w:r>
          <w:r w:rsidR="00AD2129">
            <w:rPr>
              <w:lang w:val="en-ZA"/>
            </w:rPr>
            <w:fldChar w:fldCharType="separate"/>
          </w:r>
          <w:r w:rsidR="005B7BCE">
            <w:rPr>
              <w:noProof/>
              <w:lang w:val="en-US"/>
            </w:rPr>
            <w:t xml:space="preserve"> (Simons, 1998)</w:t>
          </w:r>
          <w:r w:rsidR="00AD2129">
            <w:rPr>
              <w:lang w:val="en-ZA"/>
            </w:rPr>
            <w:fldChar w:fldCharType="end"/>
          </w:r>
        </w:sdtContent>
      </w:sdt>
      <w:r w:rsidR="00AD2129">
        <w:rPr>
          <w:lang w:val="en-ZA"/>
        </w:rPr>
        <w:t xml:space="preserve">. </w:t>
      </w:r>
      <w:r>
        <w:rPr>
          <w:lang w:val="en-ZA"/>
        </w:rPr>
        <w:t xml:space="preserve">It has been hyped that </w:t>
      </w:r>
      <w:r w:rsidR="00A82845">
        <w:rPr>
          <w:lang w:val="en-ZA"/>
        </w:rPr>
        <w:t>South Africa, as an emerging market</w:t>
      </w:r>
      <w:r w:rsidR="005A0A49">
        <w:rPr>
          <w:lang w:val="en-ZA"/>
        </w:rPr>
        <w:t>,</w:t>
      </w:r>
      <w:r w:rsidR="00A82845">
        <w:rPr>
          <w:lang w:val="en-ZA"/>
        </w:rPr>
        <w:t xml:space="preserve"> could provide better alpha generating opportunities than more efficient developed markets</w:t>
      </w:r>
      <w:sdt>
        <w:sdtPr>
          <w:rPr>
            <w:lang w:val="en-ZA"/>
          </w:rPr>
          <w:id w:val="1639687914"/>
          <w:citation/>
        </w:sdtPr>
        <w:sdtEndPr/>
        <w:sdtContent>
          <w:r w:rsidR="00A82845">
            <w:rPr>
              <w:lang w:val="en-ZA"/>
            </w:rPr>
            <w:fldChar w:fldCharType="begin"/>
          </w:r>
          <w:r w:rsidR="00A82845">
            <w:rPr>
              <w:lang w:val="en-US"/>
            </w:rPr>
            <w:instrText xml:space="preserve"> CITATION Can08 \l 1033 </w:instrText>
          </w:r>
          <w:r w:rsidR="00A82845">
            <w:rPr>
              <w:lang w:val="en-ZA"/>
            </w:rPr>
            <w:fldChar w:fldCharType="separate"/>
          </w:r>
          <w:r w:rsidR="00A82845">
            <w:rPr>
              <w:noProof/>
              <w:lang w:val="en-US"/>
            </w:rPr>
            <w:t xml:space="preserve"> (Cabot-Alletzhauser, 2008)</w:t>
          </w:r>
          <w:r w:rsidR="00A82845">
            <w:rPr>
              <w:lang w:val="en-ZA"/>
            </w:rPr>
            <w:fldChar w:fldCharType="end"/>
          </w:r>
        </w:sdtContent>
      </w:sdt>
      <w:r w:rsidR="00A82845">
        <w:rPr>
          <w:lang w:val="en-ZA"/>
        </w:rPr>
        <w:t>.</w:t>
      </w:r>
    </w:p>
    <w:p w:rsidR="0093504E" w:rsidRDefault="0093504E" w:rsidP="00A82845">
      <w:pPr>
        <w:rPr>
          <w:lang w:val="en-ZA"/>
        </w:rPr>
      </w:pPr>
    </w:p>
    <w:p w:rsidR="00036DD0" w:rsidRDefault="00036DD0" w:rsidP="00A82845">
      <w:pPr>
        <w:rPr>
          <w:noProof/>
          <w:lang w:val="en-US"/>
        </w:rPr>
      </w:pPr>
      <w:r>
        <w:rPr>
          <w:lang w:val="en-ZA"/>
        </w:rPr>
        <w:t>Active fund managers seek to generate returns that are in excess of the benchmark of the fund</w:t>
      </w:r>
      <w:sdt>
        <w:sdtPr>
          <w:rPr>
            <w:lang w:val="en-ZA"/>
          </w:rPr>
          <w:id w:val="-1884012405"/>
          <w:citation/>
        </w:sdtPr>
        <w:sdtEndPr/>
        <w:sdtContent>
          <w:r>
            <w:rPr>
              <w:lang w:val="en-ZA"/>
            </w:rPr>
            <w:fldChar w:fldCharType="begin"/>
          </w:r>
          <w:r>
            <w:rPr>
              <w:lang w:val="en-US"/>
            </w:rPr>
            <w:instrText xml:space="preserve"> CITATION Les15 \l 1033 </w:instrText>
          </w:r>
          <w:r>
            <w:rPr>
              <w:lang w:val="en-ZA"/>
            </w:rPr>
            <w:fldChar w:fldCharType="separate"/>
          </w:r>
          <w:r>
            <w:rPr>
              <w:noProof/>
              <w:lang w:val="en-US"/>
            </w:rPr>
            <w:t xml:space="preserve"> (Lester &amp; Corubolo, 2015)</w:t>
          </w:r>
          <w:r>
            <w:rPr>
              <w:lang w:val="en-ZA"/>
            </w:rPr>
            <w:fldChar w:fldCharType="end"/>
          </w:r>
        </w:sdtContent>
      </w:sdt>
      <w:r>
        <w:rPr>
          <w:lang w:val="en-ZA"/>
        </w:rPr>
        <w:t xml:space="preserve">. </w:t>
      </w:r>
      <w:r w:rsidR="00A82845">
        <w:rPr>
          <w:noProof/>
          <w:lang w:val="en-US"/>
        </w:rPr>
        <w:t>Cabot-Alletzhauser</w:t>
      </w:r>
      <w:r w:rsidR="005A0A49">
        <w:rPr>
          <w:noProof/>
          <w:lang w:val="en-US"/>
        </w:rPr>
        <w:t xml:space="preserve"> </w:t>
      </w:r>
      <w:r w:rsidR="00A82845">
        <w:rPr>
          <w:noProof/>
          <w:lang w:val="en-US"/>
        </w:rPr>
        <w:t>(2008) indicates that the fact that funds managers can only go long on shares and that portfolios are well diversified ensures that portfolios do not become to risk</w:t>
      </w:r>
      <w:r>
        <w:rPr>
          <w:noProof/>
          <w:lang w:val="en-US"/>
        </w:rPr>
        <w:t>y. H</w:t>
      </w:r>
      <w:r w:rsidR="00A82845">
        <w:rPr>
          <w:noProof/>
          <w:lang w:val="en-US"/>
        </w:rPr>
        <w:t>owever</w:t>
      </w:r>
      <w:r w:rsidR="005A0A49">
        <w:rPr>
          <w:noProof/>
          <w:lang w:val="en-US"/>
        </w:rPr>
        <w:t>,</w:t>
      </w:r>
      <w:r>
        <w:rPr>
          <w:noProof/>
          <w:lang w:val="en-US"/>
        </w:rPr>
        <w:t xml:space="preserve"> the author notes that the finacial</w:t>
      </w:r>
      <w:r w:rsidR="00A82845">
        <w:rPr>
          <w:noProof/>
          <w:lang w:val="en-US"/>
        </w:rPr>
        <w:t xml:space="preserve"> markets do not operate under similar restrictions.</w:t>
      </w:r>
      <w:r>
        <w:rPr>
          <w:noProof/>
          <w:lang w:val="en-US"/>
        </w:rPr>
        <w:t xml:space="preserve">  </w:t>
      </w:r>
      <w:r w:rsidRPr="008633D2">
        <w:rPr>
          <w:lang w:val="en-ZA"/>
        </w:rPr>
        <w:t xml:space="preserve">Meyer-Pretorius </w:t>
      </w:r>
      <w:r w:rsidR="005A0A49">
        <w:rPr>
          <w:lang w:val="en-ZA"/>
        </w:rPr>
        <w:t>and</w:t>
      </w:r>
      <w:r w:rsidRPr="008633D2">
        <w:rPr>
          <w:lang w:val="en-ZA"/>
        </w:rPr>
        <w:t xml:space="preserve"> Wolmarans</w:t>
      </w:r>
      <w:sdt>
        <w:sdtPr>
          <w:rPr>
            <w:lang w:val="en-ZA"/>
          </w:rPr>
          <w:id w:val="2051108870"/>
          <w:citation/>
        </w:sdtPr>
        <w:sdtEndPr/>
        <w:sdtContent>
          <w:r w:rsidRPr="008633D2">
            <w:rPr>
              <w:lang w:val="en-ZA"/>
            </w:rPr>
            <w:fldChar w:fldCharType="begin"/>
          </w:r>
          <w:r w:rsidRPr="008633D2">
            <w:rPr>
              <w:lang w:val="en-ZA"/>
            </w:rPr>
            <w:instrText xml:space="preserve">CITATION Mey06 \n  \t  \l 1033 </w:instrText>
          </w:r>
          <w:r w:rsidRPr="008633D2">
            <w:rPr>
              <w:lang w:val="en-ZA"/>
            </w:rPr>
            <w:fldChar w:fldCharType="separate"/>
          </w:r>
          <w:r w:rsidRPr="008633D2">
            <w:rPr>
              <w:lang w:val="en-ZA"/>
            </w:rPr>
            <w:t xml:space="preserve"> (2006)</w:t>
          </w:r>
          <w:r w:rsidRPr="008633D2">
            <w:rPr>
              <w:lang w:val="en-ZA"/>
            </w:rPr>
            <w:fldChar w:fldCharType="end"/>
          </w:r>
        </w:sdtContent>
      </w:sdt>
      <w:r w:rsidRPr="008633D2">
        <w:rPr>
          <w:lang w:val="en-ZA"/>
        </w:rPr>
        <w:t xml:space="preserve"> indicate that </w:t>
      </w:r>
      <w:r>
        <w:rPr>
          <w:lang w:val="en-ZA"/>
        </w:rPr>
        <w:t>a study</w:t>
      </w:r>
      <w:r w:rsidRPr="008633D2">
        <w:rPr>
          <w:lang w:val="en-ZA"/>
        </w:rPr>
        <w:t xml:space="preserve"> of the pe</w:t>
      </w:r>
      <w:r>
        <w:rPr>
          <w:lang w:val="en-ZA"/>
        </w:rPr>
        <w:t>rformance of unit trusts in SA</w:t>
      </w:r>
      <w:r w:rsidR="007A5FD1">
        <w:rPr>
          <w:lang w:val="en-ZA"/>
        </w:rPr>
        <w:t>,</w:t>
      </w:r>
      <w:r>
        <w:rPr>
          <w:lang w:val="en-ZA"/>
        </w:rPr>
        <w:t xml:space="preserve"> </w:t>
      </w:r>
      <w:r w:rsidRPr="008633D2">
        <w:rPr>
          <w:lang w:val="en-ZA"/>
        </w:rPr>
        <w:t>suggest</w:t>
      </w:r>
      <w:r>
        <w:rPr>
          <w:lang w:val="en-ZA"/>
        </w:rPr>
        <w:t>s</w:t>
      </w:r>
      <w:r w:rsidRPr="008633D2">
        <w:rPr>
          <w:lang w:val="en-ZA"/>
        </w:rPr>
        <w:t xml:space="preserve"> that </w:t>
      </w:r>
      <w:r>
        <w:rPr>
          <w:lang w:val="en-ZA"/>
        </w:rPr>
        <w:t xml:space="preserve">unit trusts </w:t>
      </w:r>
      <w:r w:rsidRPr="008633D2">
        <w:rPr>
          <w:lang w:val="en-ZA"/>
        </w:rPr>
        <w:t>offer a small investor an acceptable return which beats inflation, over the medium to long term and it is this potential upside that makes un</w:t>
      </w:r>
      <w:r>
        <w:rPr>
          <w:lang w:val="en-ZA"/>
        </w:rPr>
        <w:t>it trusts attractive to investor</w:t>
      </w:r>
      <w:r w:rsidRPr="008633D2">
        <w:rPr>
          <w:lang w:val="en-ZA"/>
        </w:rPr>
        <w:t>s.</w:t>
      </w:r>
    </w:p>
    <w:p w:rsidR="00036DD0" w:rsidRDefault="00036DD0" w:rsidP="00A82845">
      <w:pPr>
        <w:rPr>
          <w:noProof/>
          <w:lang w:val="en-US"/>
        </w:rPr>
      </w:pPr>
    </w:p>
    <w:p w:rsidR="00036DD0" w:rsidRDefault="00A82845" w:rsidP="00036DD0">
      <w:pPr>
        <w:rPr>
          <w:noProof/>
          <w:lang w:val="en-US"/>
        </w:rPr>
      </w:pPr>
      <w:r>
        <w:rPr>
          <w:noProof/>
          <w:lang w:val="en-US"/>
        </w:rPr>
        <w:t>Lester and Corubolo (2015) confirm that sector allocation and stock selection have both historically been a source of excess returns</w:t>
      </w:r>
      <w:r w:rsidR="00036DD0">
        <w:rPr>
          <w:noProof/>
          <w:lang w:val="en-US"/>
        </w:rPr>
        <w:t xml:space="preserve"> in funds</w:t>
      </w:r>
      <w:r>
        <w:rPr>
          <w:noProof/>
          <w:lang w:val="en-US"/>
        </w:rPr>
        <w:t>. The authors found in their study that</w:t>
      </w:r>
      <w:r w:rsidR="00036DD0">
        <w:rPr>
          <w:noProof/>
          <w:lang w:val="en-US"/>
        </w:rPr>
        <w:t xml:space="preserve"> fund managers were able to</w:t>
      </w:r>
      <w:r>
        <w:rPr>
          <w:noProof/>
          <w:lang w:val="en-US"/>
        </w:rPr>
        <w:t xml:space="preserve"> source excess returns without increasing the risk of their portfolios and offer the presence of manager skill as a possible explanation. </w:t>
      </w:r>
      <w:r w:rsidR="00036DD0">
        <w:rPr>
          <w:noProof/>
          <w:lang w:val="en-US"/>
        </w:rPr>
        <w:t xml:space="preserve"> Outperformance of funds can be sourced through sector allocation though it may be off</w:t>
      </w:r>
      <w:r w:rsidR="005A0A49">
        <w:rPr>
          <w:noProof/>
          <w:lang w:val="en-US"/>
        </w:rPr>
        <w:t>se</w:t>
      </w:r>
      <w:r w:rsidR="00036DD0">
        <w:rPr>
          <w:noProof/>
          <w:lang w:val="en-US"/>
        </w:rPr>
        <w:t>t by poor stock selection in some cases in S</w:t>
      </w:r>
      <w:r w:rsidR="007A5FD1">
        <w:rPr>
          <w:noProof/>
          <w:lang w:val="en-US"/>
        </w:rPr>
        <w:t>A</w:t>
      </w:r>
      <w:sdt>
        <w:sdtPr>
          <w:rPr>
            <w:noProof/>
            <w:lang w:val="en-US"/>
          </w:rPr>
          <w:id w:val="-2082970839"/>
          <w:citation/>
        </w:sdtPr>
        <w:sdtEndPr/>
        <w:sdtContent>
          <w:r w:rsidR="00036DD0">
            <w:rPr>
              <w:noProof/>
              <w:lang w:val="en-US"/>
            </w:rPr>
            <w:fldChar w:fldCharType="begin"/>
          </w:r>
          <w:r w:rsidR="005B7BCE">
            <w:rPr>
              <w:noProof/>
              <w:lang w:val="en-US"/>
            </w:rPr>
            <w:instrText xml:space="preserve">CITATION Kri13 \l 1033 </w:instrText>
          </w:r>
          <w:r w:rsidR="00036DD0">
            <w:rPr>
              <w:noProof/>
              <w:lang w:val="en-US"/>
            </w:rPr>
            <w:fldChar w:fldCharType="separate"/>
          </w:r>
          <w:r w:rsidR="005B7BCE">
            <w:rPr>
              <w:noProof/>
              <w:lang w:val="en-US"/>
            </w:rPr>
            <w:t xml:space="preserve"> (Krige &amp; Fox, 2013)</w:t>
          </w:r>
          <w:r w:rsidR="00036DD0">
            <w:rPr>
              <w:noProof/>
              <w:lang w:val="en-US"/>
            </w:rPr>
            <w:fldChar w:fldCharType="end"/>
          </w:r>
        </w:sdtContent>
      </w:sdt>
      <w:r w:rsidR="00036DD0">
        <w:rPr>
          <w:noProof/>
          <w:lang w:val="en-US"/>
        </w:rPr>
        <w:t xml:space="preserve">. </w:t>
      </w:r>
    </w:p>
    <w:p w:rsidR="00036DD0" w:rsidRDefault="00036DD0" w:rsidP="00036DD0">
      <w:pPr>
        <w:rPr>
          <w:noProof/>
          <w:lang w:val="en-US"/>
        </w:rPr>
      </w:pPr>
    </w:p>
    <w:p w:rsidR="00036DD0" w:rsidRPr="008633D2" w:rsidRDefault="00036DD0" w:rsidP="00036DD0">
      <w:pPr>
        <w:rPr>
          <w:lang w:val="en-ZA"/>
        </w:rPr>
      </w:pPr>
      <w:r>
        <w:rPr>
          <w:noProof/>
          <w:lang w:val="en-US"/>
        </w:rPr>
        <w:t>Bertolis and  Hayes (2014) confirm that in the case of South Africa</w:t>
      </w:r>
      <w:r w:rsidR="005A0A49">
        <w:rPr>
          <w:noProof/>
          <w:lang w:val="en-US"/>
        </w:rPr>
        <w:t>,</w:t>
      </w:r>
      <w:r>
        <w:rPr>
          <w:noProof/>
          <w:lang w:val="en-US"/>
        </w:rPr>
        <w:t xml:space="preserve"> there is no statistical support to indicate that unit trust managers can generate alpha different </w:t>
      </w:r>
      <w:r w:rsidR="0046753E">
        <w:rPr>
          <w:noProof/>
          <w:lang w:val="en-US"/>
        </w:rPr>
        <w:t xml:space="preserve">from </w:t>
      </w:r>
      <w:r>
        <w:rPr>
          <w:noProof/>
          <w:lang w:val="en-US"/>
        </w:rPr>
        <w:t>zero over long periods. The researchers do find that alpha generation different from zero can be achieved by fund managers in South Africa during certain econ</w:t>
      </w:r>
      <w:r w:rsidR="0046753E">
        <w:rPr>
          <w:noProof/>
          <w:lang w:val="en-US"/>
        </w:rPr>
        <w:t>o</w:t>
      </w:r>
      <w:r>
        <w:rPr>
          <w:noProof/>
          <w:lang w:val="en-US"/>
        </w:rPr>
        <w:t>mic periods, possibly due to less eff</w:t>
      </w:r>
      <w:r w:rsidR="0046753E">
        <w:rPr>
          <w:noProof/>
          <w:lang w:val="en-US"/>
        </w:rPr>
        <w:t>cien</w:t>
      </w:r>
      <w:r>
        <w:rPr>
          <w:noProof/>
          <w:lang w:val="en-US"/>
        </w:rPr>
        <w:t>t markets.  In particular</w:t>
      </w:r>
      <w:r w:rsidR="005A0A49">
        <w:rPr>
          <w:noProof/>
          <w:lang w:val="en-US"/>
        </w:rPr>
        <w:t>,</w:t>
      </w:r>
      <w:r>
        <w:rPr>
          <w:noProof/>
          <w:lang w:val="en-US"/>
        </w:rPr>
        <w:t xml:space="preserve"> the authors confirm that fund managers generate positive alpha during periods of economic expansion in South Africa. </w:t>
      </w:r>
      <w:r>
        <w:rPr>
          <w:lang w:val="en-ZA"/>
        </w:rPr>
        <w:t>It must be noted that past performance is no indication of future performance</w:t>
      </w:r>
      <w:sdt>
        <w:sdtPr>
          <w:rPr>
            <w:lang w:val="en-ZA"/>
          </w:rPr>
          <w:id w:val="1308671466"/>
          <w:citation/>
        </w:sdtPr>
        <w:sdtEndPr/>
        <w:sdtContent>
          <w:r>
            <w:rPr>
              <w:lang w:val="en-ZA"/>
            </w:rPr>
            <w:fldChar w:fldCharType="begin"/>
          </w:r>
          <w:r>
            <w:rPr>
              <w:lang w:val="en-US"/>
            </w:rPr>
            <w:instrText xml:space="preserve"> CITATION Can08 \l 1033 </w:instrText>
          </w:r>
          <w:r>
            <w:rPr>
              <w:lang w:val="en-ZA"/>
            </w:rPr>
            <w:fldChar w:fldCharType="separate"/>
          </w:r>
          <w:r>
            <w:rPr>
              <w:noProof/>
              <w:lang w:val="en-US"/>
            </w:rPr>
            <w:t xml:space="preserve"> (Cabot-Alletzhauser, 2008)</w:t>
          </w:r>
          <w:r>
            <w:rPr>
              <w:lang w:val="en-ZA"/>
            </w:rPr>
            <w:fldChar w:fldCharType="end"/>
          </w:r>
        </w:sdtContent>
      </w:sdt>
      <w:r>
        <w:rPr>
          <w:lang w:val="en-ZA"/>
        </w:rPr>
        <w:t xml:space="preserve">. </w:t>
      </w:r>
    </w:p>
    <w:p w:rsidR="007A5FD1" w:rsidRDefault="007A5FD1" w:rsidP="007707D4">
      <w:pPr>
        <w:rPr>
          <w:lang w:val="en-ZA"/>
        </w:rPr>
      </w:pPr>
    </w:p>
    <w:p w:rsidR="007A5FD1" w:rsidRDefault="007A5FD1" w:rsidP="007707D4">
      <w:pPr>
        <w:rPr>
          <w:lang w:val="en-ZA"/>
        </w:rPr>
      </w:pPr>
    </w:p>
    <w:p w:rsidR="007A5FD1" w:rsidRDefault="007A5FD1" w:rsidP="007707D4">
      <w:pPr>
        <w:rPr>
          <w:lang w:val="en-ZA"/>
        </w:rPr>
      </w:pPr>
    </w:p>
    <w:p w:rsidR="0051718F" w:rsidRPr="008633D2" w:rsidRDefault="0051718F" w:rsidP="0051718F">
      <w:pPr>
        <w:pStyle w:val="Heading3"/>
        <w:rPr>
          <w:lang w:val="en-ZA"/>
        </w:rPr>
      </w:pPr>
      <w:bookmarkStart w:id="113" w:name="_Toc458610780"/>
      <w:r w:rsidRPr="008633D2">
        <w:rPr>
          <w:lang w:val="en-ZA"/>
        </w:rPr>
        <w:t xml:space="preserve">The performance of unit trusts </w:t>
      </w:r>
      <w:r w:rsidR="007F7693">
        <w:rPr>
          <w:lang w:val="en-ZA"/>
        </w:rPr>
        <w:t>related to</w:t>
      </w:r>
      <w:r w:rsidRPr="008633D2">
        <w:rPr>
          <w:lang w:val="en-ZA"/>
        </w:rPr>
        <w:t xml:space="preserve"> fund manager skill</w:t>
      </w:r>
      <w:bookmarkEnd w:id="106"/>
      <w:bookmarkEnd w:id="113"/>
    </w:p>
    <w:p w:rsidR="0093504E" w:rsidRDefault="00575A99" w:rsidP="0093504E">
      <w:pPr>
        <w:rPr>
          <w:lang w:val="en-ZA"/>
        </w:rPr>
      </w:pPr>
      <w:r w:rsidRPr="008633D2">
        <w:rPr>
          <w:lang w:val="en-ZA"/>
        </w:rPr>
        <w:t>In South Africa, performance is gene</w:t>
      </w:r>
      <w:r w:rsidR="00360D76">
        <w:rPr>
          <w:lang w:val="en-ZA"/>
        </w:rPr>
        <w:t>rally benchmarked against the JSE’s</w:t>
      </w:r>
      <w:r w:rsidR="009057E8" w:rsidRPr="008633D2">
        <w:rPr>
          <w:lang w:val="en-ZA"/>
        </w:rPr>
        <w:t xml:space="preserve"> a</w:t>
      </w:r>
      <w:r w:rsidRPr="008633D2">
        <w:rPr>
          <w:lang w:val="en-ZA"/>
        </w:rPr>
        <w:t xml:space="preserve">ll </w:t>
      </w:r>
      <w:r w:rsidR="009057E8" w:rsidRPr="008633D2">
        <w:rPr>
          <w:lang w:val="en-ZA"/>
        </w:rPr>
        <w:t>s</w:t>
      </w:r>
      <w:r w:rsidRPr="008633D2">
        <w:rPr>
          <w:lang w:val="en-ZA"/>
        </w:rPr>
        <w:t xml:space="preserve">hare </w:t>
      </w:r>
      <w:r w:rsidR="009057E8" w:rsidRPr="008633D2">
        <w:rPr>
          <w:lang w:val="en-ZA"/>
        </w:rPr>
        <w:t>i</w:t>
      </w:r>
      <w:r w:rsidRPr="008633D2">
        <w:rPr>
          <w:lang w:val="en-ZA"/>
        </w:rPr>
        <w:t xml:space="preserve">ndex. A fair amount of research on the performance of unit trusts has been done since the mid to late 1960’s and more </w:t>
      </w:r>
      <w:r w:rsidR="00CC6274" w:rsidRPr="008633D2">
        <w:rPr>
          <w:lang w:val="en-ZA"/>
        </w:rPr>
        <w:t>recently,</w:t>
      </w:r>
      <w:r w:rsidRPr="008633D2">
        <w:rPr>
          <w:lang w:val="en-ZA"/>
        </w:rPr>
        <w:t xml:space="preserve"> the Actuarial Society of South Africa’s Investments Committee has expressed interest in research on the performance of unit trusts and their underlying fund managers</w:t>
      </w:r>
      <w:sdt>
        <w:sdtPr>
          <w:rPr>
            <w:lang w:val="en-ZA"/>
          </w:rPr>
          <w:id w:val="662206095"/>
          <w:citation/>
        </w:sdtPr>
        <w:sdtEndPr/>
        <w:sdtContent>
          <w:r w:rsidRPr="008633D2">
            <w:rPr>
              <w:lang w:val="en-ZA"/>
            </w:rPr>
            <w:fldChar w:fldCharType="begin"/>
          </w:r>
          <w:r w:rsidRPr="008633D2">
            <w:rPr>
              <w:lang w:val="en-ZA"/>
            </w:rPr>
            <w:instrText xml:space="preserve"> CITATION Ber14 \l 1033 </w:instrText>
          </w:r>
          <w:r w:rsidRPr="008633D2">
            <w:rPr>
              <w:lang w:val="en-ZA"/>
            </w:rPr>
            <w:fldChar w:fldCharType="separate"/>
          </w:r>
          <w:r w:rsidRPr="008633D2">
            <w:rPr>
              <w:lang w:val="en-ZA"/>
            </w:rPr>
            <w:t xml:space="preserve"> (Bertolis &amp; Hayes, 2014)</w:t>
          </w:r>
          <w:r w:rsidRPr="008633D2">
            <w:rPr>
              <w:lang w:val="en-ZA"/>
            </w:rPr>
            <w:fldChar w:fldCharType="end"/>
          </w:r>
        </w:sdtContent>
      </w:sdt>
      <w:r w:rsidR="00A82845">
        <w:rPr>
          <w:lang w:val="en-ZA"/>
        </w:rPr>
        <w:t xml:space="preserve">. </w:t>
      </w:r>
      <w:r w:rsidR="0093504E">
        <w:rPr>
          <w:lang w:val="en-ZA"/>
        </w:rPr>
        <w:t xml:space="preserve">The </w:t>
      </w:r>
      <w:r w:rsidR="0093504E" w:rsidRPr="00A82845">
        <w:rPr>
          <w:lang w:val="en-ZA"/>
        </w:rPr>
        <w:t xml:space="preserve">assessment of manager performance </w:t>
      </w:r>
      <w:r w:rsidR="0093504E">
        <w:rPr>
          <w:lang w:val="en-ZA"/>
        </w:rPr>
        <w:t xml:space="preserve">should consider above manager skill, the evolution of </w:t>
      </w:r>
      <w:r w:rsidR="0093504E" w:rsidRPr="00A82845">
        <w:rPr>
          <w:lang w:val="en-ZA"/>
        </w:rPr>
        <w:t xml:space="preserve">market structures </w:t>
      </w:r>
      <w:r w:rsidR="0093504E">
        <w:rPr>
          <w:lang w:val="en-ZA"/>
        </w:rPr>
        <w:t xml:space="preserve">and the </w:t>
      </w:r>
      <w:r w:rsidR="0093504E" w:rsidRPr="00A82845">
        <w:rPr>
          <w:lang w:val="en-ZA"/>
        </w:rPr>
        <w:t xml:space="preserve">influence </w:t>
      </w:r>
      <w:r w:rsidR="0093504E">
        <w:rPr>
          <w:lang w:val="en-ZA"/>
        </w:rPr>
        <w:t xml:space="preserve">it has on </w:t>
      </w:r>
      <w:r w:rsidR="0093504E" w:rsidRPr="00A82845">
        <w:rPr>
          <w:lang w:val="en-ZA"/>
        </w:rPr>
        <w:t>a manager's abili</w:t>
      </w:r>
      <w:r w:rsidR="0093504E">
        <w:rPr>
          <w:lang w:val="en-ZA"/>
        </w:rPr>
        <w:t>ty to outperform or not</w:t>
      </w:r>
      <w:sdt>
        <w:sdtPr>
          <w:rPr>
            <w:lang w:val="en-ZA"/>
          </w:rPr>
          <w:id w:val="-1389718053"/>
          <w:citation/>
        </w:sdtPr>
        <w:sdtEndPr/>
        <w:sdtContent>
          <w:r w:rsidR="0093504E">
            <w:rPr>
              <w:lang w:val="en-ZA"/>
            </w:rPr>
            <w:fldChar w:fldCharType="begin"/>
          </w:r>
          <w:r w:rsidR="0093504E">
            <w:rPr>
              <w:lang w:val="en-US"/>
            </w:rPr>
            <w:instrText xml:space="preserve"> CITATION Can08 \l 1033 </w:instrText>
          </w:r>
          <w:r w:rsidR="0093504E">
            <w:rPr>
              <w:lang w:val="en-ZA"/>
            </w:rPr>
            <w:fldChar w:fldCharType="separate"/>
          </w:r>
          <w:r w:rsidR="0093504E">
            <w:rPr>
              <w:noProof/>
              <w:lang w:val="en-US"/>
            </w:rPr>
            <w:t xml:space="preserve"> (Cabot-Alletzhauser, 2008)</w:t>
          </w:r>
          <w:r w:rsidR="0093504E">
            <w:rPr>
              <w:lang w:val="en-ZA"/>
            </w:rPr>
            <w:fldChar w:fldCharType="end"/>
          </w:r>
        </w:sdtContent>
      </w:sdt>
      <w:r w:rsidR="0093504E" w:rsidRPr="00A82845">
        <w:rPr>
          <w:lang w:val="en-ZA"/>
        </w:rPr>
        <w:t>.</w:t>
      </w:r>
    </w:p>
    <w:p w:rsidR="00036DD0" w:rsidRDefault="00036DD0" w:rsidP="0051718F">
      <w:pPr>
        <w:rPr>
          <w:lang w:val="en-ZA"/>
        </w:rPr>
      </w:pPr>
    </w:p>
    <w:p w:rsidR="00A82845" w:rsidRDefault="00575A99" w:rsidP="0051718F">
      <w:pPr>
        <w:rPr>
          <w:noProof/>
          <w:lang w:val="en-US"/>
        </w:rPr>
      </w:pPr>
      <w:r w:rsidRPr="008633D2">
        <w:rPr>
          <w:lang w:val="en-ZA"/>
        </w:rPr>
        <w:t xml:space="preserve">A simple way to measure the skill of the fund manager in the unit trust industry does not exist and therefore </w:t>
      </w:r>
      <w:r w:rsidR="00A82845" w:rsidRPr="008633D2">
        <w:rPr>
          <w:lang w:val="en-ZA"/>
        </w:rPr>
        <w:t xml:space="preserve">performance </w:t>
      </w:r>
      <w:r w:rsidR="0046753E">
        <w:rPr>
          <w:lang w:val="en-ZA"/>
        </w:rPr>
        <w:t>is</w:t>
      </w:r>
      <w:r w:rsidRPr="008633D2">
        <w:rPr>
          <w:lang w:val="en-ZA"/>
        </w:rPr>
        <w:t xml:space="preserve"> often related to fund management skill</w:t>
      </w:r>
      <w:sdt>
        <w:sdtPr>
          <w:rPr>
            <w:lang w:val="en-ZA"/>
          </w:rPr>
          <w:id w:val="1652329491"/>
          <w:citation/>
        </w:sdtPr>
        <w:sdtEndPr/>
        <w:sdtContent>
          <w:r w:rsidRPr="008633D2">
            <w:rPr>
              <w:lang w:val="en-ZA"/>
            </w:rPr>
            <w:fldChar w:fldCharType="begin"/>
          </w:r>
          <w:r w:rsidR="005B7BCE">
            <w:rPr>
              <w:lang w:val="en-ZA"/>
            </w:rPr>
            <w:instrText xml:space="preserve">CITATION Kri13 \l 1033 </w:instrText>
          </w:r>
          <w:r w:rsidRPr="008633D2">
            <w:rPr>
              <w:lang w:val="en-ZA"/>
            </w:rPr>
            <w:fldChar w:fldCharType="separate"/>
          </w:r>
          <w:r w:rsidR="005B7BCE">
            <w:rPr>
              <w:noProof/>
              <w:lang w:val="en-ZA"/>
            </w:rPr>
            <w:t xml:space="preserve"> </w:t>
          </w:r>
          <w:r w:rsidR="005B7BCE" w:rsidRPr="005B7BCE">
            <w:rPr>
              <w:noProof/>
              <w:lang w:val="en-ZA"/>
            </w:rPr>
            <w:t>(Krige &amp; Fox, 2013)</w:t>
          </w:r>
          <w:r w:rsidRPr="008633D2">
            <w:rPr>
              <w:lang w:val="en-ZA"/>
            </w:rPr>
            <w:fldChar w:fldCharType="end"/>
          </w:r>
        </w:sdtContent>
      </w:sdt>
      <w:r w:rsidRPr="008633D2">
        <w:rPr>
          <w:lang w:val="en-ZA"/>
        </w:rPr>
        <w:t xml:space="preserve">. </w:t>
      </w:r>
      <w:r w:rsidR="00A82845">
        <w:rPr>
          <w:noProof/>
          <w:lang w:val="en-US"/>
        </w:rPr>
        <w:t xml:space="preserve">Cabot-Alletzhauser (2008) advises that even though simple measures of risk </w:t>
      </w:r>
      <w:r w:rsidR="005A0A49">
        <w:rPr>
          <w:noProof/>
          <w:lang w:val="en-US"/>
        </w:rPr>
        <w:t>are</w:t>
      </w:r>
      <w:r w:rsidR="00A82845">
        <w:rPr>
          <w:noProof/>
          <w:lang w:val="en-US"/>
        </w:rPr>
        <w:t xml:space="preserve"> still unfound</w:t>
      </w:r>
      <w:r w:rsidR="0046753E">
        <w:rPr>
          <w:noProof/>
          <w:lang w:val="en-US"/>
        </w:rPr>
        <w:t>ed</w:t>
      </w:r>
      <w:r w:rsidR="00A82845">
        <w:rPr>
          <w:noProof/>
          <w:lang w:val="en-US"/>
        </w:rPr>
        <w:t>, the industry understands more about the drivers of performance numbers. The author indicates that as more information about the drivers of performance is uncovered, the more it seems that performance is not an a</w:t>
      </w:r>
      <w:r w:rsidR="005A0A49">
        <w:rPr>
          <w:noProof/>
          <w:lang w:val="en-US"/>
        </w:rPr>
        <w:t>deq</w:t>
      </w:r>
      <w:r w:rsidR="00A82845">
        <w:rPr>
          <w:noProof/>
          <w:lang w:val="en-US"/>
        </w:rPr>
        <w:t xml:space="preserve">uate indicator of manager skill. </w:t>
      </w:r>
    </w:p>
    <w:p w:rsidR="00575A99" w:rsidRPr="008633D2" w:rsidRDefault="00575A99" w:rsidP="0051718F">
      <w:pPr>
        <w:rPr>
          <w:lang w:val="en-ZA"/>
        </w:rPr>
      </w:pPr>
    </w:p>
    <w:p w:rsidR="00A82845" w:rsidRDefault="0051718F" w:rsidP="0051718F">
      <w:pPr>
        <w:rPr>
          <w:lang w:val="en-ZA"/>
        </w:rPr>
      </w:pPr>
      <w:r w:rsidRPr="008633D2">
        <w:rPr>
          <w:lang w:val="en-ZA"/>
        </w:rPr>
        <w:t>Krige and Fox</w:t>
      </w:r>
      <w:sdt>
        <w:sdtPr>
          <w:rPr>
            <w:lang w:val="en-ZA"/>
          </w:rPr>
          <w:id w:val="793636624"/>
          <w:citation/>
        </w:sdtPr>
        <w:sdtEndPr/>
        <w:sdtContent>
          <w:r w:rsidR="00DA768F" w:rsidRPr="008633D2">
            <w:rPr>
              <w:lang w:val="en-ZA"/>
            </w:rPr>
            <w:fldChar w:fldCharType="begin"/>
          </w:r>
          <w:r w:rsidR="005B7BCE">
            <w:rPr>
              <w:lang w:val="en-ZA"/>
            </w:rPr>
            <w:instrText xml:space="preserve">CITATION Kri13 \n  \t  \l 1033 </w:instrText>
          </w:r>
          <w:r w:rsidR="00DA768F" w:rsidRPr="008633D2">
            <w:rPr>
              <w:lang w:val="en-ZA"/>
            </w:rPr>
            <w:fldChar w:fldCharType="separate"/>
          </w:r>
          <w:r w:rsidR="005B7BCE">
            <w:rPr>
              <w:noProof/>
              <w:lang w:val="en-ZA"/>
            </w:rPr>
            <w:t xml:space="preserve"> </w:t>
          </w:r>
          <w:r w:rsidR="005B7BCE" w:rsidRPr="005B7BCE">
            <w:rPr>
              <w:noProof/>
              <w:lang w:val="en-ZA"/>
            </w:rPr>
            <w:t>(2013)</w:t>
          </w:r>
          <w:r w:rsidR="00DA768F" w:rsidRPr="008633D2">
            <w:rPr>
              <w:lang w:val="en-ZA"/>
            </w:rPr>
            <w:fldChar w:fldCharType="end"/>
          </w:r>
        </w:sdtContent>
      </w:sdt>
      <w:r w:rsidRPr="008633D2">
        <w:rPr>
          <w:lang w:val="en-ZA"/>
        </w:rPr>
        <w:t xml:space="preserve"> </w:t>
      </w:r>
      <w:r w:rsidR="00DA768F" w:rsidRPr="008633D2">
        <w:rPr>
          <w:lang w:val="en-ZA"/>
        </w:rPr>
        <w:t>advise</w:t>
      </w:r>
      <w:r w:rsidRPr="008633D2">
        <w:rPr>
          <w:lang w:val="en-ZA"/>
        </w:rPr>
        <w:t xml:space="preserve"> that the return on a fund can be broken down into three sources; returns from the market, returns from sector allocation and returns from selecting stocks. The authors</w:t>
      </w:r>
      <w:r w:rsidR="00DD4AE2">
        <w:rPr>
          <w:lang w:val="en-ZA"/>
        </w:rPr>
        <w:t xml:space="preserve"> have</w:t>
      </w:r>
      <w:r w:rsidRPr="008633D2">
        <w:rPr>
          <w:lang w:val="en-ZA"/>
        </w:rPr>
        <w:t xml:space="preserve"> confirmed that top-performing funds have fund managers that have the skill to source outperformance through good sector allocation and stock selection over time.</w:t>
      </w:r>
      <w:r w:rsidR="00A82845">
        <w:rPr>
          <w:lang w:val="en-ZA"/>
        </w:rPr>
        <w:t xml:space="preserve"> </w:t>
      </w:r>
    </w:p>
    <w:p w:rsidR="007A5FD1" w:rsidRDefault="007A5FD1" w:rsidP="0051718F">
      <w:pPr>
        <w:rPr>
          <w:lang w:val="en-ZA"/>
        </w:rPr>
      </w:pPr>
    </w:p>
    <w:p w:rsidR="007A5FD1" w:rsidRDefault="007A5FD1" w:rsidP="0051718F">
      <w:pPr>
        <w:rPr>
          <w:lang w:val="en-ZA"/>
        </w:rPr>
      </w:pPr>
    </w:p>
    <w:p w:rsidR="007A5FD1" w:rsidRDefault="007A5FD1" w:rsidP="0051718F">
      <w:pPr>
        <w:rPr>
          <w:lang w:val="en-ZA"/>
        </w:rPr>
      </w:pPr>
    </w:p>
    <w:p w:rsidR="0051718F" w:rsidRPr="008633D2" w:rsidRDefault="0051718F" w:rsidP="0051718F">
      <w:pPr>
        <w:rPr>
          <w:lang w:val="en-ZA"/>
        </w:rPr>
      </w:pPr>
      <w:r w:rsidRPr="008633D2">
        <w:rPr>
          <w:lang w:val="en-ZA"/>
        </w:rPr>
        <w:t xml:space="preserve">The profiles and past records of fund managers are well published, </w:t>
      </w:r>
      <w:r w:rsidR="00DA768F" w:rsidRPr="008633D2">
        <w:rPr>
          <w:lang w:val="en-ZA"/>
        </w:rPr>
        <w:t>which allowed</w:t>
      </w:r>
      <w:r w:rsidRPr="008633D2">
        <w:rPr>
          <w:lang w:val="en-ZA"/>
        </w:rPr>
        <w:t xml:space="preserve"> Chevalier and Ellison</w:t>
      </w:r>
      <w:sdt>
        <w:sdtPr>
          <w:rPr>
            <w:lang w:val="en-ZA"/>
          </w:rPr>
          <w:id w:val="737829487"/>
          <w:citation/>
        </w:sdtPr>
        <w:sdtEndPr/>
        <w:sdtContent>
          <w:r w:rsidR="00DA768F" w:rsidRPr="008633D2">
            <w:rPr>
              <w:lang w:val="en-ZA"/>
            </w:rPr>
            <w:fldChar w:fldCharType="begin"/>
          </w:r>
          <w:r w:rsidR="00DA768F" w:rsidRPr="008633D2">
            <w:rPr>
              <w:lang w:val="en-ZA"/>
            </w:rPr>
            <w:instrText xml:space="preserve">CITATION Che99 \n  \t  \l 1033 </w:instrText>
          </w:r>
          <w:r w:rsidR="00DA768F" w:rsidRPr="008633D2">
            <w:rPr>
              <w:lang w:val="en-ZA"/>
            </w:rPr>
            <w:fldChar w:fldCharType="separate"/>
          </w:r>
          <w:r w:rsidR="00DA768F" w:rsidRPr="008633D2">
            <w:rPr>
              <w:lang w:val="en-ZA"/>
            </w:rPr>
            <w:t xml:space="preserve"> (1999)</w:t>
          </w:r>
          <w:r w:rsidR="00DA768F" w:rsidRPr="008633D2">
            <w:rPr>
              <w:lang w:val="en-ZA"/>
            </w:rPr>
            <w:fldChar w:fldCharType="end"/>
          </w:r>
        </w:sdtContent>
      </w:sdt>
      <w:r w:rsidRPr="008633D2">
        <w:rPr>
          <w:lang w:val="en-ZA"/>
        </w:rPr>
        <w:t xml:space="preserve"> </w:t>
      </w:r>
      <w:r w:rsidR="00DA768F" w:rsidRPr="008633D2">
        <w:rPr>
          <w:lang w:val="en-ZA"/>
        </w:rPr>
        <w:t>to look</w:t>
      </w:r>
      <w:r w:rsidRPr="008633D2">
        <w:rPr>
          <w:lang w:val="en-ZA"/>
        </w:rPr>
        <w:t xml:space="preserve"> at whether some mutual fund man</w:t>
      </w:r>
      <w:r w:rsidR="0046753E">
        <w:rPr>
          <w:lang w:val="en-ZA"/>
        </w:rPr>
        <w:t>a</w:t>
      </w:r>
      <w:r w:rsidRPr="008633D2">
        <w:rPr>
          <w:lang w:val="en-ZA"/>
        </w:rPr>
        <w:t xml:space="preserve">gers are better than </w:t>
      </w:r>
      <w:r w:rsidR="00CC6274" w:rsidRPr="008633D2">
        <w:rPr>
          <w:lang w:val="en-ZA"/>
        </w:rPr>
        <w:t>others are</w:t>
      </w:r>
      <w:r w:rsidRPr="008633D2">
        <w:rPr>
          <w:lang w:val="en-ZA"/>
        </w:rPr>
        <w:t xml:space="preserve"> and found that managers with certain characteristics do </w:t>
      </w:r>
      <w:r w:rsidR="008633D2" w:rsidRPr="008633D2">
        <w:rPr>
          <w:lang w:val="en-ZA"/>
        </w:rPr>
        <w:t>outperform</w:t>
      </w:r>
      <w:r w:rsidRPr="008633D2">
        <w:rPr>
          <w:lang w:val="en-ZA"/>
        </w:rPr>
        <w:t xml:space="preserve"> others. The authors looked </w:t>
      </w:r>
      <w:r w:rsidR="00DD4AE2">
        <w:rPr>
          <w:lang w:val="en-ZA"/>
        </w:rPr>
        <w:t xml:space="preserve">at the </w:t>
      </w:r>
      <w:r w:rsidRPr="008633D2">
        <w:rPr>
          <w:lang w:val="en-ZA"/>
        </w:rPr>
        <w:t>cross-sectional relationship between performance and observable manager characteristics to find that mutual fund managers that attended more selective undergraduate institutes, have higher SAT scores and are younger</w:t>
      </w:r>
      <w:r w:rsidR="00DD4AE2">
        <w:rPr>
          <w:lang w:val="en-ZA"/>
        </w:rPr>
        <w:t>,</w:t>
      </w:r>
      <w:r w:rsidRPr="008633D2">
        <w:rPr>
          <w:lang w:val="en-ZA"/>
        </w:rPr>
        <w:t xml:space="preserve"> produce higher fund performance. </w:t>
      </w:r>
      <w:r w:rsidR="009F34B4">
        <w:rPr>
          <w:lang w:val="en-ZA"/>
        </w:rPr>
        <w:t xml:space="preserve">Furthermore, </w:t>
      </w:r>
      <w:r w:rsidR="009F34B4" w:rsidRPr="009F34B4">
        <w:rPr>
          <w:lang w:val="en-ZA"/>
        </w:rPr>
        <w:t xml:space="preserve">Guercio and Rueter </w:t>
      </w:r>
      <w:sdt>
        <w:sdtPr>
          <w:rPr>
            <w:lang w:val="en-ZA"/>
          </w:rPr>
          <w:id w:val="-180367671"/>
          <w:citation/>
        </w:sdtPr>
        <w:sdtEndPr/>
        <w:sdtContent>
          <w:r w:rsidR="009F34B4" w:rsidRPr="009F34B4">
            <w:rPr>
              <w:lang w:val="en-ZA"/>
            </w:rPr>
            <w:fldChar w:fldCharType="begin"/>
          </w:r>
          <w:r w:rsidR="005B7BCE">
            <w:rPr>
              <w:lang w:val="en-ZA"/>
            </w:rPr>
            <w:instrText xml:space="preserve">CITATION Gue14 \n  \t  \l 1033 </w:instrText>
          </w:r>
          <w:r w:rsidR="009F34B4" w:rsidRPr="009F34B4">
            <w:rPr>
              <w:lang w:val="en-ZA"/>
            </w:rPr>
            <w:fldChar w:fldCharType="separate"/>
          </w:r>
          <w:r w:rsidR="005B7BCE" w:rsidRPr="005B7BCE">
            <w:rPr>
              <w:noProof/>
              <w:lang w:val="en-ZA"/>
            </w:rPr>
            <w:t>(2014)</w:t>
          </w:r>
          <w:r w:rsidR="009F34B4" w:rsidRPr="009F34B4">
            <w:rPr>
              <w:lang w:val="en-ZA"/>
            </w:rPr>
            <w:fldChar w:fldCharType="end"/>
          </w:r>
        </w:sdtContent>
      </w:sdt>
      <w:r w:rsidR="009F34B4" w:rsidRPr="009F34B4">
        <w:rPr>
          <w:lang w:val="en-ZA"/>
        </w:rPr>
        <w:t xml:space="preserve"> recognised</w:t>
      </w:r>
      <w:r w:rsidR="009F34B4">
        <w:rPr>
          <w:lang w:val="en-ZA"/>
        </w:rPr>
        <w:t xml:space="preserve"> that individuals that do attend the most selective undergraduate institutions are in fact more likely to be hired by funds. </w:t>
      </w:r>
    </w:p>
    <w:p w:rsidR="00DA768F" w:rsidRPr="008633D2" w:rsidRDefault="00DA768F" w:rsidP="0051718F">
      <w:pPr>
        <w:rPr>
          <w:lang w:val="en-ZA"/>
        </w:rPr>
      </w:pPr>
    </w:p>
    <w:p w:rsidR="0051718F" w:rsidRPr="008633D2" w:rsidRDefault="0051718F" w:rsidP="0051718F">
      <w:pPr>
        <w:rPr>
          <w:lang w:val="en-ZA"/>
        </w:rPr>
      </w:pPr>
      <w:r w:rsidRPr="008633D2">
        <w:rPr>
          <w:lang w:val="en-ZA"/>
        </w:rPr>
        <w:t>Friis</w:t>
      </w:r>
      <w:r w:rsidR="00DA768F" w:rsidRPr="008633D2">
        <w:rPr>
          <w:lang w:val="en-ZA"/>
        </w:rPr>
        <w:t xml:space="preserve"> </w:t>
      </w:r>
      <w:sdt>
        <w:sdtPr>
          <w:rPr>
            <w:lang w:val="en-ZA"/>
          </w:rPr>
          <w:id w:val="-1156609623"/>
          <w:citation/>
        </w:sdtPr>
        <w:sdtEndPr/>
        <w:sdtContent>
          <w:r w:rsidR="00DA768F" w:rsidRPr="008633D2">
            <w:rPr>
              <w:lang w:val="en-ZA"/>
            </w:rPr>
            <w:fldChar w:fldCharType="begin"/>
          </w:r>
          <w:r w:rsidR="005B7BCE">
            <w:rPr>
              <w:lang w:val="en-ZA"/>
            </w:rPr>
            <w:instrText xml:space="preserve">CITATION Fri03 \n  \t  \l 1033 </w:instrText>
          </w:r>
          <w:r w:rsidR="00DA768F" w:rsidRPr="008633D2">
            <w:rPr>
              <w:lang w:val="en-ZA"/>
            </w:rPr>
            <w:fldChar w:fldCharType="separate"/>
          </w:r>
          <w:r w:rsidR="005B7BCE" w:rsidRPr="005B7BCE">
            <w:rPr>
              <w:noProof/>
              <w:lang w:val="en-ZA"/>
            </w:rPr>
            <w:t>(2003)</w:t>
          </w:r>
          <w:r w:rsidR="00DA768F" w:rsidRPr="008633D2">
            <w:rPr>
              <w:lang w:val="en-ZA"/>
            </w:rPr>
            <w:fldChar w:fldCharType="end"/>
          </w:r>
        </w:sdtContent>
      </w:sdt>
      <w:r w:rsidRPr="008633D2">
        <w:rPr>
          <w:lang w:val="en-ZA"/>
        </w:rPr>
        <w:t xml:space="preserve"> conducted a study similar to Chevalier and Ellison’s in the South African unit trust industry and found that </w:t>
      </w:r>
      <w:r w:rsidR="00DD4AE2">
        <w:rPr>
          <w:lang w:val="en-ZA"/>
        </w:rPr>
        <w:t>the</w:t>
      </w:r>
      <w:r w:rsidRPr="008633D2">
        <w:rPr>
          <w:lang w:val="en-ZA"/>
        </w:rPr>
        <w:t xml:space="preserve"> performance </w:t>
      </w:r>
      <w:r w:rsidR="00DD4AE2">
        <w:rPr>
          <w:lang w:val="en-ZA"/>
        </w:rPr>
        <w:t xml:space="preserve">funds and the associated </w:t>
      </w:r>
      <w:r w:rsidRPr="008633D2">
        <w:rPr>
          <w:lang w:val="en-ZA"/>
        </w:rPr>
        <w:t>risk are directly impacted by the qualific</w:t>
      </w:r>
      <w:r w:rsidR="00DD4AE2">
        <w:rPr>
          <w:lang w:val="en-ZA"/>
        </w:rPr>
        <w:t>ations of the fund manager. The</w:t>
      </w:r>
      <w:r w:rsidRPr="008633D2">
        <w:rPr>
          <w:lang w:val="en-ZA"/>
        </w:rPr>
        <w:t xml:space="preserve"> author identified that South African unit trusts managed by a fund manager holding a CFA/ CA and/or MBA </w:t>
      </w:r>
      <w:r w:rsidR="008633D2">
        <w:rPr>
          <w:lang w:val="en-ZA"/>
        </w:rPr>
        <w:t>qualific</w:t>
      </w:r>
      <w:r w:rsidR="008633D2" w:rsidRPr="008633D2">
        <w:rPr>
          <w:lang w:val="en-ZA"/>
        </w:rPr>
        <w:t>at</w:t>
      </w:r>
      <w:r w:rsidR="008633D2">
        <w:rPr>
          <w:lang w:val="en-ZA"/>
        </w:rPr>
        <w:t>i</w:t>
      </w:r>
      <w:r w:rsidR="008633D2" w:rsidRPr="008633D2">
        <w:rPr>
          <w:lang w:val="en-ZA"/>
        </w:rPr>
        <w:t>on</w:t>
      </w:r>
      <w:r w:rsidRPr="008633D2">
        <w:rPr>
          <w:lang w:val="en-ZA"/>
        </w:rPr>
        <w:t xml:space="preserve"> are likely to have better risk-adjusted performance. </w:t>
      </w:r>
    </w:p>
    <w:p w:rsidR="00036DD0" w:rsidRDefault="00036DD0" w:rsidP="0051718F">
      <w:pPr>
        <w:rPr>
          <w:lang w:val="en-ZA"/>
        </w:rPr>
      </w:pPr>
    </w:p>
    <w:p w:rsidR="009057E8" w:rsidRPr="008633D2" w:rsidRDefault="009057E8" w:rsidP="0051718F">
      <w:pPr>
        <w:rPr>
          <w:lang w:val="en-ZA"/>
        </w:rPr>
      </w:pPr>
      <w:r w:rsidRPr="008633D2">
        <w:rPr>
          <w:lang w:val="en-ZA"/>
        </w:rPr>
        <w:t xml:space="preserve">Previous literature indicates that </w:t>
      </w:r>
      <w:r w:rsidR="008633D2">
        <w:rPr>
          <w:lang w:val="en-ZA"/>
        </w:rPr>
        <w:t>certain</w:t>
      </w:r>
      <w:r w:rsidRPr="008633D2">
        <w:rPr>
          <w:lang w:val="en-ZA"/>
        </w:rPr>
        <w:t xml:space="preserve"> ascertained skills</w:t>
      </w:r>
      <w:r w:rsidR="005A0A49">
        <w:rPr>
          <w:lang w:val="en-ZA"/>
        </w:rPr>
        <w:t>,</w:t>
      </w:r>
      <w:r w:rsidRPr="008633D2">
        <w:rPr>
          <w:lang w:val="en-ZA"/>
        </w:rPr>
        <w:t xml:space="preserve"> such as experience and qualifications</w:t>
      </w:r>
      <w:r w:rsidR="005A0A49">
        <w:rPr>
          <w:lang w:val="en-ZA"/>
        </w:rPr>
        <w:t>,</w:t>
      </w:r>
      <w:r w:rsidRPr="008633D2">
        <w:rPr>
          <w:lang w:val="en-ZA"/>
        </w:rPr>
        <w:t xml:space="preserve"> can lead to increased performance. This research looks to </w:t>
      </w:r>
      <w:r w:rsidR="008633D2" w:rsidRPr="008633D2">
        <w:rPr>
          <w:lang w:val="en-ZA"/>
        </w:rPr>
        <w:t>confirm</w:t>
      </w:r>
      <w:r w:rsidRPr="008633D2">
        <w:rPr>
          <w:lang w:val="en-ZA"/>
        </w:rPr>
        <w:t xml:space="preserve"> if </w:t>
      </w:r>
      <w:r w:rsidR="00ED7F94">
        <w:rPr>
          <w:lang w:val="en-ZA"/>
        </w:rPr>
        <w:t xml:space="preserve">the </w:t>
      </w:r>
      <w:r w:rsidR="0046753E">
        <w:rPr>
          <w:lang w:val="en-ZA"/>
        </w:rPr>
        <w:t>gender</w:t>
      </w:r>
      <w:r w:rsidR="00ED7F94">
        <w:rPr>
          <w:lang w:val="en-ZA"/>
        </w:rPr>
        <w:t xml:space="preserve"> of a fund manager</w:t>
      </w:r>
      <w:r w:rsidRPr="008633D2">
        <w:rPr>
          <w:lang w:val="en-ZA"/>
        </w:rPr>
        <w:t>, which is something natural and may not be learned, is a contributor to increased performance.</w:t>
      </w:r>
    </w:p>
    <w:p w:rsidR="009057E8" w:rsidRPr="008633D2" w:rsidRDefault="009057E8" w:rsidP="0051718F">
      <w:pPr>
        <w:rPr>
          <w:lang w:val="en-ZA"/>
        </w:rPr>
      </w:pPr>
    </w:p>
    <w:p w:rsidR="0051718F" w:rsidRPr="008633D2" w:rsidRDefault="0051718F" w:rsidP="0051718F">
      <w:pPr>
        <w:pStyle w:val="Heading3"/>
        <w:rPr>
          <w:lang w:val="en-ZA"/>
        </w:rPr>
      </w:pPr>
      <w:bookmarkStart w:id="114" w:name="_Toc423372653"/>
      <w:bookmarkStart w:id="115" w:name="_Toc458610781"/>
      <w:r w:rsidRPr="008633D2">
        <w:rPr>
          <w:lang w:val="en-ZA"/>
        </w:rPr>
        <w:t>The role of gender in fund management</w:t>
      </w:r>
      <w:bookmarkEnd w:id="114"/>
      <w:r w:rsidR="00C80A68" w:rsidRPr="008633D2">
        <w:rPr>
          <w:lang w:val="en-ZA"/>
        </w:rPr>
        <w:t xml:space="preserve"> and performance</w:t>
      </w:r>
      <w:bookmarkEnd w:id="115"/>
    </w:p>
    <w:p w:rsidR="0051718F" w:rsidRPr="008633D2" w:rsidRDefault="0051718F" w:rsidP="0051718F">
      <w:pPr>
        <w:tabs>
          <w:tab w:val="left" w:pos="4962"/>
        </w:tabs>
        <w:rPr>
          <w:lang w:val="en-ZA"/>
        </w:rPr>
      </w:pPr>
      <w:r w:rsidRPr="008633D2">
        <w:rPr>
          <w:lang w:val="en-ZA"/>
        </w:rPr>
        <w:t>Although there is a fair amount of research available that focuses on investment styles and the success of fund managers with certain characteristics, little attention has been given to the influence of the gender of the fund manager</w:t>
      </w:r>
      <w:sdt>
        <w:sdtPr>
          <w:rPr>
            <w:lang w:val="en-ZA"/>
          </w:rPr>
          <w:id w:val="-1135322608"/>
          <w:citation/>
        </w:sdtPr>
        <w:sdtEndPr/>
        <w:sdtContent>
          <w:r w:rsidRPr="008633D2">
            <w:rPr>
              <w:lang w:val="en-ZA"/>
            </w:rPr>
            <w:fldChar w:fldCharType="begin"/>
          </w:r>
          <w:r w:rsidR="005B7BCE">
            <w:rPr>
              <w:lang w:val="en-ZA"/>
            </w:rPr>
            <w:instrText xml:space="preserve">CITATION Nie06 \l 1033 </w:instrText>
          </w:r>
          <w:r w:rsidRPr="008633D2">
            <w:rPr>
              <w:lang w:val="en-ZA"/>
            </w:rPr>
            <w:fldChar w:fldCharType="separate"/>
          </w:r>
          <w:r w:rsidR="005B7BCE">
            <w:rPr>
              <w:noProof/>
              <w:lang w:val="en-ZA"/>
            </w:rPr>
            <w:t xml:space="preserve"> </w:t>
          </w:r>
          <w:r w:rsidR="005B7BCE" w:rsidRPr="005B7BCE">
            <w:rPr>
              <w:noProof/>
              <w:lang w:val="en-ZA"/>
            </w:rPr>
            <w:t>(Niessen &amp; Ruenzi, 2006)</w:t>
          </w:r>
          <w:r w:rsidRPr="008633D2">
            <w:rPr>
              <w:lang w:val="en-ZA"/>
            </w:rPr>
            <w:fldChar w:fldCharType="end"/>
          </w:r>
        </w:sdtContent>
      </w:sdt>
      <w:r w:rsidRPr="008633D2">
        <w:rPr>
          <w:lang w:val="en-ZA"/>
        </w:rPr>
        <w:t>.</w:t>
      </w:r>
    </w:p>
    <w:p w:rsidR="0051718F" w:rsidRPr="008633D2" w:rsidRDefault="0051718F" w:rsidP="0051718F">
      <w:pPr>
        <w:rPr>
          <w:lang w:val="en-ZA"/>
        </w:rPr>
      </w:pPr>
      <w:r w:rsidRPr="008633D2">
        <w:rPr>
          <w:lang w:val="en-ZA"/>
        </w:rPr>
        <w:t>Chevalier and Ellison</w:t>
      </w:r>
      <w:sdt>
        <w:sdtPr>
          <w:rPr>
            <w:lang w:val="en-ZA"/>
          </w:rPr>
          <w:id w:val="-2145645575"/>
          <w:citation/>
        </w:sdtPr>
        <w:sdtEndPr/>
        <w:sdtContent>
          <w:r w:rsidR="00C41C23" w:rsidRPr="008633D2">
            <w:rPr>
              <w:lang w:val="en-ZA"/>
            </w:rPr>
            <w:fldChar w:fldCharType="begin"/>
          </w:r>
          <w:r w:rsidR="00C41C23" w:rsidRPr="008633D2">
            <w:rPr>
              <w:lang w:val="en-ZA"/>
            </w:rPr>
            <w:instrText xml:space="preserve">CITATION Che99 \n  \t  \l 1033 </w:instrText>
          </w:r>
          <w:r w:rsidR="00C41C23" w:rsidRPr="008633D2">
            <w:rPr>
              <w:lang w:val="en-ZA"/>
            </w:rPr>
            <w:fldChar w:fldCharType="separate"/>
          </w:r>
          <w:r w:rsidR="00C41C23" w:rsidRPr="008633D2">
            <w:rPr>
              <w:lang w:val="en-ZA"/>
            </w:rPr>
            <w:t xml:space="preserve"> (1999)</w:t>
          </w:r>
          <w:r w:rsidR="00C41C23" w:rsidRPr="008633D2">
            <w:rPr>
              <w:lang w:val="en-ZA"/>
            </w:rPr>
            <w:fldChar w:fldCharType="end"/>
          </w:r>
        </w:sdtContent>
      </w:sdt>
      <w:r w:rsidRPr="008633D2">
        <w:rPr>
          <w:lang w:val="en-ZA"/>
        </w:rPr>
        <w:t xml:space="preserve"> found that certain fund manager characteristics do influence higher fund performance</w:t>
      </w:r>
      <w:r w:rsidR="005A0A49">
        <w:rPr>
          <w:lang w:val="en-ZA"/>
        </w:rPr>
        <w:t>,</w:t>
      </w:r>
      <w:r w:rsidR="00C41C23" w:rsidRPr="008633D2">
        <w:rPr>
          <w:lang w:val="en-ZA"/>
        </w:rPr>
        <w:t xml:space="preserve"> however, </w:t>
      </w:r>
      <w:r w:rsidRPr="008633D2">
        <w:rPr>
          <w:lang w:val="en-ZA"/>
        </w:rPr>
        <w:t>they could not reject or accept the relationship between these characteristics and the performance</w:t>
      </w:r>
      <w:r w:rsidR="005A0A49">
        <w:rPr>
          <w:lang w:val="en-ZA"/>
        </w:rPr>
        <w:t>,</w:t>
      </w:r>
      <w:r w:rsidRPr="008633D2">
        <w:rPr>
          <w:lang w:val="en-ZA"/>
        </w:rPr>
        <w:t xml:space="preserve"> particularly for women. Atkinson, Baird and Frye</w:t>
      </w:r>
      <w:sdt>
        <w:sdtPr>
          <w:rPr>
            <w:lang w:val="en-ZA"/>
          </w:rPr>
          <w:id w:val="1888604538"/>
          <w:citation/>
        </w:sdtPr>
        <w:sdtEndPr/>
        <w:sdtContent>
          <w:r w:rsidR="00C41C23" w:rsidRPr="008633D2">
            <w:rPr>
              <w:lang w:val="en-ZA"/>
            </w:rPr>
            <w:fldChar w:fldCharType="begin"/>
          </w:r>
          <w:r w:rsidR="00C41C23" w:rsidRPr="008633D2">
            <w:rPr>
              <w:lang w:val="en-ZA"/>
            </w:rPr>
            <w:instrText xml:space="preserve">CITATION Atk03 \n  \t  \l 1033 </w:instrText>
          </w:r>
          <w:r w:rsidR="00C41C23" w:rsidRPr="008633D2">
            <w:rPr>
              <w:lang w:val="en-ZA"/>
            </w:rPr>
            <w:fldChar w:fldCharType="separate"/>
          </w:r>
          <w:r w:rsidR="00C41C23" w:rsidRPr="008633D2">
            <w:rPr>
              <w:lang w:val="en-ZA"/>
            </w:rPr>
            <w:t xml:space="preserve"> (2003)</w:t>
          </w:r>
          <w:r w:rsidR="00C41C23" w:rsidRPr="008633D2">
            <w:rPr>
              <w:lang w:val="en-ZA"/>
            </w:rPr>
            <w:fldChar w:fldCharType="end"/>
          </w:r>
        </w:sdtContent>
      </w:sdt>
      <w:r w:rsidRPr="008633D2">
        <w:rPr>
          <w:lang w:val="en-ZA"/>
        </w:rPr>
        <w:t xml:space="preserve"> attempted to answer the question of whether female fund managers manage differently and found that professional fund managers exhibit similar investment behaviour despite gender.</w:t>
      </w:r>
      <w:r w:rsidR="00C80A68" w:rsidRPr="008633D2">
        <w:rPr>
          <w:lang w:val="en-ZA"/>
        </w:rPr>
        <w:t xml:space="preserve"> T</w:t>
      </w:r>
      <w:r w:rsidRPr="008633D2">
        <w:rPr>
          <w:lang w:val="en-ZA"/>
        </w:rPr>
        <w:t>he</w:t>
      </w:r>
      <w:r w:rsidR="00C80A68" w:rsidRPr="008633D2">
        <w:rPr>
          <w:lang w:val="en-ZA"/>
        </w:rPr>
        <w:t>se</w:t>
      </w:r>
      <w:r w:rsidRPr="008633D2">
        <w:rPr>
          <w:lang w:val="en-ZA"/>
        </w:rPr>
        <w:t xml:space="preserve"> authors did find </w:t>
      </w:r>
      <w:r w:rsidR="00C80A68" w:rsidRPr="008633D2">
        <w:rPr>
          <w:lang w:val="en-ZA"/>
        </w:rPr>
        <w:t xml:space="preserve">however, </w:t>
      </w:r>
      <w:r w:rsidRPr="008633D2">
        <w:rPr>
          <w:lang w:val="en-ZA"/>
        </w:rPr>
        <w:t>that the decisions of mutual fund investors are influenced by the gender of the fund manager. The</w:t>
      </w:r>
      <w:r w:rsidR="00174861" w:rsidRPr="008633D2">
        <w:rPr>
          <w:lang w:val="en-ZA"/>
        </w:rPr>
        <w:t xml:space="preserve"> authors</w:t>
      </w:r>
      <w:r w:rsidRPr="008633D2">
        <w:rPr>
          <w:lang w:val="en-ZA"/>
        </w:rPr>
        <w:t xml:space="preserve"> found that the net asset flows into funds managed by females are lower than those managed by males. This supported previous research by Oakley </w:t>
      </w:r>
      <w:sdt>
        <w:sdtPr>
          <w:rPr>
            <w:lang w:val="en-ZA"/>
          </w:rPr>
          <w:id w:val="1306285227"/>
          <w:citation/>
        </w:sdtPr>
        <w:sdtEndPr/>
        <w:sdtContent>
          <w:r w:rsidRPr="008633D2">
            <w:rPr>
              <w:lang w:val="en-ZA"/>
            </w:rPr>
            <w:fldChar w:fldCharType="begin"/>
          </w:r>
          <w:r w:rsidR="005B7BCE">
            <w:rPr>
              <w:lang w:val="en-ZA"/>
            </w:rPr>
            <w:instrText xml:space="preserve">CITATION Oak00 \n  \t  \l 1033 </w:instrText>
          </w:r>
          <w:r w:rsidRPr="008633D2">
            <w:rPr>
              <w:lang w:val="en-ZA"/>
            </w:rPr>
            <w:fldChar w:fldCharType="separate"/>
          </w:r>
          <w:r w:rsidR="005B7BCE" w:rsidRPr="005B7BCE">
            <w:rPr>
              <w:noProof/>
              <w:lang w:val="en-ZA"/>
            </w:rPr>
            <w:t>(2000)</w:t>
          </w:r>
          <w:r w:rsidRPr="008633D2">
            <w:rPr>
              <w:lang w:val="en-ZA"/>
            </w:rPr>
            <w:fldChar w:fldCharType="end"/>
          </w:r>
        </w:sdtContent>
      </w:sdt>
      <w:r w:rsidRPr="008633D2">
        <w:rPr>
          <w:lang w:val="en-ZA"/>
        </w:rPr>
        <w:t xml:space="preserve">, which indicated that investors </w:t>
      </w:r>
      <w:r w:rsidR="00CC6274" w:rsidRPr="008633D2">
        <w:rPr>
          <w:lang w:val="en-ZA"/>
        </w:rPr>
        <w:t>might</w:t>
      </w:r>
      <w:r w:rsidRPr="008633D2">
        <w:rPr>
          <w:lang w:val="en-ZA"/>
        </w:rPr>
        <w:t xml:space="preserve"> prefer to invest in male-managed funds due to </w:t>
      </w:r>
      <w:r w:rsidR="0046753E">
        <w:rPr>
          <w:lang w:val="en-ZA"/>
        </w:rPr>
        <w:t xml:space="preserve">the stereotype that </w:t>
      </w:r>
      <w:r w:rsidRPr="008633D2">
        <w:rPr>
          <w:lang w:val="en-ZA"/>
        </w:rPr>
        <w:t xml:space="preserve">women </w:t>
      </w:r>
      <w:r w:rsidR="0046753E">
        <w:rPr>
          <w:lang w:val="en-ZA"/>
        </w:rPr>
        <w:t xml:space="preserve">are perceived as </w:t>
      </w:r>
      <w:r w:rsidRPr="008633D2">
        <w:rPr>
          <w:lang w:val="en-ZA"/>
        </w:rPr>
        <w:t xml:space="preserve">less competent and </w:t>
      </w:r>
      <w:r w:rsidR="00174861" w:rsidRPr="008633D2">
        <w:rPr>
          <w:lang w:val="en-ZA"/>
        </w:rPr>
        <w:t xml:space="preserve">less </w:t>
      </w:r>
      <w:r w:rsidRPr="008633D2">
        <w:rPr>
          <w:lang w:val="en-ZA"/>
        </w:rPr>
        <w:t xml:space="preserve">effective managers than men.  </w:t>
      </w:r>
    </w:p>
    <w:p w:rsidR="00C41C23" w:rsidRPr="008633D2" w:rsidRDefault="00C41C23" w:rsidP="0051718F">
      <w:pPr>
        <w:rPr>
          <w:lang w:val="en-ZA"/>
        </w:rPr>
      </w:pPr>
    </w:p>
    <w:p w:rsidR="0051718F" w:rsidRPr="008633D2" w:rsidRDefault="0051718F" w:rsidP="0051718F">
      <w:pPr>
        <w:rPr>
          <w:lang w:val="en-ZA"/>
        </w:rPr>
      </w:pPr>
      <w:r w:rsidRPr="008633D2">
        <w:rPr>
          <w:lang w:val="en-ZA"/>
        </w:rPr>
        <w:t>Male fund managers were found to trade more actively as compared to female fund managers</w:t>
      </w:r>
      <w:sdt>
        <w:sdtPr>
          <w:rPr>
            <w:lang w:val="en-ZA"/>
          </w:rPr>
          <w:id w:val="5189285"/>
          <w:citation/>
        </w:sdtPr>
        <w:sdtEndPr/>
        <w:sdtContent>
          <w:r w:rsidRPr="008633D2">
            <w:rPr>
              <w:lang w:val="en-ZA"/>
            </w:rPr>
            <w:fldChar w:fldCharType="begin"/>
          </w:r>
          <w:r w:rsidR="005B7BCE">
            <w:rPr>
              <w:lang w:val="en-ZA"/>
            </w:rPr>
            <w:instrText xml:space="preserve">CITATION Nie06 \l 1033 </w:instrText>
          </w:r>
          <w:r w:rsidRPr="008633D2">
            <w:rPr>
              <w:lang w:val="en-ZA"/>
            </w:rPr>
            <w:fldChar w:fldCharType="separate"/>
          </w:r>
          <w:r w:rsidR="005B7BCE">
            <w:rPr>
              <w:noProof/>
              <w:lang w:val="en-ZA"/>
            </w:rPr>
            <w:t xml:space="preserve"> </w:t>
          </w:r>
          <w:r w:rsidR="005B7BCE" w:rsidRPr="005B7BCE">
            <w:rPr>
              <w:noProof/>
              <w:lang w:val="en-ZA"/>
            </w:rPr>
            <w:t>(Niessen &amp; Ruenzi, 2006)</w:t>
          </w:r>
          <w:r w:rsidRPr="008633D2">
            <w:rPr>
              <w:lang w:val="en-ZA"/>
            </w:rPr>
            <w:fldChar w:fldCharType="end"/>
          </w:r>
        </w:sdtContent>
      </w:sdt>
      <w:r w:rsidRPr="008633D2">
        <w:rPr>
          <w:lang w:val="en-ZA"/>
        </w:rPr>
        <w:t>. Barber and Odean</w:t>
      </w:r>
      <w:r w:rsidR="00C41C23" w:rsidRPr="008633D2">
        <w:rPr>
          <w:lang w:val="en-ZA"/>
        </w:rPr>
        <w:t xml:space="preserve"> </w:t>
      </w:r>
      <w:sdt>
        <w:sdtPr>
          <w:rPr>
            <w:lang w:val="en-ZA"/>
          </w:rPr>
          <w:id w:val="2135594730"/>
          <w:citation/>
        </w:sdtPr>
        <w:sdtEndPr/>
        <w:sdtContent>
          <w:r w:rsidR="00C41C23" w:rsidRPr="008633D2">
            <w:rPr>
              <w:lang w:val="en-ZA"/>
            </w:rPr>
            <w:fldChar w:fldCharType="begin"/>
          </w:r>
          <w:r w:rsidR="009540A9">
            <w:rPr>
              <w:lang w:val="en-ZA"/>
            </w:rPr>
            <w:instrText xml:space="preserve">CITATION Bar01 \n  \t  \l 1033 </w:instrText>
          </w:r>
          <w:r w:rsidR="00C41C23" w:rsidRPr="008633D2">
            <w:rPr>
              <w:lang w:val="en-ZA"/>
            </w:rPr>
            <w:fldChar w:fldCharType="separate"/>
          </w:r>
          <w:r w:rsidR="009540A9" w:rsidRPr="009540A9">
            <w:rPr>
              <w:noProof/>
              <w:lang w:val="en-ZA"/>
            </w:rPr>
            <w:t>(2001)</w:t>
          </w:r>
          <w:r w:rsidR="00C41C23" w:rsidRPr="008633D2">
            <w:rPr>
              <w:lang w:val="en-ZA"/>
            </w:rPr>
            <w:fldChar w:fldCharType="end"/>
          </w:r>
        </w:sdtContent>
      </w:sdt>
      <w:r w:rsidRPr="008633D2">
        <w:rPr>
          <w:lang w:val="en-ZA"/>
        </w:rPr>
        <w:t xml:space="preserve"> provide a simple yet powerful explanation for high levels of tr</w:t>
      </w:r>
      <w:r w:rsidR="00C41C23" w:rsidRPr="008633D2">
        <w:rPr>
          <w:lang w:val="en-ZA"/>
        </w:rPr>
        <w:t xml:space="preserve">ading in the financial markets namely, </w:t>
      </w:r>
      <w:r w:rsidRPr="008633D2">
        <w:rPr>
          <w:lang w:val="en-ZA"/>
        </w:rPr>
        <w:t>overconfidence</w:t>
      </w:r>
      <w:r w:rsidR="00CC6274" w:rsidRPr="008633D2">
        <w:rPr>
          <w:lang w:val="en-ZA"/>
        </w:rPr>
        <w:t xml:space="preserve">. </w:t>
      </w:r>
      <w:r w:rsidRPr="008633D2">
        <w:rPr>
          <w:lang w:val="en-ZA"/>
        </w:rPr>
        <w:t>The authors explain that overconfidence is due to the investor overestimating the precision of their information and thereby expecting gains from their trades</w:t>
      </w:r>
      <w:r w:rsidR="00CC6274" w:rsidRPr="008633D2">
        <w:rPr>
          <w:lang w:val="en-ZA"/>
        </w:rPr>
        <w:t xml:space="preserve">. </w:t>
      </w:r>
      <w:r w:rsidRPr="008633D2">
        <w:rPr>
          <w:lang w:val="en-ZA"/>
        </w:rPr>
        <w:t xml:space="preserve">Men </w:t>
      </w:r>
      <w:r w:rsidR="0046753E">
        <w:rPr>
          <w:lang w:val="en-ZA"/>
        </w:rPr>
        <w:t>are regarded as</w:t>
      </w:r>
      <w:r w:rsidRPr="008633D2">
        <w:rPr>
          <w:lang w:val="en-ZA"/>
        </w:rPr>
        <w:t xml:space="preserve"> more confident than women and will trade more and therefore produce lower returns </w:t>
      </w:r>
      <w:r w:rsidR="00ED7F94">
        <w:rPr>
          <w:lang w:val="en-ZA"/>
        </w:rPr>
        <w:t xml:space="preserve">after costs </w:t>
      </w:r>
      <w:r w:rsidRPr="008633D2">
        <w:rPr>
          <w:lang w:val="en-ZA"/>
        </w:rPr>
        <w:t>than women</w:t>
      </w:r>
      <w:sdt>
        <w:sdtPr>
          <w:rPr>
            <w:lang w:val="en-ZA"/>
          </w:rPr>
          <w:id w:val="624826905"/>
          <w:citation/>
        </w:sdtPr>
        <w:sdtEndPr/>
        <w:sdtContent>
          <w:r w:rsidRPr="008633D2">
            <w:rPr>
              <w:lang w:val="en-ZA"/>
            </w:rPr>
            <w:fldChar w:fldCharType="begin"/>
          </w:r>
          <w:r w:rsidR="009540A9">
            <w:rPr>
              <w:lang w:val="en-ZA"/>
            </w:rPr>
            <w:instrText xml:space="preserve">CITATION Bar01 \l 1033 </w:instrText>
          </w:r>
          <w:r w:rsidRPr="008633D2">
            <w:rPr>
              <w:lang w:val="en-ZA"/>
            </w:rPr>
            <w:fldChar w:fldCharType="separate"/>
          </w:r>
          <w:r w:rsidR="009540A9">
            <w:rPr>
              <w:noProof/>
              <w:lang w:val="en-ZA"/>
            </w:rPr>
            <w:t xml:space="preserve"> </w:t>
          </w:r>
          <w:r w:rsidR="009540A9" w:rsidRPr="009540A9">
            <w:rPr>
              <w:noProof/>
              <w:lang w:val="en-ZA"/>
            </w:rPr>
            <w:t>(Barber &amp; Odean, 2001)</w:t>
          </w:r>
          <w:r w:rsidRPr="008633D2">
            <w:rPr>
              <w:lang w:val="en-ZA"/>
            </w:rPr>
            <w:fldChar w:fldCharType="end"/>
          </w:r>
        </w:sdtContent>
      </w:sdt>
      <w:r w:rsidRPr="008633D2">
        <w:rPr>
          <w:lang w:val="en-ZA"/>
        </w:rPr>
        <w:t xml:space="preserve">. </w:t>
      </w:r>
    </w:p>
    <w:p w:rsidR="00C41C23" w:rsidRPr="008633D2" w:rsidRDefault="00C41C23" w:rsidP="0051718F">
      <w:pPr>
        <w:rPr>
          <w:lang w:val="en-ZA"/>
        </w:rPr>
      </w:pPr>
    </w:p>
    <w:p w:rsidR="0051718F" w:rsidRPr="008633D2" w:rsidRDefault="0051718F" w:rsidP="0051718F">
      <w:pPr>
        <w:rPr>
          <w:lang w:val="en-ZA"/>
        </w:rPr>
      </w:pPr>
      <w:r w:rsidRPr="008633D2">
        <w:rPr>
          <w:lang w:val="en-ZA"/>
        </w:rPr>
        <w:t>Niessen and Ruenzi</w:t>
      </w:r>
      <w:sdt>
        <w:sdtPr>
          <w:rPr>
            <w:lang w:val="en-ZA"/>
          </w:rPr>
          <w:id w:val="-1167169616"/>
          <w:citation/>
        </w:sdtPr>
        <w:sdtEndPr/>
        <w:sdtContent>
          <w:r w:rsidRPr="008633D2">
            <w:rPr>
              <w:lang w:val="en-ZA"/>
            </w:rPr>
            <w:fldChar w:fldCharType="begin"/>
          </w:r>
          <w:r w:rsidR="005B7BCE">
            <w:rPr>
              <w:lang w:val="en-ZA"/>
            </w:rPr>
            <w:instrText xml:space="preserve">CITATION Nie06 \n  \t  \l 1033 </w:instrText>
          </w:r>
          <w:r w:rsidRPr="008633D2">
            <w:rPr>
              <w:lang w:val="en-ZA"/>
            </w:rPr>
            <w:fldChar w:fldCharType="separate"/>
          </w:r>
          <w:r w:rsidR="005B7BCE">
            <w:rPr>
              <w:noProof/>
              <w:lang w:val="en-ZA"/>
            </w:rPr>
            <w:t xml:space="preserve"> </w:t>
          </w:r>
          <w:r w:rsidR="005B7BCE" w:rsidRPr="005B7BCE">
            <w:rPr>
              <w:noProof/>
              <w:lang w:val="en-ZA"/>
            </w:rPr>
            <w:t>(2006)</w:t>
          </w:r>
          <w:r w:rsidRPr="008633D2">
            <w:rPr>
              <w:lang w:val="en-ZA"/>
            </w:rPr>
            <w:fldChar w:fldCharType="end"/>
          </w:r>
        </w:sdtContent>
      </w:sdt>
      <w:r w:rsidRPr="008633D2">
        <w:rPr>
          <w:lang w:val="en-ZA"/>
        </w:rPr>
        <w:t xml:space="preserve"> found that women take slightly less risk; in </w:t>
      </w:r>
      <w:r w:rsidR="00CC6274" w:rsidRPr="008633D2">
        <w:rPr>
          <w:lang w:val="en-ZA"/>
        </w:rPr>
        <w:t>particular,</w:t>
      </w:r>
      <w:r w:rsidRPr="008633D2">
        <w:rPr>
          <w:lang w:val="en-ZA"/>
        </w:rPr>
        <w:t xml:space="preserve"> they take less unsystem</w:t>
      </w:r>
      <w:r w:rsidR="005A0A49">
        <w:rPr>
          <w:lang w:val="en-ZA"/>
        </w:rPr>
        <w:t>at</w:t>
      </w:r>
      <w:r w:rsidRPr="008633D2">
        <w:rPr>
          <w:lang w:val="en-ZA"/>
        </w:rPr>
        <w:t>ic risk, while systematic risk on overall return does not differ</w:t>
      </w:r>
      <w:r w:rsidR="00ED7F94">
        <w:rPr>
          <w:lang w:val="en-ZA"/>
        </w:rPr>
        <w:t xml:space="preserve"> between genders</w:t>
      </w:r>
      <w:r w:rsidRPr="008633D2">
        <w:rPr>
          <w:lang w:val="en-ZA"/>
        </w:rPr>
        <w:t>. The authors also indicate that women follow less extreme investment styles, which are stable over time</w:t>
      </w:r>
      <w:r w:rsidR="00CC6274" w:rsidRPr="008633D2">
        <w:rPr>
          <w:lang w:val="en-ZA"/>
        </w:rPr>
        <w:t xml:space="preserve">. </w:t>
      </w:r>
      <w:r w:rsidR="00CC7F51" w:rsidRPr="008633D2">
        <w:rPr>
          <w:lang w:val="en-ZA"/>
        </w:rPr>
        <w:t xml:space="preserve">Faff </w:t>
      </w:r>
      <w:r w:rsidR="00CC7F51" w:rsidRPr="00AF5A1A">
        <w:rPr>
          <w:lang w:val="en-ZA"/>
        </w:rPr>
        <w:t>et al</w:t>
      </w:r>
      <w:r w:rsidR="005A0A49">
        <w:rPr>
          <w:lang w:val="en-ZA"/>
        </w:rPr>
        <w:t>.</w:t>
      </w:r>
      <w:r w:rsidR="00CC7F51" w:rsidRPr="008633D2">
        <w:rPr>
          <w:lang w:val="en-ZA"/>
        </w:rPr>
        <w:t xml:space="preserve"> </w:t>
      </w:r>
      <w:sdt>
        <w:sdtPr>
          <w:rPr>
            <w:lang w:val="en-ZA"/>
          </w:rPr>
          <w:id w:val="-909313915"/>
          <w:citation/>
        </w:sdtPr>
        <w:sdtEndPr/>
        <w:sdtContent>
          <w:r w:rsidR="00CC7F51" w:rsidRPr="008633D2">
            <w:rPr>
              <w:lang w:val="en-ZA"/>
            </w:rPr>
            <w:fldChar w:fldCharType="begin"/>
          </w:r>
          <w:r w:rsidR="00CC7F51" w:rsidRPr="008633D2">
            <w:rPr>
              <w:lang w:val="en-ZA"/>
            </w:rPr>
            <w:instrText xml:space="preserve">CITATION Faf11 \n  \t  \l 1033 </w:instrText>
          </w:r>
          <w:r w:rsidR="00CC7F51" w:rsidRPr="008633D2">
            <w:rPr>
              <w:lang w:val="en-ZA"/>
            </w:rPr>
            <w:fldChar w:fldCharType="separate"/>
          </w:r>
          <w:r w:rsidR="00CC7F51" w:rsidRPr="008633D2">
            <w:rPr>
              <w:lang w:val="en-ZA"/>
            </w:rPr>
            <w:t>(2011)</w:t>
          </w:r>
          <w:r w:rsidR="00CC7F51" w:rsidRPr="008633D2">
            <w:rPr>
              <w:lang w:val="en-ZA"/>
            </w:rPr>
            <w:fldChar w:fldCharType="end"/>
          </w:r>
        </w:sdtContent>
      </w:sdt>
      <w:r w:rsidR="00CC7F51" w:rsidRPr="008633D2">
        <w:rPr>
          <w:lang w:val="en-ZA"/>
        </w:rPr>
        <w:t xml:space="preserve"> also concluded that there is enough evidence to suggest that the tolerance of financial risk by women differs from that of men and is generally lower.</w:t>
      </w:r>
    </w:p>
    <w:p w:rsidR="00EA2221" w:rsidRPr="008633D2" w:rsidRDefault="00CC6274" w:rsidP="0051718F">
      <w:pPr>
        <w:rPr>
          <w:lang w:val="en-ZA"/>
        </w:rPr>
      </w:pPr>
      <w:r w:rsidRPr="008633D2">
        <w:rPr>
          <w:lang w:val="en-ZA"/>
        </w:rPr>
        <w:t>Female fund managers may possess a greater ability to exercise investment styles preferred by female customers than their male colleagues</w:t>
      </w:r>
      <w:r>
        <w:rPr>
          <w:lang w:val="en-ZA"/>
        </w:rPr>
        <w:t xml:space="preserve"> </w:t>
      </w:r>
      <w:r w:rsidR="00ED7F94">
        <w:rPr>
          <w:lang w:val="en-ZA"/>
        </w:rPr>
        <w:t>could</w:t>
      </w:r>
      <w:sdt>
        <w:sdtPr>
          <w:rPr>
            <w:lang w:val="en-ZA"/>
          </w:rPr>
          <w:id w:val="-67584788"/>
          <w:citation/>
        </w:sdtPr>
        <w:sdtEndPr/>
        <w:sdtContent>
          <w:r w:rsidRPr="008633D2">
            <w:rPr>
              <w:lang w:val="en-ZA"/>
            </w:rPr>
            <w:fldChar w:fldCharType="begin"/>
          </w:r>
          <w:r w:rsidR="005B7BCE">
            <w:rPr>
              <w:lang w:val="en-ZA"/>
            </w:rPr>
            <w:instrText xml:space="preserve">CITATION Bec08 \l 1033 </w:instrText>
          </w:r>
          <w:r w:rsidRPr="008633D2">
            <w:rPr>
              <w:lang w:val="en-ZA"/>
            </w:rPr>
            <w:fldChar w:fldCharType="separate"/>
          </w:r>
          <w:r w:rsidR="005B7BCE">
            <w:rPr>
              <w:noProof/>
              <w:lang w:val="en-ZA"/>
            </w:rPr>
            <w:t xml:space="preserve"> </w:t>
          </w:r>
          <w:r w:rsidR="005B7BCE" w:rsidRPr="005B7BCE">
            <w:rPr>
              <w:noProof/>
              <w:lang w:val="en-ZA"/>
            </w:rPr>
            <w:t>(Beckmann &amp; Menkhoff, 2008)</w:t>
          </w:r>
          <w:r w:rsidRPr="008633D2">
            <w:rPr>
              <w:lang w:val="en-ZA"/>
            </w:rPr>
            <w:fldChar w:fldCharType="end"/>
          </w:r>
        </w:sdtContent>
      </w:sdt>
      <w:r w:rsidRPr="008633D2">
        <w:rPr>
          <w:lang w:val="en-ZA"/>
        </w:rPr>
        <w:t xml:space="preserve">. </w:t>
      </w:r>
      <w:r w:rsidR="00CC7F51" w:rsidRPr="008633D2">
        <w:rPr>
          <w:lang w:val="en-ZA"/>
        </w:rPr>
        <w:t xml:space="preserve">It is suggested that </w:t>
      </w:r>
      <w:r w:rsidR="00ED7F94">
        <w:rPr>
          <w:lang w:val="en-ZA"/>
        </w:rPr>
        <w:t xml:space="preserve">more </w:t>
      </w:r>
      <w:r w:rsidR="00CC7F51" w:rsidRPr="008633D2">
        <w:rPr>
          <w:lang w:val="en-ZA"/>
        </w:rPr>
        <w:t xml:space="preserve">daring investors should take interest in male managed funds, which would be traded more actively and is more likely to achieve an extreme rank, while investors preferring low to moderate risk should invest in female managed funds where performance would be more </w:t>
      </w:r>
      <w:r w:rsidR="0046753E">
        <w:rPr>
          <w:lang w:val="en-ZA"/>
        </w:rPr>
        <w:t>consistent</w:t>
      </w:r>
      <w:r w:rsidR="00CC7F51" w:rsidRPr="008633D2">
        <w:rPr>
          <w:lang w:val="en-ZA"/>
        </w:rPr>
        <w:t xml:space="preserve"> over time</w:t>
      </w:r>
      <w:sdt>
        <w:sdtPr>
          <w:rPr>
            <w:lang w:val="en-ZA"/>
          </w:rPr>
          <w:id w:val="-125081113"/>
          <w:citation/>
        </w:sdtPr>
        <w:sdtEndPr/>
        <w:sdtContent>
          <w:r w:rsidR="00CC7F51" w:rsidRPr="008633D2">
            <w:rPr>
              <w:lang w:val="en-ZA"/>
            </w:rPr>
            <w:fldChar w:fldCharType="begin"/>
          </w:r>
          <w:r w:rsidR="005B7BCE">
            <w:rPr>
              <w:lang w:val="en-ZA"/>
            </w:rPr>
            <w:instrText xml:space="preserve">CITATION Nie06 \l 1033 </w:instrText>
          </w:r>
          <w:r w:rsidR="00CC7F51" w:rsidRPr="008633D2">
            <w:rPr>
              <w:lang w:val="en-ZA"/>
            </w:rPr>
            <w:fldChar w:fldCharType="separate"/>
          </w:r>
          <w:r w:rsidR="005B7BCE">
            <w:rPr>
              <w:noProof/>
              <w:lang w:val="en-ZA"/>
            </w:rPr>
            <w:t xml:space="preserve"> </w:t>
          </w:r>
          <w:r w:rsidR="005B7BCE" w:rsidRPr="005B7BCE">
            <w:rPr>
              <w:noProof/>
              <w:lang w:val="en-ZA"/>
            </w:rPr>
            <w:t>(Niessen &amp; Ruenzi, 2006)</w:t>
          </w:r>
          <w:r w:rsidR="00CC7F51" w:rsidRPr="008633D2">
            <w:rPr>
              <w:lang w:val="en-ZA"/>
            </w:rPr>
            <w:fldChar w:fldCharType="end"/>
          </w:r>
        </w:sdtContent>
      </w:sdt>
      <w:r w:rsidR="00CC7F51" w:rsidRPr="008633D2">
        <w:rPr>
          <w:lang w:val="en-ZA"/>
        </w:rPr>
        <w:t>.</w:t>
      </w:r>
      <w:r w:rsidR="007D2FB0" w:rsidRPr="008633D2">
        <w:rPr>
          <w:lang w:val="en-ZA"/>
        </w:rPr>
        <w:t xml:space="preserve"> </w:t>
      </w:r>
    </w:p>
    <w:p w:rsidR="00EA2221" w:rsidRPr="008633D2" w:rsidRDefault="00EA2221" w:rsidP="0051718F">
      <w:pPr>
        <w:rPr>
          <w:lang w:val="en-ZA"/>
        </w:rPr>
      </w:pPr>
    </w:p>
    <w:p w:rsidR="00C41C23" w:rsidRPr="008633D2" w:rsidRDefault="00EA2221" w:rsidP="0051718F">
      <w:pPr>
        <w:rPr>
          <w:lang w:val="en-ZA"/>
        </w:rPr>
      </w:pPr>
      <w:r w:rsidRPr="008633D2">
        <w:rPr>
          <w:lang w:val="en-ZA"/>
        </w:rPr>
        <w:t xml:space="preserve">Niessen and Ruenzi (2006) </w:t>
      </w:r>
      <w:r w:rsidR="00093481" w:rsidRPr="008633D2">
        <w:rPr>
          <w:lang w:val="en-ZA"/>
        </w:rPr>
        <w:t>find</w:t>
      </w:r>
      <w:r w:rsidRPr="008633D2">
        <w:rPr>
          <w:lang w:val="en-ZA"/>
        </w:rPr>
        <w:t xml:space="preserve"> </w:t>
      </w:r>
      <w:r w:rsidR="007D2FB0" w:rsidRPr="008633D2">
        <w:rPr>
          <w:lang w:val="en-ZA"/>
        </w:rPr>
        <w:t>no evidence to suggest significant differences in abnormal returns between female and male managed funds.</w:t>
      </w:r>
      <w:r w:rsidR="00CC7F51" w:rsidRPr="008633D2">
        <w:rPr>
          <w:lang w:val="en-ZA"/>
        </w:rPr>
        <w:t xml:space="preserve"> Faff </w:t>
      </w:r>
      <w:r w:rsidR="00CC7F51" w:rsidRPr="00AF5A1A">
        <w:rPr>
          <w:lang w:val="en-ZA"/>
        </w:rPr>
        <w:t>et al</w:t>
      </w:r>
      <w:r w:rsidR="005A0A49">
        <w:rPr>
          <w:lang w:val="en-ZA"/>
        </w:rPr>
        <w:t>.</w:t>
      </w:r>
      <w:r w:rsidR="00CC7F51" w:rsidRPr="008633D2">
        <w:rPr>
          <w:lang w:val="en-ZA"/>
        </w:rPr>
        <w:t xml:space="preserve"> </w:t>
      </w:r>
      <w:sdt>
        <w:sdtPr>
          <w:rPr>
            <w:lang w:val="en-ZA"/>
          </w:rPr>
          <w:id w:val="1370650078"/>
          <w:citation/>
        </w:sdtPr>
        <w:sdtEndPr/>
        <w:sdtContent>
          <w:r w:rsidR="00CC7F51" w:rsidRPr="008633D2">
            <w:rPr>
              <w:lang w:val="en-ZA"/>
            </w:rPr>
            <w:fldChar w:fldCharType="begin"/>
          </w:r>
          <w:r w:rsidR="00CC7F51" w:rsidRPr="008633D2">
            <w:rPr>
              <w:lang w:val="en-ZA"/>
            </w:rPr>
            <w:instrText xml:space="preserve">CITATION Faf11 \n  \t  \l 1033 </w:instrText>
          </w:r>
          <w:r w:rsidR="00CC7F51" w:rsidRPr="008633D2">
            <w:rPr>
              <w:lang w:val="en-ZA"/>
            </w:rPr>
            <w:fldChar w:fldCharType="separate"/>
          </w:r>
          <w:r w:rsidR="00CC7F51" w:rsidRPr="008633D2">
            <w:rPr>
              <w:lang w:val="en-ZA"/>
            </w:rPr>
            <w:t>(2011)</w:t>
          </w:r>
          <w:r w:rsidR="00CC7F51" w:rsidRPr="008633D2">
            <w:rPr>
              <w:lang w:val="en-ZA"/>
            </w:rPr>
            <w:fldChar w:fldCharType="end"/>
          </w:r>
        </w:sdtContent>
      </w:sdt>
      <w:r w:rsidR="00CC7F51" w:rsidRPr="008633D2">
        <w:rPr>
          <w:lang w:val="en-ZA"/>
        </w:rPr>
        <w:t xml:space="preserve"> expect that due to an increasingly female world and the lower risk tolerance of females, the man</w:t>
      </w:r>
      <w:r w:rsidR="005A0A49">
        <w:rPr>
          <w:lang w:val="en-ZA"/>
        </w:rPr>
        <w:t>a</w:t>
      </w:r>
      <w:r w:rsidR="00CC7F51" w:rsidRPr="008633D2">
        <w:rPr>
          <w:lang w:val="en-ZA"/>
        </w:rPr>
        <w:t>ged fund industry over the longer term, in particular looking beyond 2030, will see a shift to less risky investment portfolios.</w:t>
      </w:r>
      <w:r w:rsidRPr="008633D2">
        <w:rPr>
          <w:lang w:val="en-ZA"/>
        </w:rPr>
        <w:t xml:space="preserve"> </w:t>
      </w:r>
      <w:r w:rsidR="00CC6274" w:rsidRPr="008633D2">
        <w:rPr>
          <w:lang w:val="en-ZA"/>
        </w:rPr>
        <w:t xml:space="preserve">Traditionally, women have played a supportive rather driving role in investment decisions, however this is changing and with females having more control over wealth, it is reasonable to expect that </w:t>
      </w:r>
      <w:r w:rsidR="00CC6274">
        <w:rPr>
          <w:lang w:val="en-ZA"/>
        </w:rPr>
        <w:t xml:space="preserve">there </w:t>
      </w:r>
      <w:r w:rsidR="00CC6274" w:rsidRPr="008633D2">
        <w:rPr>
          <w:lang w:val="en-ZA"/>
        </w:rPr>
        <w:t xml:space="preserve">will be </w:t>
      </w:r>
      <w:r w:rsidR="00CC6274">
        <w:rPr>
          <w:lang w:val="en-ZA"/>
        </w:rPr>
        <w:t>an increased number of</w:t>
      </w:r>
      <w:r w:rsidR="00CC6274" w:rsidRPr="008633D2">
        <w:rPr>
          <w:lang w:val="en-ZA"/>
        </w:rPr>
        <w:t xml:space="preserve"> female fund managers investing those savings</w:t>
      </w:r>
      <w:sdt>
        <w:sdtPr>
          <w:rPr>
            <w:lang w:val="en-ZA"/>
          </w:rPr>
          <w:id w:val="1383594903"/>
          <w:citation/>
        </w:sdtPr>
        <w:sdtEndPr/>
        <w:sdtContent>
          <w:r w:rsidR="00CC6274" w:rsidRPr="008633D2">
            <w:rPr>
              <w:lang w:val="en-ZA"/>
            </w:rPr>
            <w:fldChar w:fldCharType="begin"/>
          </w:r>
          <w:r w:rsidR="005B7BCE">
            <w:rPr>
              <w:lang w:val="en-ZA"/>
            </w:rPr>
            <w:instrText xml:space="preserve">CITATION Bec08 \l 1033 </w:instrText>
          </w:r>
          <w:r w:rsidR="00CC6274" w:rsidRPr="008633D2">
            <w:rPr>
              <w:lang w:val="en-ZA"/>
            </w:rPr>
            <w:fldChar w:fldCharType="separate"/>
          </w:r>
          <w:r w:rsidR="005B7BCE">
            <w:rPr>
              <w:noProof/>
              <w:lang w:val="en-ZA"/>
            </w:rPr>
            <w:t xml:space="preserve"> </w:t>
          </w:r>
          <w:r w:rsidR="005B7BCE" w:rsidRPr="005B7BCE">
            <w:rPr>
              <w:noProof/>
              <w:lang w:val="en-ZA"/>
            </w:rPr>
            <w:t>(Beckmann &amp; Menkhoff, 2008)</w:t>
          </w:r>
          <w:r w:rsidR="00CC6274" w:rsidRPr="008633D2">
            <w:rPr>
              <w:lang w:val="en-ZA"/>
            </w:rPr>
            <w:fldChar w:fldCharType="end"/>
          </w:r>
        </w:sdtContent>
      </w:sdt>
      <w:r w:rsidR="00CC6274" w:rsidRPr="008633D2">
        <w:rPr>
          <w:lang w:val="en-ZA"/>
        </w:rPr>
        <w:t xml:space="preserve">. </w:t>
      </w:r>
    </w:p>
    <w:p w:rsidR="00A5338A" w:rsidRPr="008633D2" w:rsidRDefault="00A5338A" w:rsidP="0051718F">
      <w:pPr>
        <w:rPr>
          <w:lang w:val="en-ZA"/>
        </w:rPr>
      </w:pPr>
    </w:p>
    <w:p w:rsidR="00CC7F51" w:rsidRPr="008633D2" w:rsidRDefault="007D2FB0" w:rsidP="0051718F">
      <w:pPr>
        <w:rPr>
          <w:lang w:val="en-ZA"/>
        </w:rPr>
      </w:pPr>
      <w:r w:rsidRPr="008633D2">
        <w:rPr>
          <w:lang w:val="en-ZA"/>
        </w:rPr>
        <w:t>The</w:t>
      </w:r>
      <w:r w:rsidR="0051718F" w:rsidRPr="008633D2">
        <w:rPr>
          <w:lang w:val="en-ZA"/>
        </w:rPr>
        <w:t xml:space="preserve"> growth per annum in assets managed by female fund managers </w:t>
      </w:r>
      <w:r w:rsidRPr="008633D2">
        <w:rPr>
          <w:lang w:val="en-ZA"/>
        </w:rPr>
        <w:t>is</w:t>
      </w:r>
      <w:r w:rsidR="00CC7F51" w:rsidRPr="008633D2">
        <w:rPr>
          <w:lang w:val="en-ZA"/>
        </w:rPr>
        <w:t xml:space="preserve"> </w:t>
      </w:r>
      <w:r w:rsidR="0051718F" w:rsidRPr="008633D2">
        <w:rPr>
          <w:lang w:val="en-ZA"/>
        </w:rPr>
        <w:t>a lot lower than that of comparable male managed funds</w:t>
      </w:r>
      <w:sdt>
        <w:sdtPr>
          <w:rPr>
            <w:lang w:val="en-ZA"/>
          </w:rPr>
          <w:id w:val="1751008518"/>
          <w:citation/>
        </w:sdtPr>
        <w:sdtEndPr/>
        <w:sdtContent>
          <w:r w:rsidRPr="008633D2">
            <w:rPr>
              <w:lang w:val="en-ZA"/>
            </w:rPr>
            <w:fldChar w:fldCharType="begin"/>
          </w:r>
          <w:r w:rsidR="005B7BCE">
            <w:rPr>
              <w:lang w:val="en-ZA"/>
            </w:rPr>
            <w:instrText xml:space="preserve">CITATION Nie06 \l 1033 </w:instrText>
          </w:r>
          <w:r w:rsidRPr="008633D2">
            <w:rPr>
              <w:lang w:val="en-ZA"/>
            </w:rPr>
            <w:fldChar w:fldCharType="separate"/>
          </w:r>
          <w:r w:rsidR="005B7BCE">
            <w:rPr>
              <w:noProof/>
              <w:lang w:val="en-ZA"/>
            </w:rPr>
            <w:t xml:space="preserve"> </w:t>
          </w:r>
          <w:r w:rsidR="005B7BCE" w:rsidRPr="005B7BCE">
            <w:rPr>
              <w:noProof/>
              <w:lang w:val="en-ZA"/>
            </w:rPr>
            <w:t>(Niessen &amp; Ruenzi, 2006)</w:t>
          </w:r>
          <w:r w:rsidRPr="008633D2">
            <w:rPr>
              <w:lang w:val="en-ZA"/>
            </w:rPr>
            <w:fldChar w:fldCharType="end"/>
          </w:r>
        </w:sdtContent>
      </w:sdt>
      <w:r w:rsidR="00CC6274" w:rsidRPr="008633D2">
        <w:rPr>
          <w:lang w:val="en-ZA"/>
        </w:rPr>
        <w:t xml:space="preserve">. </w:t>
      </w:r>
      <w:r w:rsidR="00A5338A" w:rsidRPr="008633D2">
        <w:rPr>
          <w:lang w:val="en-ZA"/>
        </w:rPr>
        <w:t xml:space="preserve">Aggarwal and Boyson (2015) </w:t>
      </w:r>
      <w:r w:rsidRPr="008633D2">
        <w:rPr>
          <w:lang w:val="en-ZA"/>
        </w:rPr>
        <w:t xml:space="preserve">support this statement by </w:t>
      </w:r>
      <w:r w:rsidR="00A5338A" w:rsidRPr="008633D2">
        <w:rPr>
          <w:lang w:val="en-ZA"/>
        </w:rPr>
        <w:t>highlight</w:t>
      </w:r>
      <w:r w:rsidRPr="008633D2">
        <w:rPr>
          <w:lang w:val="en-ZA"/>
        </w:rPr>
        <w:t>ing</w:t>
      </w:r>
      <w:r w:rsidR="00A5338A" w:rsidRPr="008633D2">
        <w:rPr>
          <w:lang w:val="en-ZA"/>
        </w:rPr>
        <w:t xml:space="preserve"> that female managed hedge funds have more difficulty attracting investments than their male counterparts. These authors offer the possibility that investors do not view women as typical hedge fund managers as a reason for the lack of investment</w:t>
      </w:r>
      <w:r w:rsidR="00CC6274" w:rsidRPr="008633D2">
        <w:rPr>
          <w:lang w:val="en-ZA"/>
        </w:rPr>
        <w:t xml:space="preserve">. </w:t>
      </w:r>
      <w:r w:rsidRPr="008633D2">
        <w:rPr>
          <w:lang w:val="en-ZA"/>
        </w:rPr>
        <w:t xml:space="preserve">Gender is a determinant in the fund size </w:t>
      </w:r>
      <w:r w:rsidR="008468AA" w:rsidRPr="008633D2">
        <w:rPr>
          <w:lang w:val="en-ZA"/>
        </w:rPr>
        <w:t>under management with men managing larger funds</w:t>
      </w:r>
      <w:sdt>
        <w:sdtPr>
          <w:rPr>
            <w:lang w:val="en-ZA"/>
          </w:rPr>
          <w:id w:val="965094174"/>
          <w:citation/>
        </w:sdtPr>
        <w:sdtEndPr/>
        <w:sdtContent>
          <w:r w:rsidR="008468AA" w:rsidRPr="008633D2">
            <w:rPr>
              <w:lang w:val="en-ZA"/>
            </w:rPr>
            <w:fldChar w:fldCharType="begin"/>
          </w:r>
          <w:r w:rsidR="008468AA" w:rsidRPr="008633D2">
            <w:rPr>
              <w:lang w:val="en-ZA"/>
            </w:rPr>
            <w:instrText xml:space="preserve">CITATION Men11 \l 1033 </w:instrText>
          </w:r>
          <w:r w:rsidR="008468AA" w:rsidRPr="008633D2">
            <w:rPr>
              <w:lang w:val="en-ZA"/>
            </w:rPr>
            <w:fldChar w:fldCharType="separate"/>
          </w:r>
          <w:r w:rsidR="008468AA" w:rsidRPr="008633D2">
            <w:rPr>
              <w:lang w:val="en-ZA"/>
            </w:rPr>
            <w:t xml:space="preserve"> (Hübler &amp; Menkhoff, 2011)</w:t>
          </w:r>
          <w:r w:rsidR="008468AA" w:rsidRPr="008633D2">
            <w:rPr>
              <w:lang w:val="en-ZA"/>
            </w:rPr>
            <w:fldChar w:fldCharType="end"/>
          </w:r>
        </w:sdtContent>
      </w:sdt>
      <w:r w:rsidR="008468AA" w:rsidRPr="008633D2">
        <w:rPr>
          <w:lang w:val="en-ZA"/>
        </w:rPr>
        <w:t>.</w:t>
      </w:r>
    </w:p>
    <w:p w:rsidR="007D2FB0" w:rsidRDefault="007D2FB0" w:rsidP="0051718F">
      <w:pPr>
        <w:rPr>
          <w:lang w:val="en-ZA"/>
        </w:rPr>
      </w:pPr>
    </w:p>
    <w:p w:rsidR="007A5FD1" w:rsidRPr="008633D2" w:rsidRDefault="007A5FD1" w:rsidP="0051718F">
      <w:pPr>
        <w:rPr>
          <w:lang w:val="en-ZA"/>
        </w:rPr>
      </w:pPr>
    </w:p>
    <w:p w:rsidR="00C41C23" w:rsidRDefault="00CC7F51" w:rsidP="0051718F">
      <w:pPr>
        <w:rPr>
          <w:lang w:val="en-ZA"/>
        </w:rPr>
      </w:pPr>
      <w:r w:rsidRPr="008633D2">
        <w:rPr>
          <w:lang w:val="en-ZA"/>
        </w:rPr>
        <w:t>E</w:t>
      </w:r>
      <w:r w:rsidR="0051718F" w:rsidRPr="008633D2">
        <w:rPr>
          <w:lang w:val="en-ZA"/>
        </w:rPr>
        <w:t xml:space="preserve">vidence has been building over time </w:t>
      </w:r>
      <w:r w:rsidR="00183E85">
        <w:rPr>
          <w:lang w:val="en-ZA"/>
        </w:rPr>
        <w:t>that</w:t>
      </w:r>
      <w:r w:rsidR="0051718F" w:rsidRPr="008633D2">
        <w:rPr>
          <w:lang w:val="en-ZA"/>
        </w:rPr>
        <w:t xml:space="preserve"> indicates that women do </w:t>
      </w:r>
      <w:r w:rsidR="008633D2" w:rsidRPr="008633D2">
        <w:rPr>
          <w:lang w:val="en-ZA"/>
        </w:rPr>
        <w:t>in</w:t>
      </w:r>
      <w:r w:rsidR="00ED7F94">
        <w:rPr>
          <w:lang w:val="en-ZA"/>
        </w:rPr>
        <w:t xml:space="preserve"> fa</w:t>
      </w:r>
      <w:r w:rsidR="008633D2" w:rsidRPr="008633D2">
        <w:rPr>
          <w:lang w:val="en-ZA"/>
        </w:rPr>
        <w:t>ct</w:t>
      </w:r>
      <w:r w:rsidR="0051718F" w:rsidRPr="008633D2">
        <w:rPr>
          <w:lang w:val="en-ZA"/>
        </w:rPr>
        <w:t xml:space="preserve"> outperform their male counterparts, however it may be too early to be sure</w:t>
      </w:r>
      <w:sdt>
        <w:sdtPr>
          <w:rPr>
            <w:lang w:val="en-ZA"/>
          </w:rPr>
          <w:id w:val="1608619665"/>
          <w:citation/>
        </w:sdtPr>
        <w:sdtEndPr/>
        <w:sdtContent>
          <w:r w:rsidR="0051718F" w:rsidRPr="008633D2">
            <w:rPr>
              <w:lang w:val="en-ZA"/>
            </w:rPr>
            <w:fldChar w:fldCharType="begin"/>
          </w:r>
          <w:r w:rsidR="0051718F" w:rsidRPr="008633D2">
            <w:rPr>
              <w:lang w:val="en-ZA"/>
            </w:rPr>
            <w:instrText xml:space="preserve"> CITATION Fol15 \l 1033 </w:instrText>
          </w:r>
          <w:r w:rsidR="0051718F" w:rsidRPr="008633D2">
            <w:rPr>
              <w:lang w:val="en-ZA"/>
            </w:rPr>
            <w:fldChar w:fldCharType="separate"/>
          </w:r>
          <w:r w:rsidR="0051718F" w:rsidRPr="008633D2">
            <w:rPr>
              <w:lang w:val="en-ZA"/>
            </w:rPr>
            <w:t xml:space="preserve"> (Foley, 2015)</w:t>
          </w:r>
          <w:r w:rsidR="0051718F" w:rsidRPr="008633D2">
            <w:rPr>
              <w:lang w:val="en-ZA"/>
            </w:rPr>
            <w:fldChar w:fldCharType="end"/>
          </w:r>
        </w:sdtContent>
      </w:sdt>
      <w:r w:rsidR="00CC6274" w:rsidRPr="008633D2">
        <w:rPr>
          <w:lang w:val="en-ZA"/>
        </w:rPr>
        <w:t xml:space="preserve">. </w:t>
      </w:r>
      <w:r w:rsidR="00DA2820" w:rsidRPr="008633D2">
        <w:rPr>
          <w:lang w:val="en-ZA"/>
        </w:rPr>
        <w:t xml:space="preserve">Pham </w:t>
      </w:r>
      <w:r w:rsidR="008633D2" w:rsidRPr="008633D2">
        <w:rPr>
          <w:lang w:val="en-ZA"/>
        </w:rPr>
        <w:t>(2015</w:t>
      </w:r>
      <w:r w:rsidR="00DA2820" w:rsidRPr="008633D2">
        <w:rPr>
          <w:lang w:val="en-ZA"/>
        </w:rPr>
        <w:t xml:space="preserve">) provides evidence of weak support of the claim that female hedge fund managers provide higher risk-adjusted returns than their male </w:t>
      </w:r>
      <w:r w:rsidR="00CC6274" w:rsidRPr="008633D2">
        <w:rPr>
          <w:lang w:val="en-ZA"/>
        </w:rPr>
        <w:t>counterparts do</w:t>
      </w:r>
      <w:r w:rsidR="00DA2820" w:rsidRPr="008633D2">
        <w:rPr>
          <w:lang w:val="en-ZA"/>
        </w:rPr>
        <w:t xml:space="preserve">. </w:t>
      </w:r>
      <w:r w:rsidR="00A32FF9" w:rsidRPr="008633D2">
        <w:rPr>
          <w:lang w:val="en-ZA"/>
        </w:rPr>
        <w:t>However, the</w:t>
      </w:r>
      <w:r w:rsidR="00DA2820" w:rsidRPr="008633D2">
        <w:rPr>
          <w:lang w:val="en-ZA"/>
        </w:rPr>
        <w:t xml:space="preserve"> evidence offered is limited by the small data set </w:t>
      </w:r>
      <w:r w:rsidR="00ED7F94">
        <w:rPr>
          <w:lang w:val="en-ZA"/>
        </w:rPr>
        <w:t xml:space="preserve">available for use </w:t>
      </w:r>
      <w:r w:rsidR="00DA2820" w:rsidRPr="008633D2">
        <w:rPr>
          <w:lang w:val="en-ZA"/>
        </w:rPr>
        <w:t xml:space="preserve">in the research. </w:t>
      </w:r>
    </w:p>
    <w:p w:rsidR="0046753E" w:rsidRPr="008633D2" w:rsidRDefault="0046753E" w:rsidP="0051718F">
      <w:pPr>
        <w:rPr>
          <w:lang w:val="en-ZA"/>
        </w:rPr>
      </w:pPr>
    </w:p>
    <w:p w:rsidR="009114FD" w:rsidRDefault="00A32FF9" w:rsidP="0051718F">
      <w:pPr>
        <w:rPr>
          <w:lang w:val="en-ZA"/>
        </w:rPr>
      </w:pPr>
      <w:r w:rsidRPr="008633D2">
        <w:rPr>
          <w:lang w:val="en-ZA"/>
        </w:rPr>
        <w:t xml:space="preserve">Aggarwal and Boyson (2015) examined the return and risk-taking behaviour of hedge funds that had at least one female </w:t>
      </w:r>
      <w:r w:rsidR="008633D2" w:rsidRPr="008633D2">
        <w:rPr>
          <w:lang w:val="en-ZA"/>
        </w:rPr>
        <w:t>portfolio</w:t>
      </w:r>
      <w:r w:rsidRPr="008633D2">
        <w:rPr>
          <w:lang w:val="en-ZA"/>
        </w:rPr>
        <w:t xml:space="preserve"> man</w:t>
      </w:r>
      <w:r w:rsidR="0046753E">
        <w:rPr>
          <w:lang w:val="en-ZA"/>
        </w:rPr>
        <w:t>a</w:t>
      </w:r>
      <w:r w:rsidRPr="008633D2">
        <w:rPr>
          <w:lang w:val="en-ZA"/>
        </w:rPr>
        <w:t>ger and compared them to hedge funds with at least one male portfolio manager and similar risk exposure to conclude that there is no difference in performance.</w:t>
      </w:r>
      <w:r w:rsidR="0077375C" w:rsidRPr="008633D2">
        <w:rPr>
          <w:lang w:val="en-ZA"/>
        </w:rPr>
        <w:t xml:space="preserve"> This research is supported by Niessen-Ruenzi and Ruenzi (2015) who show that performance is identical</w:t>
      </w:r>
      <w:r w:rsidR="007D2FB0" w:rsidRPr="008633D2">
        <w:rPr>
          <w:lang w:val="en-ZA"/>
        </w:rPr>
        <w:t xml:space="preserve"> between</w:t>
      </w:r>
      <w:r w:rsidR="0077375C" w:rsidRPr="008633D2">
        <w:rPr>
          <w:lang w:val="en-ZA"/>
        </w:rPr>
        <w:t xml:space="preserve"> male and female fund managers</w:t>
      </w:r>
      <w:r w:rsidR="00CC6274" w:rsidRPr="008633D2">
        <w:rPr>
          <w:lang w:val="en-ZA"/>
        </w:rPr>
        <w:t xml:space="preserve">. </w:t>
      </w:r>
      <w:r w:rsidR="00036DD0" w:rsidRPr="008633D2">
        <w:rPr>
          <w:lang w:val="en-ZA"/>
        </w:rPr>
        <w:t>Beckmann and Menkhoff</w:t>
      </w:r>
      <w:r w:rsidR="00183E85">
        <w:rPr>
          <w:lang w:val="en-ZA"/>
        </w:rPr>
        <w:t xml:space="preserve"> </w:t>
      </w:r>
      <w:r w:rsidR="00036DD0" w:rsidRPr="008633D2">
        <w:rPr>
          <w:lang w:val="en-ZA"/>
        </w:rPr>
        <w:t xml:space="preserve">(2008) show that fund managing-women will </w:t>
      </w:r>
      <w:r w:rsidR="0046753E">
        <w:rPr>
          <w:lang w:val="en-ZA"/>
        </w:rPr>
        <w:t>act as</w:t>
      </w:r>
      <w:r w:rsidR="00036DD0" w:rsidRPr="008633D2">
        <w:rPr>
          <w:lang w:val="en-ZA"/>
        </w:rPr>
        <w:t xml:space="preserve"> women in their profession and thus exhibit female tendencies of being more risk averse, less overconfident and less competitive</w:t>
      </w:r>
      <w:r w:rsidR="00036DD0">
        <w:rPr>
          <w:lang w:val="en-ZA"/>
        </w:rPr>
        <w:t>, however this</w:t>
      </w:r>
      <w:r w:rsidR="00036DD0" w:rsidRPr="008633D2">
        <w:rPr>
          <w:lang w:val="en-ZA"/>
        </w:rPr>
        <w:t xml:space="preserve"> does not </w:t>
      </w:r>
      <w:r w:rsidR="00036DD0">
        <w:rPr>
          <w:lang w:val="en-ZA"/>
        </w:rPr>
        <w:t>deterior</w:t>
      </w:r>
      <w:r w:rsidR="00036DD0" w:rsidRPr="008633D2">
        <w:rPr>
          <w:lang w:val="en-ZA"/>
        </w:rPr>
        <w:t>ate performance of the fund.</w:t>
      </w:r>
      <w:r w:rsidR="00036DD0">
        <w:rPr>
          <w:lang w:val="en-ZA"/>
        </w:rPr>
        <w:t xml:space="preserve"> In conclusion, t</w:t>
      </w:r>
      <w:r w:rsidR="00DC44BD" w:rsidRPr="008633D2">
        <w:rPr>
          <w:lang w:val="en-ZA"/>
        </w:rPr>
        <w:t>here is an absence of significant differences in the performance of female and male fund managers</w:t>
      </w:r>
      <w:sdt>
        <w:sdtPr>
          <w:rPr>
            <w:lang w:val="en-ZA"/>
          </w:rPr>
          <w:id w:val="1939253241"/>
          <w:citation/>
        </w:sdtPr>
        <w:sdtEndPr/>
        <w:sdtContent>
          <w:r w:rsidR="00DC44BD" w:rsidRPr="008633D2">
            <w:rPr>
              <w:lang w:val="en-ZA"/>
            </w:rPr>
            <w:fldChar w:fldCharType="begin"/>
          </w:r>
          <w:r w:rsidR="005B7BCE">
            <w:rPr>
              <w:lang w:val="en-ZA"/>
            </w:rPr>
            <w:instrText xml:space="preserve">CITATION Bab15 \l 1033 </w:instrText>
          </w:r>
          <w:r w:rsidR="00DC44BD" w:rsidRPr="008633D2">
            <w:rPr>
              <w:lang w:val="en-ZA"/>
            </w:rPr>
            <w:fldChar w:fldCharType="separate"/>
          </w:r>
          <w:r w:rsidR="005B7BCE">
            <w:rPr>
              <w:noProof/>
              <w:lang w:val="en-ZA"/>
            </w:rPr>
            <w:t xml:space="preserve"> </w:t>
          </w:r>
          <w:r w:rsidR="005B7BCE" w:rsidRPr="005B7BCE">
            <w:rPr>
              <w:noProof/>
              <w:lang w:val="en-ZA"/>
            </w:rPr>
            <w:t>(Babalos, Caporale, &amp; Philippas, 2015)</w:t>
          </w:r>
          <w:r w:rsidR="00DC44BD" w:rsidRPr="008633D2">
            <w:rPr>
              <w:lang w:val="en-ZA"/>
            </w:rPr>
            <w:fldChar w:fldCharType="end"/>
          </w:r>
        </w:sdtContent>
      </w:sdt>
      <w:r w:rsidR="00DC44BD" w:rsidRPr="008633D2">
        <w:rPr>
          <w:lang w:val="en-ZA"/>
        </w:rPr>
        <w:t xml:space="preserve">. </w:t>
      </w:r>
    </w:p>
    <w:p w:rsidR="00ED7F94" w:rsidRDefault="00ED7F94" w:rsidP="0051718F">
      <w:pPr>
        <w:rPr>
          <w:lang w:val="en-ZA"/>
        </w:rPr>
      </w:pPr>
    </w:p>
    <w:p w:rsidR="00ED7F94" w:rsidRPr="008633D2" w:rsidRDefault="00ED7F94" w:rsidP="0051718F">
      <w:pPr>
        <w:rPr>
          <w:lang w:val="en-ZA"/>
        </w:rPr>
      </w:pPr>
      <w:r>
        <w:rPr>
          <w:lang w:val="en-ZA"/>
        </w:rPr>
        <w:t xml:space="preserve">This section of the literature review highlights that women are more risk averse than men and </w:t>
      </w:r>
      <w:r w:rsidR="000B791F">
        <w:rPr>
          <w:lang w:val="en-ZA"/>
        </w:rPr>
        <w:t xml:space="preserve">are </w:t>
      </w:r>
      <w:r>
        <w:rPr>
          <w:lang w:val="en-ZA"/>
        </w:rPr>
        <w:t xml:space="preserve">less overconfident than men. These factors could lead to better returns on funds managed by females in the long term. The literature does not conclusively show positive or negative differences in performance due to gender.  </w:t>
      </w:r>
    </w:p>
    <w:bookmarkEnd w:id="87"/>
    <w:bookmarkEnd w:id="88"/>
    <w:bookmarkEnd w:id="89"/>
    <w:bookmarkEnd w:id="90"/>
    <w:bookmarkEnd w:id="91"/>
    <w:p w:rsidR="00526B31" w:rsidRDefault="00526B31" w:rsidP="00526B31">
      <w:pPr>
        <w:rPr>
          <w:color w:val="333399"/>
          <w:lang w:val="en-ZA"/>
        </w:rPr>
      </w:pPr>
    </w:p>
    <w:p w:rsidR="0046753E" w:rsidRDefault="0046753E" w:rsidP="00526B31">
      <w:pPr>
        <w:rPr>
          <w:color w:val="333399"/>
          <w:lang w:val="en-ZA"/>
        </w:rPr>
      </w:pPr>
    </w:p>
    <w:p w:rsidR="00ED7F94" w:rsidRPr="008633D2" w:rsidRDefault="00ED7F94" w:rsidP="00ED7F94">
      <w:pPr>
        <w:pStyle w:val="Heading2"/>
        <w:rPr>
          <w:lang w:val="en-ZA"/>
        </w:rPr>
      </w:pPr>
      <w:bookmarkStart w:id="116" w:name="_Toc458610782"/>
      <w:r>
        <w:rPr>
          <w:lang w:val="en-ZA"/>
        </w:rPr>
        <w:t>Hypothesis</w:t>
      </w:r>
      <w:bookmarkEnd w:id="116"/>
    </w:p>
    <w:p w:rsidR="00ED7F94" w:rsidRDefault="00ED7F94" w:rsidP="00ED7F94">
      <w:pPr>
        <w:rPr>
          <w:color w:val="FF0000"/>
          <w:sz w:val="28"/>
          <w:szCs w:val="28"/>
          <w:lang w:val="en-ZA"/>
        </w:rPr>
      </w:pPr>
      <w:r>
        <w:rPr>
          <w:lang w:val="en-ZA"/>
        </w:rPr>
        <w:t>This study aims to test if f</w:t>
      </w:r>
      <w:r w:rsidRPr="008633D2">
        <w:rPr>
          <w:lang w:val="en-ZA"/>
        </w:rPr>
        <w:t>unds in South Africa</w:t>
      </w:r>
      <w:r>
        <w:rPr>
          <w:lang w:val="en-ZA"/>
        </w:rPr>
        <w:t xml:space="preserve"> that are</w:t>
      </w:r>
      <w:r w:rsidRPr="008633D2">
        <w:rPr>
          <w:lang w:val="en-ZA"/>
        </w:rPr>
        <w:t xml:space="preserve"> managed by an individual female fund manager will outperform a fund managed by</w:t>
      </w:r>
      <w:r w:rsidR="0046753E">
        <w:rPr>
          <w:lang w:val="en-ZA"/>
        </w:rPr>
        <w:t xml:space="preserve"> an</w:t>
      </w:r>
      <w:r w:rsidRPr="008633D2">
        <w:rPr>
          <w:lang w:val="en-ZA"/>
        </w:rPr>
        <w:t xml:space="preserve"> individual male fund manage</w:t>
      </w:r>
      <w:r>
        <w:rPr>
          <w:lang w:val="en-ZA"/>
        </w:rPr>
        <w:t xml:space="preserve">r, provided the funds have </w:t>
      </w:r>
      <w:r w:rsidRPr="008633D2">
        <w:rPr>
          <w:lang w:val="en-ZA"/>
        </w:rPr>
        <w:t>a comparable beta</w:t>
      </w:r>
      <w:r>
        <w:rPr>
          <w:lang w:val="en-ZA"/>
        </w:rPr>
        <w:t xml:space="preserve">. The following sub-sections describe the </w:t>
      </w:r>
      <w:r w:rsidR="000B791F">
        <w:rPr>
          <w:lang w:val="en-ZA"/>
        </w:rPr>
        <w:t xml:space="preserve">one-tailed </w:t>
      </w:r>
      <w:r>
        <w:rPr>
          <w:lang w:val="en-ZA"/>
        </w:rPr>
        <w:t xml:space="preserve">hypotheses that </w:t>
      </w:r>
      <w:r w:rsidR="0046753E">
        <w:rPr>
          <w:lang w:val="en-ZA"/>
        </w:rPr>
        <w:t>ha</w:t>
      </w:r>
      <w:r w:rsidR="00183E85">
        <w:rPr>
          <w:lang w:val="en-ZA"/>
        </w:rPr>
        <w:t>ve</w:t>
      </w:r>
      <w:r>
        <w:rPr>
          <w:lang w:val="en-ZA"/>
        </w:rPr>
        <w:t xml:space="preserve"> been developed. </w:t>
      </w:r>
      <w:r w:rsidRPr="008633D2">
        <w:rPr>
          <w:color w:val="FF0000"/>
          <w:sz w:val="28"/>
          <w:szCs w:val="28"/>
          <w:lang w:val="en-ZA"/>
        </w:rPr>
        <w:t xml:space="preserve"> </w:t>
      </w:r>
    </w:p>
    <w:p w:rsidR="0046753E" w:rsidRPr="008633D2" w:rsidRDefault="0046753E" w:rsidP="00ED7F94">
      <w:pPr>
        <w:rPr>
          <w:lang w:val="en-ZA"/>
        </w:rPr>
      </w:pPr>
    </w:p>
    <w:p w:rsidR="00ED7F94" w:rsidRPr="008633D2" w:rsidRDefault="00ED7F94" w:rsidP="00ED7F94">
      <w:pPr>
        <w:pStyle w:val="Heading3"/>
        <w:rPr>
          <w:lang w:val="en-ZA"/>
        </w:rPr>
      </w:pPr>
      <w:bookmarkStart w:id="117" w:name="_Toc458610783"/>
      <w:r w:rsidRPr="008633D2">
        <w:rPr>
          <w:lang w:val="en-ZA"/>
        </w:rPr>
        <w:t>Hypothesis 1 – short term performance</w:t>
      </w:r>
      <w:bookmarkEnd w:id="117"/>
      <w:r w:rsidRPr="008633D2">
        <w:rPr>
          <w:lang w:val="en-ZA"/>
        </w:rPr>
        <w:t xml:space="preserve"> </w:t>
      </w:r>
    </w:p>
    <w:p w:rsidR="00ED7F94" w:rsidRDefault="00ED7F94" w:rsidP="00ED7F94">
      <w:pPr>
        <w:rPr>
          <w:lang w:val="en-ZA"/>
        </w:rPr>
      </w:pPr>
      <w:r w:rsidRPr="008633D2">
        <w:rPr>
          <w:u w:val="single"/>
          <w:lang w:val="en-ZA"/>
        </w:rPr>
        <w:t>Null hypothesis:</w:t>
      </w:r>
      <w:r w:rsidR="000B791F" w:rsidRPr="000B791F">
        <w:rPr>
          <w:lang w:val="en-ZA"/>
        </w:rPr>
        <w:t xml:space="preserve"> </w:t>
      </w:r>
      <w:r>
        <w:rPr>
          <w:lang w:val="en-ZA"/>
        </w:rPr>
        <w:t xml:space="preserve">In the short term, </w:t>
      </w:r>
      <w:r w:rsidR="000B791F">
        <w:rPr>
          <w:lang w:val="en-ZA"/>
        </w:rPr>
        <w:t xml:space="preserve">the </w:t>
      </w:r>
      <w:r>
        <w:rPr>
          <w:lang w:val="en-ZA"/>
        </w:rPr>
        <w:t>performance of male managed funds</w:t>
      </w:r>
      <w:r w:rsidR="000B791F">
        <w:rPr>
          <w:lang w:val="en-ZA"/>
        </w:rPr>
        <w:t xml:space="preserve"> (</w:t>
      </w:r>
      <m:oMath>
        <m:sSub>
          <m:sSubPr>
            <m:ctrlPr>
              <w:rPr>
                <w:rFonts w:ascii="Cambria Math" w:hAnsi="Cambria Math"/>
                <w:i/>
                <w:lang w:val="en-ZA"/>
              </w:rPr>
            </m:ctrlPr>
          </m:sSubPr>
          <m:e>
            <m:r>
              <w:rPr>
                <w:rFonts w:ascii="Cambria Math" w:hAnsi="Cambria Math"/>
                <w:lang w:val="en-ZA"/>
              </w:rPr>
              <m:t xml:space="preserve"> r</m:t>
            </m:r>
          </m:e>
          <m:sub>
            <m:r>
              <w:rPr>
                <w:rFonts w:ascii="Cambria Math" w:hAnsi="Cambria Math"/>
                <w:lang w:val="en-ZA"/>
              </w:rPr>
              <m:t>m(ST)</m:t>
            </m:r>
          </m:sub>
        </m:sSub>
      </m:oMath>
      <w:r w:rsidR="000B791F">
        <w:rPr>
          <w:lang w:val="en-ZA"/>
        </w:rPr>
        <w:t>)</w:t>
      </w:r>
      <w:r>
        <w:rPr>
          <w:lang w:val="en-ZA"/>
        </w:rPr>
        <w:t xml:space="preserve"> is greater than or equal to the performance of female managed </w:t>
      </w:r>
      <w:r w:rsidR="000B791F">
        <w:rPr>
          <w:lang w:val="en-ZA"/>
        </w:rPr>
        <w:t>funds (</w:t>
      </w:r>
      <m:oMath>
        <m:sSub>
          <m:sSubPr>
            <m:ctrlPr>
              <w:rPr>
                <w:rFonts w:ascii="Cambria Math" w:hAnsi="Cambria Math"/>
                <w:i/>
                <w:lang w:val="en-ZA"/>
              </w:rPr>
            </m:ctrlPr>
          </m:sSubPr>
          <m:e>
            <m:r>
              <w:rPr>
                <w:rFonts w:ascii="Cambria Math" w:hAnsi="Cambria Math"/>
                <w:lang w:val="en-ZA"/>
              </w:rPr>
              <m:t>r</m:t>
            </m:r>
          </m:e>
          <m:sub>
            <m:r>
              <w:rPr>
                <w:rFonts w:ascii="Cambria Math" w:hAnsi="Cambria Math"/>
                <w:lang w:val="en-ZA"/>
              </w:rPr>
              <m:t>f(ST)</m:t>
            </m:r>
          </m:sub>
        </m:sSub>
      </m:oMath>
      <w:r w:rsidR="000B791F">
        <w:rPr>
          <w:lang w:val="en-ZA"/>
        </w:rPr>
        <w:t>)</w:t>
      </w:r>
      <w:r>
        <w:rPr>
          <w:lang w:val="en-ZA"/>
        </w:rPr>
        <w:t>.</w:t>
      </w:r>
    </w:p>
    <w:p w:rsidR="000B791F" w:rsidRPr="0046753E" w:rsidRDefault="003323B7" w:rsidP="00ED7F94">
      <w:pPr>
        <w:rPr>
          <w:lang w:val="en-ZA"/>
        </w:rPr>
      </w:pPr>
      <m:oMathPara>
        <m:oMath>
          <m:sSub>
            <m:sSubPr>
              <m:ctrlPr>
                <w:rPr>
                  <w:rFonts w:ascii="Cambria Math" w:hAnsi="Cambria Math"/>
                  <w:i/>
                  <w:lang w:val="en-ZA"/>
                </w:rPr>
              </m:ctrlPr>
            </m:sSubPr>
            <m:e>
              <m:r>
                <w:rPr>
                  <w:rFonts w:ascii="Cambria Math" w:hAnsi="Cambria Math"/>
                  <w:lang w:val="en-ZA"/>
                </w:rPr>
                <m:t>H</m:t>
              </m:r>
            </m:e>
            <m:sub>
              <m:r>
                <w:rPr>
                  <w:rFonts w:ascii="Cambria Math" w:hAnsi="Cambria Math"/>
                  <w:lang w:val="en-ZA"/>
                </w:rPr>
                <m:t>O</m:t>
              </m:r>
              <m:d>
                <m:dPr>
                  <m:ctrlPr>
                    <w:rPr>
                      <w:rFonts w:ascii="Cambria Math" w:hAnsi="Cambria Math"/>
                      <w:i/>
                      <w:lang w:val="en-ZA"/>
                    </w:rPr>
                  </m:ctrlPr>
                </m:dPr>
                <m:e>
                  <m:r>
                    <w:rPr>
                      <w:rFonts w:ascii="Cambria Math" w:hAnsi="Cambria Math"/>
                      <w:lang w:val="en-ZA"/>
                    </w:rPr>
                    <m:t>ST</m:t>
                  </m:r>
                </m:e>
              </m:d>
            </m:sub>
          </m:sSub>
          <m:r>
            <w:rPr>
              <w:rFonts w:ascii="Cambria Math" w:hAnsi="Cambria Math"/>
              <w:lang w:val="en-ZA"/>
            </w:rPr>
            <m:t xml:space="preserve">: </m:t>
          </m:r>
          <m:sSub>
            <m:sSubPr>
              <m:ctrlPr>
                <w:rPr>
                  <w:rFonts w:ascii="Cambria Math" w:hAnsi="Cambria Math"/>
                  <w:i/>
                  <w:lang w:val="en-ZA"/>
                </w:rPr>
              </m:ctrlPr>
            </m:sSubPr>
            <m:e>
              <m:r>
                <w:rPr>
                  <w:rFonts w:ascii="Cambria Math" w:hAnsi="Cambria Math"/>
                  <w:lang w:val="en-ZA"/>
                </w:rPr>
                <m:t xml:space="preserve"> r</m:t>
              </m:r>
            </m:e>
            <m:sub>
              <m:r>
                <w:rPr>
                  <w:rFonts w:ascii="Cambria Math" w:hAnsi="Cambria Math"/>
                  <w:lang w:val="en-ZA"/>
                </w:rPr>
                <m:t>m(ST)</m:t>
              </m:r>
            </m:sub>
          </m:sSub>
          <m:r>
            <w:rPr>
              <w:rFonts w:ascii="Cambria Math" w:hAnsi="Cambria Math"/>
              <w:lang w:val="en-ZA"/>
            </w:rPr>
            <m:t xml:space="preserve"> ≥ </m:t>
          </m:r>
          <m:sSub>
            <m:sSubPr>
              <m:ctrlPr>
                <w:rPr>
                  <w:rFonts w:ascii="Cambria Math" w:hAnsi="Cambria Math"/>
                  <w:i/>
                  <w:lang w:val="en-ZA"/>
                </w:rPr>
              </m:ctrlPr>
            </m:sSubPr>
            <m:e>
              <m:r>
                <w:rPr>
                  <w:rFonts w:ascii="Cambria Math" w:hAnsi="Cambria Math"/>
                  <w:lang w:val="en-ZA"/>
                </w:rPr>
                <m:t>r</m:t>
              </m:r>
            </m:e>
            <m:sub>
              <m:r>
                <w:rPr>
                  <w:rFonts w:ascii="Cambria Math" w:hAnsi="Cambria Math"/>
                  <w:lang w:val="en-ZA"/>
                </w:rPr>
                <m:t>f(ST)</m:t>
              </m:r>
            </m:sub>
          </m:sSub>
        </m:oMath>
      </m:oMathPara>
    </w:p>
    <w:p w:rsidR="0046753E" w:rsidRPr="00DA5185" w:rsidRDefault="0046753E" w:rsidP="00ED7F94">
      <w:pPr>
        <w:rPr>
          <w:lang w:val="en-ZA"/>
        </w:rPr>
      </w:pPr>
    </w:p>
    <w:p w:rsidR="00ED7F94" w:rsidRDefault="00ED7F94" w:rsidP="00ED7F94">
      <w:pPr>
        <w:rPr>
          <w:lang w:val="en-ZA"/>
        </w:rPr>
      </w:pPr>
      <w:r w:rsidRPr="008633D2">
        <w:rPr>
          <w:u w:val="single"/>
          <w:lang w:val="en-ZA"/>
        </w:rPr>
        <w:t xml:space="preserve">Alternate hypothesis: </w:t>
      </w:r>
      <w:r>
        <w:rPr>
          <w:lang w:val="en-ZA"/>
        </w:rPr>
        <w:t xml:space="preserve">In the short term, </w:t>
      </w:r>
      <w:r w:rsidR="000B791F">
        <w:rPr>
          <w:lang w:val="en-ZA"/>
        </w:rPr>
        <w:t xml:space="preserve">the </w:t>
      </w:r>
      <w:r>
        <w:rPr>
          <w:lang w:val="en-ZA"/>
        </w:rPr>
        <w:t>performance of female managed funds</w:t>
      </w:r>
      <w:r w:rsidR="000B791F">
        <w:rPr>
          <w:lang w:val="en-ZA"/>
        </w:rPr>
        <w:t xml:space="preserve"> (</w:t>
      </w:r>
      <m:oMath>
        <m:sSub>
          <m:sSubPr>
            <m:ctrlPr>
              <w:rPr>
                <w:rFonts w:ascii="Cambria Math" w:hAnsi="Cambria Math"/>
                <w:i/>
                <w:lang w:val="en-ZA"/>
              </w:rPr>
            </m:ctrlPr>
          </m:sSubPr>
          <m:e>
            <m:r>
              <w:rPr>
                <w:rFonts w:ascii="Cambria Math" w:hAnsi="Cambria Math"/>
                <w:lang w:val="en-ZA"/>
              </w:rPr>
              <m:t xml:space="preserve"> r</m:t>
            </m:r>
          </m:e>
          <m:sub>
            <m:r>
              <w:rPr>
                <w:rFonts w:ascii="Cambria Math" w:hAnsi="Cambria Math"/>
                <w:lang w:val="en-ZA"/>
              </w:rPr>
              <m:t>f(ST)</m:t>
            </m:r>
          </m:sub>
        </m:sSub>
      </m:oMath>
      <w:r w:rsidR="000B791F">
        <w:rPr>
          <w:lang w:val="en-ZA"/>
        </w:rPr>
        <w:t>) is</w:t>
      </w:r>
      <w:r>
        <w:rPr>
          <w:lang w:val="en-ZA"/>
        </w:rPr>
        <w:t xml:space="preserve"> greater than the performance of male managed funds</w:t>
      </w:r>
      <w:r w:rsidR="000B791F">
        <w:rPr>
          <w:lang w:val="en-ZA"/>
        </w:rPr>
        <w:t xml:space="preserve"> (</w:t>
      </w:r>
      <m:oMath>
        <m:sSub>
          <m:sSubPr>
            <m:ctrlPr>
              <w:rPr>
                <w:rFonts w:ascii="Cambria Math" w:hAnsi="Cambria Math"/>
                <w:i/>
                <w:lang w:val="en-ZA"/>
              </w:rPr>
            </m:ctrlPr>
          </m:sSubPr>
          <m:e>
            <m:r>
              <w:rPr>
                <w:rFonts w:ascii="Cambria Math" w:hAnsi="Cambria Math"/>
                <w:lang w:val="en-ZA"/>
              </w:rPr>
              <m:t xml:space="preserve"> r</m:t>
            </m:r>
          </m:e>
          <m:sub>
            <m:r>
              <w:rPr>
                <w:rFonts w:ascii="Cambria Math" w:hAnsi="Cambria Math"/>
                <w:lang w:val="en-ZA"/>
              </w:rPr>
              <m:t>m(ST)</m:t>
            </m:r>
          </m:sub>
        </m:sSub>
      </m:oMath>
      <w:r w:rsidR="000B791F">
        <w:rPr>
          <w:lang w:val="en-ZA"/>
        </w:rPr>
        <w:t>)</w:t>
      </w:r>
      <w:r>
        <w:rPr>
          <w:lang w:val="en-ZA"/>
        </w:rPr>
        <w:t>.</w:t>
      </w:r>
    </w:p>
    <w:p w:rsidR="0046753E" w:rsidRDefault="0046753E" w:rsidP="00ED7F94">
      <w:pPr>
        <w:rPr>
          <w:lang w:val="en-ZA"/>
        </w:rPr>
      </w:pPr>
    </w:p>
    <w:p w:rsidR="000B791F" w:rsidRPr="000E1B67" w:rsidRDefault="003323B7" w:rsidP="00ED7F94">
      <w:pPr>
        <w:rPr>
          <w:lang w:val="en-ZA"/>
        </w:rPr>
      </w:pPr>
      <m:oMathPara>
        <m:oMath>
          <m:sSub>
            <m:sSubPr>
              <m:ctrlPr>
                <w:rPr>
                  <w:rFonts w:ascii="Cambria Math" w:hAnsi="Cambria Math"/>
                  <w:i/>
                  <w:lang w:val="en-ZA"/>
                </w:rPr>
              </m:ctrlPr>
            </m:sSubPr>
            <m:e>
              <m:r>
                <w:rPr>
                  <w:rFonts w:ascii="Cambria Math" w:hAnsi="Cambria Math"/>
                  <w:lang w:val="en-ZA"/>
                </w:rPr>
                <m:t>H</m:t>
              </m:r>
            </m:e>
            <m:sub>
              <m:r>
                <w:rPr>
                  <w:rFonts w:ascii="Cambria Math" w:hAnsi="Cambria Math"/>
                  <w:lang w:val="en-ZA"/>
                </w:rPr>
                <m:t>A</m:t>
              </m:r>
              <m:d>
                <m:dPr>
                  <m:ctrlPr>
                    <w:rPr>
                      <w:rFonts w:ascii="Cambria Math" w:hAnsi="Cambria Math"/>
                      <w:i/>
                      <w:lang w:val="en-ZA"/>
                    </w:rPr>
                  </m:ctrlPr>
                </m:dPr>
                <m:e>
                  <m:r>
                    <w:rPr>
                      <w:rFonts w:ascii="Cambria Math" w:hAnsi="Cambria Math"/>
                      <w:lang w:val="en-ZA"/>
                    </w:rPr>
                    <m:t>ST</m:t>
                  </m:r>
                </m:e>
              </m:d>
            </m:sub>
          </m:sSub>
          <m:r>
            <w:rPr>
              <w:rFonts w:ascii="Cambria Math" w:hAnsi="Cambria Math"/>
              <w:lang w:val="en-ZA"/>
            </w:rPr>
            <m:t xml:space="preserve">: </m:t>
          </m:r>
          <m:sSub>
            <m:sSubPr>
              <m:ctrlPr>
                <w:rPr>
                  <w:rFonts w:ascii="Cambria Math" w:hAnsi="Cambria Math"/>
                  <w:i/>
                  <w:lang w:val="en-ZA"/>
                </w:rPr>
              </m:ctrlPr>
            </m:sSubPr>
            <m:e>
              <m:r>
                <w:rPr>
                  <w:rFonts w:ascii="Cambria Math" w:hAnsi="Cambria Math"/>
                  <w:lang w:val="en-ZA"/>
                </w:rPr>
                <m:t xml:space="preserve"> r</m:t>
              </m:r>
            </m:e>
            <m:sub>
              <m:r>
                <w:rPr>
                  <w:rFonts w:ascii="Cambria Math" w:hAnsi="Cambria Math"/>
                  <w:lang w:val="en-ZA"/>
                </w:rPr>
                <m:t>m(ST)</m:t>
              </m:r>
            </m:sub>
          </m:sSub>
          <m:r>
            <w:rPr>
              <w:rFonts w:ascii="Cambria Math" w:hAnsi="Cambria Math"/>
              <w:lang w:val="en-ZA"/>
            </w:rPr>
            <m:t xml:space="preserve">&lt; </m:t>
          </m:r>
          <m:sSub>
            <m:sSubPr>
              <m:ctrlPr>
                <w:rPr>
                  <w:rFonts w:ascii="Cambria Math" w:hAnsi="Cambria Math"/>
                  <w:i/>
                  <w:lang w:val="en-ZA"/>
                </w:rPr>
              </m:ctrlPr>
            </m:sSubPr>
            <m:e>
              <m:r>
                <w:rPr>
                  <w:rFonts w:ascii="Cambria Math" w:hAnsi="Cambria Math"/>
                  <w:lang w:val="en-ZA"/>
                </w:rPr>
                <m:t>r</m:t>
              </m:r>
            </m:e>
            <m:sub>
              <m:r>
                <w:rPr>
                  <w:rFonts w:ascii="Cambria Math" w:hAnsi="Cambria Math"/>
                  <w:lang w:val="en-ZA"/>
                </w:rPr>
                <m:t>f(ST)</m:t>
              </m:r>
            </m:sub>
          </m:sSub>
        </m:oMath>
      </m:oMathPara>
    </w:p>
    <w:p w:rsidR="000E1B67" w:rsidRPr="008633D2" w:rsidRDefault="000E1B67" w:rsidP="00ED7F94">
      <w:pPr>
        <w:rPr>
          <w:u w:val="single"/>
          <w:lang w:val="en-ZA"/>
        </w:rPr>
      </w:pPr>
    </w:p>
    <w:p w:rsidR="00ED7F94" w:rsidRPr="008633D2" w:rsidRDefault="00ED7F94" w:rsidP="00ED7F94">
      <w:pPr>
        <w:pStyle w:val="Heading3"/>
        <w:rPr>
          <w:lang w:val="en-ZA"/>
        </w:rPr>
      </w:pPr>
      <w:bookmarkStart w:id="118" w:name="_Toc458610784"/>
      <w:r w:rsidRPr="008633D2">
        <w:rPr>
          <w:lang w:val="en-ZA"/>
        </w:rPr>
        <w:t>Hypothesis 2 – medium term performance</w:t>
      </w:r>
      <w:bookmarkEnd w:id="118"/>
    </w:p>
    <w:p w:rsidR="00ED7F94" w:rsidRDefault="00ED7F94" w:rsidP="00ED7F94">
      <w:pPr>
        <w:rPr>
          <w:lang w:val="en-ZA"/>
        </w:rPr>
      </w:pPr>
      <w:r w:rsidRPr="008633D2">
        <w:rPr>
          <w:u w:val="single"/>
          <w:lang w:val="en-ZA"/>
        </w:rPr>
        <w:t xml:space="preserve">Null hypothesis: </w:t>
      </w:r>
      <w:r>
        <w:rPr>
          <w:lang w:val="en-ZA"/>
        </w:rPr>
        <w:t xml:space="preserve"> In the medium term, performance of male managed funds</w:t>
      </w:r>
      <w:r w:rsidR="000B791F">
        <w:rPr>
          <w:lang w:val="en-ZA"/>
        </w:rPr>
        <w:t>(</w:t>
      </w:r>
      <m:oMath>
        <m:sSub>
          <m:sSubPr>
            <m:ctrlPr>
              <w:rPr>
                <w:rFonts w:ascii="Cambria Math" w:hAnsi="Cambria Math"/>
                <w:i/>
                <w:lang w:val="en-ZA"/>
              </w:rPr>
            </m:ctrlPr>
          </m:sSubPr>
          <m:e>
            <m:r>
              <w:rPr>
                <w:rFonts w:ascii="Cambria Math" w:hAnsi="Cambria Math"/>
                <w:lang w:val="en-ZA"/>
              </w:rPr>
              <m:t xml:space="preserve"> r</m:t>
            </m:r>
          </m:e>
          <m:sub>
            <m:r>
              <w:rPr>
                <w:rFonts w:ascii="Cambria Math" w:hAnsi="Cambria Math"/>
                <w:lang w:val="en-ZA"/>
              </w:rPr>
              <m:t>m(MT)</m:t>
            </m:r>
          </m:sub>
        </m:sSub>
      </m:oMath>
      <w:r w:rsidR="000B791F">
        <w:rPr>
          <w:lang w:val="en-ZA"/>
        </w:rPr>
        <w:t>)</w:t>
      </w:r>
      <w:r>
        <w:rPr>
          <w:lang w:val="en-ZA"/>
        </w:rPr>
        <w:t xml:space="preserve"> is greater than or equal to the performance of female managed funds</w:t>
      </w:r>
      <w:r w:rsidR="000B791F">
        <w:rPr>
          <w:lang w:val="en-ZA"/>
        </w:rPr>
        <w:t xml:space="preserve"> (</w:t>
      </w:r>
      <m:oMath>
        <m:sSub>
          <m:sSubPr>
            <m:ctrlPr>
              <w:rPr>
                <w:rFonts w:ascii="Cambria Math" w:hAnsi="Cambria Math"/>
                <w:i/>
                <w:lang w:val="en-ZA"/>
              </w:rPr>
            </m:ctrlPr>
          </m:sSubPr>
          <m:e>
            <m:r>
              <w:rPr>
                <w:rFonts w:ascii="Cambria Math" w:hAnsi="Cambria Math"/>
                <w:lang w:val="en-ZA"/>
              </w:rPr>
              <m:t>r</m:t>
            </m:r>
          </m:e>
          <m:sub>
            <m:r>
              <w:rPr>
                <w:rFonts w:ascii="Cambria Math" w:hAnsi="Cambria Math"/>
                <w:lang w:val="en-ZA"/>
              </w:rPr>
              <m:t>f(MT)</m:t>
            </m:r>
          </m:sub>
        </m:sSub>
      </m:oMath>
      <w:r w:rsidR="000B791F">
        <w:rPr>
          <w:lang w:val="en-ZA"/>
        </w:rPr>
        <w:t>)</w:t>
      </w:r>
      <w:r>
        <w:rPr>
          <w:lang w:val="en-ZA"/>
        </w:rPr>
        <w:t>.</w:t>
      </w:r>
    </w:p>
    <w:p w:rsidR="000B791F" w:rsidRPr="000B791F" w:rsidRDefault="003323B7" w:rsidP="00ED7F94">
      <w:pPr>
        <w:rPr>
          <w:lang w:val="en-ZA"/>
        </w:rPr>
      </w:pPr>
      <m:oMathPara>
        <m:oMath>
          <m:sSub>
            <m:sSubPr>
              <m:ctrlPr>
                <w:rPr>
                  <w:rFonts w:ascii="Cambria Math" w:hAnsi="Cambria Math"/>
                  <w:i/>
                  <w:lang w:val="en-ZA"/>
                </w:rPr>
              </m:ctrlPr>
            </m:sSubPr>
            <m:e>
              <m:r>
                <w:rPr>
                  <w:rFonts w:ascii="Cambria Math" w:hAnsi="Cambria Math"/>
                  <w:lang w:val="en-ZA"/>
                </w:rPr>
                <m:t>H</m:t>
              </m:r>
            </m:e>
            <m:sub>
              <m:r>
                <w:rPr>
                  <w:rFonts w:ascii="Cambria Math" w:hAnsi="Cambria Math"/>
                  <w:lang w:val="en-ZA"/>
                </w:rPr>
                <m:t>O</m:t>
              </m:r>
              <m:d>
                <m:dPr>
                  <m:ctrlPr>
                    <w:rPr>
                      <w:rFonts w:ascii="Cambria Math" w:hAnsi="Cambria Math"/>
                      <w:i/>
                      <w:lang w:val="en-ZA"/>
                    </w:rPr>
                  </m:ctrlPr>
                </m:dPr>
                <m:e>
                  <m:r>
                    <w:rPr>
                      <w:rFonts w:ascii="Cambria Math" w:hAnsi="Cambria Math"/>
                      <w:lang w:val="en-ZA"/>
                    </w:rPr>
                    <m:t>MT</m:t>
                  </m:r>
                </m:e>
              </m:d>
            </m:sub>
          </m:sSub>
          <m:r>
            <w:rPr>
              <w:rFonts w:ascii="Cambria Math" w:hAnsi="Cambria Math"/>
              <w:lang w:val="en-ZA"/>
            </w:rPr>
            <m:t xml:space="preserve">: </m:t>
          </m:r>
          <m:sSub>
            <m:sSubPr>
              <m:ctrlPr>
                <w:rPr>
                  <w:rFonts w:ascii="Cambria Math" w:hAnsi="Cambria Math"/>
                  <w:i/>
                  <w:lang w:val="en-ZA"/>
                </w:rPr>
              </m:ctrlPr>
            </m:sSubPr>
            <m:e>
              <m:r>
                <w:rPr>
                  <w:rFonts w:ascii="Cambria Math" w:hAnsi="Cambria Math"/>
                  <w:lang w:val="en-ZA"/>
                </w:rPr>
                <m:t xml:space="preserve"> r</m:t>
              </m:r>
            </m:e>
            <m:sub>
              <m:r>
                <w:rPr>
                  <w:rFonts w:ascii="Cambria Math" w:hAnsi="Cambria Math"/>
                  <w:lang w:val="en-ZA"/>
                </w:rPr>
                <m:t>m(MT)</m:t>
              </m:r>
            </m:sub>
          </m:sSub>
          <m:r>
            <w:rPr>
              <w:rFonts w:ascii="Cambria Math" w:hAnsi="Cambria Math"/>
              <w:lang w:val="en-ZA"/>
            </w:rPr>
            <m:t xml:space="preserve"> ≥ </m:t>
          </m:r>
          <m:sSub>
            <m:sSubPr>
              <m:ctrlPr>
                <w:rPr>
                  <w:rFonts w:ascii="Cambria Math" w:hAnsi="Cambria Math"/>
                  <w:i/>
                  <w:lang w:val="en-ZA"/>
                </w:rPr>
              </m:ctrlPr>
            </m:sSubPr>
            <m:e>
              <m:r>
                <w:rPr>
                  <w:rFonts w:ascii="Cambria Math" w:hAnsi="Cambria Math"/>
                  <w:lang w:val="en-ZA"/>
                </w:rPr>
                <m:t>r</m:t>
              </m:r>
            </m:e>
            <m:sub>
              <m:r>
                <w:rPr>
                  <w:rFonts w:ascii="Cambria Math" w:hAnsi="Cambria Math"/>
                  <w:lang w:val="en-ZA"/>
                </w:rPr>
                <m:t>f(MT)</m:t>
              </m:r>
            </m:sub>
          </m:sSub>
        </m:oMath>
      </m:oMathPara>
    </w:p>
    <w:p w:rsidR="00ED7F94" w:rsidRDefault="00ED7F94" w:rsidP="00ED7F94">
      <w:pPr>
        <w:rPr>
          <w:lang w:val="en-ZA"/>
        </w:rPr>
      </w:pPr>
      <w:r w:rsidRPr="008633D2">
        <w:rPr>
          <w:u w:val="single"/>
          <w:lang w:val="en-ZA"/>
        </w:rPr>
        <w:t xml:space="preserve">Alternate hypothesis: </w:t>
      </w:r>
      <w:r>
        <w:rPr>
          <w:lang w:val="en-ZA"/>
        </w:rPr>
        <w:t>In the medium term, performance of female managed funds</w:t>
      </w:r>
      <w:r w:rsidR="000B791F">
        <w:rPr>
          <w:lang w:val="en-ZA"/>
        </w:rPr>
        <w:t xml:space="preserve"> (</w:t>
      </w:r>
      <m:oMath>
        <m:sSub>
          <m:sSubPr>
            <m:ctrlPr>
              <w:rPr>
                <w:rFonts w:ascii="Cambria Math" w:hAnsi="Cambria Math"/>
                <w:i/>
                <w:lang w:val="en-ZA"/>
              </w:rPr>
            </m:ctrlPr>
          </m:sSubPr>
          <m:e>
            <m:r>
              <w:rPr>
                <w:rFonts w:ascii="Cambria Math" w:hAnsi="Cambria Math"/>
                <w:lang w:val="en-ZA"/>
              </w:rPr>
              <m:t>r</m:t>
            </m:r>
          </m:e>
          <m:sub>
            <m:r>
              <w:rPr>
                <w:rFonts w:ascii="Cambria Math" w:hAnsi="Cambria Math"/>
                <w:lang w:val="en-ZA"/>
              </w:rPr>
              <m:t>f(MT)</m:t>
            </m:r>
          </m:sub>
        </m:sSub>
      </m:oMath>
      <w:r w:rsidR="000B791F">
        <w:rPr>
          <w:lang w:val="en-ZA"/>
        </w:rPr>
        <w:t>)</w:t>
      </w:r>
      <w:r>
        <w:rPr>
          <w:lang w:val="en-ZA"/>
        </w:rPr>
        <w:t xml:space="preserve"> is greater than the performance of male managed funds</w:t>
      </w:r>
      <w:r w:rsidR="000B791F">
        <w:rPr>
          <w:lang w:val="en-ZA"/>
        </w:rPr>
        <w:t xml:space="preserve"> (</w:t>
      </w:r>
      <m:oMath>
        <m:sSub>
          <m:sSubPr>
            <m:ctrlPr>
              <w:rPr>
                <w:rFonts w:ascii="Cambria Math" w:hAnsi="Cambria Math"/>
                <w:i/>
                <w:lang w:val="en-ZA"/>
              </w:rPr>
            </m:ctrlPr>
          </m:sSubPr>
          <m:e>
            <m:r>
              <w:rPr>
                <w:rFonts w:ascii="Cambria Math" w:hAnsi="Cambria Math"/>
                <w:lang w:val="en-ZA"/>
              </w:rPr>
              <m:t xml:space="preserve"> r</m:t>
            </m:r>
          </m:e>
          <m:sub>
            <m:r>
              <w:rPr>
                <w:rFonts w:ascii="Cambria Math" w:hAnsi="Cambria Math"/>
                <w:lang w:val="en-ZA"/>
              </w:rPr>
              <m:t>m(MT)</m:t>
            </m:r>
          </m:sub>
        </m:sSub>
      </m:oMath>
      <w:r w:rsidR="000B791F">
        <w:rPr>
          <w:lang w:val="en-ZA"/>
        </w:rPr>
        <w:t>)</w:t>
      </w:r>
      <w:r>
        <w:rPr>
          <w:lang w:val="en-ZA"/>
        </w:rPr>
        <w:t>.</w:t>
      </w:r>
    </w:p>
    <w:p w:rsidR="000B791F" w:rsidRDefault="000B791F" w:rsidP="00ED7F94">
      <w:pPr>
        <w:rPr>
          <w:lang w:val="en-ZA"/>
        </w:rPr>
      </w:pPr>
    </w:p>
    <w:p w:rsidR="0068341F" w:rsidRPr="000B791F" w:rsidRDefault="003323B7" w:rsidP="00ED7F94">
      <w:pPr>
        <w:rPr>
          <w:lang w:val="en-ZA"/>
        </w:rPr>
      </w:pPr>
      <m:oMathPara>
        <m:oMathParaPr>
          <m:jc m:val="center"/>
        </m:oMathParaPr>
        <m:oMath>
          <m:sSub>
            <m:sSubPr>
              <m:ctrlPr>
                <w:rPr>
                  <w:rFonts w:ascii="Cambria Math" w:hAnsi="Cambria Math"/>
                  <w:i/>
                  <w:lang w:val="en-ZA"/>
                </w:rPr>
              </m:ctrlPr>
            </m:sSubPr>
            <m:e>
              <m:r>
                <w:rPr>
                  <w:rFonts w:ascii="Cambria Math" w:hAnsi="Cambria Math"/>
                  <w:lang w:val="en-ZA"/>
                </w:rPr>
                <m:t>H</m:t>
              </m:r>
            </m:e>
            <m:sub>
              <m:r>
                <w:rPr>
                  <w:rFonts w:ascii="Cambria Math" w:hAnsi="Cambria Math"/>
                  <w:lang w:val="en-ZA"/>
                </w:rPr>
                <m:t>A</m:t>
              </m:r>
              <m:d>
                <m:dPr>
                  <m:ctrlPr>
                    <w:rPr>
                      <w:rFonts w:ascii="Cambria Math" w:hAnsi="Cambria Math"/>
                      <w:i/>
                      <w:lang w:val="en-ZA"/>
                    </w:rPr>
                  </m:ctrlPr>
                </m:dPr>
                <m:e>
                  <m:r>
                    <w:rPr>
                      <w:rFonts w:ascii="Cambria Math" w:hAnsi="Cambria Math"/>
                      <w:lang w:val="en-ZA"/>
                    </w:rPr>
                    <m:t>MT</m:t>
                  </m:r>
                </m:e>
              </m:d>
            </m:sub>
          </m:sSub>
          <m:r>
            <w:rPr>
              <w:rFonts w:ascii="Cambria Math" w:hAnsi="Cambria Math"/>
              <w:lang w:val="en-ZA"/>
            </w:rPr>
            <m:t xml:space="preserve">: </m:t>
          </m:r>
          <m:sSub>
            <m:sSubPr>
              <m:ctrlPr>
                <w:rPr>
                  <w:rFonts w:ascii="Cambria Math" w:hAnsi="Cambria Math"/>
                  <w:i/>
                  <w:lang w:val="en-ZA"/>
                </w:rPr>
              </m:ctrlPr>
            </m:sSubPr>
            <m:e>
              <m:r>
                <w:rPr>
                  <w:rFonts w:ascii="Cambria Math" w:hAnsi="Cambria Math"/>
                  <w:lang w:val="en-ZA"/>
                </w:rPr>
                <m:t xml:space="preserve"> r</m:t>
              </m:r>
            </m:e>
            <m:sub>
              <m:r>
                <w:rPr>
                  <w:rFonts w:ascii="Cambria Math" w:hAnsi="Cambria Math"/>
                  <w:lang w:val="en-ZA"/>
                </w:rPr>
                <m:t>m(MT)</m:t>
              </m:r>
            </m:sub>
          </m:sSub>
          <m:r>
            <w:rPr>
              <w:rFonts w:ascii="Cambria Math" w:hAnsi="Cambria Math"/>
              <w:lang w:val="en-ZA"/>
            </w:rPr>
            <m:t xml:space="preserve">&lt; </m:t>
          </m:r>
          <m:sSub>
            <m:sSubPr>
              <m:ctrlPr>
                <w:rPr>
                  <w:rFonts w:ascii="Cambria Math" w:hAnsi="Cambria Math"/>
                  <w:i/>
                  <w:lang w:val="en-ZA"/>
                </w:rPr>
              </m:ctrlPr>
            </m:sSubPr>
            <m:e>
              <m:r>
                <w:rPr>
                  <w:rFonts w:ascii="Cambria Math" w:hAnsi="Cambria Math"/>
                  <w:lang w:val="en-ZA"/>
                </w:rPr>
                <m:t>r</m:t>
              </m:r>
            </m:e>
            <m:sub>
              <m:r>
                <w:rPr>
                  <w:rFonts w:ascii="Cambria Math" w:hAnsi="Cambria Math"/>
                  <w:lang w:val="en-ZA"/>
                </w:rPr>
                <m:t>f(MT)</m:t>
              </m:r>
            </m:sub>
          </m:sSub>
        </m:oMath>
      </m:oMathPara>
    </w:p>
    <w:p w:rsidR="000B791F" w:rsidRPr="000B791F" w:rsidRDefault="000B791F" w:rsidP="00ED7F94">
      <w:pPr>
        <w:rPr>
          <w:u w:val="single"/>
          <w:lang w:val="en-ZA"/>
        </w:rPr>
      </w:pPr>
    </w:p>
    <w:p w:rsidR="00ED7F94" w:rsidRPr="008633D2" w:rsidRDefault="00ED7F94" w:rsidP="00ED7F94">
      <w:pPr>
        <w:pStyle w:val="Heading3"/>
        <w:rPr>
          <w:lang w:val="en-ZA"/>
        </w:rPr>
      </w:pPr>
      <w:bookmarkStart w:id="119" w:name="_Toc458610785"/>
      <w:r w:rsidRPr="008633D2">
        <w:rPr>
          <w:lang w:val="en-ZA"/>
        </w:rPr>
        <w:t>Hypothesis 3 – long term performance</w:t>
      </w:r>
      <w:bookmarkEnd w:id="119"/>
    </w:p>
    <w:p w:rsidR="00ED7F94" w:rsidRDefault="00ED7F94" w:rsidP="00ED7F94">
      <w:pPr>
        <w:rPr>
          <w:lang w:val="en-ZA"/>
        </w:rPr>
      </w:pPr>
      <w:r w:rsidRPr="008633D2">
        <w:rPr>
          <w:u w:val="single"/>
          <w:lang w:val="en-ZA"/>
        </w:rPr>
        <w:t xml:space="preserve">Null hypothesis: </w:t>
      </w:r>
      <w:r>
        <w:rPr>
          <w:lang w:val="en-ZA"/>
        </w:rPr>
        <w:t xml:space="preserve"> In the long term, performance of male managed funds</w:t>
      </w:r>
      <w:r w:rsidR="000B791F">
        <w:rPr>
          <w:lang w:val="en-ZA"/>
        </w:rPr>
        <w:t xml:space="preserve"> (</w:t>
      </w:r>
      <m:oMath>
        <m:sSub>
          <m:sSubPr>
            <m:ctrlPr>
              <w:rPr>
                <w:rFonts w:ascii="Cambria Math" w:hAnsi="Cambria Math"/>
                <w:i/>
                <w:lang w:val="en-ZA"/>
              </w:rPr>
            </m:ctrlPr>
          </m:sSubPr>
          <m:e>
            <m:r>
              <w:rPr>
                <w:rFonts w:ascii="Cambria Math" w:hAnsi="Cambria Math"/>
                <w:lang w:val="en-ZA"/>
              </w:rPr>
              <m:t xml:space="preserve"> r</m:t>
            </m:r>
          </m:e>
          <m:sub>
            <m:r>
              <w:rPr>
                <w:rFonts w:ascii="Cambria Math" w:hAnsi="Cambria Math"/>
                <w:lang w:val="en-ZA"/>
              </w:rPr>
              <m:t>m(LT)</m:t>
            </m:r>
          </m:sub>
        </m:sSub>
      </m:oMath>
      <w:r w:rsidR="000B791F">
        <w:rPr>
          <w:lang w:val="en-ZA"/>
        </w:rPr>
        <w:t>)</w:t>
      </w:r>
      <w:r>
        <w:rPr>
          <w:lang w:val="en-ZA"/>
        </w:rPr>
        <w:t xml:space="preserve"> is greater than or equal to the performance of female managed funds</w:t>
      </w:r>
      <w:r w:rsidR="000B791F">
        <w:rPr>
          <w:lang w:val="en-ZA"/>
        </w:rPr>
        <w:t xml:space="preserve"> (</w:t>
      </w:r>
      <m:oMath>
        <m:sSub>
          <m:sSubPr>
            <m:ctrlPr>
              <w:rPr>
                <w:rFonts w:ascii="Cambria Math" w:hAnsi="Cambria Math"/>
                <w:i/>
                <w:lang w:val="en-ZA"/>
              </w:rPr>
            </m:ctrlPr>
          </m:sSubPr>
          <m:e>
            <m:r>
              <w:rPr>
                <w:rFonts w:ascii="Cambria Math" w:hAnsi="Cambria Math"/>
                <w:lang w:val="en-ZA"/>
              </w:rPr>
              <m:t>r</m:t>
            </m:r>
          </m:e>
          <m:sub>
            <m:r>
              <w:rPr>
                <w:rFonts w:ascii="Cambria Math" w:hAnsi="Cambria Math"/>
                <w:lang w:val="en-ZA"/>
              </w:rPr>
              <m:t>f(LT)</m:t>
            </m:r>
          </m:sub>
        </m:sSub>
      </m:oMath>
      <w:r w:rsidR="000B791F">
        <w:rPr>
          <w:lang w:val="en-ZA"/>
        </w:rPr>
        <w:t>)</w:t>
      </w:r>
      <w:r>
        <w:rPr>
          <w:lang w:val="en-ZA"/>
        </w:rPr>
        <w:t>.</w:t>
      </w:r>
    </w:p>
    <w:p w:rsidR="000B791F" w:rsidRDefault="000B791F" w:rsidP="00ED7F94">
      <w:pPr>
        <w:rPr>
          <w:lang w:val="en-ZA"/>
        </w:rPr>
      </w:pPr>
    </w:p>
    <w:p w:rsidR="000B791F" w:rsidRPr="00DA5185" w:rsidRDefault="003323B7" w:rsidP="00ED7F94">
      <w:pPr>
        <w:rPr>
          <w:lang w:val="en-ZA"/>
        </w:rPr>
      </w:pPr>
      <m:oMathPara>
        <m:oMath>
          <m:sSub>
            <m:sSubPr>
              <m:ctrlPr>
                <w:rPr>
                  <w:rFonts w:ascii="Cambria Math" w:hAnsi="Cambria Math"/>
                  <w:i/>
                  <w:lang w:val="en-ZA"/>
                </w:rPr>
              </m:ctrlPr>
            </m:sSubPr>
            <m:e>
              <m:r>
                <w:rPr>
                  <w:rFonts w:ascii="Cambria Math" w:hAnsi="Cambria Math"/>
                  <w:lang w:val="en-ZA"/>
                </w:rPr>
                <m:t>H</m:t>
              </m:r>
            </m:e>
            <m:sub>
              <m:r>
                <w:rPr>
                  <w:rFonts w:ascii="Cambria Math" w:hAnsi="Cambria Math"/>
                  <w:lang w:val="en-ZA"/>
                </w:rPr>
                <m:t>O</m:t>
              </m:r>
              <m:d>
                <m:dPr>
                  <m:ctrlPr>
                    <w:rPr>
                      <w:rFonts w:ascii="Cambria Math" w:hAnsi="Cambria Math"/>
                      <w:i/>
                      <w:lang w:val="en-ZA"/>
                    </w:rPr>
                  </m:ctrlPr>
                </m:dPr>
                <m:e>
                  <m:r>
                    <w:rPr>
                      <w:rFonts w:ascii="Cambria Math" w:hAnsi="Cambria Math"/>
                      <w:lang w:val="en-ZA"/>
                    </w:rPr>
                    <m:t>LT</m:t>
                  </m:r>
                </m:e>
              </m:d>
            </m:sub>
          </m:sSub>
          <m:r>
            <w:rPr>
              <w:rFonts w:ascii="Cambria Math" w:hAnsi="Cambria Math"/>
              <w:lang w:val="en-ZA"/>
            </w:rPr>
            <m:t xml:space="preserve">: </m:t>
          </m:r>
          <m:sSub>
            <m:sSubPr>
              <m:ctrlPr>
                <w:rPr>
                  <w:rFonts w:ascii="Cambria Math" w:hAnsi="Cambria Math"/>
                  <w:i/>
                  <w:lang w:val="en-ZA"/>
                </w:rPr>
              </m:ctrlPr>
            </m:sSubPr>
            <m:e>
              <m:r>
                <w:rPr>
                  <w:rFonts w:ascii="Cambria Math" w:hAnsi="Cambria Math"/>
                  <w:lang w:val="en-ZA"/>
                </w:rPr>
                <m:t xml:space="preserve"> r</m:t>
              </m:r>
            </m:e>
            <m:sub>
              <m:r>
                <w:rPr>
                  <w:rFonts w:ascii="Cambria Math" w:hAnsi="Cambria Math"/>
                  <w:lang w:val="en-ZA"/>
                </w:rPr>
                <m:t>m(LT)</m:t>
              </m:r>
            </m:sub>
          </m:sSub>
          <m:r>
            <w:rPr>
              <w:rFonts w:ascii="Cambria Math" w:hAnsi="Cambria Math"/>
              <w:lang w:val="en-ZA"/>
            </w:rPr>
            <m:t xml:space="preserve"> ≥ </m:t>
          </m:r>
          <m:sSub>
            <m:sSubPr>
              <m:ctrlPr>
                <w:rPr>
                  <w:rFonts w:ascii="Cambria Math" w:hAnsi="Cambria Math"/>
                  <w:i/>
                  <w:lang w:val="en-ZA"/>
                </w:rPr>
              </m:ctrlPr>
            </m:sSubPr>
            <m:e>
              <m:r>
                <w:rPr>
                  <w:rFonts w:ascii="Cambria Math" w:hAnsi="Cambria Math"/>
                  <w:lang w:val="en-ZA"/>
                </w:rPr>
                <m:t>r</m:t>
              </m:r>
            </m:e>
            <m:sub>
              <m:r>
                <w:rPr>
                  <w:rFonts w:ascii="Cambria Math" w:hAnsi="Cambria Math"/>
                  <w:lang w:val="en-ZA"/>
                </w:rPr>
                <m:t>f(LT)</m:t>
              </m:r>
            </m:sub>
          </m:sSub>
        </m:oMath>
      </m:oMathPara>
    </w:p>
    <w:p w:rsidR="000E1B67" w:rsidRDefault="000E1B67" w:rsidP="00ED7F94">
      <w:pPr>
        <w:rPr>
          <w:u w:val="single"/>
          <w:lang w:val="en-ZA"/>
        </w:rPr>
      </w:pPr>
    </w:p>
    <w:p w:rsidR="00ED7F94" w:rsidRDefault="00ED7F94" w:rsidP="00ED7F94">
      <w:pPr>
        <w:rPr>
          <w:lang w:val="en-ZA"/>
        </w:rPr>
      </w:pPr>
      <w:r w:rsidRPr="008633D2">
        <w:rPr>
          <w:u w:val="single"/>
          <w:lang w:val="en-ZA"/>
        </w:rPr>
        <w:t xml:space="preserve">Alternate hypothesis: </w:t>
      </w:r>
      <w:r>
        <w:rPr>
          <w:lang w:val="en-ZA"/>
        </w:rPr>
        <w:t>In the long term, performance of female managed funds</w:t>
      </w:r>
      <w:r w:rsidR="000B791F">
        <w:rPr>
          <w:lang w:val="en-ZA"/>
        </w:rPr>
        <w:t xml:space="preserve"> (</w:t>
      </w:r>
      <m:oMath>
        <m:sSub>
          <m:sSubPr>
            <m:ctrlPr>
              <w:rPr>
                <w:rFonts w:ascii="Cambria Math" w:hAnsi="Cambria Math"/>
                <w:i/>
                <w:lang w:val="en-ZA"/>
              </w:rPr>
            </m:ctrlPr>
          </m:sSubPr>
          <m:e>
            <m:r>
              <w:rPr>
                <w:rFonts w:ascii="Cambria Math" w:hAnsi="Cambria Math"/>
                <w:lang w:val="en-ZA"/>
              </w:rPr>
              <m:t>r</m:t>
            </m:r>
          </m:e>
          <m:sub>
            <m:r>
              <w:rPr>
                <w:rFonts w:ascii="Cambria Math" w:hAnsi="Cambria Math"/>
                <w:lang w:val="en-ZA"/>
              </w:rPr>
              <m:t>f(LT)</m:t>
            </m:r>
          </m:sub>
        </m:sSub>
      </m:oMath>
      <w:r w:rsidR="000B791F">
        <w:rPr>
          <w:lang w:val="en-ZA"/>
        </w:rPr>
        <w:t>)</w:t>
      </w:r>
      <w:r>
        <w:rPr>
          <w:lang w:val="en-ZA"/>
        </w:rPr>
        <w:t xml:space="preserve"> is greater than the performance of male managed funds</w:t>
      </w:r>
      <w:r w:rsidR="000B791F">
        <w:rPr>
          <w:lang w:val="en-ZA"/>
        </w:rPr>
        <w:t xml:space="preserve"> (</w:t>
      </w:r>
      <m:oMath>
        <m:sSub>
          <m:sSubPr>
            <m:ctrlPr>
              <w:rPr>
                <w:rFonts w:ascii="Cambria Math" w:hAnsi="Cambria Math"/>
                <w:i/>
                <w:lang w:val="en-ZA"/>
              </w:rPr>
            </m:ctrlPr>
          </m:sSubPr>
          <m:e>
            <m:r>
              <w:rPr>
                <w:rFonts w:ascii="Cambria Math" w:hAnsi="Cambria Math"/>
                <w:lang w:val="en-ZA"/>
              </w:rPr>
              <m:t xml:space="preserve"> r</m:t>
            </m:r>
          </m:e>
          <m:sub>
            <m:r>
              <w:rPr>
                <w:rFonts w:ascii="Cambria Math" w:hAnsi="Cambria Math"/>
                <w:lang w:val="en-ZA"/>
              </w:rPr>
              <m:t>m(LT)</m:t>
            </m:r>
          </m:sub>
        </m:sSub>
      </m:oMath>
      <w:r w:rsidR="000B791F">
        <w:rPr>
          <w:lang w:val="en-ZA"/>
        </w:rPr>
        <w:t>)</w:t>
      </w:r>
      <w:r>
        <w:rPr>
          <w:lang w:val="en-ZA"/>
        </w:rPr>
        <w:t>.</w:t>
      </w:r>
    </w:p>
    <w:p w:rsidR="000B791F" w:rsidRDefault="000B791F" w:rsidP="00ED7F94">
      <w:pPr>
        <w:rPr>
          <w:lang w:val="en-ZA"/>
        </w:rPr>
      </w:pPr>
    </w:p>
    <w:p w:rsidR="0068341F" w:rsidRPr="000E1B67" w:rsidRDefault="003323B7" w:rsidP="00ED7F94">
      <w:pPr>
        <w:rPr>
          <w:lang w:val="en-ZA"/>
        </w:rPr>
      </w:pPr>
      <m:oMathPara>
        <m:oMath>
          <m:sSub>
            <m:sSubPr>
              <m:ctrlPr>
                <w:rPr>
                  <w:rFonts w:ascii="Cambria Math" w:hAnsi="Cambria Math"/>
                  <w:i/>
                  <w:lang w:val="en-ZA"/>
                </w:rPr>
              </m:ctrlPr>
            </m:sSubPr>
            <m:e>
              <m:r>
                <w:rPr>
                  <w:rFonts w:ascii="Cambria Math" w:hAnsi="Cambria Math"/>
                  <w:lang w:val="en-ZA"/>
                </w:rPr>
                <m:t>H</m:t>
              </m:r>
            </m:e>
            <m:sub>
              <m:r>
                <w:rPr>
                  <w:rFonts w:ascii="Cambria Math" w:hAnsi="Cambria Math"/>
                  <w:lang w:val="en-ZA"/>
                </w:rPr>
                <m:t>A</m:t>
              </m:r>
              <m:d>
                <m:dPr>
                  <m:ctrlPr>
                    <w:rPr>
                      <w:rFonts w:ascii="Cambria Math" w:hAnsi="Cambria Math"/>
                      <w:i/>
                      <w:lang w:val="en-ZA"/>
                    </w:rPr>
                  </m:ctrlPr>
                </m:dPr>
                <m:e>
                  <m:r>
                    <w:rPr>
                      <w:rFonts w:ascii="Cambria Math" w:hAnsi="Cambria Math"/>
                      <w:lang w:val="en-ZA"/>
                    </w:rPr>
                    <m:t>LT</m:t>
                  </m:r>
                </m:e>
              </m:d>
            </m:sub>
          </m:sSub>
          <m:r>
            <w:rPr>
              <w:rFonts w:ascii="Cambria Math" w:hAnsi="Cambria Math"/>
              <w:lang w:val="en-ZA"/>
            </w:rPr>
            <m:t xml:space="preserve">: </m:t>
          </m:r>
          <m:sSub>
            <m:sSubPr>
              <m:ctrlPr>
                <w:rPr>
                  <w:rFonts w:ascii="Cambria Math" w:hAnsi="Cambria Math"/>
                  <w:i/>
                  <w:lang w:val="en-ZA"/>
                </w:rPr>
              </m:ctrlPr>
            </m:sSubPr>
            <m:e>
              <m:r>
                <w:rPr>
                  <w:rFonts w:ascii="Cambria Math" w:hAnsi="Cambria Math"/>
                  <w:lang w:val="en-ZA"/>
                </w:rPr>
                <m:t xml:space="preserve"> r</m:t>
              </m:r>
            </m:e>
            <m:sub>
              <m:r>
                <w:rPr>
                  <w:rFonts w:ascii="Cambria Math" w:hAnsi="Cambria Math"/>
                  <w:lang w:val="en-ZA"/>
                </w:rPr>
                <m:t>m(LT)</m:t>
              </m:r>
            </m:sub>
          </m:sSub>
          <m:r>
            <w:rPr>
              <w:rFonts w:ascii="Cambria Math" w:hAnsi="Cambria Math"/>
              <w:lang w:val="en-ZA"/>
            </w:rPr>
            <m:t xml:space="preserve">&lt; </m:t>
          </m:r>
          <m:sSub>
            <m:sSubPr>
              <m:ctrlPr>
                <w:rPr>
                  <w:rFonts w:ascii="Cambria Math" w:hAnsi="Cambria Math"/>
                  <w:i/>
                  <w:lang w:val="en-ZA"/>
                </w:rPr>
              </m:ctrlPr>
            </m:sSubPr>
            <m:e>
              <m:r>
                <w:rPr>
                  <w:rFonts w:ascii="Cambria Math" w:hAnsi="Cambria Math"/>
                  <w:lang w:val="en-ZA"/>
                </w:rPr>
                <m:t>r</m:t>
              </m:r>
            </m:e>
            <m:sub>
              <m:r>
                <w:rPr>
                  <w:rFonts w:ascii="Cambria Math" w:hAnsi="Cambria Math"/>
                  <w:lang w:val="en-ZA"/>
                </w:rPr>
                <m:t>f(LT)</m:t>
              </m:r>
            </m:sub>
          </m:sSub>
        </m:oMath>
      </m:oMathPara>
    </w:p>
    <w:p w:rsidR="000E1B67" w:rsidRDefault="000E1B67" w:rsidP="00ED7F94">
      <w:pPr>
        <w:rPr>
          <w:lang w:val="en-ZA"/>
        </w:rPr>
      </w:pPr>
    </w:p>
    <w:p w:rsidR="0046753E" w:rsidRDefault="0046753E" w:rsidP="00ED7F94">
      <w:pPr>
        <w:rPr>
          <w:lang w:val="en-ZA"/>
        </w:rPr>
      </w:pPr>
    </w:p>
    <w:p w:rsidR="0046753E" w:rsidRDefault="0046753E" w:rsidP="00ED7F94">
      <w:pPr>
        <w:rPr>
          <w:lang w:val="en-ZA"/>
        </w:rPr>
      </w:pPr>
    </w:p>
    <w:p w:rsidR="0046753E" w:rsidRPr="000E1B67" w:rsidRDefault="0046753E" w:rsidP="00ED7F94">
      <w:pPr>
        <w:rPr>
          <w:lang w:val="en-ZA"/>
        </w:rPr>
      </w:pPr>
    </w:p>
    <w:p w:rsidR="00ED7F94" w:rsidRPr="008633D2" w:rsidRDefault="00ED7F94" w:rsidP="00ED7F94">
      <w:pPr>
        <w:pStyle w:val="Heading3"/>
        <w:rPr>
          <w:lang w:val="en-ZA"/>
        </w:rPr>
      </w:pPr>
      <w:bookmarkStart w:id="120" w:name="_Toc458610786"/>
      <w:r w:rsidRPr="008633D2">
        <w:rPr>
          <w:lang w:val="en-ZA"/>
        </w:rPr>
        <w:t>Hypothesis 4</w:t>
      </w:r>
      <w:r w:rsidR="007F7693">
        <w:rPr>
          <w:lang w:val="en-ZA"/>
        </w:rPr>
        <w:t xml:space="preserve"> </w:t>
      </w:r>
      <w:r w:rsidR="007F7693" w:rsidRPr="008633D2">
        <w:rPr>
          <w:lang w:val="en-ZA"/>
        </w:rPr>
        <w:t xml:space="preserve">– </w:t>
      </w:r>
      <w:r w:rsidR="000E1B67">
        <w:rPr>
          <w:lang w:val="en-ZA"/>
        </w:rPr>
        <w:t xml:space="preserve">female managed </w:t>
      </w:r>
      <w:r w:rsidRPr="008633D2">
        <w:rPr>
          <w:lang w:val="en-ZA"/>
        </w:rPr>
        <w:t xml:space="preserve">funds versus the </w:t>
      </w:r>
      <w:r>
        <w:rPr>
          <w:lang w:val="en-ZA"/>
        </w:rPr>
        <w:t>benchmark index</w:t>
      </w:r>
      <w:bookmarkEnd w:id="120"/>
    </w:p>
    <w:p w:rsidR="00ED7F94" w:rsidRDefault="00ED7F94" w:rsidP="00ED7F94">
      <w:pPr>
        <w:rPr>
          <w:lang w:val="en-ZA"/>
        </w:rPr>
      </w:pPr>
      <w:r w:rsidRPr="008633D2">
        <w:rPr>
          <w:u w:val="single"/>
          <w:lang w:val="en-ZA"/>
        </w:rPr>
        <w:t>Null hypothesis:</w:t>
      </w:r>
      <w:r w:rsidR="000B791F">
        <w:rPr>
          <w:lang w:val="en-ZA"/>
        </w:rPr>
        <w:t xml:space="preserve"> </w:t>
      </w:r>
      <w:r>
        <w:rPr>
          <w:lang w:val="en-ZA"/>
        </w:rPr>
        <w:t xml:space="preserve">The </w:t>
      </w:r>
      <w:r w:rsidR="004F092C">
        <w:rPr>
          <w:lang w:val="en-ZA"/>
        </w:rPr>
        <w:t>performance of the South African financial market which is represented by the chosen benchmark index, the FTSE/JSE all share index (</w:t>
      </w:r>
      <m:oMath>
        <m:sSub>
          <m:sSubPr>
            <m:ctrlPr>
              <w:rPr>
                <w:rFonts w:ascii="Cambria Math" w:hAnsi="Cambria Math"/>
                <w:i/>
                <w:lang w:val="en-ZA"/>
              </w:rPr>
            </m:ctrlPr>
          </m:sSubPr>
          <m:e>
            <m:r>
              <w:rPr>
                <w:rFonts w:ascii="Cambria Math" w:hAnsi="Cambria Math"/>
                <w:lang w:val="en-ZA"/>
              </w:rPr>
              <m:t xml:space="preserve"> r</m:t>
            </m:r>
          </m:e>
          <m:sub>
            <m:r>
              <w:rPr>
                <w:rFonts w:ascii="Cambria Math" w:hAnsi="Cambria Math"/>
                <w:lang w:val="en-ZA"/>
              </w:rPr>
              <m:t>b</m:t>
            </m:r>
          </m:sub>
        </m:sSub>
        <m:r>
          <w:rPr>
            <w:rFonts w:ascii="Cambria Math" w:hAnsi="Cambria Math"/>
            <w:lang w:val="en-ZA"/>
          </w:rPr>
          <m:t>)</m:t>
        </m:r>
      </m:oMath>
      <w:r w:rsidR="004F092C">
        <w:rPr>
          <w:lang w:val="en-ZA"/>
        </w:rPr>
        <w:t xml:space="preserve"> </w:t>
      </w:r>
      <w:r>
        <w:rPr>
          <w:lang w:val="en-ZA"/>
        </w:rPr>
        <w:t>is greater than or equal to</w:t>
      </w:r>
      <w:r w:rsidR="004F092C">
        <w:rPr>
          <w:lang w:val="en-ZA"/>
        </w:rPr>
        <w:t xml:space="preserve"> the performance of all female managed funds (</w:t>
      </w:r>
      <m:oMath>
        <m:sSub>
          <m:sSubPr>
            <m:ctrlPr>
              <w:rPr>
                <w:rFonts w:ascii="Cambria Math" w:hAnsi="Cambria Math"/>
                <w:i/>
                <w:lang w:val="en-ZA"/>
              </w:rPr>
            </m:ctrlPr>
          </m:sSubPr>
          <m:e>
            <m:r>
              <w:rPr>
                <w:rFonts w:ascii="Cambria Math" w:hAnsi="Cambria Math"/>
                <w:lang w:val="en-ZA"/>
              </w:rPr>
              <m:t>r</m:t>
            </m:r>
          </m:e>
          <m:sub>
            <m:r>
              <w:rPr>
                <w:rFonts w:ascii="Cambria Math" w:hAnsi="Cambria Math"/>
                <w:lang w:val="en-ZA"/>
              </w:rPr>
              <m:t>af</m:t>
            </m:r>
          </m:sub>
        </m:sSub>
      </m:oMath>
      <w:r w:rsidR="004F092C">
        <w:rPr>
          <w:lang w:val="en-ZA"/>
        </w:rPr>
        <w:t>) in South Africa</w:t>
      </w:r>
      <w:r>
        <w:rPr>
          <w:lang w:val="en-ZA"/>
        </w:rPr>
        <w:t xml:space="preserve"> </w:t>
      </w:r>
      <w:r w:rsidR="004F092C">
        <w:rPr>
          <w:lang w:val="en-ZA"/>
        </w:rPr>
        <w:t>in the short term, medium term and/or long term.</w:t>
      </w:r>
    </w:p>
    <w:p w:rsidR="004F092C" w:rsidRDefault="004F092C" w:rsidP="00ED7F94">
      <w:pPr>
        <w:rPr>
          <w:lang w:val="en-ZA"/>
        </w:rPr>
      </w:pPr>
    </w:p>
    <w:p w:rsidR="000B791F" w:rsidRPr="000B791F" w:rsidRDefault="003323B7" w:rsidP="00ED7F94">
      <w:pPr>
        <w:rPr>
          <w:lang w:val="en-ZA"/>
        </w:rPr>
      </w:pPr>
      <m:oMathPara>
        <m:oMath>
          <m:sSub>
            <m:sSubPr>
              <m:ctrlPr>
                <w:rPr>
                  <w:rFonts w:ascii="Cambria Math" w:hAnsi="Cambria Math"/>
                  <w:i/>
                  <w:lang w:val="en-ZA"/>
                </w:rPr>
              </m:ctrlPr>
            </m:sSubPr>
            <m:e>
              <m:r>
                <w:rPr>
                  <w:rFonts w:ascii="Cambria Math" w:hAnsi="Cambria Math"/>
                  <w:lang w:val="en-ZA"/>
                </w:rPr>
                <m:t>H</m:t>
              </m:r>
            </m:e>
            <m:sub>
              <m:r>
                <w:rPr>
                  <w:rFonts w:ascii="Cambria Math" w:hAnsi="Cambria Math"/>
                  <w:lang w:val="en-ZA"/>
                </w:rPr>
                <m:t>O</m:t>
              </m:r>
              <m:d>
                <m:dPr>
                  <m:ctrlPr>
                    <w:rPr>
                      <w:rFonts w:ascii="Cambria Math" w:hAnsi="Cambria Math"/>
                      <w:i/>
                      <w:lang w:val="en-ZA"/>
                    </w:rPr>
                  </m:ctrlPr>
                </m:dPr>
                <m:e>
                  <m:r>
                    <w:rPr>
                      <w:rFonts w:ascii="Cambria Math" w:hAnsi="Cambria Math"/>
                      <w:lang w:val="en-ZA"/>
                    </w:rPr>
                    <m:t>Benchmark</m:t>
                  </m:r>
                </m:e>
              </m:d>
            </m:sub>
          </m:sSub>
          <m:r>
            <w:rPr>
              <w:rFonts w:ascii="Cambria Math" w:hAnsi="Cambria Math"/>
              <w:lang w:val="en-ZA"/>
            </w:rPr>
            <m:t xml:space="preserve">:  </m:t>
          </m:r>
          <m:sSub>
            <m:sSubPr>
              <m:ctrlPr>
                <w:rPr>
                  <w:rFonts w:ascii="Cambria Math" w:hAnsi="Cambria Math"/>
                  <w:i/>
                  <w:lang w:val="en-ZA"/>
                </w:rPr>
              </m:ctrlPr>
            </m:sSubPr>
            <m:e>
              <m:r>
                <w:rPr>
                  <w:rFonts w:ascii="Cambria Math" w:hAnsi="Cambria Math"/>
                  <w:lang w:val="en-ZA"/>
                </w:rPr>
                <m:t xml:space="preserve"> r</m:t>
              </m:r>
            </m:e>
            <m:sub>
              <m:r>
                <w:rPr>
                  <w:rFonts w:ascii="Cambria Math" w:hAnsi="Cambria Math"/>
                  <w:lang w:val="en-ZA"/>
                </w:rPr>
                <m:t>b</m:t>
              </m:r>
            </m:sub>
          </m:sSub>
          <m:r>
            <w:rPr>
              <w:rFonts w:ascii="Cambria Math" w:hAnsi="Cambria Math"/>
              <w:lang w:val="en-ZA"/>
            </w:rPr>
            <m:t xml:space="preserve">≥ </m:t>
          </m:r>
          <m:sSub>
            <m:sSubPr>
              <m:ctrlPr>
                <w:rPr>
                  <w:rFonts w:ascii="Cambria Math" w:hAnsi="Cambria Math"/>
                  <w:i/>
                  <w:lang w:val="en-ZA"/>
                </w:rPr>
              </m:ctrlPr>
            </m:sSubPr>
            <m:e>
              <m:r>
                <w:rPr>
                  <w:rFonts w:ascii="Cambria Math" w:hAnsi="Cambria Math"/>
                  <w:lang w:val="en-ZA"/>
                </w:rPr>
                <m:t>r</m:t>
              </m:r>
            </m:e>
            <m:sub>
              <m:r>
                <w:rPr>
                  <w:rFonts w:ascii="Cambria Math" w:hAnsi="Cambria Math"/>
                  <w:lang w:val="en-ZA"/>
                </w:rPr>
                <m:t>af</m:t>
              </m:r>
            </m:sub>
          </m:sSub>
          <m:r>
            <w:rPr>
              <w:rFonts w:ascii="Cambria Math" w:hAnsi="Cambria Math"/>
              <w:lang w:val="en-ZA"/>
            </w:rPr>
            <m:t xml:space="preserve"> </m:t>
          </m:r>
        </m:oMath>
      </m:oMathPara>
    </w:p>
    <w:p w:rsidR="004F092C" w:rsidRDefault="004F092C" w:rsidP="00ED7F94">
      <w:pPr>
        <w:rPr>
          <w:u w:val="single"/>
          <w:lang w:val="en-ZA"/>
        </w:rPr>
      </w:pPr>
    </w:p>
    <w:p w:rsidR="00ED7F94" w:rsidRPr="00DA5185" w:rsidRDefault="00ED7F94" w:rsidP="00ED7F94">
      <w:pPr>
        <w:rPr>
          <w:lang w:val="en-ZA"/>
        </w:rPr>
      </w:pPr>
      <w:r w:rsidRPr="008633D2">
        <w:rPr>
          <w:u w:val="single"/>
          <w:lang w:val="en-ZA"/>
        </w:rPr>
        <w:t xml:space="preserve">Alternate hypothesis: </w:t>
      </w:r>
      <w:r w:rsidR="004F092C">
        <w:rPr>
          <w:lang w:val="en-ZA"/>
        </w:rPr>
        <w:t>The performance of the South African financial market which is represented by the chosen benchmark index, the FTSE/JSE all share index (</w:t>
      </w:r>
      <m:oMath>
        <m:sSub>
          <m:sSubPr>
            <m:ctrlPr>
              <w:rPr>
                <w:rFonts w:ascii="Cambria Math" w:hAnsi="Cambria Math"/>
                <w:i/>
                <w:lang w:val="en-ZA"/>
              </w:rPr>
            </m:ctrlPr>
          </m:sSubPr>
          <m:e>
            <m:r>
              <w:rPr>
                <w:rFonts w:ascii="Cambria Math" w:hAnsi="Cambria Math"/>
                <w:lang w:val="en-ZA"/>
              </w:rPr>
              <m:t xml:space="preserve"> r</m:t>
            </m:r>
          </m:e>
          <m:sub>
            <m:r>
              <w:rPr>
                <w:rFonts w:ascii="Cambria Math" w:hAnsi="Cambria Math"/>
                <w:lang w:val="en-ZA"/>
              </w:rPr>
              <m:t>b</m:t>
            </m:r>
          </m:sub>
        </m:sSub>
        <m:r>
          <w:rPr>
            <w:rFonts w:ascii="Cambria Math" w:hAnsi="Cambria Math"/>
            <w:lang w:val="en-ZA"/>
          </w:rPr>
          <m:t>)</m:t>
        </m:r>
      </m:oMath>
      <w:r w:rsidR="004F092C">
        <w:rPr>
          <w:lang w:val="en-ZA"/>
        </w:rPr>
        <w:t xml:space="preserve"> is less than the performance of all female managed funds (</w:t>
      </w:r>
      <m:oMath>
        <m:sSub>
          <m:sSubPr>
            <m:ctrlPr>
              <w:rPr>
                <w:rFonts w:ascii="Cambria Math" w:hAnsi="Cambria Math"/>
                <w:i/>
                <w:lang w:val="en-ZA"/>
              </w:rPr>
            </m:ctrlPr>
          </m:sSubPr>
          <m:e>
            <m:r>
              <w:rPr>
                <w:rFonts w:ascii="Cambria Math" w:hAnsi="Cambria Math"/>
                <w:lang w:val="en-ZA"/>
              </w:rPr>
              <m:t>r</m:t>
            </m:r>
          </m:e>
          <m:sub>
            <m:r>
              <w:rPr>
                <w:rFonts w:ascii="Cambria Math" w:hAnsi="Cambria Math"/>
                <w:lang w:val="en-ZA"/>
              </w:rPr>
              <m:t>af</m:t>
            </m:r>
          </m:sub>
        </m:sSub>
      </m:oMath>
      <w:r w:rsidR="004F092C">
        <w:rPr>
          <w:lang w:val="en-ZA"/>
        </w:rPr>
        <w:t>) in South Africa in the short term, medium term and/or long term.</w:t>
      </w:r>
    </w:p>
    <w:p w:rsidR="000B791F" w:rsidRDefault="000B791F" w:rsidP="00526B31">
      <w:pPr>
        <w:rPr>
          <w:lang w:val="en-ZA"/>
        </w:rPr>
      </w:pPr>
    </w:p>
    <w:p w:rsidR="00ED7F94" w:rsidRPr="000E1B67" w:rsidRDefault="003323B7" w:rsidP="00526B31">
      <w:pPr>
        <w:rPr>
          <w:lang w:val="en-ZA"/>
        </w:rPr>
      </w:pPr>
      <m:oMathPara>
        <m:oMath>
          <m:sSub>
            <m:sSubPr>
              <m:ctrlPr>
                <w:rPr>
                  <w:rFonts w:ascii="Cambria Math" w:hAnsi="Cambria Math"/>
                  <w:i/>
                  <w:lang w:val="en-ZA"/>
                </w:rPr>
              </m:ctrlPr>
            </m:sSubPr>
            <m:e>
              <m:r>
                <w:rPr>
                  <w:rFonts w:ascii="Cambria Math" w:hAnsi="Cambria Math"/>
                  <w:lang w:val="en-ZA"/>
                </w:rPr>
                <m:t>H</m:t>
              </m:r>
            </m:e>
            <m:sub>
              <m:r>
                <w:rPr>
                  <w:rFonts w:ascii="Cambria Math" w:hAnsi="Cambria Math"/>
                  <w:lang w:val="en-ZA"/>
                </w:rPr>
                <m:t>A</m:t>
              </m:r>
              <m:d>
                <m:dPr>
                  <m:ctrlPr>
                    <w:rPr>
                      <w:rFonts w:ascii="Cambria Math" w:hAnsi="Cambria Math"/>
                      <w:i/>
                      <w:lang w:val="en-ZA"/>
                    </w:rPr>
                  </m:ctrlPr>
                </m:dPr>
                <m:e>
                  <m:r>
                    <w:rPr>
                      <w:rFonts w:ascii="Cambria Math" w:hAnsi="Cambria Math"/>
                      <w:lang w:val="en-ZA"/>
                    </w:rPr>
                    <m:t>Benchmark</m:t>
                  </m:r>
                </m:e>
              </m:d>
            </m:sub>
          </m:sSub>
          <m:r>
            <w:rPr>
              <w:rFonts w:ascii="Cambria Math" w:hAnsi="Cambria Math"/>
              <w:lang w:val="en-ZA"/>
            </w:rPr>
            <m:t xml:space="preserve">:  </m:t>
          </m:r>
          <m:sSub>
            <m:sSubPr>
              <m:ctrlPr>
                <w:rPr>
                  <w:rFonts w:ascii="Cambria Math" w:hAnsi="Cambria Math"/>
                  <w:i/>
                  <w:lang w:val="en-ZA"/>
                </w:rPr>
              </m:ctrlPr>
            </m:sSubPr>
            <m:e>
              <m:r>
                <w:rPr>
                  <w:rFonts w:ascii="Cambria Math" w:hAnsi="Cambria Math"/>
                  <w:lang w:val="en-ZA"/>
                </w:rPr>
                <m:t xml:space="preserve"> r</m:t>
              </m:r>
            </m:e>
            <m:sub>
              <m:r>
                <w:rPr>
                  <w:rFonts w:ascii="Cambria Math" w:hAnsi="Cambria Math"/>
                  <w:lang w:val="en-ZA"/>
                </w:rPr>
                <m:t>b</m:t>
              </m:r>
            </m:sub>
          </m:sSub>
          <m:r>
            <w:rPr>
              <w:rFonts w:ascii="Cambria Math" w:hAnsi="Cambria Math"/>
              <w:lang w:val="en-ZA"/>
            </w:rPr>
            <m:t xml:space="preserve">&lt; </m:t>
          </m:r>
          <m:sSub>
            <m:sSubPr>
              <m:ctrlPr>
                <w:rPr>
                  <w:rFonts w:ascii="Cambria Math" w:hAnsi="Cambria Math"/>
                  <w:i/>
                  <w:lang w:val="en-ZA"/>
                </w:rPr>
              </m:ctrlPr>
            </m:sSubPr>
            <m:e>
              <m:r>
                <w:rPr>
                  <w:rFonts w:ascii="Cambria Math" w:hAnsi="Cambria Math"/>
                  <w:lang w:val="en-ZA"/>
                </w:rPr>
                <m:t>r</m:t>
              </m:r>
            </m:e>
            <m:sub>
              <m:r>
                <w:rPr>
                  <w:rFonts w:ascii="Cambria Math" w:hAnsi="Cambria Math"/>
                  <w:lang w:val="en-ZA"/>
                </w:rPr>
                <m:t>af</m:t>
              </m:r>
            </m:sub>
          </m:sSub>
        </m:oMath>
      </m:oMathPara>
    </w:p>
    <w:p w:rsidR="000E1B67" w:rsidRPr="000B791F" w:rsidRDefault="000E1B67" w:rsidP="00526B31">
      <w:pPr>
        <w:rPr>
          <w:lang w:val="en-ZA"/>
        </w:rPr>
      </w:pPr>
    </w:p>
    <w:p w:rsidR="000E1B67" w:rsidRPr="008633D2" w:rsidRDefault="000E1B67" w:rsidP="000E1B67">
      <w:pPr>
        <w:pStyle w:val="Heading3"/>
        <w:rPr>
          <w:lang w:val="en-ZA"/>
        </w:rPr>
      </w:pPr>
      <w:bookmarkStart w:id="121" w:name="_Toc458610787"/>
      <w:r w:rsidRPr="008633D2">
        <w:rPr>
          <w:lang w:val="en-ZA"/>
        </w:rPr>
        <w:t xml:space="preserve">Hypothesis </w:t>
      </w:r>
      <w:r>
        <w:rPr>
          <w:lang w:val="en-ZA"/>
        </w:rPr>
        <w:t>5</w:t>
      </w:r>
      <w:r w:rsidR="007F7693">
        <w:rPr>
          <w:lang w:val="en-ZA"/>
        </w:rPr>
        <w:t xml:space="preserve"> – male managed</w:t>
      </w:r>
      <w:r>
        <w:rPr>
          <w:lang w:val="en-ZA"/>
        </w:rPr>
        <w:t xml:space="preserve"> </w:t>
      </w:r>
      <w:r w:rsidRPr="008633D2">
        <w:rPr>
          <w:lang w:val="en-ZA"/>
        </w:rPr>
        <w:t xml:space="preserve">funds versus the </w:t>
      </w:r>
      <w:r>
        <w:rPr>
          <w:lang w:val="en-ZA"/>
        </w:rPr>
        <w:t>benchmark index</w:t>
      </w:r>
      <w:bookmarkEnd w:id="121"/>
    </w:p>
    <w:p w:rsidR="000E1B67" w:rsidRDefault="000E1B67" w:rsidP="000E1B67">
      <w:pPr>
        <w:rPr>
          <w:lang w:val="en-ZA"/>
        </w:rPr>
      </w:pPr>
      <w:r w:rsidRPr="008633D2">
        <w:rPr>
          <w:u w:val="single"/>
          <w:lang w:val="en-ZA"/>
        </w:rPr>
        <w:t>Null hypothesis:</w:t>
      </w:r>
      <w:r>
        <w:rPr>
          <w:lang w:val="en-ZA"/>
        </w:rPr>
        <w:t xml:space="preserve"> </w:t>
      </w:r>
      <w:r w:rsidR="004F092C">
        <w:rPr>
          <w:lang w:val="en-ZA"/>
        </w:rPr>
        <w:t>The performance of the South African financial market which is represented by the chosen benchmark index, the FTSE/JSE all share index (</w:t>
      </w:r>
      <m:oMath>
        <m:sSub>
          <m:sSubPr>
            <m:ctrlPr>
              <w:rPr>
                <w:rFonts w:ascii="Cambria Math" w:hAnsi="Cambria Math"/>
                <w:i/>
                <w:lang w:val="en-ZA"/>
              </w:rPr>
            </m:ctrlPr>
          </m:sSubPr>
          <m:e>
            <m:r>
              <w:rPr>
                <w:rFonts w:ascii="Cambria Math" w:hAnsi="Cambria Math"/>
                <w:lang w:val="en-ZA"/>
              </w:rPr>
              <m:t xml:space="preserve"> r</m:t>
            </m:r>
          </m:e>
          <m:sub>
            <m:r>
              <w:rPr>
                <w:rFonts w:ascii="Cambria Math" w:hAnsi="Cambria Math"/>
                <w:lang w:val="en-ZA"/>
              </w:rPr>
              <m:t>b</m:t>
            </m:r>
          </m:sub>
        </m:sSub>
        <m:r>
          <w:rPr>
            <w:rFonts w:ascii="Cambria Math" w:hAnsi="Cambria Math"/>
            <w:lang w:val="en-ZA"/>
          </w:rPr>
          <m:t>)</m:t>
        </m:r>
      </m:oMath>
      <w:r>
        <w:rPr>
          <w:lang w:val="en-ZA"/>
        </w:rPr>
        <w:t xml:space="preserve"> is greater than or equal to the</w:t>
      </w:r>
      <w:r w:rsidR="004F092C">
        <w:rPr>
          <w:lang w:val="en-ZA"/>
        </w:rPr>
        <w:t xml:space="preserve"> performance of all male managed funds (</w:t>
      </w:r>
      <m:oMath>
        <m:sSub>
          <m:sSubPr>
            <m:ctrlPr>
              <w:rPr>
                <w:rFonts w:ascii="Cambria Math" w:hAnsi="Cambria Math"/>
                <w:i/>
                <w:lang w:val="en-ZA"/>
              </w:rPr>
            </m:ctrlPr>
          </m:sSubPr>
          <m:e>
            <m:r>
              <w:rPr>
                <w:rFonts w:ascii="Cambria Math" w:hAnsi="Cambria Math"/>
                <w:lang w:val="en-ZA"/>
              </w:rPr>
              <m:t>r</m:t>
            </m:r>
          </m:e>
          <m:sub>
            <m:r>
              <w:rPr>
                <w:rFonts w:ascii="Cambria Math" w:hAnsi="Cambria Math"/>
                <w:lang w:val="en-ZA"/>
              </w:rPr>
              <m:t>am</m:t>
            </m:r>
          </m:sub>
        </m:sSub>
      </m:oMath>
      <w:r w:rsidR="004F092C">
        <w:rPr>
          <w:lang w:val="en-ZA"/>
        </w:rPr>
        <w:t>) in South Africa</w:t>
      </w:r>
      <w:r>
        <w:rPr>
          <w:lang w:val="en-ZA"/>
        </w:rPr>
        <w:t xml:space="preserve"> </w:t>
      </w:r>
      <w:r w:rsidR="004F092C">
        <w:rPr>
          <w:lang w:val="en-ZA"/>
        </w:rPr>
        <w:t>in the short term, medium term and/or long term</w:t>
      </w:r>
      <w:r>
        <w:rPr>
          <w:lang w:val="en-ZA"/>
        </w:rPr>
        <w:t>.</w:t>
      </w:r>
    </w:p>
    <w:p w:rsidR="004F092C" w:rsidRDefault="004F092C" w:rsidP="000E1B67">
      <w:pPr>
        <w:rPr>
          <w:lang w:val="en-ZA"/>
        </w:rPr>
      </w:pPr>
    </w:p>
    <w:p w:rsidR="000E1B67" w:rsidRPr="000B791F" w:rsidRDefault="003323B7" w:rsidP="000E1B67">
      <w:pPr>
        <w:rPr>
          <w:lang w:val="en-ZA"/>
        </w:rPr>
      </w:pPr>
      <m:oMathPara>
        <m:oMath>
          <m:sSub>
            <m:sSubPr>
              <m:ctrlPr>
                <w:rPr>
                  <w:rFonts w:ascii="Cambria Math" w:hAnsi="Cambria Math"/>
                  <w:i/>
                  <w:lang w:val="en-ZA"/>
                </w:rPr>
              </m:ctrlPr>
            </m:sSubPr>
            <m:e>
              <m:r>
                <w:rPr>
                  <w:rFonts w:ascii="Cambria Math" w:hAnsi="Cambria Math"/>
                  <w:lang w:val="en-ZA"/>
                </w:rPr>
                <m:t>H</m:t>
              </m:r>
            </m:e>
            <m:sub>
              <m:r>
                <w:rPr>
                  <w:rFonts w:ascii="Cambria Math" w:hAnsi="Cambria Math"/>
                  <w:lang w:val="en-ZA"/>
                </w:rPr>
                <m:t>O</m:t>
              </m:r>
              <m:d>
                <m:dPr>
                  <m:ctrlPr>
                    <w:rPr>
                      <w:rFonts w:ascii="Cambria Math" w:hAnsi="Cambria Math"/>
                      <w:i/>
                      <w:lang w:val="en-ZA"/>
                    </w:rPr>
                  </m:ctrlPr>
                </m:dPr>
                <m:e>
                  <m:r>
                    <w:rPr>
                      <w:rFonts w:ascii="Cambria Math" w:hAnsi="Cambria Math"/>
                      <w:lang w:val="en-ZA"/>
                    </w:rPr>
                    <m:t>Benchmark</m:t>
                  </m:r>
                </m:e>
              </m:d>
            </m:sub>
          </m:sSub>
          <m:r>
            <w:rPr>
              <w:rFonts w:ascii="Cambria Math" w:hAnsi="Cambria Math"/>
              <w:lang w:val="en-ZA"/>
            </w:rPr>
            <m:t xml:space="preserve">: </m:t>
          </m:r>
          <m:sSub>
            <m:sSubPr>
              <m:ctrlPr>
                <w:rPr>
                  <w:rFonts w:ascii="Cambria Math" w:hAnsi="Cambria Math"/>
                  <w:i/>
                  <w:lang w:val="en-ZA"/>
                </w:rPr>
              </m:ctrlPr>
            </m:sSubPr>
            <m:e>
              <m:r>
                <w:rPr>
                  <w:rFonts w:ascii="Cambria Math" w:hAnsi="Cambria Math"/>
                  <w:lang w:val="en-ZA"/>
                </w:rPr>
                <m:t xml:space="preserve"> r</m:t>
              </m:r>
            </m:e>
            <m:sub>
              <m:r>
                <w:rPr>
                  <w:rFonts w:ascii="Cambria Math" w:hAnsi="Cambria Math"/>
                  <w:lang w:val="en-ZA"/>
                </w:rPr>
                <m:t>b</m:t>
              </m:r>
            </m:sub>
          </m:sSub>
          <m:r>
            <w:rPr>
              <w:rFonts w:ascii="Cambria Math" w:hAnsi="Cambria Math"/>
              <w:lang w:val="en-ZA"/>
            </w:rPr>
            <m:t xml:space="preserve">≥ </m:t>
          </m:r>
          <m:sSub>
            <m:sSubPr>
              <m:ctrlPr>
                <w:rPr>
                  <w:rFonts w:ascii="Cambria Math" w:hAnsi="Cambria Math"/>
                  <w:i/>
                  <w:lang w:val="en-ZA"/>
                </w:rPr>
              </m:ctrlPr>
            </m:sSubPr>
            <m:e>
              <m:r>
                <w:rPr>
                  <w:rFonts w:ascii="Cambria Math" w:hAnsi="Cambria Math"/>
                  <w:lang w:val="en-ZA"/>
                </w:rPr>
                <m:t>r</m:t>
              </m:r>
            </m:e>
            <m:sub>
              <m:r>
                <w:rPr>
                  <w:rFonts w:ascii="Cambria Math" w:hAnsi="Cambria Math"/>
                  <w:lang w:val="en-ZA"/>
                </w:rPr>
                <m:t>am</m:t>
              </m:r>
            </m:sub>
          </m:sSub>
        </m:oMath>
      </m:oMathPara>
    </w:p>
    <w:p w:rsidR="000E1B67" w:rsidRPr="00DA5185" w:rsidRDefault="000E1B67" w:rsidP="000E1B67">
      <w:pPr>
        <w:rPr>
          <w:lang w:val="en-ZA"/>
        </w:rPr>
      </w:pPr>
    </w:p>
    <w:p w:rsidR="004F092C" w:rsidRDefault="000E1B67" w:rsidP="004F092C">
      <w:pPr>
        <w:rPr>
          <w:lang w:val="en-ZA"/>
        </w:rPr>
      </w:pPr>
      <w:r w:rsidRPr="008633D2">
        <w:rPr>
          <w:u w:val="single"/>
          <w:lang w:val="en-ZA"/>
        </w:rPr>
        <w:t xml:space="preserve">Alternate hypothesis: </w:t>
      </w:r>
      <w:r w:rsidR="004F092C">
        <w:rPr>
          <w:lang w:val="en-ZA"/>
        </w:rPr>
        <w:t>The performance of the South African financial market which is represented by the chosen benchmark index, the FTSE/JSE all share index (</w:t>
      </w:r>
      <m:oMath>
        <m:sSub>
          <m:sSubPr>
            <m:ctrlPr>
              <w:rPr>
                <w:rFonts w:ascii="Cambria Math" w:hAnsi="Cambria Math"/>
                <w:i/>
                <w:lang w:val="en-ZA"/>
              </w:rPr>
            </m:ctrlPr>
          </m:sSubPr>
          <m:e>
            <m:r>
              <w:rPr>
                <w:rFonts w:ascii="Cambria Math" w:hAnsi="Cambria Math"/>
                <w:lang w:val="en-ZA"/>
              </w:rPr>
              <m:t xml:space="preserve"> r</m:t>
            </m:r>
          </m:e>
          <m:sub>
            <m:r>
              <w:rPr>
                <w:rFonts w:ascii="Cambria Math" w:hAnsi="Cambria Math"/>
                <w:lang w:val="en-ZA"/>
              </w:rPr>
              <m:t>b</m:t>
            </m:r>
          </m:sub>
        </m:sSub>
        <m:r>
          <w:rPr>
            <w:rFonts w:ascii="Cambria Math" w:hAnsi="Cambria Math"/>
            <w:lang w:val="en-ZA"/>
          </w:rPr>
          <m:t>)</m:t>
        </m:r>
      </m:oMath>
      <w:r w:rsidR="004F092C">
        <w:rPr>
          <w:lang w:val="en-ZA"/>
        </w:rPr>
        <w:t xml:space="preserve"> is less than the performance of all male managed funds (</w:t>
      </w:r>
      <m:oMath>
        <m:sSub>
          <m:sSubPr>
            <m:ctrlPr>
              <w:rPr>
                <w:rFonts w:ascii="Cambria Math" w:hAnsi="Cambria Math"/>
                <w:i/>
                <w:lang w:val="en-ZA"/>
              </w:rPr>
            </m:ctrlPr>
          </m:sSubPr>
          <m:e>
            <m:r>
              <w:rPr>
                <w:rFonts w:ascii="Cambria Math" w:hAnsi="Cambria Math"/>
                <w:lang w:val="en-ZA"/>
              </w:rPr>
              <m:t>r</m:t>
            </m:r>
          </m:e>
          <m:sub>
            <m:r>
              <w:rPr>
                <w:rFonts w:ascii="Cambria Math" w:hAnsi="Cambria Math"/>
                <w:lang w:val="en-ZA"/>
              </w:rPr>
              <m:t>am</m:t>
            </m:r>
          </m:sub>
        </m:sSub>
      </m:oMath>
      <w:r w:rsidR="004F092C">
        <w:rPr>
          <w:lang w:val="en-ZA"/>
        </w:rPr>
        <w:t>) in South Africa in the short term, medium term and/or long term.</w:t>
      </w:r>
    </w:p>
    <w:p w:rsidR="000E1B67" w:rsidRDefault="000E1B67" w:rsidP="000E1B67">
      <w:pPr>
        <w:rPr>
          <w:lang w:val="en-ZA"/>
        </w:rPr>
      </w:pPr>
    </w:p>
    <w:p w:rsidR="000E1B67" w:rsidRPr="000B791F" w:rsidRDefault="003323B7" w:rsidP="000E1B67">
      <w:pPr>
        <w:rPr>
          <w:lang w:val="en-ZA"/>
        </w:rPr>
      </w:pPr>
      <m:oMathPara>
        <m:oMath>
          <m:sSub>
            <m:sSubPr>
              <m:ctrlPr>
                <w:rPr>
                  <w:rFonts w:ascii="Cambria Math" w:hAnsi="Cambria Math"/>
                  <w:i/>
                  <w:lang w:val="en-ZA"/>
                </w:rPr>
              </m:ctrlPr>
            </m:sSubPr>
            <m:e>
              <m:r>
                <w:rPr>
                  <w:rFonts w:ascii="Cambria Math" w:hAnsi="Cambria Math"/>
                  <w:lang w:val="en-ZA"/>
                </w:rPr>
                <m:t>H</m:t>
              </m:r>
            </m:e>
            <m:sub>
              <m:r>
                <w:rPr>
                  <w:rFonts w:ascii="Cambria Math" w:hAnsi="Cambria Math"/>
                  <w:lang w:val="en-ZA"/>
                </w:rPr>
                <m:t>A</m:t>
              </m:r>
              <m:d>
                <m:dPr>
                  <m:ctrlPr>
                    <w:rPr>
                      <w:rFonts w:ascii="Cambria Math" w:hAnsi="Cambria Math"/>
                      <w:i/>
                      <w:lang w:val="en-ZA"/>
                    </w:rPr>
                  </m:ctrlPr>
                </m:dPr>
                <m:e>
                  <m:r>
                    <w:rPr>
                      <w:rFonts w:ascii="Cambria Math" w:hAnsi="Cambria Math"/>
                      <w:lang w:val="en-ZA"/>
                    </w:rPr>
                    <m:t>Benchmark</m:t>
                  </m:r>
                </m:e>
              </m:d>
            </m:sub>
          </m:sSub>
          <m:r>
            <w:rPr>
              <w:rFonts w:ascii="Cambria Math" w:hAnsi="Cambria Math"/>
              <w:lang w:val="en-ZA"/>
            </w:rPr>
            <m:t xml:space="preserve">:  </m:t>
          </m:r>
          <m:sSub>
            <m:sSubPr>
              <m:ctrlPr>
                <w:rPr>
                  <w:rFonts w:ascii="Cambria Math" w:hAnsi="Cambria Math"/>
                  <w:i/>
                  <w:lang w:val="en-ZA"/>
                </w:rPr>
              </m:ctrlPr>
            </m:sSubPr>
            <m:e>
              <m:r>
                <w:rPr>
                  <w:rFonts w:ascii="Cambria Math" w:hAnsi="Cambria Math"/>
                  <w:lang w:val="en-ZA"/>
                </w:rPr>
                <m:t>r</m:t>
              </m:r>
            </m:e>
            <m:sub>
              <m:r>
                <w:rPr>
                  <w:rFonts w:ascii="Cambria Math" w:hAnsi="Cambria Math"/>
                  <w:lang w:val="en-ZA"/>
                </w:rPr>
                <m:t>b</m:t>
              </m:r>
            </m:sub>
          </m:sSub>
          <m:r>
            <w:rPr>
              <w:rFonts w:ascii="Cambria Math" w:hAnsi="Cambria Math"/>
              <w:lang w:val="en-ZA"/>
            </w:rPr>
            <m:t xml:space="preserve">&lt; </m:t>
          </m:r>
          <m:sSub>
            <m:sSubPr>
              <m:ctrlPr>
                <w:rPr>
                  <w:rFonts w:ascii="Cambria Math" w:hAnsi="Cambria Math"/>
                  <w:i/>
                  <w:lang w:val="en-ZA"/>
                </w:rPr>
              </m:ctrlPr>
            </m:sSubPr>
            <m:e>
              <m:r>
                <w:rPr>
                  <w:rFonts w:ascii="Cambria Math" w:hAnsi="Cambria Math"/>
                  <w:lang w:val="en-ZA"/>
                </w:rPr>
                <m:t>r</m:t>
              </m:r>
            </m:e>
            <m:sub>
              <m:r>
                <w:rPr>
                  <w:rFonts w:ascii="Cambria Math" w:hAnsi="Cambria Math"/>
                  <w:lang w:val="en-ZA"/>
                </w:rPr>
                <m:t>am</m:t>
              </m:r>
            </m:sub>
          </m:sSub>
        </m:oMath>
      </m:oMathPara>
    </w:p>
    <w:p w:rsidR="000B791F" w:rsidRPr="008633D2" w:rsidRDefault="000B791F" w:rsidP="00526B31">
      <w:pPr>
        <w:rPr>
          <w:color w:val="333399"/>
          <w:lang w:val="en-ZA"/>
        </w:rPr>
      </w:pPr>
    </w:p>
    <w:p w:rsidR="006F2C0B" w:rsidRPr="008633D2" w:rsidRDefault="006F2C0B" w:rsidP="0044202E">
      <w:pPr>
        <w:pStyle w:val="Heading2"/>
        <w:rPr>
          <w:lang w:val="en-ZA"/>
        </w:rPr>
      </w:pPr>
      <w:bookmarkStart w:id="122" w:name="_Toc141172753"/>
      <w:bookmarkStart w:id="123" w:name="_Toc141172825"/>
      <w:bookmarkStart w:id="124" w:name="_Toc141173493"/>
      <w:bookmarkStart w:id="125" w:name="_Toc141173559"/>
      <w:bookmarkStart w:id="126" w:name="_Toc184011875"/>
      <w:bookmarkStart w:id="127" w:name="_Toc458610788"/>
      <w:bookmarkEnd w:id="92"/>
      <w:bookmarkEnd w:id="93"/>
      <w:bookmarkEnd w:id="94"/>
      <w:bookmarkEnd w:id="95"/>
      <w:bookmarkEnd w:id="96"/>
      <w:r w:rsidRPr="008633D2">
        <w:rPr>
          <w:lang w:val="en-ZA"/>
        </w:rPr>
        <w:t>Conclusion of Literature Review</w:t>
      </w:r>
      <w:bookmarkEnd w:id="122"/>
      <w:bookmarkEnd w:id="123"/>
      <w:bookmarkEnd w:id="124"/>
      <w:bookmarkEnd w:id="125"/>
      <w:bookmarkEnd w:id="126"/>
      <w:bookmarkEnd w:id="127"/>
      <w:r w:rsidRPr="008633D2">
        <w:rPr>
          <w:lang w:val="en-ZA"/>
        </w:rPr>
        <w:t xml:space="preserve"> </w:t>
      </w:r>
    </w:p>
    <w:p w:rsidR="000B791F" w:rsidRDefault="000B791F" w:rsidP="0051718F">
      <w:pPr>
        <w:rPr>
          <w:lang w:val="en-ZA"/>
        </w:rPr>
      </w:pPr>
      <w:r>
        <w:rPr>
          <w:lang w:val="en-ZA"/>
        </w:rPr>
        <w:t xml:space="preserve">This chapter provides a review of existing literature relating to the unit trust industry, characteristics of men and women, and the relation of these characteristics to the performance of unit trusts. </w:t>
      </w:r>
    </w:p>
    <w:p w:rsidR="000B791F" w:rsidRDefault="000B791F" w:rsidP="0051718F">
      <w:pPr>
        <w:rPr>
          <w:lang w:val="en-ZA"/>
        </w:rPr>
      </w:pPr>
    </w:p>
    <w:p w:rsidR="000B791F" w:rsidRDefault="0051718F" w:rsidP="0051718F">
      <w:pPr>
        <w:rPr>
          <w:lang w:val="en-ZA"/>
        </w:rPr>
      </w:pPr>
      <w:r w:rsidRPr="008633D2">
        <w:rPr>
          <w:lang w:val="en-ZA"/>
        </w:rPr>
        <w:t xml:space="preserve">The literature highlights that the South African </w:t>
      </w:r>
      <w:r w:rsidR="000B791F">
        <w:rPr>
          <w:lang w:val="en-ZA"/>
        </w:rPr>
        <w:t>financial</w:t>
      </w:r>
      <w:r w:rsidRPr="008633D2">
        <w:rPr>
          <w:lang w:val="en-ZA"/>
        </w:rPr>
        <w:t xml:space="preserve"> industry </w:t>
      </w:r>
      <w:r w:rsidR="000B791F">
        <w:rPr>
          <w:lang w:val="en-ZA"/>
        </w:rPr>
        <w:t>is well developed and relatively stable during times of international crisis. The unit trust industry has been rapidly growing in South Africa and globally as the levels of economic growth has been improving. T</w:t>
      </w:r>
      <w:r w:rsidR="00174861" w:rsidRPr="008633D2">
        <w:rPr>
          <w:lang w:val="en-ZA"/>
        </w:rPr>
        <w:t xml:space="preserve">here </w:t>
      </w:r>
      <w:r w:rsidR="000B791F">
        <w:rPr>
          <w:lang w:val="en-ZA"/>
        </w:rPr>
        <w:t>are</w:t>
      </w:r>
      <w:r w:rsidR="0046753E">
        <w:rPr>
          <w:lang w:val="en-ZA"/>
        </w:rPr>
        <w:t>,</w:t>
      </w:r>
      <w:r w:rsidR="000B791F">
        <w:rPr>
          <w:lang w:val="en-ZA"/>
        </w:rPr>
        <w:t xml:space="preserve"> however</w:t>
      </w:r>
      <w:r w:rsidR="0046753E">
        <w:rPr>
          <w:lang w:val="en-ZA"/>
        </w:rPr>
        <w:t>,</w:t>
      </w:r>
      <w:r w:rsidR="000B791F">
        <w:rPr>
          <w:lang w:val="en-ZA"/>
        </w:rPr>
        <w:t xml:space="preserve"> a</w:t>
      </w:r>
      <w:r w:rsidRPr="008633D2">
        <w:rPr>
          <w:lang w:val="en-ZA"/>
        </w:rPr>
        <w:t xml:space="preserve"> limited number of female fund </w:t>
      </w:r>
      <w:r w:rsidR="00CC6274" w:rsidRPr="008633D2">
        <w:rPr>
          <w:lang w:val="en-ZA"/>
        </w:rPr>
        <w:t>managers</w:t>
      </w:r>
      <w:r w:rsidR="000B791F">
        <w:rPr>
          <w:lang w:val="en-ZA"/>
        </w:rPr>
        <w:t xml:space="preserve"> internationally</w:t>
      </w:r>
      <w:r w:rsidRPr="008633D2">
        <w:rPr>
          <w:lang w:val="en-ZA"/>
        </w:rPr>
        <w:t>.</w:t>
      </w:r>
      <w:r w:rsidR="000B791F">
        <w:rPr>
          <w:lang w:val="en-ZA"/>
        </w:rPr>
        <w:t xml:space="preserve"> It is possible that this is due to investors being unwilling to invest with female fund managers as they are stereotyped as being less capable. This study seeks to better understand the gender distribution of fund managers in South Africa. </w:t>
      </w:r>
    </w:p>
    <w:p w:rsidR="000B791F" w:rsidRDefault="000B791F" w:rsidP="0051718F">
      <w:pPr>
        <w:rPr>
          <w:lang w:val="en-ZA"/>
        </w:rPr>
      </w:pPr>
    </w:p>
    <w:p w:rsidR="000B791F" w:rsidRDefault="00736BA3" w:rsidP="0051718F">
      <w:pPr>
        <w:rPr>
          <w:lang w:val="en-ZA"/>
        </w:rPr>
      </w:pPr>
      <w:r>
        <w:rPr>
          <w:lang w:val="en-ZA"/>
        </w:rPr>
        <w:t>It has been shown</w:t>
      </w:r>
      <w:r w:rsidR="000B791F">
        <w:rPr>
          <w:lang w:val="en-ZA"/>
        </w:rPr>
        <w:t xml:space="preserve"> that including females in</w:t>
      </w:r>
      <w:r>
        <w:rPr>
          <w:lang w:val="en-ZA"/>
        </w:rPr>
        <w:t xml:space="preserve"> a firm</w:t>
      </w:r>
      <w:r w:rsidR="00183E85">
        <w:rPr>
          <w:lang w:val="en-ZA"/>
        </w:rPr>
        <w:t>’</w:t>
      </w:r>
      <w:r>
        <w:rPr>
          <w:lang w:val="en-ZA"/>
        </w:rPr>
        <w:t>s</w:t>
      </w:r>
      <w:r w:rsidR="000B791F">
        <w:rPr>
          <w:lang w:val="en-ZA"/>
        </w:rPr>
        <w:t xml:space="preserve"> upper management can generate more economic value within a firm as well as reduce the firm’s risk. There are many studies that indicate that females are more risk averse than males, and that this behaviour is displayed in financial experts s</w:t>
      </w:r>
      <w:r>
        <w:rPr>
          <w:lang w:val="en-ZA"/>
        </w:rPr>
        <w:t>uch as fund managers</w:t>
      </w:r>
      <w:r w:rsidR="000B791F">
        <w:rPr>
          <w:lang w:val="en-ZA"/>
        </w:rPr>
        <w:t xml:space="preserve">. Within the household, </w:t>
      </w:r>
      <w:r>
        <w:rPr>
          <w:lang w:val="en-ZA"/>
        </w:rPr>
        <w:t>women are seen to manage the daily monetary</w:t>
      </w:r>
      <w:r w:rsidR="000B791F">
        <w:rPr>
          <w:lang w:val="en-ZA"/>
        </w:rPr>
        <w:t xml:space="preserve"> requirements however, investment decisions are shown to be shared between both spouses. The literature indicates that gender composition is shifting towards being more female dominated and this could be a cause for concern as the risk averseness of women could results in them investing less and therefore being less wealthy in retirement years</w:t>
      </w:r>
      <w:r w:rsidR="00183E85">
        <w:rPr>
          <w:lang w:val="en-ZA"/>
        </w:rPr>
        <w:t>,</w:t>
      </w:r>
      <w:r w:rsidR="000B791F">
        <w:rPr>
          <w:lang w:val="en-ZA"/>
        </w:rPr>
        <w:t xml:space="preserve"> especially in the case of unmarried women. </w:t>
      </w:r>
    </w:p>
    <w:p w:rsidR="000B791F" w:rsidRDefault="000B791F" w:rsidP="0051718F">
      <w:pPr>
        <w:rPr>
          <w:lang w:val="en-ZA"/>
        </w:rPr>
      </w:pPr>
    </w:p>
    <w:p w:rsidR="000B791F" w:rsidRDefault="000B791F" w:rsidP="0051718F">
      <w:pPr>
        <w:rPr>
          <w:lang w:val="en-ZA"/>
        </w:rPr>
      </w:pPr>
      <w:r>
        <w:rPr>
          <w:lang w:val="en-ZA"/>
        </w:rPr>
        <w:t>The general characteristics of women are seen in the case of financial experts including fund managers. T</w:t>
      </w:r>
      <w:r w:rsidR="0051718F" w:rsidRPr="008633D2">
        <w:rPr>
          <w:lang w:val="en-ZA"/>
        </w:rPr>
        <w:t>here</w:t>
      </w:r>
      <w:r>
        <w:rPr>
          <w:lang w:val="en-ZA"/>
        </w:rPr>
        <w:t xml:space="preserve"> exists evidence that there</w:t>
      </w:r>
      <w:r w:rsidR="0051718F" w:rsidRPr="008633D2">
        <w:rPr>
          <w:lang w:val="en-ZA"/>
        </w:rPr>
        <w:t xml:space="preserve"> is a correlation between certain fund manager characteristics and the performance of the fund, </w:t>
      </w:r>
      <w:r>
        <w:rPr>
          <w:lang w:val="en-ZA"/>
        </w:rPr>
        <w:t xml:space="preserve">however there is </w:t>
      </w:r>
      <w:r w:rsidR="0051718F" w:rsidRPr="008633D2">
        <w:rPr>
          <w:lang w:val="en-ZA"/>
        </w:rPr>
        <w:t>little evidence to show a correlation between the gender of the fund ma</w:t>
      </w:r>
      <w:r w:rsidR="00736BA3">
        <w:rPr>
          <w:lang w:val="en-ZA"/>
        </w:rPr>
        <w:t>nager and the fund performance. F</w:t>
      </w:r>
      <w:r w:rsidR="0051718F" w:rsidRPr="008633D2">
        <w:rPr>
          <w:lang w:val="en-ZA"/>
        </w:rPr>
        <w:t>emale</w:t>
      </w:r>
      <w:r>
        <w:rPr>
          <w:lang w:val="en-ZA"/>
        </w:rPr>
        <w:t xml:space="preserve"> managed funds</w:t>
      </w:r>
      <w:r w:rsidR="0051718F" w:rsidRPr="008633D2">
        <w:rPr>
          <w:lang w:val="en-ZA"/>
        </w:rPr>
        <w:t xml:space="preserve"> generally have lower net assets inflows into the funds they manage</w:t>
      </w:r>
      <w:r w:rsidR="00736BA3">
        <w:rPr>
          <w:lang w:val="en-ZA"/>
        </w:rPr>
        <w:t xml:space="preserve"> possibly due to stereotypes</w:t>
      </w:r>
      <w:r w:rsidR="0051718F" w:rsidRPr="008633D2">
        <w:rPr>
          <w:lang w:val="en-ZA"/>
        </w:rPr>
        <w:t>.</w:t>
      </w:r>
      <w:r w:rsidR="00174861" w:rsidRPr="008633D2">
        <w:rPr>
          <w:lang w:val="en-ZA"/>
        </w:rPr>
        <w:t xml:space="preserve"> </w:t>
      </w:r>
    </w:p>
    <w:p w:rsidR="000B791F" w:rsidRDefault="000B791F" w:rsidP="0051718F">
      <w:pPr>
        <w:rPr>
          <w:lang w:val="en-ZA"/>
        </w:rPr>
      </w:pPr>
    </w:p>
    <w:p w:rsidR="0051718F" w:rsidRDefault="00174861" w:rsidP="0051718F">
      <w:pPr>
        <w:rPr>
          <w:lang w:val="en-ZA"/>
        </w:rPr>
      </w:pPr>
      <w:r w:rsidRPr="008633D2">
        <w:rPr>
          <w:lang w:val="en-ZA"/>
        </w:rPr>
        <w:t xml:space="preserve">This </w:t>
      </w:r>
      <w:r w:rsidR="0051718F" w:rsidRPr="008633D2">
        <w:rPr>
          <w:lang w:val="en-ZA"/>
        </w:rPr>
        <w:t xml:space="preserve">research aims to </w:t>
      </w:r>
      <w:r w:rsidR="00736BA3">
        <w:rPr>
          <w:lang w:val="en-ZA"/>
        </w:rPr>
        <w:t xml:space="preserve">contribute to the existing literature by assessing </w:t>
      </w:r>
      <w:r w:rsidR="0051718F" w:rsidRPr="008633D2">
        <w:rPr>
          <w:lang w:val="en-ZA"/>
        </w:rPr>
        <w:t>if individual female managed South African unit trusts produce returns that are higher than those produced by individual male managed unit trusts with comparable betas</w:t>
      </w:r>
      <w:r w:rsidR="000B791F">
        <w:rPr>
          <w:lang w:val="en-ZA"/>
        </w:rPr>
        <w:t xml:space="preserve"> or not</w:t>
      </w:r>
      <w:r w:rsidR="0051718F" w:rsidRPr="008633D2">
        <w:rPr>
          <w:lang w:val="en-ZA"/>
        </w:rPr>
        <w:t>.</w:t>
      </w:r>
      <w:r w:rsidR="00736BA3">
        <w:rPr>
          <w:lang w:val="en-ZA"/>
        </w:rPr>
        <w:t xml:space="preserve"> This </w:t>
      </w:r>
      <w:r w:rsidR="00183E85">
        <w:rPr>
          <w:lang w:val="en-ZA"/>
        </w:rPr>
        <w:t>was</w:t>
      </w:r>
      <w:r w:rsidR="00736BA3">
        <w:rPr>
          <w:lang w:val="en-ZA"/>
        </w:rPr>
        <w:t xml:space="preserve"> done by testing the </w:t>
      </w:r>
      <w:r w:rsidR="004F092C">
        <w:rPr>
          <w:lang w:val="en-ZA"/>
        </w:rPr>
        <w:t>five</w:t>
      </w:r>
      <w:r w:rsidR="00736BA3">
        <w:rPr>
          <w:lang w:val="en-ZA"/>
        </w:rPr>
        <w:t xml:space="preserve"> hypotheses defined in the previous section.</w:t>
      </w:r>
    </w:p>
    <w:p w:rsidR="006F2C0B" w:rsidRPr="008633D2" w:rsidRDefault="0035051A" w:rsidP="0035051A">
      <w:pPr>
        <w:pStyle w:val="Heading1"/>
        <w:rPr>
          <w:lang w:val="en-ZA"/>
        </w:rPr>
      </w:pPr>
      <w:bookmarkStart w:id="128" w:name="_Toc141172754"/>
      <w:bookmarkStart w:id="129" w:name="_Toc141172826"/>
      <w:bookmarkStart w:id="130" w:name="_Toc141173496"/>
      <w:bookmarkStart w:id="131" w:name="_Toc141173562"/>
      <w:bookmarkStart w:id="132" w:name="_Toc184011878"/>
      <w:bookmarkStart w:id="133" w:name="_Toc458610789"/>
      <w:bookmarkEnd w:id="97"/>
      <w:r w:rsidRPr="008633D2">
        <w:rPr>
          <w:lang w:val="en-ZA"/>
        </w:rPr>
        <w:t>RESEARCH METHODOLOGY</w:t>
      </w:r>
      <w:bookmarkEnd w:id="128"/>
      <w:bookmarkEnd w:id="129"/>
      <w:bookmarkEnd w:id="130"/>
      <w:bookmarkEnd w:id="131"/>
      <w:bookmarkEnd w:id="132"/>
      <w:bookmarkEnd w:id="133"/>
    </w:p>
    <w:p w:rsidR="0051718F" w:rsidRPr="008633D2" w:rsidRDefault="0051718F" w:rsidP="0051718F">
      <w:pPr>
        <w:rPr>
          <w:lang w:val="en-ZA"/>
        </w:rPr>
      </w:pPr>
      <w:r w:rsidRPr="008633D2">
        <w:rPr>
          <w:lang w:val="en-ZA"/>
        </w:rPr>
        <w:t xml:space="preserve">This chapter outlines the research methodology that </w:t>
      </w:r>
      <w:r w:rsidR="003C6C1E" w:rsidRPr="008633D2">
        <w:rPr>
          <w:lang w:val="en-ZA"/>
        </w:rPr>
        <w:t xml:space="preserve">has </w:t>
      </w:r>
      <w:r w:rsidRPr="008633D2">
        <w:rPr>
          <w:lang w:val="en-ZA"/>
        </w:rPr>
        <w:t>be</w:t>
      </w:r>
      <w:r w:rsidR="003C6C1E" w:rsidRPr="008633D2">
        <w:rPr>
          <w:lang w:val="en-ZA"/>
        </w:rPr>
        <w:t>en</w:t>
      </w:r>
      <w:r w:rsidRPr="008633D2">
        <w:rPr>
          <w:lang w:val="en-ZA"/>
        </w:rPr>
        <w:t xml:space="preserve"> used to conduct </w:t>
      </w:r>
      <w:r w:rsidR="00B42334" w:rsidRPr="008633D2">
        <w:rPr>
          <w:lang w:val="en-ZA"/>
        </w:rPr>
        <w:t>the</w:t>
      </w:r>
      <w:r w:rsidRPr="008633D2">
        <w:rPr>
          <w:lang w:val="en-ZA"/>
        </w:rPr>
        <w:t xml:space="preserve"> research</w:t>
      </w:r>
      <w:r w:rsidR="001A1331" w:rsidRPr="008633D2">
        <w:rPr>
          <w:lang w:val="en-ZA"/>
        </w:rPr>
        <w:t xml:space="preserve"> required to prove the hypothesis de</w:t>
      </w:r>
      <w:r w:rsidR="00807A8E">
        <w:rPr>
          <w:lang w:val="en-ZA"/>
        </w:rPr>
        <w:t>veloped in the previous chapter</w:t>
      </w:r>
      <w:r w:rsidR="001A1331" w:rsidRPr="008633D2">
        <w:rPr>
          <w:lang w:val="en-ZA"/>
        </w:rPr>
        <w:t>.</w:t>
      </w:r>
      <w:r w:rsidRPr="008633D2">
        <w:rPr>
          <w:lang w:val="en-ZA"/>
        </w:rPr>
        <w:t xml:space="preserve"> </w:t>
      </w:r>
      <w:r w:rsidR="00807A8E">
        <w:rPr>
          <w:lang w:val="en-ZA"/>
        </w:rPr>
        <w:t>Th</w:t>
      </w:r>
      <w:r w:rsidR="001A1331" w:rsidRPr="008633D2">
        <w:rPr>
          <w:lang w:val="en-ZA"/>
        </w:rPr>
        <w:t xml:space="preserve">e </w:t>
      </w:r>
      <w:r w:rsidR="00807A8E">
        <w:rPr>
          <w:lang w:val="en-ZA"/>
        </w:rPr>
        <w:t xml:space="preserve">quantitative </w:t>
      </w:r>
      <w:r w:rsidR="001A1331" w:rsidRPr="008633D2">
        <w:rPr>
          <w:lang w:val="en-ZA"/>
        </w:rPr>
        <w:t>research methodology</w:t>
      </w:r>
      <w:r w:rsidR="00807A8E">
        <w:rPr>
          <w:lang w:val="en-ZA"/>
        </w:rPr>
        <w:t xml:space="preserve"> that has been chosen for this research is presented initially. </w:t>
      </w:r>
      <w:r w:rsidR="001A1331" w:rsidRPr="008633D2">
        <w:rPr>
          <w:lang w:val="en-ZA"/>
        </w:rPr>
        <w:t xml:space="preserve">The design of the research will thereafter be discussed. This is followed by the characteristics of the population and sample that </w:t>
      </w:r>
      <w:r w:rsidR="00807A8E">
        <w:rPr>
          <w:lang w:val="en-ZA"/>
        </w:rPr>
        <w:t>is</w:t>
      </w:r>
      <w:r w:rsidR="001A1331" w:rsidRPr="008633D2">
        <w:rPr>
          <w:lang w:val="en-ZA"/>
        </w:rPr>
        <w:t xml:space="preserve"> utilised in the research. The research instrument and the process for data collection </w:t>
      </w:r>
      <w:r w:rsidR="00B42334" w:rsidRPr="008633D2">
        <w:rPr>
          <w:lang w:val="en-ZA"/>
        </w:rPr>
        <w:t>are</w:t>
      </w:r>
      <w:r w:rsidR="001A1331" w:rsidRPr="008633D2">
        <w:rPr>
          <w:lang w:val="en-ZA"/>
        </w:rPr>
        <w:t xml:space="preserve"> then presented. </w:t>
      </w:r>
      <w:r w:rsidR="00807A8E">
        <w:rPr>
          <w:lang w:val="en-ZA"/>
        </w:rPr>
        <w:t>A</w:t>
      </w:r>
      <w:r w:rsidR="001A1331" w:rsidRPr="008633D2">
        <w:rPr>
          <w:lang w:val="en-ZA"/>
        </w:rPr>
        <w:t xml:space="preserve"> discussion of the steps that w</w:t>
      </w:r>
      <w:r w:rsidR="00183E85">
        <w:rPr>
          <w:lang w:val="en-ZA"/>
        </w:rPr>
        <w:t>ere</w:t>
      </w:r>
      <w:r w:rsidR="001A1331" w:rsidRPr="008633D2">
        <w:rPr>
          <w:lang w:val="en-ZA"/>
        </w:rPr>
        <w:t xml:space="preserve"> followed to conduct the analysis once the required data is obtained is presented. The chapter conclude</w:t>
      </w:r>
      <w:r w:rsidR="00183E85">
        <w:rPr>
          <w:lang w:val="en-ZA"/>
        </w:rPr>
        <w:t>s</w:t>
      </w:r>
      <w:r w:rsidR="001A1331" w:rsidRPr="008633D2">
        <w:rPr>
          <w:lang w:val="en-ZA"/>
        </w:rPr>
        <w:t xml:space="preserve"> with a discussion on the limitations of the study, the validity of the research and finally the reliability of the data used and of the conducted analysis.</w:t>
      </w:r>
    </w:p>
    <w:p w:rsidR="001A1331" w:rsidRPr="008633D2" w:rsidRDefault="001A1331" w:rsidP="0051718F">
      <w:pPr>
        <w:rPr>
          <w:lang w:val="en-ZA"/>
        </w:rPr>
      </w:pPr>
    </w:p>
    <w:p w:rsidR="006F2C0B" w:rsidRPr="008633D2" w:rsidRDefault="006F2C0B" w:rsidP="0044202E">
      <w:pPr>
        <w:pStyle w:val="Heading2"/>
        <w:rPr>
          <w:lang w:val="en-ZA"/>
        </w:rPr>
      </w:pPr>
      <w:bookmarkStart w:id="134" w:name="_Toc141172755"/>
      <w:bookmarkStart w:id="135" w:name="_Toc141172827"/>
      <w:bookmarkStart w:id="136" w:name="_Toc141173497"/>
      <w:bookmarkStart w:id="137" w:name="_Toc141173563"/>
      <w:bookmarkStart w:id="138" w:name="_Toc184011879"/>
      <w:bookmarkStart w:id="139" w:name="_Toc458610790"/>
      <w:r w:rsidRPr="008633D2">
        <w:rPr>
          <w:lang w:val="en-ZA"/>
        </w:rPr>
        <w:t>Research methodology</w:t>
      </w:r>
      <w:bookmarkEnd w:id="134"/>
      <w:bookmarkEnd w:id="135"/>
      <w:bookmarkEnd w:id="136"/>
      <w:bookmarkEnd w:id="137"/>
      <w:bookmarkEnd w:id="138"/>
      <w:bookmarkEnd w:id="139"/>
    </w:p>
    <w:p w:rsidR="0051718F" w:rsidRPr="008633D2" w:rsidRDefault="0051718F" w:rsidP="0051718F">
      <w:pPr>
        <w:rPr>
          <w:lang w:val="en-ZA"/>
        </w:rPr>
      </w:pPr>
      <w:r w:rsidRPr="008633D2">
        <w:rPr>
          <w:lang w:val="en-ZA"/>
        </w:rPr>
        <w:t xml:space="preserve">A quantitative approach </w:t>
      </w:r>
      <w:r w:rsidR="003C6C1E" w:rsidRPr="008633D2">
        <w:rPr>
          <w:lang w:val="en-ZA"/>
        </w:rPr>
        <w:t>has</w:t>
      </w:r>
      <w:r w:rsidRPr="008633D2">
        <w:rPr>
          <w:lang w:val="en-ZA"/>
        </w:rPr>
        <w:t xml:space="preserve"> be</w:t>
      </w:r>
      <w:r w:rsidR="003C6C1E" w:rsidRPr="008633D2">
        <w:rPr>
          <w:lang w:val="en-ZA"/>
        </w:rPr>
        <w:t>en</w:t>
      </w:r>
      <w:r w:rsidRPr="008633D2">
        <w:rPr>
          <w:lang w:val="en-ZA"/>
        </w:rPr>
        <w:t xml:space="preserve"> used to </w:t>
      </w:r>
      <w:r w:rsidR="00807A8E">
        <w:rPr>
          <w:lang w:val="en-ZA"/>
        </w:rPr>
        <w:t>test</w:t>
      </w:r>
      <w:r w:rsidRPr="008633D2">
        <w:rPr>
          <w:lang w:val="en-ZA"/>
        </w:rPr>
        <w:t xml:space="preserve"> the </w:t>
      </w:r>
      <w:r w:rsidR="004719C2" w:rsidRPr="008633D2">
        <w:rPr>
          <w:lang w:val="en-ZA"/>
        </w:rPr>
        <w:t>hypotheses that have</w:t>
      </w:r>
      <w:r w:rsidRPr="008633D2">
        <w:rPr>
          <w:lang w:val="en-ZA"/>
        </w:rPr>
        <w:t xml:space="preserve"> been described in </w:t>
      </w:r>
      <w:r w:rsidR="00B42334" w:rsidRPr="008633D2">
        <w:rPr>
          <w:lang w:val="en-ZA"/>
        </w:rPr>
        <w:t>c</w:t>
      </w:r>
      <w:r w:rsidR="00807A8E">
        <w:rPr>
          <w:lang w:val="en-ZA"/>
        </w:rPr>
        <w:t xml:space="preserve">hapter 2. This approach is </w:t>
      </w:r>
      <w:r w:rsidRPr="008633D2">
        <w:rPr>
          <w:lang w:val="en-ZA"/>
        </w:rPr>
        <w:t xml:space="preserve">chosen due to the </w:t>
      </w:r>
      <w:r w:rsidR="00807A8E">
        <w:rPr>
          <w:lang w:val="en-ZA"/>
        </w:rPr>
        <w:t xml:space="preserve">one-tailed </w:t>
      </w:r>
      <w:r w:rsidRPr="008633D2">
        <w:rPr>
          <w:lang w:val="en-ZA"/>
        </w:rPr>
        <w:t xml:space="preserve">hypothesis </w:t>
      </w:r>
      <w:r w:rsidR="00807A8E">
        <w:rPr>
          <w:lang w:val="en-ZA"/>
        </w:rPr>
        <w:t xml:space="preserve">defined </w:t>
      </w:r>
      <w:r w:rsidRPr="008633D2">
        <w:rPr>
          <w:lang w:val="en-ZA"/>
        </w:rPr>
        <w:t xml:space="preserve">requiring a comparison between the </w:t>
      </w:r>
      <w:r w:rsidR="004719C2" w:rsidRPr="008633D2">
        <w:rPr>
          <w:lang w:val="en-ZA"/>
        </w:rPr>
        <w:t>performances</w:t>
      </w:r>
      <w:r w:rsidRPr="008633D2">
        <w:rPr>
          <w:lang w:val="en-ZA"/>
        </w:rPr>
        <w:t xml:space="preserve"> of two sets of unit trusts</w:t>
      </w:r>
      <w:r w:rsidR="00CC6274" w:rsidRPr="008633D2">
        <w:rPr>
          <w:lang w:val="en-ZA"/>
        </w:rPr>
        <w:t xml:space="preserve">. </w:t>
      </w:r>
      <w:r w:rsidRPr="008633D2">
        <w:rPr>
          <w:lang w:val="en-ZA"/>
        </w:rPr>
        <w:t xml:space="preserve">In addition, the performance of </w:t>
      </w:r>
      <w:r w:rsidR="00807A8E">
        <w:rPr>
          <w:lang w:val="en-ZA"/>
        </w:rPr>
        <w:t xml:space="preserve">all </w:t>
      </w:r>
      <w:r w:rsidRPr="008633D2">
        <w:rPr>
          <w:lang w:val="en-ZA"/>
        </w:rPr>
        <w:t xml:space="preserve">unit trusts </w:t>
      </w:r>
      <w:r w:rsidR="00807A8E">
        <w:rPr>
          <w:lang w:val="en-ZA"/>
        </w:rPr>
        <w:t xml:space="preserve">in South Africa </w:t>
      </w:r>
      <w:r w:rsidRPr="008633D2">
        <w:rPr>
          <w:lang w:val="en-ZA"/>
        </w:rPr>
        <w:t xml:space="preserve">will be compared to the South African investment performance benchmark i.e. the </w:t>
      </w:r>
      <w:r w:rsidR="003C6C1E" w:rsidRPr="008633D2">
        <w:rPr>
          <w:lang w:val="en-ZA"/>
        </w:rPr>
        <w:t xml:space="preserve">FTSE/JSE </w:t>
      </w:r>
      <w:r w:rsidR="00807A8E">
        <w:rPr>
          <w:lang w:val="en-ZA"/>
        </w:rPr>
        <w:t xml:space="preserve">all </w:t>
      </w:r>
      <w:r w:rsidRPr="008633D2">
        <w:rPr>
          <w:lang w:val="en-ZA"/>
        </w:rPr>
        <w:t xml:space="preserve">share index </w:t>
      </w:r>
      <w:r w:rsidR="00B8621B">
        <w:rPr>
          <w:lang w:val="en-ZA"/>
        </w:rPr>
        <w:t>(</w:t>
      </w:r>
      <w:r w:rsidRPr="008633D2">
        <w:rPr>
          <w:lang w:val="en-ZA"/>
        </w:rPr>
        <w:t>ALSI).</w:t>
      </w:r>
      <w:r w:rsidR="00B42334" w:rsidRPr="008633D2">
        <w:rPr>
          <w:lang w:val="en-ZA"/>
        </w:rPr>
        <w:t xml:space="preserve"> </w:t>
      </w:r>
    </w:p>
    <w:p w:rsidR="00807A8E" w:rsidRDefault="00807A8E" w:rsidP="0051718F">
      <w:pPr>
        <w:rPr>
          <w:lang w:val="en-ZA"/>
        </w:rPr>
      </w:pPr>
    </w:p>
    <w:p w:rsidR="00B42334" w:rsidRPr="008633D2" w:rsidRDefault="004719C2" w:rsidP="00975434">
      <w:pPr>
        <w:rPr>
          <w:lang w:val="en-ZA"/>
        </w:rPr>
      </w:pPr>
      <w:r>
        <w:rPr>
          <w:lang w:val="en-ZA"/>
        </w:rPr>
        <w:t>Th</w:t>
      </w:r>
      <w:r w:rsidR="00975434">
        <w:rPr>
          <w:lang w:val="en-ZA"/>
        </w:rPr>
        <w:t>is research aims at rejecting the null hypotheses defined, and if so there would be statistical proof that the alternate hypotheses is valid. If this is not possible the alternate hypothesis cannot be proved. In order to do this, test statistics w</w:t>
      </w:r>
      <w:r w:rsidR="00183E85">
        <w:rPr>
          <w:lang w:val="en-ZA"/>
        </w:rPr>
        <w:t>ere</w:t>
      </w:r>
      <w:r w:rsidR="00975434">
        <w:rPr>
          <w:lang w:val="en-ZA"/>
        </w:rPr>
        <w:t xml:space="preserve"> calculated for the chosen sample and the p-value approach w</w:t>
      </w:r>
      <w:r w:rsidR="00183E85">
        <w:rPr>
          <w:lang w:val="en-ZA"/>
        </w:rPr>
        <w:t>ere</w:t>
      </w:r>
      <w:r w:rsidR="00975434">
        <w:rPr>
          <w:lang w:val="en-ZA"/>
        </w:rPr>
        <w:t xml:space="preserve"> used </w:t>
      </w:r>
      <w:r w:rsidR="00B42334" w:rsidRPr="008633D2">
        <w:rPr>
          <w:lang w:val="en-ZA"/>
        </w:rPr>
        <w:t>to ensure that the results are significant.</w:t>
      </w:r>
    </w:p>
    <w:p w:rsidR="007F325B" w:rsidRPr="008633D2" w:rsidRDefault="007F325B" w:rsidP="0051718F">
      <w:pPr>
        <w:rPr>
          <w:color w:val="333399"/>
          <w:lang w:val="en-ZA"/>
        </w:rPr>
      </w:pPr>
    </w:p>
    <w:p w:rsidR="006F2C0B" w:rsidRPr="008633D2" w:rsidRDefault="006F2C0B" w:rsidP="0044202E">
      <w:pPr>
        <w:pStyle w:val="Heading2"/>
        <w:rPr>
          <w:lang w:val="en-ZA"/>
        </w:rPr>
      </w:pPr>
      <w:bookmarkStart w:id="140" w:name="_Toc141172756"/>
      <w:bookmarkStart w:id="141" w:name="_Toc141172828"/>
      <w:bookmarkStart w:id="142" w:name="_Toc141173498"/>
      <w:bookmarkStart w:id="143" w:name="_Toc141173564"/>
      <w:bookmarkStart w:id="144" w:name="_Toc184011880"/>
      <w:bookmarkStart w:id="145" w:name="_Toc458610791"/>
      <w:bookmarkStart w:id="146" w:name="_Ref25574737"/>
      <w:r w:rsidRPr="008633D2">
        <w:rPr>
          <w:lang w:val="en-ZA"/>
        </w:rPr>
        <w:t>Research Design</w:t>
      </w:r>
      <w:bookmarkEnd w:id="140"/>
      <w:bookmarkEnd w:id="141"/>
      <w:bookmarkEnd w:id="142"/>
      <w:bookmarkEnd w:id="143"/>
      <w:bookmarkEnd w:id="144"/>
      <w:bookmarkEnd w:id="145"/>
    </w:p>
    <w:bookmarkEnd w:id="146"/>
    <w:p w:rsidR="004D2D5C" w:rsidRPr="008633D2" w:rsidRDefault="004D2D5C" w:rsidP="006F2C0B">
      <w:pPr>
        <w:rPr>
          <w:lang w:val="en-ZA"/>
        </w:rPr>
      </w:pPr>
      <w:r w:rsidRPr="008633D2">
        <w:rPr>
          <w:lang w:val="en-ZA"/>
        </w:rPr>
        <w:t>Quantitative techniques have the advantage of being well documented and generally formula driven. The quantitative tec</w:t>
      </w:r>
      <w:r w:rsidR="008D55E2">
        <w:rPr>
          <w:lang w:val="en-ZA"/>
        </w:rPr>
        <w:t xml:space="preserve">hniques used in this study are </w:t>
      </w:r>
      <w:r w:rsidRPr="008633D2">
        <w:rPr>
          <w:lang w:val="en-ZA"/>
        </w:rPr>
        <w:t xml:space="preserve">well-known statistical testing tools. This allows to readers with a basic understanding of statistics to follow the research analysis process. </w:t>
      </w:r>
    </w:p>
    <w:p w:rsidR="004D2D5C" w:rsidRPr="008633D2" w:rsidRDefault="004D2D5C" w:rsidP="006F2C0B">
      <w:pPr>
        <w:rPr>
          <w:lang w:val="en-ZA"/>
        </w:rPr>
      </w:pPr>
    </w:p>
    <w:p w:rsidR="004D2D5C" w:rsidRPr="008633D2" w:rsidRDefault="004D2D5C" w:rsidP="006F2C0B">
      <w:pPr>
        <w:rPr>
          <w:lang w:val="en-ZA"/>
        </w:rPr>
      </w:pPr>
      <w:r w:rsidRPr="008633D2">
        <w:rPr>
          <w:lang w:val="en-ZA"/>
        </w:rPr>
        <w:t xml:space="preserve">The disadvantage of using </w:t>
      </w:r>
      <w:r w:rsidR="008D55E2">
        <w:rPr>
          <w:lang w:val="en-ZA"/>
        </w:rPr>
        <w:t xml:space="preserve">these </w:t>
      </w:r>
      <w:r w:rsidRPr="008633D2">
        <w:rPr>
          <w:lang w:val="en-ZA"/>
        </w:rPr>
        <w:t xml:space="preserve">statistical measures as the analysis tool for this research is the fact that the sample size of the data being considered is relatively small. In order to obtain statistically significant results larger sample sets </w:t>
      </w:r>
      <w:r w:rsidR="008D55E2">
        <w:rPr>
          <w:lang w:val="en-ZA"/>
        </w:rPr>
        <w:t xml:space="preserve">may be </w:t>
      </w:r>
      <w:r w:rsidRPr="008633D2">
        <w:rPr>
          <w:lang w:val="en-ZA"/>
        </w:rPr>
        <w:t>required in certain cases.</w:t>
      </w:r>
    </w:p>
    <w:p w:rsidR="003C6C1E" w:rsidRPr="008633D2" w:rsidRDefault="003C6C1E" w:rsidP="006F2C0B">
      <w:pPr>
        <w:rPr>
          <w:color w:val="333399"/>
          <w:u w:val="single"/>
          <w:lang w:val="en-ZA"/>
        </w:rPr>
      </w:pPr>
    </w:p>
    <w:p w:rsidR="006F2C0B" w:rsidRPr="008633D2" w:rsidRDefault="006F2C0B" w:rsidP="0044202E">
      <w:pPr>
        <w:pStyle w:val="Heading2"/>
        <w:rPr>
          <w:lang w:val="en-ZA"/>
        </w:rPr>
      </w:pPr>
      <w:bookmarkStart w:id="147" w:name="_Toc141172757"/>
      <w:bookmarkStart w:id="148" w:name="_Toc141172829"/>
      <w:bookmarkStart w:id="149" w:name="_Toc141173499"/>
      <w:bookmarkStart w:id="150" w:name="_Toc141173565"/>
      <w:bookmarkStart w:id="151" w:name="_Toc184011881"/>
      <w:bookmarkStart w:id="152" w:name="_Toc458610792"/>
      <w:bookmarkStart w:id="153" w:name="_Ref25556716"/>
      <w:r w:rsidRPr="008633D2">
        <w:rPr>
          <w:lang w:val="en-ZA"/>
        </w:rPr>
        <w:t>Population and sample</w:t>
      </w:r>
      <w:bookmarkEnd w:id="147"/>
      <w:bookmarkEnd w:id="148"/>
      <w:bookmarkEnd w:id="149"/>
      <w:bookmarkEnd w:id="150"/>
      <w:bookmarkEnd w:id="151"/>
      <w:bookmarkEnd w:id="152"/>
    </w:p>
    <w:p w:rsidR="006F2C0B" w:rsidRPr="008633D2" w:rsidRDefault="006F2C0B" w:rsidP="0044202E">
      <w:pPr>
        <w:pStyle w:val="Heading3"/>
        <w:rPr>
          <w:lang w:val="en-ZA"/>
        </w:rPr>
      </w:pPr>
      <w:bookmarkStart w:id="154" w:name="_Toc141172758"/>
      <w:bookmarkStart w:id="155" w:name="_Toc141172830"/>
      <w:bookmarkStart w:id="156" w:name="_Toc141173500"/>
      <w:bookmarkStart w:id="157" w:name="_Toc141173566"/>
      <w:bookmarkStart w:id="158" w:name="_Toc184011882"/>
      <w:bookmarkStart w:id="159" w:name="_Toc458610793"/>
      <w:r w:rsidRPr="008633D2">
        <w:rPr>
          <w:lang w:val="en-ZA"/>
        </w:rPr>
        <w:t>Population</w:t>
      </w:r>
      <w:bookmarkEnd w:id="154"/>
      <w:bookmarkEnd w:id="155"/>
      <w:bookmarkEnd w:id="156"/>
      <w:bookmarkEnd w:id="157"/>
      <w:bookmarkEnd w:id="158"/>
      <w:bookmarkEnd w:id="159"/>
    </w:p>
    <w:p w:rsidR="0093504E" w:rsidRPr="008633D2" w:rsidRDefault="0093504E" w:rsidP="0093504E">
      <w:pPr>
        <w:rPr>
          <w:lang w:val="en-ZA"/>
        </w:rPr>
      </w:pPr>
      <w:r>
        <w:rPr>
          <w:lang w:val="en-ZA"/>
        </w:rPr>
        <w:t>The hypothese</w:t>
      </w:r>
      <w:r w:rsidRPr="008633D2">
        <w:rPr>
          <w:lang w:val="en-ZA"/>
        </w:rPr>
        <w:t xml:space="preserve">s </w:t>
      </w:r>
      <w:r>
        <w:rPr>
          <w:lang w:val="en-ZA"/>
        </w:rPr>
        <w:t xml:space="preserve">defined in chapter 2 aim </w:t>
      </w:r>
      <w:r w:rsidRPr="008633D2">
        <w:rPr>
          <w:lang w:val="en-ZA"/>
        </w:rPr>
        <w:t>to establish whether the performance of funds managed by female fund managers in South Africa exceed that of male funds managers in South Africa</w:t>
      </w:r>
      <w:r>
        <w:rPr>
          <w:lang w:val="en-ZA"/>
        </w:rPr>
        <w:t xml:space="preserve"> over different time intervals as well as the performance against the benchmark index</w:t>
      </w:r>
      <w:r w:rsidRPr="008633D2">
        <w:rPr>
          <w:lang w:val="en-ZA"/>
        </w:rPr>
        <w:t xml:space="preserve">. </w:t>
      </w:r>
      <w:r>
        <w:rPr>
          <w:lang w:val="en-ZA"/>
        </w:rPr>
        <w:t xml:space="preserve">To test these hypotheses, this research uses available data from all funds in South Africa </w:t>
      </w:r>
      <w:r w:rsidRPr="008633D2">
        <w:rPr>
          <w:lang w:val="en-ZA"/>
        </w:rPr>
        <w:t>that</w:t>
      </w:r>
      <w:r>
        <w:rPr>
          <w:lang w:val="en-ZA"/>
        </w:rPr>
        <w:t xml:space="preserve"> are </w:t>
      </w:r>
      <w:r w:rsidRPr="008633D2">
        <w:rPr>
          <w:lang w:val="en-ZA"/>
        </w:rPr>
        <w:t>manage</w:t>
      </w:r>
      <w:r>
        <w:rPr>
          <w:lang w:val="en-ZA"/>
        </w:rPr>
        <w:t xml:space="preserve">d by individuals </w:t>
      </w:r>
      <w:r w:rsidRPr="008633D2">
        <w:rPr>
          <w:lang w:val="en-ZA"/>
        </w:rPr>
        <w:t>as at 30 June 2015</w:t>
      </w:r>
      <w:r>
        <w:rPr>
          <w:lang w:val="en-ZA"/>
        </w:rPr>
        <w:t xml:space="preserve">. Funds that are managed by teams are included as additional information. </w:t>
      </w:r>
      <w:r w:rsidRPr="008633D2">
        <w:rPr>
          <w:lang w:val="en-ZA"/>
        </w:rPr>
        <w:t xml:space="preserve">The total population of 1071 funds </w:t>
      </w:r>
      <w:r>
        <w:rPr>
          <w:lang w:val="en-ZA"/>
        </w:rPr>
        <w:t>are</w:t>
      </w:r>
      <w:r w:rsidRPr="008633D2">
        <w:rPr>
          <w:lang w:val="en-ZA"/>
        </w:rPr>
        <w:t xml:space="preserve"> considered </w:t>
      </w:r>
      <w:r>
        <w:rPr>
          <w:lang w:val="en-ZA"/>
        </w:rPr>
        <w:t xml:space="preserve">during </w:t>
      </w:r>
      <w:r w:rsidRPr="008633D2">
        <w:rPr>
          <w:lang w:val="en-ZA"/>
        </w:rPr>
        <w:t>this research.</w:t>
      </w:r>
    </w:p>
    <w:p w:rsidR="003C6C1E" w:rsidRDefault="003C6C1E" w:rsidP="006F2C0B">
      <w:pPr>
        <w:rPr>
          <w:color w:val="333399"/>
          <w:lang w:val="en-ZA"/>
        </w:rPr>
      </w:pPr>
    </w:p>
    <w:p w:rsidR="0046753E" w:rsidRPr="008633D2" w:rsidRDefault="0046753E" w:rsidP="006F2C0B">
      <w:pPr>
        <w:rPr>
          <w:color w:val="333399"/>
          <w:lang w:val="en-ZA"/>
        </w:rPr>
      </w:pPr>
    </w:p>
    <w:p w:rsidR="006F2C0B" w:rsidRPr="008633D2" w:rsidRDefault="006F2C0B" w:rsidP="0044202E">
      <w:pPr>
        <w:pStyle w:val="Heading3"/>
        <w:rPr>
          <w:lang w:val="en-ZA"/>
        </w:rPr>
      </w:pPr>
      <w:bookmarkStart w:id="160" w:name="_Toc141172759"/>
      <w:bookmarkStart w:id="161" w:name="_Toc141172831"/>
      <w:bookmarkStart w:id="162" w:name="_Toc141173501"/>
      <w:bookmarkStart w:id="163" w:name="_Toc141173567"/>
      <w:bookmarkStart w:id="164" w:name="_Toc184011883"/>
      <w:bookmarkStart w:id="165" w:name="_Toc458610794"/>
      <w:r w:rsidRPr="008633D2">
        <w:rPr>
          <w:lang w:val="en-ZA"/>
        </w:rPr>
        <w:t>Sample</w:t>
      </w:r>
      <w:bookmarkEnd w:id="160"/>
      <w:bookmarkEnd w:id="161"/>
      <w:bookmarkEnd w:id="162"/>
      <w:bookmarkEnd w:id="163"/>
      <w:r w:rsidRPr="008633D2">
        <w:rPr>
          <w:lang w:val="en-ZA"/>
        </w:rPr>
        <w:t xml:space="preserve"> and sampling method</w:t>
      </w:r>
      <w:bookmarkEnd w:id="164"/>
      <w:bookmarkEnd w:id="165"/>
    </w:p>
    <w:p w:rsidR="003C6C1E" w:rsidRPr="008633D2" w:rsidRDefault="003C6C1E" w:rsidP="00195AF0">
      <w:pPr>
        <w:rPr>
          <w:lang w:val="en-ZA"/>
        </w:rPr>
      </w:pPr>
      <w:r w:rsidRPr="008633D2">
        <w:rPr>
          <w:lang w:val="en-ZA"/>
        </w:rPr>
        <w:t>The entire set of funds available in South Africa</w:t>
      </w:r>
      <w:r w:rsidR="00183E85">
        <w:rPr>
          <w:lang w:val="en-ZA"/>
        </w:rPr>
        <w:t>,</w:t>
      </w:r>
      <w:r w:rsidRPr="008633D2">
        <w:rPr>
          <w:lang w:val="en-ZA"/>
        </w:rPr>
        <w:t xml:space="preserve"> w</w:t>
      </w:r>
      <w:r w:rsidR="00183E85">
        <w:rPr>
          <w:lang w:val="en-ZA"/>
        </w:rPr>
        <w:t>ere</w:t>
      </w:r>
      <w:r w:rsidRPr="008633D2">
        <w:rPr>
          <w:lang w:val="en-ZA"/>
        </w:rPr>
        <w:t xml:space="preserve"> used for different </w:t>
      </w:r>
      <w:r w:rsidR="008D55E2">
        <w:rPr>
          <w:lang w:val="en-ZA"/>
        </w:rPr>
        <w:t>aspects</w:t>
      </w:r>
      <w:r w:rsidRPr="008633D2">
        <w:rPr>
          <w:lang w:val="en-ZA"/>
        </w:rPr>
        <w:t xml:space="preserve"> of the research. </w:t>
      </w:r>
      <w:r w:rsidR="00195AF0" w:rsidRPr="008633D2">
        <w:rPr>
          <w:lang w:val="en-ZA"/>
        </w:rPr>
        <w:t>The sample chosen w</w:t>
      </w:r>
      <w:r w:rsidR="00183E85">
        <w:rPr>
          <w:lang w:val="en-ZA"/>
        </w:rPr>
        <w:t>ere</w:t>
      </w:r>
      <w:r w:rsidR="00195AF0" w:rsidRPr="008633D2">
        <w:rPr>
          <w:lang w:val="en-ZA"/>
        </w:rPr>
        <w:t xml:space="preserve"> mutual funds managed by individual female fund managers in South Africa. </w:t>
      </w:r>
      <w:r w:rsidR="008D55E2">
        <w:rPr>
          <w:lang w:val="en-ZA"/>
        </w:rPr>
        <w:t xml:space="preserve">The size of </w:t>
      </w:r>
      <w:r w:rsidR="00195AF0" w:rsidRPr="008633D2">
        <w:rPr>
          <w:lang w:val="en-ZA"/>
        </w:rPr>
        <w:t xml:space="preserve">the </w:t>
      </w:r>
      <w:r w:rsidR="008D55E2">
        <w:rPr>
          <w:lang w:val="en-ZA"/>
        </w:rPr>
        <w:t xml:space="preserve">total </w:t>
      </w:r>
      <w:r w:rsidR="00195AF0" w:rsidRPr="008633D2">
        <w:rPr>
          <w:lang w:val="en-ZA"/>
        </w:rPr>
        <w:t xml:space="preserve">population </w:t>
      </w:r>
      <w:r w:rsidR="008D55E2">
        <w:rPr>
          <w:lang w:val="en-ZA"/>
        </w:rPr>
        <w:t>of funds is 1071, from this total</w:t>
      </w:r>
      <w:r w:rsidR="00183E85">
        <w:rPr>
          <w:lang w:val="en-ZA"/>
        </w:rPr>
        <w:t>,</w:t>
      </w:r>
      <w:r w:rsidR="008D55E2">
        <w:rPr>
          <w:lang w:val="en-ZA"/>
        </w:rPr>
        <w:t xml:space="preserve"> </w:t>
      </w:r>
      <w:r w:rsidRPr="008633D2">
        <w:rPr>
          <w:lang w:val="en-ZA"/>
        </w:rPr>
        <w:t>721</w:t>
      </w:r>
      <w:r w:rsidR="00195AF0" w:rsidRPr="008633D2">
        <w:rPr>
          <w:lang w:val="en-ZA"/>
        </w:rPr>
        <w:t xml:space="preserve"> </w:t>
      </w:r>
      <w:r w:rsidR="008D55E2">
        <w:rPr>
          <w:lang w:val="en-ZA"/>
        </w:rPr>
        <w:t xml:space="preserve">funds are </w:t>
      </w:r>
      <w:r w:rsidR="00195AF0" w:rsidRPr="008633D2">
        <w:rPr>
          <w:lang w:val="en-ZA"/>
        </w:rPr>
        <w:t>individually managed</w:t>
      </w:r>
      <w:r w:rsidR="008D55E2">
        <w:rPr>
          <w:lang w:val="en-ZA"/>
        </w:rPr>
        <w:t xml:space="preserve">, of </w:t>
      </w:r>
      <w:r w:rsidR="00B8621B">
        <w:rPr>
          <w:lang w:val="en-ZA"/>
        </w:rPr>
        <w:t>which</w:t>
      </w:r>
      <w:r w:rsidR="008D55E2">
        <w:rPr>
          <w:lang w:val="en-ZA"/>
        </w:rPr>
        <w:t xml:space="preserve"> 64 funds</w:t>
      </w:r>
      <w:r w:rsidR="00195AF0" w:rsidRPr="008633D2">
        <w:rPr>
          <w:lang w:val="en-ZA"/>
        </w:rPr>
        <w:t xml:space="preserve"> are managed by female fund managers. Although this number is </w:t>
      </w:r>
      <w:r w:rsidR="00CC6274" w:rsidRPr="008633D2">
        <w:rPr>
          <w:lang w:val="en-ZA"/>
        </w:rPr>
        <w:t>small,</w:t>
      </w:r>
      <w:r w:rsidR="00195AF0" w:rsidRPr="008633D2">
        <w:rPr>
          <w:lang w:val="en-ZA"/>
        </w:rPr>
        <w:t xml:space="preserve"> it is sufficient for this research</w:t>
      </w:r>
      <w:r w:rsidRPr="008633D2">
        <w:rPr>
          <w:lang w:val="en-ZA"/>
        </w:rPr>
        <w:t xml:space="preserve"> as it is representative of the full available sample and data is considered over a </w:t>
      </w:r>
      <w:r w:rsidR="00CC6274" w:rsidRPr="008633D2">
        <w:rPr>
          <w:lang w:val="en-ZA"/>
        </w:rPr>
        <w:t>10-year</w:t>
      </w:r>
      <w:r w:rsidRPr="008633D2">
        <w:rPr>
          <w:lang w:val="en-ZA"/>
        </w:rPr>
        <w:t xml:space="preserve"> period</w:t>
      </w:r>
      <w:r w:rsidR="00195AF0" w:rsidRPr="008633D2">
        <w:rPr>
          <w:lang w:val="en-ZA"/>
        </w:rPr>
        <w:t xml:space="preserve">. </w:t>
      </w:r>
    </w:p>
    <w:p w:rsidR="00462380" w:rsidRPr="008633D2" w:rsidRDefault="00462380" w:rsidP="003C6C1E">
      <w:pPr>
        <w:rPr>
          <w:lang w:val="en-ZA"/>
        </w:rPr>
      </w:pPr>
    </w:p>
    <w:p w:rsidR="003C6C1E" w:rsidRPr="008633D2" w:rsidRDefault="003C6C1E" w:rsidP="00195AF0">
      <w:pPr>
        <w:rPr>
          <w:lang w:val="en-ZA"/>
        </w:rPr>
      </w:pPr>
      <w:r w:rsidRPr="008633D2">
        <w:rPr>
          <w:lang w:val="en-ZA"/>
        </w:rPr>
        <w:t xml:space="preserve">Table 1 </w:t>
      </w:r>
      <w:r w:rsidR="008D55E2">
        <w:rPr>
          <w:lang w:val="en-ZA"/>
        </w:rPr>
        <w:t>presents</w:t>
      </w:r>
      <w:r w:rsidRPr="008633D2">
        <w:rPr>
          <w:lang w:val="en-ZA"/>
        </w:rPr>
        <w:t xml:space="preserve"> the unit trusts managed by female fund manager</w:t>
      </w:r>
      <w:r w:rsidR="008D55E2">
        <w:rPr>
          <w:lang w:val="en-ZA"/>
        </w:rPr>
        <w:t>s</w:t>
      </w:r>
      <w:r w:rsidRPr="008633D2">
        <w:rPr>
          <w:lang w:val="en-ZA"/>
        </w:rPr>
        <w:t xml:space="preserve"> that </w:t>
      </w:r>
      <w:r w:rsidR="00183E85">
        <w:rPr>
          <w:lang w:val="en-ZA"/>
        </w:rPr>
        <w:t>we</w:t>
      </w:r>
      <w:r w:rsidR="008D55E2">
        <w:rPr>
          <w:lang w:val="en-ZA"/>
        </w:rPr>
        <w:t>re</w:t>
      </w:r>
      <w:r w:rsidRPr="008633D2">
        <w:rPr>
          <w:lang w:val="en-ZA"/>
        </w:rPr>
        <w:t xml:space="preserve"> used as the base set of unit trusts</w:t>
      </w:r>
      <w:r w:rsidR="008D55E2">
        <w:rPr>
          <w:lang w:val="en-ZA"/>
        </w:rPr>
        <w:t xml:space="preserve"> for this research</w:t>
      </w:r>
      <w:r w:rsidR="00CC6274" w:rsidRPr="008633D2">
        <w:rPr>
          <w:lang w:val="en-ZA"/>
        </w:rPr>
        <w:t xml:space="preserve">. </w:t>
      </w:r>
      <w:r w:rsidR="00896874" w:rsidRPr="008633D2">
        <w:rPr>
          <w:lang w:val="en-ZA"/>
        </w:rPr>
        <w:t>Male managed funds w</w:t>
      </w:r>
      <w:r w:rsidR="00183E85">
        <w:rPr>
          <w:lang w:val="en-ZA"/>
        </w:rPr>
        <w:t>ere</w:t>
      </w:r>
      <w:r w:rsidR="00896874" w:rsidRPr="008633D2">
        <w:rPr>
          <w:lang w:val="en-ZA"/>
        </w:rPr>
        <w:t xml:space="preserve"> matched to each of these funds.</w:t>
      </w:r>
    </w:p>
    <w:p w:rsidR="000D4D3C" w:rsidRPr="008633D2" w:rsidRDefault="000D4D3C" w:rsidP="00195AF0">
      <w:pPr>
        <w:rPr>
          <w:lang w:val="en-ZA"/>
        </w:rPr>
      </w:pPr>
    </w:p>
    <w:p w:rsidR="00A27D9F" w:rsidRPr="008633D2" w:rsidRDefault="00195AF0" w:rsidP="009A7834">
      <w:pPr>
        <w:pStyle w:val="Caption"/>
        <w:jc w:val="center"/>
        <w:rPr>
          <w:lang w:val="en-ZA"/>
        </w:rPr>
      </w:pPr>
      <w:bookmarkStart w:id="166" w:name="_Toc423372678"/>
      <w:bookmarkStart w:id="167" w:name="_Toc458610846"/>
      <w:bookmarkStart w:id="168" w:name="_Toc192476088"/>
      <w:r w:rsidRPr="008633D2">
        <w:rPr>
          <w:lang w:val="en-ZA"/>
        </w:rPr>
        <w:t xml:space="preserve">Table </w:t>
      </w:r>
      <w:r w:rsidR="00CB6094" w:rsidRPr="008633D2">
        <w:rPr>
          <w:lang w:val="en-ZA"/>
        </w:rPr>
        <w:fldChar w:fldCharType="begin"/>
      </w:r>
      <w:r w:rsidR="00CB6094" w:rsidRPr="008633D2">
        <w:rPr>
          <w:lang w:val="en-ZA"/>
        </w:rPr>
        <w:instrText xml:space="preserve"> SEQ Table \* ARABIC </w:instrText>
      </w:r>
      <w:r w:rsidR="00CB6094" w:rsidRPr="008633D2">
        <w:rPr>
          <w:lang w:val="en-ZA"/>
        </w:rPr>
        <w:fldChar w:fldCharType="separate"/>
      </w:r>
      <w:r w:rsidR="00C456D9">
        <w:rPr>
          <w:noProof/>
          <w:lang w:val="en-ZA"/>
        </w:rPr>
        <w:t>1</w:t>
      </w:r>
      <w:r w:rsidR="00CB6094" w:rsidRPr="008633D2">
        <w:rPr>
          <w:lang w:val="en-ZA"/>
        </w:rPr>
        <w:fldChar w:fldCharType="end"/>
      </w:r>
      <w:r w:rsidRPr="008633D2">
        <w:rPr>
          <w:lang w:val="en-ZA"/>
        </w:rPr>
        <w:t xml:space="preserve">: </w:t>
      </w:r>
      <w:r w:rsidR="00F75BB3">
        <w:rPr>
          <w:lang w:val="en-ZA"/>
        </w:rPr>
        <w:t>I</w:t>
      </w:r>
      <w:r w:rsidR="00896874" w:rsidRPr="008633D2">
        <w:rPr>
          <w:lang w:val="en-ZA"/>
        </w:rPr>
        <w:t>dentified set</w:t>
      </w:r>
      <w:r w:rsidRPr="008633D2">
        <w:rPr>
          <w:lang w:val="en-ZA"/>
        </w:rPr>
        <w:t xml:space="preserve"> of female managed funds that will be used</w:t>
      </w:r>
      <w:bookmarkEnd w:id="166"/>
      <w:bookmarkEnd w:id="167"/>
      <w:r w:rsidRPr="008633D2">
        <w:rPr>
          <w:lang w:val="en-ZA"/>
        </w:rPr>
        <w:t xml:space="preserve">  </w:t>
      </w:r>
      <w:bookmarkEnd w:id="168"/>
      <w:r w:rsidR="00E453F8" w:rsidRPr="008633D2">
        <w:rPr>
          <w:lang w:val="en-ZA"/>
        </w:rPr>
        <w:fldChar w:fldCharType="begin"/>
      </w:r>
      <w:r w:rsidR="00E453F8" w:rsidRPr="008633D2">
        <w:rPr>
          <w:lang w:val="en-ZA"/>
        </w:rPr>
        <w:instrText xml:space="preserve"> LINK </w:instrText>
      </w:r>
      <w:r w:rsidR="005F2182">
        <w:rPr>
          <w:lang w:val="en-ZA"/>
        </w:rPr>
        <w:instrText xml:space="preserve">Excel.Sheet.12 "C:\\Users\\archaryn\\Documents\\MBA\\Research\\Final Analysis\\Data_v1.xlsx" "Summary of results!R102C2:R161C5" </w:instrText>
      </w:r>
      <w:r w:rsidR="00E453F8" w:rsidRPr="008633D2">
        <w:rPr>
          <w:lang w:val="en-ZA"/>
        </w:rPr>
        <w:instrText xml:space="preserve">\a \f 4 \h  \* MERGEFORMAT </w:instrText>
      </w:r>
      <w:r w:rsidR="00E453F8" w:rsidRPr="008633D2">
        <w:rPr>
          <w:lang w:val="en-ZA"/>
        </w:rPr>
        <w:fldChar w:fldCharType="separate"/>
      </w:r>
    </w:p>
    <w:tbl>
      <w:tblPr>
        <w:tblW w:w="9180" w:type="dxa"/>
        <w:tblLayout w:type="fixed"/>
        <w:tblLook w:val="04A0" w:firstRow="1" w:lastRow="0" w:firstColumn="1" w:lastColumn="0" w:noHBand="0" w:noVBand="1"/>
      </w:tblPr>
      <w:tblGrid>
        <w:gridCol w:w="2376"/>
        <w:gridCol w:w="3544"/>
        <w:gridCol w:w="3260"/>
      </w:tblGrid>
      <w:tr w:rsidR="00AC0A64" w:rsidRPr="008633D2" w:rsidTr="00444611">
        <w:trPr>
          <w:divId w:val="1607811007"/>
          <w:cantSplit/>
          <w:trHeight w:val="624"/>
          <w:tblHeader/>
        </w:trPr>
        <w:tc>
          <w:tcPr>
            <w:tcW w:w="2376" w:type="dxa"/>
            <w:tcBorders>
              <w:top w:val="single" w:sz="4" w:space="0" w:color="auto"/>
              <w:left w:val="single" w:sz="4" w:space="0" w:color="auto"/>
              <w:bottom w:val="single" w:sz="4" w:space="0" w:color="auto"/>
              <w:right w:val="single" w:sz="4" w:space="0" w:color="auto"/>
            </w:tcBorders>
            <w:shd w:val="clear" w:color="000000" w:fill="366092"/>
            <w:noWrap/>
            <w:vAlign w:val="center"/>
            <w:hideMark/>
          </w:tcPr>
          <w:p w:rsidR="00AC0A64" w:rsidRPr="008633D2" w:rsidRDefault="00AC0A64" w:rsidP="00896874">
            <w:pPr>
              <w:spacing w:before="0" w:after="0" w:line="240" w:lineRule="auto"/>
              <w:jc w:val="center"/>
              <w:rPr>
                <w:rFonts w:cs="Arial"/>
                <w:b/>
                <w:bCs/>
                <w:color w:val="FFFFFF"/>
                <w:sz w:val="22"/>
                <w:szCs w:val="22"/>
                <w:lang w:val="en-ZA" w:eastAsia="en-ZA"/>
              </w:rPr>
            </w:pPr>
            <w:r w:rsidRPr="008633D2">
              <w:rPr>
                <w:rFonts w:cs="Arial"/>
                <w:b/>
                <w:bCs/>
                <w:color w:val="FFFFFF"/>
                <w:sz w:val="22"/>
                <w:szCs w:val="22"/>
                <w:lang w:val="en-ZA" w:eastAsia="en-ZA"/>
              </w:rPr>
              <w:t>Manager Name</w:t>
            </w:r>
          </w:p>
        </w:tc>
        <w:tc>
          <w:tcPr>
            <w:tcW w:w="3544" w:type="dxa"/>
            <w:tcBorders>
              <w:top w:val="single" w:sz="4" w:space="0" w:color="auto"/>
              <w:left w:val="nil"/>
              <w:bottom w:val="single" w:sz="4" w:space="0" w:color="auto"/>
              <w:right w:val="single" w:sz="4" w:space="0" w:color="auto"/>
            </w:tcBorders>
            <w:shd w:val="clear" w:color="000000" w:fill="366092"/>
            <w:noWrap/>
            <w:vAlign w:val="center"/>
            <w:hideMark/>
          </w:tcPr>
          <w:p w:rsidR="00AC0A64" w:rsidRPr="008633D2" w:rsidRDefault="00AC0A64" w:rsidP="00896874">
            <w:pPr>
              <w:spacing w:before="0" w:after="0" w:line="240" w:lineRule="auto"/>
              <w:jc w:val="center"/>
              <w:rPr>
                <w:rFonts w:cs="Arial"/>
                <w:b/>
                <w:bCs/>
                <w:color w:val="FFFFFF"/>
                <w:sz w:val="22"/>
                <w:szCs w:val="22"/>
                <w:lang w:val="en-ZA" w:eastAsia="en-ZA"/>
              </w:rPr>
            </w:pPr>
            <w:r w:rsidRPr="008633D2">
              <w:rPr>
                <w:rFonts w:cs="Arial"/>
                <w:b/>
                <w:bCs/>
                <w:color w:val="FFFFFF"/>
                <w:sz w:val="22"/>
                <w:szCs w:val="22"/>
                <w:lang w:val="en-ZA" w:eastAsia="en-ZA"/>
              </w:rPr>
              <w:t>Sector</w:t>
            </w:r>
          </w:p>
        </w:tc>
        <w:tc>
          <w:tcPr>
            <w:tcW w:w="3260" w:type="dxa"/>
            <w:tcBorders>
              <w:top w:val="single" w:sz="4" w:space="0" w:color="auto"/>
              <w:left w:val="nil"/>
              <w:bottom w:val="single" w:sz="4" w:space="0" w:color="auto"/>
              <w:right w:val="single" w:sz="4" w:space="0" w:color="auto"/>
            </w:tcBorders>
            <w:shd w:val="clear" w:color="000000" w:fill="366092"/>
            <w:noWrap/>
            <w:vAlign w:val="center"/>
            <w:hideMark/>
          </w:tcPr>
          <w:p w:rsidR="00AC0A64" w:rsidRPr="008633D2" w:rsidRDefault="00AC0A64" w:rsidP="00896874">
            <w:pPr>
              <w:spacing w:before="0" w:after="0" w:line="240" w:lineRule="auto"/>
              <w:jc w:val="center"/>
              <w:rPr>
                <w:rFonts w:cs="Arial"/>
                <w:b/>
                <w:bCs/>
                <w:color w:val="FFFFFF"/>
                <w:sz w:val="22"/>
                <w:szCs w:val="22"/>
                <w:lang w:val="en-ZA" w:eastAsia="en-ZA"/>
              </w:rPr>
            </w:pPr>
            <w:r w:rsidRPr="008633D2">
              <w:rPr>
                <w:rFonts w:cs="Arial"/>
                <w:b/>
                <w:bCs/>
                <w:color w:val="FFFFFF"/>
                <w:sz w:val="22"/>
                <w:szCs w:val="22"/>
                <w:lang w:val="en-ZA" w:eastAsia="en-ZA"/>
              </w:rPr>
              <w:t>Name</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Nicole Agar</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South African EQ Industrial</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Momentum Industrial A</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Jenny Albrecht</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South African EQ Large Cap</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Satrix Top 40 Index A1</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Jenny Albrecht</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South African RE General</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Satrix Property Index A1</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Nazley Bardien</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South African IB Money Market</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Community Growth Money Market</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Liliane Barnard</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South African RE General</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Metope MET Property A</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Bronwyn Blood</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South African MA Income</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Cadiz Absolute Yield A</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Daphne Botha</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South African IB Variable Term</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Community Growth Gilt</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Daphne Botha</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South African IB Variable Term</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Old Mutual Bond R</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Andrea Brand</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Global MA Flexible</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Select Manager MET Global Moderate FoF A</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Tracy Brodziak</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South African EQ Financial</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Old Mutual Financial Servs A</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Helena Conradie</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South African EQ General</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Satrix Dividend Plus Index A1</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Helena Conradie</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South African EQ General</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Satrix Rafi 40 Index A1</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Helena Conradie</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South African EQ Large Cap</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Satrix Equally Weighted Top 40 Index A1</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Meirine Giggins</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Wwide MA Flexible</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Capital Incubator BCI WW Flexible</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Meirine Giggins</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Wwide MA Flexible</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Capital Incubator BCI WW Flexible FoF</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Delphine Govender</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South African EQ General</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Momentum MoM Specialist Equity A</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Delphine Govender</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South African EQ General</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Perpetua MET Equity A2</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Delphine Govender</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South African MA High Equity</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Perpetua MET Balanced A</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Vanessa Hofmeyr</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Global EQ General</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Citadel Global Equity H4 FoF B1</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Vanessa Hofmeyr</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South African EQ General</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Citadel SA Equity H4 B1</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Vanessa Hofmeyr</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South African MA High Equity</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Citadel Balanced H4 B1</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Palvi Kala</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Global EQ General</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Old Mutual Global FTSE RAFI Index FF A</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Palvi Kala</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South African EQ General</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Old Mutual RAFI 40 Tracker A</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Palvi Kala</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South African EQ Large Cap</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Old Mutual Top 40 A</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Madeleine Kotze</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South African EQ General</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Truffle MET General Equity A</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Madeleine Kotze</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South African IB Money Market</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Truffle MET Money Market A</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Madeleine Kotze</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South African MA High Equity</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Truffle MET Balanced A</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Mel Meltzer</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South African MA Low Equity</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Platinum MET Income Provider FoF</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Mel Meltzer</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South African MA Medium Equity</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Platinum MET Balanced FoF</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Mel Meltzer</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Wwide MA Flexible</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Platinum MET Worldwide Flexible A</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Tania Miglietta</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South African IB Money Market</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Coronation Money Market</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Lynn Miller</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South African MA High Equity</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Alusi Managed FoF B</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Sheetal Rama</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South African EQ General</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ABSA Multi-Managed Equity</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Sheetal Rama</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South African IB Variable Term</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ABSA Multi-Managed Bond A</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Sheetal Rama</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South African MA High Equity</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ABSA MM Absolute Return Prudential C2</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Sheetal Rama</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South African MA High Equity</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ABSA Multi Mgd Wealth Creation FoF A</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Sheetal Rama</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South African MA High Equity</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ABSA Prudential FoF</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Sheetal Rama</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South African MA Income</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ABSA Opportunity Income FoF A</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Sheetal Rama</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South African MA Low Equity</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BCI Enhanced Interest A</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Sheetal Rama</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South African MA Low Equity</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ABSA Multi Mgd Wealth Preservation FoF A</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Sheetal Rama</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South African MA Low Equity</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ABSA Multi Mgd Wealth Protection FoF A</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Sheetal Rama</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South African MA Medium Equity</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ABSA Multi Mgd Wealth Accumulation FoF A</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Michelle Rosen</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South African IB Variable Term</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STANLIB Prudential Bond A</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Rehana Rungasamy</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South African IB Money Market</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ABSA Money Market</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Rehana Rungasamy</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South African IB Short Term</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ABSA Income Enhancer R</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Sonja Saunderson</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South African EQ General</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Momentum Factor Equity FoF A</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Sonja Saunderson</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South African MA High Equity</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Momentum Factor 7 FoF A</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Sonja Saunderson</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South African MA Low Equity</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Momentum Factor 3 FoF A</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Sonja Saunderson</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South African MA Medium Equity</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Momentum Factor 5 FoF A</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Madalet Sessions</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South African IB Variable Term</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NGI Private Wealth Bond</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Mishnah Seth</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Regional EQ General</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Momentum Africa Equity A</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Melanie Stockigt</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South African MA Income</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Tantalum BCI Strategic Income A</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Ronell van Rooyen</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South African MA Medium Equity</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Prescient Pos Rtn QuantPlus C</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Vanessa van Vuuren</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South African EQ Mid/Small Cap</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SIM Small Cap A</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Fatima Vawda</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Global EQ General</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27four Global Equity Prescient FF A1</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Fatima Vawda</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South African MA High Equity</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27four Shari'ah Balan. Prescient FoF A1</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Fatima Vawda</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South African MA High Equity</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27four Asset Select Prescient FoF A1</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Fatima Vawda</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South African MA Low Equity</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27four Stable Prescient FoF C</w:t>
            </w:r>
          </w:p>
        </w:tc>
      </w:tr>
      <w:tr w:rsidR="000D4D3C" w:rsidRPr="008633D2" w:rsidTr="00444611">
        <w:trPr>
          <w:divId w:val="1607811007"/>
          <w:cantSplit/>
          <w:trHeight w:val="39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Fatima Vawda</w:t>
            </w:r>
          </w:p>
        </w:tc>
        <w:tc>
          <w:tcPr>
            <w:tcW w:w="3544"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South African MA Medium Equity</w:t>
            </w:r>
          </w:p>
        </w:tc>
        <w:tc>
          <w:tcPr>
            <w:tcW w:w="3260" w:type="dxa"/>
            <w:tcBorders>
              <w:top w:val="nil"/>
              <w:left w:val="nil"/>
              <w:bottom w:val="single" w:sz="4" w:space="0" w:color="auto"/>
              <w:right w:val="single" w:sz="4" w:space="0" w:color="auto"/>
            </w:tcBorders>
            <w:shd w:val="clear" w:color="auto" w:fill="auto"/>
            <w:noWrap/>
            <w:vAlign w:val="center"/>
            <w:hideMark/>
          </w:tcPr>
          <w:p w:rsidR="000D4D3C" w:rsidRPr="008633D2" w:rsidRDefault="000D4D3C" w:rsidP="000D4D3C">
            <w:pPr>
              <w:spacing w:line="240" w:lineRule="auto"/>
              <w:contextualSpacing/>
              <w:jc w:val="left"/>
              <w:rPr>
                <w:rFonts w:cs="Arial"/>
                <w:color w:val="000000"/>
                <w:sz w:val="22"/>
                <w:szCs w:val="22"/>
                <w:lang w:val="en-ZA"/>
              </w:rPr>
            </w:pPr>
            <w:r w:rsidRPr="008633D2">
              <w:rPr>
                <w:rFonts w:cs="Arial"/>
                <w:color w:val="000000"/>
                <w:sz w:val="22"/>
                <w:szCs w:val="22"/>
                <w:lang w:val="en-ZA"/>
              </w:rPr>
              <w:t>27four Balanced Prescient FoF C</w:t>
            </w:r>
          </w:p>
        </w:tc>
      </w:tr>
    </w:tbl>
    <w:p w:rsidR="0046753E" w:rsidRDefault="00E453F8" w:rsidP="00E453F8">
      <w:pPr>
        <w:rPr>
          <w:lang w:val="en-ZA"/>
        </w:rPr>
      </w:pPr>
      <w:r w:rsidRPr="008633D2">
        <w:rPr>
          <w:lang w:val="en-ZA"/>
        </w:rPr>
        <w:fldChar w:fldCharType="end"/>
      </w:r>
    </w:p>
    <w:p w:rsidR="00814DA8" w:rsidRPr="008633D2" w:rsidRDefault="00814DA8" w:rsidP="0044202E">
      <w:pPr>
        <w:pStyle w:val="Heading2"/>
        <w:rPr>
          <w:lang w:val="en-ZA"/>
        </w:rPr>
      </w:pPr>
      <w:bookmarkStart w:id="169" w:name="_Toc192401336"/>
      <w:bookmarkStart w:id="170" w:name="_Toc458610795"/>
      <w:bookmarkStart w:id="171" w:name="_Ref25485698"/>
      <w:bookmarkStart w:id="172" w:name="_Toc141172760"/>
      <w:bookmarkStart w:id="173" w:name="_Toc141172832"/>
      <w:bookmarkStart w:id="174" w:name="_Toc141173502"/>
      <w:bookmarkStart w:id="175" w:name="_Toc141173568"/>
      <w:bookmarkEnd w:id="153"/>
      <w:r w:rsidRPr="008633D2">
        <w:rPr>
          <w:lang w:val="en-ZA"/>
        </w:rPr>
        <w:t>The research instrument</w:t>
      </w:r>
      <w:bookmarkEnd w:id="169"/>
      <w:bookmarkEnd w:id="170"/>
    </w:p>
    <w:p w:rsidR="00195AF0" w:rsidRPr="008633D2" w:rsidRDefault="0098261F" w:rsidP="00195AF0">
      <w:pPr>
        <w:rPr>
          <w:lang w:val="en-ZA"/>
        </w:rPr>
      </w:pPr>
      <w:r>
        <w:rPr>
          <w:lang w:val="en-ZA"/>
        </w:rPr>
        <w:t xml:space="preserve">Data on the </w:t>
      </w:r>
      <w:r w:rsidR="00195AF0" w:rsidRPr="008633D2">
        <w:rPr>
          <w:lang w:val="en-ZA"/>
        </w:rPr>
        <w:t xml:space="preserve">performance </w:t>
      </w:r>
      <w:r>
        <w:rPr>
          <w:lang w:val="en-ZA"/>
        </w:rPr>
        <w:t>of South African</w:t>
      </w:r>
      <w:r w:rsidR="00F75BB3">
        <w:rPr>
          <w:lang w:val="en-ZA"/>
        </w:rPr>
        <w:t xml:space="preserve"> </w:t>
      </w:r>
      <w:r>
        <w:rPr>
          <w:lang w:val="en-ZA"/>
        </w:rPr>
        <w:t xml:space="preserve">unit trusts and other characteristics such as the </w:t>
      </w:r>
      <w:r w:rsidR="00195AF0" w:rsidRPr="008633D2">
        <w:rPr>
          <w:lang w:val="en-ZA"/>
        </w:rPr>
        <w:t xml:space="preserve">fund manager </w:t>
      </w:r>
      <w:r>
        <w:rPr>
          <w:lang w:val="en-ZA"/>
        </w:rPr>
        <w:t xml:space="preserve">name </w:t>
      </w:r>
      <w:r w:rsidR="00195AF0" w:rsidRPr="008633D2">
        <w:rPr>
          <w:lang w:val="en-ZA"/>
        </w:rPr>
        <w:t xml:space="preserve">is public information and is therefore openly </w:t>
      </w:r>
      <w:r>
        <w:rPr>
          <w:lang w:val="en-ZA"/>
        </w:rPr>
        <w:t xml:space="preserve">available in the public domain. </w:t>
      </w:r>
      <w:r w:rsidR="00195AF0" w:rsidRPr="008633D2">
        <w:rPr>
          <w:lang w:val="en-ZA"/>
        </w:rPr>
        <w:t xml:space="preserve">An agreement is in place with MorningStar, a global independent investment research company, to supply all publicly available information required for this research.  </w:t>
      </w:r>
    </w:p>
    <w:p w:rsidR="00814DA8" w:rsidRPr="008633D2" w:rsidRDefault="00814DA8" w:rsidP="0044202E">
      <w:pPr>
        <w:pStyle w:val="Heading2"/>
        <w:rPr>
          <w:lang w:val="en-ZA"/>
        </w:rPr>
      </w:pPr>
      <w:bookmarkStart w:id="176" w:name="_Toc192401337"/>
      <w:bookmarkStart w:id="177" w:name="_Toc458610796"/>
      <w:r w:rsidRPr="008633D2">
        <w:rPr>
          <w:lang w:val="en-ZA"/>
        </w:rPr>
        <w:t>Procedure for data collection</w:t>
      </w:r>
      <w:bookmarkEnd w:id="171"/>
      <w:bookmarkEnd w:id="172"/>
      <w:bookmarkEnd w:id="173"/>
      <w:bookmarkEnd w:id="174"/>
      <w:bookmarkEnd w:id="175"/>
      <w:bookmarkEnd w:id="176"/>
      <w:bookmarkEnd w:id="177"/>
    </w:p>
    <w:p w:rsidR="003C6C1E" w:rsidRPr="008633D2" w:rsidRDefault="00195AF0" w:rsidP="00195AF0">
      <w:pPr>
        <w:spacing w:after="0"/>
        <w:rPr>
          <w:lang w:val="en-ZA"/>
        </w:rPr>
      </w:pPr>
      <w:r w:rsidRPr="008633D2">
        <w:rPr>
          <w:lang w:val="en-ZA"/>
        </w:rPr>
        <w:t>MorningStar</w:t>
      </w:r>
      <w:r w:rsidR="003C6C1E" w:rsidRPr="008633D2">
        <w:rPr>
          <w:lang w:val="en-ZA"/>
        </w:rPr>
        <w:t xml:space="preserve"> provided the requested </w:t>
      </w:r>
      <w:r w:rsidRPr="008633D2">
        <w:rPr>
          <w:lang w:val="en-ZA"/>
        </w:rPr>
        <w:t xml:space="preserve">set of information related to </w:t>
      </w:r>
      <w:r w:rsidR="003C6C1E" w:rsidRPr="008633D2">
        <w:rPr>
          <w:lang w:val="en-ZA"/>
        </w:rPr>
        <w:t xml:space="preserve">all </w:t>
      </w:r>
      <w:r w:rsidRPr="008633D2">
        <w:rPr>
          <w:lang w:val="en-ZA"/>
        </w:rPr>
        <w:t>South African</w:t>
      </w:r>
      <w:r w:rsidR="003C6C1E" w:rsidRPr="008633D2">
        <w:rPr>
          <w:lang w:val="en-ZA"/>
        </w:rPr>
        <w:t xml:space="preserve"> managed</w:t>
      </w:r>
      <w:r w:rsidRPr="008633D2">
        <w:rPr>
          <w:lang w:val="en-ZA"/>
        </w:rPr>
        <w:t xml:space="preserve"> </w:t>
      </w:r>
      <w:r w:rsidR="003C6C1E" w:rsidRPr="008633D2">
        <w:rPr>
          <w:lang w:val="en-ZA"/>
        </w:rPr>
        <w:t>m</w:t>
      </w:r>
      <w:r w:rsidRPr="008633D2">
        <w:rPr>
          <w:lang w:val="en-ZA"/>
        </w:rPr>
        <w:t xml:space="preserve">utual </w:t>
      </w:r>
      <w:r w:rsidR="003C6C1E" w:rsidRPr="008633D2">
        <w:rPr>
          <w:lang w:val="en-ZA"/>
        </w:rPr>
        <w:t>f</w:t>
      </w:r>
      <w:r w:rsidRPr="008633D2">
        <w:rPr>
          <w:lang w:val="en-ZA"/>
        </w:rPr>
        <w:t xml:space="preserve">unds and their fund managers. </w:t>
      </w:r>
      <w:r w:rsidR="003C6C1E" w:rsidRPr="008633D2">
        <w:rPr>
          <w:lang w:val="en-ZA"/>
        </w:rPr>
        <w:t>The data has been</w:t>
      </w:r>
      <w:r w:rsidRPr="008633D2">
        <w:rPr>
          <w:lang w:val="en-ZA"/>
        </w:rPr>
        <w:t xml:space="preserve"> </w:t>
      </w:r>
      <w:r w:rsidR="003C6C1E" w:rsidRPr="008633D2">
        <w:rPr>
          <w:lang w:val="en-ZA"/>
        </w:rPr>
        <w:t>obtained for the perio</w:t>
      </w:r>
      <w:r w:rsidR="00444611" w:rsidRPr="008633D2">
        <w:rPr>
          <w:lang w:val="en-ZA"/>
        </w:rPr>
        <w:t>d 1 December 2005 to 30 June 201</w:t>
      </w:r>
      <w:r w:rsidR="003C6C1E" w:rsidRPr="008633D2">
        <w:rPr>
          <w:lang w:val="en-ZA"/>
        </w:rPr>
        <w:t>5</w:t>
      </w:r>
      <w:r w:rsidR="00CC6274" w:rsidRPr="008633D2">
        <w:rPr>
          <w:lang w:val="en-ZA"/>
        </w:rPr>
        <w:t xml:space="preserve">. </w:t>
      </w:r>
      <w:r w:rsidRPr="008633D2">
        <w:rPr>
          <w:lang w:val="en-ZA"/>
        </w:rPr>
        <w:t>Data required for the comparison of the unit trusts to the Sout</w:t>
      </w:r>
      <w:r w:rsidR="003C6C1E" w:rsidRPr="008633D2">
        <w:rPr>
          <w:lang w:val="en-ZA"/>
        </w:rPr>
        <w:t xml:space="preserve">h African performance benchmark, the FTSE/JSE </w:t>
      </w:r>
      <w:r w:rsidR="00B8621B">
        <w:rPr>
          <w:lang w:val="en-ZA"/>
        </w:rPr>
        <w:t>all share i</w:t>
      </w:r>
      <w:r w:rsidR="003C6C1E" w:rsidRPr="008633D2">
        <w:rPr>
          <w:lang w:val="en-ZA"/>
        </w:rPr>
        <w:t xml:space="preserve">ndex has also been obtained from </w:t>
      </w:r>
      <w:r w:rsidRPr="008633D2">
        <w:rPr>
          <w:lang w:val="en-ZA"/>
        </w:rPr>
        <w:t>MorningStar.</w:t>
      </w:r>
      <w:r w:rsidR="00444611" w:rsidRPr="008633D2">
        <w:rPr>
          <w:lang w:val="en-ZA"/>
        </w:rPr>
        <w:t xml:space="preserve"> Table 2 </w:t>
      </w:r>
      <w:r w:rsidR="003C6C1E" w:rsidRPr="008633D2">
        <w:rPr>
          <w:lang w:val="en-ZA"/>
        </w:rPr>
        <w:t>describes the data obtained</w:t>
      </w:r>
      <w:r w:rsidR="00896874" w:rsidRPr="008633D2">
        <w:rPr>
          <w:lang w:val="en-ZA"/>
        </w:rPr>
        <w:t xml:space="preserve"> per fund</w:t>
      </w:r>
      <w:r w:rsidR="003C6C1E" w:rsidRPr="008633D2">
        <w:rPr>
          <w:lang w:val="en-ZA"/>
        </w:rPr>
        <w:t xml:space="preserve">. </w:t>
      </w:r>
    </w:p>
    <w:p w:rsidR="00195AF0" w:rsidRPr="008633D2" w:rsidRDefault="00195AF0" w:rsidP="00195AF0">
      <w:pPr>
        <w:pStyle w:val="Caption"/>
        <w:keepNext/>
        <w:rPr>
          <w:lang w:val="en-ZA"/>
        </w:rPr>
      </w:pPr>
    </w:p>
    <w:p w:rsidR="00A27D9F" w:rsidRPr="008633D2" w:rsidRDefault="00195AF0" w:rsidP="00CF6ECB">
      <w:pPr>
        <w:pStyle w:val="Caption"/>
        <w:keepNext/>
        <w:jc w:val="center"/>
        <w:rPr>
          <w:rFonts w:ascii="Times New Roman" w:hAnsi="Times New Roman"/>
          <w:sz w:val="20"/>
          <w:szCs w:val="20"/>
          <w:lang w:val="en-ZA" w:eastAsia="en-ZA"/>
        </w:rPr>
      </w:pPr>
      <w:bookmarkStart w:id="178" w:name="_Toc423372679"/>
      <w:bookmarkStart w:id="179" w:name="_Toc458610847"/>
      <w:r w:rsidRPr="008633D2">
        <w:rPr>
          <w:lang w:val="en-ZA"/>
        </w:rPr>
        <w:t xml:space="preserve">Table </w:t>
      </w:r>
      <w:r w:rsidR="00CB6094" w:rsidRPr="008633D2">
        <w:rPr>
          <w:lang w:val="en-ZA"/>
        </w:rPr>
        <w:fldChar w:fldCharType="begin"/>
      </w:r>
      <w:r w:rsidR="00CB6094" w:rsidRPr="008633D2">
        <w:rPr>
          <w:lang w:val="en-ZA"/>
        </w:rPr>
        <w:instrText xml:space="preserve"> SEQ Table \* ARABIC </w:instrText>
      </w:r>
      <w:r w:rsidR="00CB6094" w:rsidRPr="008633D2">
        <w:rPr>
          <w:lang w:val="en-ZA"/>
        </w:rPr>
        <w:fldChar w:fldCharType="separate"/>
      </w:r>
      <w:r w:rsidR="00C456D9">
        <w:rPr>
          <w:noProof/>
          <w:lang w:val="en-ZA"/>
        </w:rPr>
        <w:t>2</w:t>
      </w:r>
      <w:r w:rsidR="00CB6094" w:rsidRPr="008633D2">
        <w:rPr>
          <w:lang w:val="en-ZA"/>
        </w:rPr>
        <w:fldChar w:fldCharType="end"/>
      </w:r>
      <w:r w:rsidRPr="008633D2">
        <w:rPr>
          <w:lang w:val="en-ZA"/>
        </w:rPr>
        <w:t xml:space="preserve">: Information </w:t>
      </w:r>
      <w:r w:rsidR="00896874" w:rsidRPr="008633D2">
        <w:rPr>
          <w:lang w:val="en-ZA"/>
        </w:rPr>
        <w:t xml:space="preserve">obtained for </w:t>
      </w:r>
      <w:r w:rsidRPr="008633D2">
        <w:rPr>
          <w:lang w:val="en-ZA"/>
        </w:rPr>
        <w:t>e</w:t>
      </w:r>
      <w:r w:rsidR="00896874" w:rsidRPr="008633D2">
        <w:rPr>
          <w:lang w:val="en-ZA"/>
        </w:rPr>
        <w:t>very South African managed</w:t>
      </w:r>
      <w:r w:rsidRPr="008633D2">
        <w:rPr>
          <w:lang w:val="en-ZA"/>
        </w:rPr>
        <w:t xml:space="preserve"> unit trust</w:t>
      </w:r>
      <w:bookmarkEnd w:id="178"/>
      <w:bookmarkEnd w:id="179"/>
      <w:r w:rsidR="007274B6" w:rsidRPr="008633D2">
        <w:rPr>
          <w:b w:val="0"/>
          <w:bCs w:val="0"/>
          <w:lang w:val="en-ZA"/>
        </w:rPr>
        <w:fldChar w:fldCharType="begin"/>
      </w:r>
      <w:r w:rsidR="007274B6" w:rsidRPr="008633D2">
        <w:rPr>
          <w:lang w:val="en-ZA"/>
        </w:rPr>
        <w:instrText xml:space="preserve"> LINK </w:instrText>
      </w:r>
      <w:r w:rsidR="005F2182">
        <w:rPr>
          <w:lang w:val="en-ZA"/>
        </w:rPr>
        <w:instrText xml:space="preserve">Excel.Sheet.12 "C:\\Users\\archaryn\\Documents\\MBA\\Research\\Final Analysis\\Data_v1.xlsx" "Summary of results!R164C2:R173C3" </w:instrText>
      </w:r>
      <w:r w:rsidR="007274B6" w:rsidRPr="008633D2">
        <w:rPr>
          <w:lang w:val="en-ZA"/>
        </w:rPr>
        <w:instrText xml:space="preserve">\a \f 4 \h  \* MERGEFORMAT </w:instrText>
      </w:r>
      <w:r w:rsidR="007274B6" w:rsidRPr="008633D2">
        <w:rPr>
          <w:b w:val="0"/>
          <w:bCs w:val="0"/>
          <w:lang w:val="en-ZA"/>
        </w:rPr>
        <w:fldChar w:fldCharType="separate"/>
      </w:r>
    </w:p>
    <w:tbl>
      <w:tblPr>
        <w:tblW w:w="5000" w:type="pct"/>
        <w:tblLook w:val="04A0" w:firstRow="1" w:lastRow="0" w:firstColumn="1" w:lastColumn="0" w:noHBand="0" w:noVBand="1"/>
      </w:tblPr>
      <w:tblGrid>
        <w:gridCol w:w="2659"/>
        <w:gridCol w:w="6295"/>
      </w:tblGrid>
      <w:tr w:rsidR="00A27D9F" w:rsidRPr="008633D2" w:rsidTr="00A27D9F">
        <w:trPr>
          <w:divId w:val="805002697"/>
          <w:trHeight w:val="300"/>
        </w:trPr>
        <w:tc>
          <w:tcPr>
            <w:tcW w:w="1485" w:type="pct"/>
            <w:tcBorders>
              <w:top w:val="single" w:sz="4" w:space="0" w:color="auto"/>
              <w:left w:val="single" w:sz="4" w:space="0" w:color="auto"/>
              <w:bottom w:val="single" w:sz="4" w:space="0" w:color="auto"/>
              <w:right w:val="single" w:sz="4" w:space="0" w:color="auto"/>
            </w:tcBorders>
            <w:shd w:val="clear" w:color="000000" w:fill="366092"/>
            <w:noWrap/>
            <w:vAlign w:val="center"/>
            <w:hideMark/>
          </w:tcPr>
          <w:p w:rsidR="00A27D9F" w:rsidRPr="008633D2" w:rsidRDefault="00A27D9F" w:rsidP="00A27D9F">
            <w:pPr>
              <w:spacing w:before="0" w:after="0" w:line="240" w:lineRule="auto"/>
              <w:jc w:val="center"/>
              <w:rPr>
                <w:rFonts w:cs="Arial"/>
                <w:b/>
                <w:bCs/>
                <w:color w:val="FFFFFF"/>
                <w:sz w:val="22"/>
                <w:szCs w:val="22"/>
                <w:lang w:val="en-ZA" w:eastAsia="en-ZA"/>
              </w:rPr>
            </w:pPr>
            <w:r w:rsidRPr="008633D2">
              <w:rPr>
                <w:rFonts w:cs="Arial"/>
                <w:b/>
                <w:bCs/>
                <w:color w:val="FFFFFF" w:themeColor="background1"/>
                <w:sz w:val="22"/>
                <w:szCs w:val="22"/>
                <w:lang w:val="en-ZA" w:eastAsia="en-ZA"/>
              </w:rPr>
              <w:t>Field</w:t>
            </w:r>
          </w:p>
        </w:tc>
        <w:tc>
          <w:tcPr>
            <w:tcW w:w="3515" w:type="pct"/>
            <w:tcBorders>
              <w:top w:val="single" w:sz="4" w:space="0" w:color="auto"/>
              <w:left w:val="nil"/>
              <w:bottom w:val="single" w:sz="4" w:space="0" w:color="auto"/>
              <w:right w:val="single" w:sz="4" w:space="0" w:color="auto"/>
            </w:tcBorders>
            <w:shd w:val="clear" w:color="000000" w:fill="366092"/>
            <w:noWrap/>
            <w:vAlign w:val="center"/>
            <w:hideMark/>
          </w:tcPr>
          <w:p w:rsidR="00A27D9F" w:rsidRPr="008633D2" w:rsidRDefault="00A27D9F" w:rsidP="00A27D9F">
            <w:pPr>
              <w:spacing w:before="0" w:after="0" w:line="240" w:lineRule="auto"/>
              <w:jc w:val="center"/>
              <w:rPr>
                <w:rFonts w:cs="Arial"/>
                <w:b/>
                <w:bCs/>
                <w:color w:val="FFFFFF"/>
                <w:sz w:val="22"/>
                <w:szCs w:val="22"/>
                <w:lang w:val="en-ZA" w:eastAsia="en-ZA"/>
              </w:rPr>
            </w:pPr>
            <w:r w:rsidRPr="008633D2">
              <w:rPr>
                <w:rFonts w:cs="Arial"/>
                <w:b/>
                <w:bCs/>
                <w:color w:val="FFFFFF" w:themeColor="background1"/>
                <w:sz w:val="22"/>
                <w:szCs w:val="22"/>
                <w:lang w:val="en-ZA" w:eastAsia="en-ZA"/>
              </w:rPr>
              <w:t>Description and usage</w:t>
            </w:r>
          </w:p>
        </w:tc>
      </w:tr>
      <w:tr w:rsidR="00A27D9F" w:rsidRPr="008633D2" w:rsidTr="00A27D9F">
        <w:trPr>
          <w:divId w:val="805002697"/>
          <w:trHeight w:val="855"/>
        </w:trPr>
        <w:tc>
          <w:tcPr>
            <w:tcW w:w="1485" w:type="pct"/>
            <w:tcBorders>
              <w:top w:val="nil"/>
              <w:left w:val="single" w:sz="4" w:space="0" w:color="auto"/>
              <w:bottom w:val="single" w:sz="4" w:space="0" w:color="auto"/>
              <w:right w:val="single" w:sz="4" w:space="0" w:color="auto"/>
            </w:tcBorders>
            <w:shd w:val="clear" w:color="auto" w:fill="auto"/>
            <w:noWrap/>
            <w:vAlign w:val="center"/>
            <w:hideMark/>
          </w:tcPr>
          <w:p w:rsidR="00A27D9F" w:rsidRPr="008633D2" w:rsidRDefault="00A27D9F" w:rsidP="00A27D9F">
            <w:pPr>
              <w:spacing w:before="0" w:after="0" w:line="240" w:lineRule="auto"/>
              <w:jc w:val="left"/>
              <w:rPr>
                <w:rFonts w:cs="Arial"/>
                <w:b/>
                <w:color w:val="000000"/>
                <w:sz w:val="22"/>
                <w:szCs w:val="22"/>
                <w:lang w:val="en-ZA" w:eastAsia="en-ZA"/>
              </w:rPr>
            </w:pPr>
            <w:r w:rsidRPr="008633D2">
              <w:rPr>
                <w:rFonts w:cs="Arial"/>
                <w:b/>
                <w:color w:val="000000"/>
                <w:sz w:val="22"/>
                <w:szCs w:val="22"/>
                <w:lang w:val="en-ZA" w:eastAsia="en-ZA"/>
              </w:rPr>
              <w:t>Fund Name</w:t>
            </w:r>
          </w:p>
        </w:tc>
        <w:tc>
          <w:tcPr>
            <w:tcW w:w="3515" w:type="pct"/>
            <w:tcBorders>
              <w:top w:val="nil"/>
              <w:left w:val="nil"/>
              <w:bottom w:val="single" w:sz="4" w:space="0" w:color="auto"/>
              <w:right w:val="single" w:sz="4" w:space="0" w:color="auto"/>
            </w:tcBorders>
            <w:shd w:val="clear" w:color="auto" w:fill="auto"/>
            <w:vAlign w:val="center"/>
            <w:hideMark/>
          </w:tcPr>
          <w:p w:rsidR="00A27D9F" w:rsidRPr="008633D2" w:rsidRDefault="00A27D9F" w:rsidP="00A27D9F">
            <w:pPr>
              <w:spacing w:before="0" w:after="0" w:line="240" w:lineRule="auto"/>
              <w:jc w:val="left"/>
              <w:rPr>
                <w:rFonts w:cs="Arial"/>
                <w:color w:val="000000"/>
                <w:sz w:val="22"/>
                <w:szCs w:val="22"/>
                <w:lang w:val="en-ZA" w:eastAsia="en-ZA"/>
              </w:rPr>
            </w:pPr>
            <w:r w:rsidRPr="008633D2">
              <w:rPr>
                <w:rFonts w:cs="Arial"/>
                <w:color w:val="000000"/>
                <w:sz w:val="22"/>
                <w:szCs w:val="22"/>
                <w:lang w:val="en-ZA" w:eastAsia="en-ZA"/>
              </w:rPr>
              <w:t>This describes the industry name of the fund. This w</w:t>
            </w:r>
            <w:r w:rsidR="00183E85">
              <w:rPr>
                <w:rFonts w:cs="Arial"/>
                <w:color w:val="000000"/>
                <w:sz w:val="22"/>
                <w:szCs w:val="22"/>
                <w:lang w:val="en-ZA" w:eastAsia="en-ZA"/>
              </w:rPr>
              <w:t>as</w:t>
            </w:r>
            <w:r w:rsidRPr="008633D2">
              <w:rPr>
                <w:rFonts w:cs="Arial"/>
                <w:color w:val="000000"/>
                <w:sz w:val="22"/>
                <w:szCs w:val="22"/>
                <w:lang w:val="en-ZA" w:eastAsia="en-ZA"/>
              </w:rPr>
              <w:t xml:space="preserve"> used as a unique identifier when working with the data.</w:t>
            </w:r>
          </w:p>
        </w:tc>
      </w:tr>
      <w:tr w:rsidR="00A27D9F" w:rsidRPr="008633D2" w:rsidTr="00A27D9F">
        <w:trPr>
          <w:divId w:val="805002697"/>
          <w:trHeight w:val="1140"/>
        </w:trPr>
        <w:tc>
          <w:tcPr>
            <w:tcW w:w="1485" w:type="pct"/>
            <w:tcBorders>
              <w:top w:val="nil"/>
              <w:left w:val="single" w:sz="4" w:space="0" w:color="auto"/>
              <w:bottom w:val="single" w:sz="4" w:space="0" w:color="auto"/>
              <w:right w:val="single" w:sz="4" w:space="0" w:color="auto"/>
            </w:tcBorders>
            <w:shd w:val="clear" w:color="auto" w:fill="auto"/>
            <w:noWrap/>
            <w:vAlign w:val="center"/>
            <w:hideMark/>
          </w:tcPr>
          <w:p w:rsidR="00A27D9F" w:rsidRPr="008633D2" w:rsidRDefault="00A27D9F" w:rsidP="00A27D9F">
            <w:pPr>
              <w:spacing w:before="0" w:after="0" w:line="240" w:lineRule="auto"/>
              <w:jc w:val="left"/>
              <w:rPr>
                <w:rFonts w:cs="Arial"/>
                <w:b/>
                <w:color w:val="000000"/>
                <w:sz w:val="22"/>
                <w:szCs w:val="22"/>
                <w:lang w:val="en-ZA" w:eastAsia="en-ZA"/>
              </w:rPr>
            </w:pPr>
            <w:r w:rsidRPr="008633D2">
              <w:rPr>
                <w:rFonts w:cs="Arial"/>
                <w:b/>
                <w:color w:val="000000"/>
                <w:sz w:val="22"/>
                <w:szCs w:val="22"/>
                <w:lang w:val="en-ZA" w:eastAsia="en-ZA"/>
              </w:rPr>
              <w:t>Fund Sector</w:t>
            </w:r>
          </w:p>
        </w:tc>
        <w:tc>
          <w:tcPr>
            <w:tcW w:w="3515" w:type="pct"/>
            <w:tcBorders>
              <w:top w:val="nil"/>
              <w:left w:val="nil"/>
              <w:bottom w:val="single" w:sz="4" w:space="0" w:color="auto"/>
              <w:right w:val="single" w:sz="4" w:space="0" w:color="auto"/>
            </w:tcBorders>
            <w:shd w:val="clear" w:color="auto" w:fill="auto"/>
            <w:vAlign w:val="center"/>
            <w:hideMark/>
          </w:tcPr>
          <w:p w:rsidR="00A27D9F" w:rsidRPr="008633D2" w:rsidRDefault="00A27D9F" w:rsidP="0098261F">
            <w:pPr>
              <w:spacing w:before="0" w:after="0" w:line="240" w:lineRule="auto"/>
              <w:jc w:val="left"/>
              <w:rPr>
                <w:rFonts w:cs="Arial"/>
                <w:color w:val="000000"/>
                <w:sz w:val="22"/>
                <w:szCs w:val="22"/>
                <w:lang w:val="en-ZA" w:eastAsia="en-ZA"/>
              </w:rPr>
            </w:pPr>
            <w:r w:rsidRPr="008633D2">
              <w:rPr>
                <w:rFonts w:cs="Arial"/>
                <w:color w:val="000000"/>
                <w:sz w:val="22"/>
                <w:szCs w:val="22"/>
                <w:lang w:val="en-ZA" w:eastAsia="en-ZA"/>
              </w:rPr>
              <w:t xml:space="preserve">ASISA has a range </w:t>
            </w:r>
            <w:r w:rsidR="0098261F">
              <w:rPr>
                <w:rFonts w:cs="Arial"/>
                <w:color w:val="000000"/>
                <w:sz w:val="22"/>
                <w:szCs w:val="22"/>
                <w:lang w:val="en-ZA" w:eastAsia="en-ZA"/>
              </w:rPr>
              <w:t>of sectors in which each fund is</w:t>
            </w:r>
            <w:r w:rsidRPr="008633D2">
              <w:rPr>
                <w:rFonts w:cs="Arial"/>
                <w:color w:val="000000"/>
                <w:sz w:val="22"/>
                <w:szCs w:val="22"/>
                <w:lang w:val="en-ZA" w:eastAsia="en-ZA"/>
              </w:rPr>
              <w:t xml:space="preserve"> categorised into. This w</w:t>
            </w:r>
            <w:r w:rsidR="00183E85">
              <w:rPr>
                <w:rFonts w:cs="Arial"/>
                <w:color w:val="000000"/>
                <w:sz w:val="22"/>
                <w:szCs w:val="22"/>
                <w:lang w:val="en-ZA" w:eastAsia="en-ZA"/>
              </w:rPr>
              <w:t>as</w:t>
            </w:r>
            <w:r w:rsidRPr="008633D2">
              <w:rPr>
                <w:rFonts w:cs="Arial"/>
                <w:color w:val="000000"/>
                <w:sz w:val="22"/>
                <w:szCs w:val="22"/>
                <w:lang w:val="en-ZA" w:eastAsia="en-ZA"/>
              </w:rPr>
              <w:t xml:space="preserve"> used to ensure that we compare funds that have similar characteristics only.</w:t>
            </w:r>
          </w:p>
        </w:tc>
      </w:tr>
      <w:tr w:rsidR="00A27D9F" w:rsidRPr="008633D2" w:rsidTr="00A27D9F">
        <w:trPr>
          <w:divId w:val="805002697"/>
          <w:trHeight w:val="1140"/>
        </w:trPr>
        <w:tc>
          <w:tcPr>
            <w:tcW w:w="1485" w:type="pct"/>
            <w:tcBorders>
              <w:top w:val="nil"/>
              <w:left w:val="single" w:sz="4" w:space="0" w:color="auto"/>
              <w:bottom w:val="single" w:sz="4" w:space="0" w:color="auto"/>
              <w:right w:val="single" w:sz="4" w:space="0" w:color="auto"/>
            </w:tcBorders>
            <w:shd w:val="clear" w:color="auto" w:fill="auto"/>
            <w:noWrap/>
            <w:vAlign w:val="center"/>
            <w:hideMark/>
          </w:tcPr>
          <w:p w:rsidR="00A27D9F" w:rsidRPr="008633D2" w:rsidRDefault="00A27D9F" w:rsidP="00A27D9F">
            <w:pPr>
              <w:spacing w:before="0" w:after="0" w:line="240" w:lineRule="auto"/>
              <w:jc w:val="left"/>
              <w:rPr>
                <w:rFonts w:cs="Arial"/>
                <w:b/>
                <w:color w:val="000000"/>
                <w:sz w:val="22"/>
                <w:szCs w:val="22"/>
                <w:lang w:val="en-ZA" w:eastAsia="en-ZA"/>
              </w:rPr>
            </w:pPr>
            <w:r w:rsidRPr="008633D2">
              <w:rPr>
                <w:rFonts w:cs="Arial"/>
                <w:b/>
                <w:color w:val="000000"/>
                <w:sz w:val="22"/>
                <w:szCs w:val="22"/>
                <w:lang w:val="en-ZA" w:eastAsia="en-ZA"/>
              </w:rPr>
              <w:t>Fund Manager</w:t>
            </w:r>
          </w:p>
        </w:tc>
        <w:tc>
          <w:tcPr>
            <w:tcW w:w="3515" w:type="pct"/>
            <w:tcBorders>
              <w:top w:val="nil"/>
              <w:left w:val="nil"/>
              <w:bottom w:val="single" w:sz="4" w:space="0" w:color="auto"/>
              <w:right w:val="single" w:sz="4" w:space="0" w:color="auto"/>
            </w:tcBorders>
            <w:shd w:val="clear" w:color="auto" w:fill="auto"/>
            <w:vAlign w:val="center"/>
            <w:hideMark/>
          </w:tcPr>
          <w:p w:rsidR="00A27D9F" w:rsidRPr="008633D2" w:rsidRDefault="00A27D9F" w:rsidP="00A27D9F">
            <w:pPr>
              <w:spacing w:before="0" w:after="0" w:line="240" w:lineRule="auto"/>
              <w:jc w:val="left"/>
              <w:rPr>
                <w:rFonts w:cs="Arial"/>
                <w:color w:val="000000"/>
                <w:sz w:val="22"/>
                <w:szCs w:val="22"/>
                <w:lang w:val="en-ZA" w:eastAsia="en-ZA"/>
              </w:rPr>
            </w:pPr>
            <w:r w:rsidRPr="008633D2">
              <w:rPr>
                <w:rFonts w:cs="Arial"/>
                <w:color w:val="000000"/>
                <w:sz w:val="22"/>
                <w:szCs w:val="22"/>
                <w:lang w:val="en-ZA" w:eastAsia="en-ZA"/>
              </w:rPr>
              <w:t>The name of the fund manager w</w:t>
            </w:r>
            <w:r w:rsidR="00183E85">
              <w:rPr>
                <w:rFonts w:cs="Arial"/>
                <w:color w:val="000000"/>
                <w:sz w:val="22"/>
                <w:szCs w:val="22"/>
                <w:lang w:val="en-ZA" w:eastAsia="en-ZA"/>
              </w:rPr>
              <w:t>as</w:t>
            </w:r>
            <w:r w:rsidRPr="008633D2">
              <w:rPr>
                <w:rFonts w:cs="Arial"/>
                <w:color w:val="000000"/>
                <w:sz w:val="22"/>
                <w:szCs w:val="22"/>
                <w:lang w:val="en-ZA" w:eastAsia="en-ZA"/>
              </w:rPr>
              <w:t xml:space="preserve"> used to obtain the gender of the fund manager. It also assists in obtaining background into the manager characteristics.</w:t>
            </w:r>
          </w:p>
        </w:tc>
      </w:tr>
      <w:tr w:rsidR="00A27D9F" w:rsidRPr="008633D2" w:rsidTr="00A27D9F">
        <w:trPr>
          <w:divId w:val="805002697"/>
          <w:trHeight w:val="1140"/>
        </w:trPr>
        <w:tc>
          <w:tcPr>
            <w:tcW w:w="1485" w:type="pct"/>
            <w:tcBorders>
              <w:top w:val="nil"/>
              <w:left w:val="single" w:sz="4" w:space="0" w:color="auto"/>
              <w:bottom w:val="single" w:sz="4" w:space="0" w:color="auto"/>
              <w:right w:val="single" w:sz="4" w:space="0" w:color="auto"/>
            </w:tcBorders>
            <w:shd w:val="clear" w:color="auto" w:fill="auto"/>
            <w:noWrap/>
            <w:vAlign w:val="center"/>
            <w:hideMark/>
          </w:tcPr>
          <w:p w:rsidR="00A27D9F" w:rsidRPr="008633D2" w:rsidRDefault="00A27D9F" w:rsidP="00A27D9F">
            <w:pPr>
              <w:spacing w:before="0" w:after="0" w:line="240" w:lineRule="auto"/>
              <w:jc w:val="left"/>
              <w:rPr>
                <w:rFonts w:cs="Arial"/>
                <w:b/>
                <w:color w:val="000000"/>
                <w:sz w:val="22"/>
                <w:szCs w:val="22"/>
                <w:lang w:val="en-ZA" w:eastAsia="en-ZA"/>
              </w:rPr>
            </w:pPr>
            <w:r w:rsidRPr="008633D2">
              <w:rPr>
                <w:rFonts w:cs="Arial"/>
                <w:b/>
                <w:color w:val="000000"/>
                <w:sz w:val="22"/>
                <w:szCs w:val="22"/>
                <w:lang w:val="en-ZA" w:eastAsia="en-ZA"/>
              </w:rPr>
              <w:t>Manager Tenure</w:t>
            </w:r>
          </w:p>
        </w:tc>
        <w:tc>
          <w:tcPr>
            <w:tcW w:w="3515" w:type="pct"/>
            <w:tcBorders>
              <w:top w:val="nil"/>
              <w:left w:val="nil"/>
              <w:bottom w:val="single" w:sz="4" w:space="0" w:color="auto"/>
              <w:right w:val="single" w:sz="4" w:space="0" w:color="auto"/>
            </w:tcBorders>
            <w:shd w:val="clear" w:color="auto" w:fill="auto"/>
            <w:vAlign w:val="center"/>
            <w:hideMark/>
          </w:tcPr>
          <w:p w:rsidR="00A27D9F" w:rsidRPr="008633D2" w:rsidRDefault="00A27D9F" w:rsidP="00A27D9F">
            <w:pPr>
              <w:spacing w:before="0" w:after="0" w:line="240" w:lineRule="auto"/>
              <w:jc w:val="left"/>
              <w:rPr>
                <w:rFonts w:cs="Arial"/>
                <w:color w:val="000000"/>
                <w:sz w:val="22"/>
                <w:szCs w:val="22"/>
                <w:lang w:val="en-ZA" w:eastAsia="en-ZA"/>
              </w:rPr>
            </w:pPr>
            <w:r w:rsidRPr="008633D2">
              <w:rPr>
                <w:rFonts w:cs="Arial"/>
                <w:color w:val="000000"/>
                <w:sz w:val="22"/>
                <w:szCs w:val="22"/>
                <w:lang w:val="en-ZA" w:eastAsia="en-ZA"/>
              </w:rPr>
              <w:t>This is period for which the manager has been managing the fund. This w</w:t>
            </w:r>
            <w:r w:rsidR="00183E85">
              <w:rPr>
                <w:rFonts w:cs="Arial"/>
                <w:color w:val="000000"/>
                <w:sz w:val="22"/>
                <w:szCs w:val="22"/>
                <w:lang w:val="en-ZA" w:eastAsia="en-ZA"/>
              </w:rPr>
              <w:t>as</w:t>
            </w:r>
            <w:r w:rsidRPr="008633D2">
              <w:rPr>
                <w:rFonts w:cs="Arial"/>
                <w:color w:val="000000"/>
                <w:sz w:val="22"/>
                <w:szCs w:val="22"/>
                <w:lang w:val="en-ZA" w:eastAsia="en-ZA"/>
              </w:rPr>
              <w:t xml:space="preserve"> used to ensure that we only consider funds that have been traded for more than five years.</w:t>
            </w:r>
          </w:p>
        </w:tc>
      </w:tr>
      <w:tr w:rsidR="00A27D9F" w:rsidRPr="008633D2" w:rsidTr="00A27D9F">
        <w:trPr>
          <w:divId w:val="805002697"/>
          <w:trHeight w:val="855"/>
        </w:trPr>
        <w:tc>
          <w:tcPr>
            <w:tcW w:w="1485" w:type="pct"/>
            <w:tcBorders>
              <w:top w:val="nil"/>
              <w:left w:val="single" w:sz="4" w:space="0" w:color="auto"/>
              <w:bottom w:val="single" w:sz="4" w:space="0" w:color="auto"/>
              <w:right w:val="single" w:sz="4" w:space="0" w:color="auto"/>
            </w:tcBorders>
            <w:shd w:val="clear" w:color="auto" w:fill="auto"/>
            <w:noWrap/>
            <w:vAlign w:val="center"/>
            <w:hideMark/>
          </w:tcPr>
          <w:p w:rsidR="00A27D9F" w:rsidRPr="008633D2" w:rsidRDefault="00A27D9F" w:rsidP="00A27D9F">
            <w:pPr>
              <w:spacing w:before="0" w:after="0" w:line="240" w:lineRule="auto"/>
              <w:jc w:val="left"/>
              <w:rPr>
                <w:rFonts w:cs="Arial"/>
                <w:b/>
                <w:color w:val="000000"/>
                <w:sz w:val="22"/>
                <w:szCs w:val="22"/>
                <w:lang w:val="en-ZA" w:eastAsia="en-ZA"/>
              </w:rPr>
            </w:pPr>
            <w:r w:rsidRPr="008633D2">
              <w:rPr>
                <w:rFonts w:cs="Arial"/>
                <w:b/>
                <w:color w:val="000000"/>
                <w:sz w:val="22"/>
                <w:szCs w:val="22"/>
                <w:lang w:val="en-ZA" w:eastAsia="en-ZA"/>
              </w:rPr>
              <w:t>Inception Date</w:t>
            </w:r>
          </w:p>
        </w:tc>
        <w:tc>
          <w:tcPr>
            <w:tcW w:w="3515" w:type="pct"/>
            <w:tcBorders>
              <w:top w:val="nil"/>
              <w:left w:val="nil"/>
              <w:bottom w:val="single" w:sz="4" w:space="0" w:color="auto"/>
              <w:right w:val="single" w:sz="4" w:space="0" w:color="auto"/>
            </w:tcBorders>
            <w:shd w:val="clear" w:color="auto" w:fill="auto"/>
            <w:vAlign w:val="center"/>
            <w:hideMark/>
          </w:tcPr>
          <w:p w:rsidR="00A27D9F" w:rsidRPr="008633D2" w:rsidRDefault="00A27D9F" w:rsidP="00A27D9F">
            <w:pPr>
              <w:spacing w:before="0" w:after="0" w:line="240" w:lineRule="auto"/>
              <w:jc w:val="left"/>
              <w:rPr>
                <w:rFonts w:cs="Arial"/>
                <w:color w:val="000000"/>
                <w:sz w:val="22"/>
                <w:szCs w:val="22"/>
                <w:lang w:val="en-ZA" w:eastAsia="en-ZA"/>
              </w:rPr>
            </w:pPr>
            <w:r w:rsidRPr="008633D2">
              <w:rPr>
                <w:rFonts w:cs="Arial"/>
                <w:color w:val="000000"/>
                <w:sz w:val="22"/>
                <w:szCs w:val="22"/>
                <w:lang w:val="en-ZA" w:eastAsia="en-ZA"/>
              </w:rPr>
              <w:t>This indicates the inception date of the fund. This indicate</w:t>
            </w:r>
            <w:r w:rsidR="00183E85">
              <w:rPr>
                <w:rFonts w:cs="Arial"/>
                <w:color w:val="000000"/>
                <w:sz w:val="22"/>
                <w:szCs w:val="22"/>
                <w:lang w:val="en-ZA" w:eastAsia="en-ZA"/>
              </w:rPr>
              <w:t>s</w:t>
            </w:r>
            <w:r w:rsidRPr="008633D2">
              <w:rPr>
                <w:rFonts w:cs="Arial"/>
                <w:color w:val="000000"/>
                <w:sz w:val="22"/>
                <w:szCs w:val="22"/>
                <w:lang w:val="en-ZA" w:eastAsia="en-ZA"/>
              </w:rPr>
              <w:t xml:space="preserve"> the age of the fund and can be used to assess the fund maturity.</w:t>
            </w:r>
          </w:p>
        </w:tc>
      </w:tr>
      <w:tr w:rsidR="00A27D9F" w:rsidRPr="008633D2" w:rsidTr="00A27D9F">
        <w:trPr>
          <w:divId w:val="805002697"/>
          <w:trHeight w:val="855"/>
        </w:trPr>
        <w:tc>
          <w:tcPr>
            <w:tcW w:w="1485" w:type="pct"/>
            <w:tcBorders>
              <w:top w:val="nil"/>
              <w:left w:val="single" w:sz="4" w:space="0" w:color="auto"/>
              <w:bottom w:val="single" w:sz="4" w:space="0" w:color="auto"/>
              <w:right w:val="single" w:sz="4" w:space="0" w:color="auto"/>
            </w:tcBorders>
            <w:shd w:val="clear" w:color="auto" w:fill="auto"/>
            <w:noWrap/>
            <w:vAlign w:val="center"/>
            <w:hideMark/>
          </w:tcPr>
          <w:p w:rsidR="00A27D9F" w:rsidRPr="008633D2" w:rsidRDefault="00A27D9F" w:rsidP="00A27D9F">
            <w:pPr>
              <w:spacing w:before="0" w:after="0" w:line="240" w:lineRule="auto"/>
              <w:jc w:val="left"/>
              <w:rPr>
                <w:rFonts w:cs="Arial"/>
                <w:b/>
                <w:color w:val="000000"/>
                <w:sz w:val="22"/>
                <w:szCs w:val="22"/>
                <w:lang w:val="en-ZA" w:eastAsia="en-ZA"/>
              </w:rPr>
            </w:pPr>
            <w:r w:rsidRPr="008633D2">
              <w:rPr>
                <w:rFonts w:cs="Arial"/>
                <w:b/>
                <w:color w:val="000000"/>
                <w:sz w:val="22"/>
                <w:szCs w:val="22"/>
                <w:lang w:val="en-ZA" w:eastAsia="en-ZA"/>
              </w:rPr>
              <w:t>Fund Size</w:t>
            </w:r>
          </w:p>
        </w:tc>
        <w:tc>
          <w:tcPr>
            <w:tcW w:w="3515" w:type="pct"/>
            <w:tcBorders>
              <w:top w:val="nil"/>
              <w:left w:val="nil"/>
              <w:bottom w:val="single" w:sz="4" w:space="0" w:color="auto"/>
              <w:right w:val="single" w:sz="4" w:space="0" w:color="auto"/>
            </w:tcBorders>
            <w:shd w:val="clear" w:color="auto" w:fill="auto"/>
            <w:vAlign w:val="center"/>
            <w:hideMark/>
          </w:tcPr>
          <w:p w:rsidR="00A27D9F" w:rsidRPr="008633D2" w:rsidRDefault="00A27D9F" w:rsidP="00A27D9F">
            <w:pPr>
              <w:spacing w:before="0" w:after="0" w:line="240" w:lineRule="auto"/>
              <w:jc w:val="left"/>
              <w:rPr>
                <w:rFonts w:cs="Arial"/>
                <w:color w:val="000000"/>
                <w:sz w:val="22"/>
                <w:szCs w:val="22"/>
                <w:lang w:val="en-ZA" w:eastAsia="en-ZA"/>
              </w:rPr>
            </w:pPr>
            <w:r w:rsidRPr="008633D2">
              <w:rPr>
                <w:rFonts w:cs="Arial"/>
                <w:color w:val="000000"/>
                <w:sz w:val="22"/>
                <w:szCs w:val="22"/>
                <w:lang w:val="en-ZA" w:eastAsia="en-ZA"/>
              </w:rPr>
              <w:t>This indicates that total net asset under management of the fund. This assist</w:t>
            </w:r>
            <w:r w:rsidR="00183E85">
              <w:rPr>
                <w:rFonts w:cs="Arial"/>
                <w:color w:val="000000"/>
                <w:sz w:val="22"/>
                <w:szCs w:val="22"/>
                <w:lang w:val="en-ZA" w:eastAsia="en-ZA"/>
              </w:rPr>
              <w:t>s</w:t>
            </w:r>
            <w:r w:rsidRPr="008633D2">
              <w:rPr>
                <w:rFonts w:cs="Arial"/>
                <w:color w:val="000000"/>
                <w:sz w:val="22"/>
                <w:szCs w:val="22"/>
                <w:lang w:val="en-ZA" w:eastAsia="en-ZA"/>
              </w:rPr>
              <w:t xml:space="preserve"> in understanding the fund better.</w:t>
            </w:r>
          </w:p>
        </w:tc>
      </w:tr>
      <w:tr w:rsidR="00A27D9F" w:rsidRPr="008633D2" w:rsidTr="00A27D9F">
        <w:trPr>
          <w:divId w:val="805002697"/>
          <w:trHeight w:val="570"/>
        </w:trPr>
        <w:tc>
          <w:tcPr>
            <w:tcW w:w="1485" w:type="pct"/>
            <w:tcBorders>
              <w:top w:val="nil"/>
              <w:left w:val="single" w:sz="4" w:space="0" w:color="auto"/>
              <w:bottom w:val="single" w:sz="4" w:space="0" w:color="auto"/>
              <w:right w:val="single" w:sz="4" w:space="0" w:color="auto"/>
            </w:tcBorders>
            <w:shd w:val="clear" w:color="auto" w:fill="auto"/>
            <w:noWrap/>
            <w:vAlign w:val="center"/>
            <w:hideMark/>
          </w:tcPr>
          <w:p w:rsidR="00A27D9F" w:rsidRPr="008633D2" w:rsidRDefault="00A27D9F" w:rsidP="00A27D9F">
            <w:pPr>
              <w:spacing w:before="0" w:after="0" w:line="240" w:lineRule="auto"/>
              <w:jc w:val="left"/>
              <w:rPr>
                <w:rFonts w:cs="Arial"/>
                <w:b/>
                <w:color w:val="000000"/>
                <w:sz w:val="22"/>
                <w:szCs w:val="22"/>
                <w:lang w:val="en-ZA" w:eastAsia="en-ZA"/>
              </w:rPr>
            </w:pPr>
            <w:r w:rsidRPr="008633D2">
              <w:rPr>
                <w:rFonts w:cs="Arial"/>
                <w:b/>
                <w:color w:val="000000"/>
                <w:sz w:val="22"/>
                <w:szCs w:val="22"/>
                <w:lang w:val="en-ZA" w:eastAsia="en-ZA"/>
              </w:rPr>
              <w:t>Monthly performance</w:t>
            </w:r>
          </w:p>
        </w:tc>
        <w:tc>
          <w:tcPr>
            <w:tcW w:w="3515" w:type="pct"/>
            <w:tcBorders>
              <w:top w:val="nil"/>
              <w:left w:val="nil"/>
              <w:bottom w:val="single" w:sz="4" w:space="0" w:color="auto"/>
              <w:right w:val="single" w:sz="4" w:space="0" w:color="auto"/>
            </w:tcBorders>
            <w:shd w:val="clear" w:color="auto" w:fill="auto"/>
            <w:vAlign w:val="center"/>
            <w:hideMark/>
          </w:tcPr>
          <w:p w:rsidR="00A27D9F" w:rsidRPr="008633D2" w:rsidRDefault="00A27D9F" w:rsidP="00A27D9F">
            <w:pPr>
              <w:spacing w:before="0" w:after="0" w:line="240" w:lineRule="auto"/>
              <w:jc w:val="left"/>
              <w:rPr>
                <w:rFonts w:cs="Arial"/>
                <w:color w:val="000000"/>
                <w:sz w:val="22"/>
                <w:szCs w:val="22"/>
                <w:lang w:val="en-ZA" w:eastAsia="en-ZA"/>
              </w:rPr>
            </w:pPr>
            <w:r w:rsidRPr="008633D2">
              <w:rPr>
                <w:rFonts w:cs="Arial"/>
                <w:color w:val="000000"/>
                <w:sz w:val="22"/>
                <w:szCs w:val="22"/>
                <w:lang w:val="en-ZA" w:eastAsia="en-ZA"/>
              </w:rPr>
              <w:t>This w</w:t>
            </w:r>
            <w:r w:rsidR="00183E85">
              <w:rPr>
                <w:rFonts w:cs="Arial"/>
                <w:color w:val="000000"/>
                <w:sz w:val="22"/>
                <w:szCs w:val="22"/>
                <w:lang w:val="en-ZA" w:eastAsia="en-ZA"/>
              </w:rPr>
              <w:t>as</w:t>
            </w:r>
            <w:r w:rsidRPr="008633D2">
              <w:rPr>
                <w:rFonts w:cs="Arial"/>
                <w:color w:val="000000"/>
                <w:sz w:val="22"/>
                <w:szCs w:val="22"/>
                <w:lang w:val="en-ZA" w:eastAsia="en-ZA"/>
              </w:rPr>
              <w:t xml:space="preserve"> the measurement of performance that w</w:t>
            </w:r>
            <w:r w:rsidR="00183E85">
              <w:rPr>
                <w:rFonts w:cs="Arial"/>
                <w:color w:val="000000"/>
                <w:sz w:val="22"/>
                <w:szCs w:val="22"/>
                <w:lang w:val="en-ZA" w:eastAsia="en-ZA"/>
              </w:rPr>
              <w:t>as</w:t>
            </w:r>
            <w:r w:rsidRPr="008633D2">
              <w:rPr>
                <w:rFonts w:cs="Arial"/>
                <w:color w:val="000000"/>
                <w:sz w:val="22"/>
                <w:szCs w:val="22"/>
                <w:lang w:val="en-ZA" w:eastAsia="en-ZA"/>
              </w:rPr>
              <w:t xml:space="preserve"> compared.</w:t>
            </w:r>
          </w:p>
        </w:tc>
      </w:tr>
    </w:tbl>
    <w:p w:rsidR="003C6C1E" w:rsidRPr="008633D2" w:rsidRDefault="007274B6" w:rsidP="00896874">
      <w:pPr>
        <w:pStyle w:val="Heading2"/>
        <w:rPr>
          <w:lang w:val="en-ZA"/>
        </w:rPr>
      </w:pPr>
      <w:r w:rsidRPr="008633D2">
        <w:rPr>
          <w:color w:val="333399"/>
          <w:lang w:val="en-ZA"/>
        </w:rPr>
        <w:fldChar w:fldCharType="end"/>
      </w:r>
      <w:bookmarkStart w:id="180" w:name="_Toc458610797"/>
      <w:r w:rsidR="003C6C1E" w:rsidRPr="008633D2">
        <w:rPr>
          <w:lang w:val="en-ZA"/>
        </w:rPr>
        <w:t>Data analysis and interpretation</w:t>
      </w:r>
      <w:bookmarkEnd w:id="180"/>
    </w:p>
    <w:p w:rsidR="00195AF0" w:rsidRPr="008633D2" w:rsidRDefault="003C6C1E" w:rsidP="00195AF0">
      <w:pPr>
        <w:rPr>
          <w:lang w:val="en-ZA"/>
        </w:rPr>
      </w:pPr>
      <w:r w:rsidRPr="008633D2">
        <w:rPr>
          <w:lang w:val="en-ZA"/>
        </w:rPr>
        <w:t>T</w:t>
      </w:r>
      <w:r w:rsidR="00896874" w:rsidRPr="008633D2">
        <w:rPr>
          <w:lang w:val="en-ZA"/>
        </w:rPr>
        <w:t xml:space="preserve">his section </w:t>
      </w:r>
      <w:r w:rsidR="00D06992" w:rsidRPr="008633D2">
        <w:rPr>
          <w:lang w:val="en-ZA"/>
        </w:rPr>
        <w:t>outline</w:t>
      </w:r>
      <w:r w:rsidR="00896874" w:rsidRPr="008633D2">
        <w:rPr>
          <w:lang w:val="en-ZA"/>
        </w:rPr>
        <w:t>s</w:t>
      </w:r>
      <w:r w:rsidR="00D06992" w:rsidRPr="008633D2">
        <w:rPr>
          <w:lang w:val="en-ZA"/>
        </w:rPr>
        <w:t xml:space="preserve"> the steps followed in this research to transform the raw data into information that can be analysed and interpreted. The results of these steps </w:t>
      </w:r>
      <w:r w:rsidR="00183E85">
        <w:rPr>
          <w:lang w:val="en-ZA"/>
        </w:rPr>
        <w:t>are</w:t>
      </w:r>
      <w:r w:rsidR="00D06992" w:rsidRPr="008633D2">
        <w:rPr>
          <w:lang w:val="en-ZA"/>
        </w:rPr>
        <w:t xml:space="preserve"> presented in the following chapter. </w:t>
      </w:r>
    </w:p>
    <w:p w:rsidR="00956FB3" w:rsidRPr="008633D2" w:rsidRDefault="00956FB3" w:rsidP="00195AF0">
      <w:pPr>
        <w:rPr>
          <w:lang w:val="en-ZA"/>
        </w:rPr>
      </w:pPr>
    </w:p>
    <w:p w:rsidR="003C6C1E" w:rsidRPr="008633D2" w:rsidRDefault="003C6C1E" w:rsidP="00D06992">
      <w:pPr>
        <w:pStyle w:val="Heading3"/>
        <w:rPr>
          <w:lang w:val="en-ZA"/>
        </w:rPr>
      </w:pPr>
      <w:bookmarkStart w:id="181" w:name="_Toc458610798"/>
      <w:r w:rsidRPr="008633D2">
        <w:rPr>
          <w:lang w:val="en-ZA"/>
        </w:rPr>
        <w:t>Identify the gender of the manager of each fund</w:t>
      </w:r>
      <w:bookmarkEnd w:id="181"/>
    </w:p>
    <w:p w:rsidR="003C6C1E" w:rsidRPr="008633D2" w:rsidRDefault="003C6C1E" w:rsidP="00956FB3">
      <w:pPr>
        <w:pStyle w:val="ListParagraph"/>
        <w:ind w:left="0"/>
        <w:rPr>
          <w:lang w:val="en-ZA"/>
        </w:rPr>
      </w:pPr>
      <w:r w:rsidRPr="008633D2">
        <w:rPr>
          <w:lang w:val="en-ZA"/>
        </w:rPr>
        <w:t xml:space="preserve">The gender of the fund manager </w:t>
      </w:r>
      <w:r w:rsidR="00444611" w:rsidRPr="008633D2">
        <w:rPr>
          <w:lang w:val="en-ZA"/>
        </w:rPr>
        <w:t>was</w:t>
      </w:r>
      <w:r w:rsidRPr="008633D2">
        <w:rPr>
          <w:lang w:val="en-ZA"/>
        </w:rPr>
        <w:t xml:space="preserve"> not provided in the data we obtained from MorningStar. </w:t>
      </w:r>
      <w:r w:rsidR="00CC6274" w:rsidRPr="008633D2">
        <w:rPr>
          <w:lang w:val="en-ZA"/>
        </w:rPr>
        <w:t>Therefore,</w:t>
      </w:r>
      <w:r w:rsidRPr="008633D2">
        <w:rPr>
          <w:lang w:val="en-ZA"/>
        </w:rPr>
        <w:t xml:space="preserve"> the gender </w:t>
      </w:r>
      <w:r w:rsidR="00444611" w:rsidRPr="008633D2">
        <w:rPr>
          <w:lang w:val="en-ZA"/>
        </w:rPr>
        <w:t>was</w:t>
      </w:r>
      <w:r w:rsidRPr="008633D2">
        <w:rPr>
          <w:lang w:val="en-ZA"/>
        </w:rPr>
        <w:t xml:space="preserve"> inferred from the name of the fund manager, which is public information</w:t>
      </w:r>
      <w:r w:rsidR="00B8621B">
        <w:rPr>
          <w:lang w:val="en-ZA"/>
        </w:rPr>
        <w:t xml:space="preserve"> and was obtained from MorningsStar</w:t>
      </w:r>
      <w:r w:rsidRPr="008633D2">
        <w:rPr>
          <w:lang w:val="en-ZA"/>
        </w:rPr>
        <w:t xml:space="preserve">. </w:t>
      </w:r>
      <w:r w:rsidR="00444611" w:rsidRPr="008633D2">
        <w:rPr>
          <w:lang w:val="en-ZA"/>
        </w:rPr>
        <w:t>A</w:t>
      </w:r>
      <w:r w:rsidRPr="008633D2">
        <w:rPr>
          <w:lang w:val="en-ZA"/>
        </w:rPr>
        <w:t xml:space="preserve"> web search, LinkedIn and/or the </w:t>
      </w:r>
      <w:r w:rsidR="00093481" w:rsidRPr="008633D2">
        <w:rPr>
          <w:lang w:val="en-ZA"/>
        </w:rPr>
        <w:t>manager’s</w:t>
      </w:r>
      <w:r w:rsidRPr="008633D2">
        <w:rPr>
          <w:lang w:val="en-ZA"/>
        </w:rPr>
        <w:t xml:space="preserve"> biography on the funds website was used to determine the </w:t>
      </w:r>
      <w:r w:rsidR="00093481" w:rsidRPr="008633D2">
        <w:rPr>
          <w:lang w:val="en-ZA"/>
        </w:rPr>
        <w:t>manager’s</w:t>
      </w:r>
      <w:r w:rsidRPr="008633D2">
        <w:rPr>
          <w:lang w:val="en-ZA"/>
        </w:rPr>
        <w:t xml:space="preserve"> gender. No effort </w:t>
      </w:r>
      <w:r w:rsidR="00183E85">
        <w:rPr>
          <w:lang w:val="en-ZA"/>
        </w:rPr>
        <w:t>was</w:t>
      </w:r>
      <w:r w:rsidRPr="008633D2">
        <w:rPr>
          <w:lang w:val="en-ZA"/>
        </w:rPr>
        <w:t xml:space="preserve"> made to distinguish between self-identified or biological gender. </w:t>
      </w:r>
    </w:p>
    <w:p w:rsidR="00956FB3" w:rsidRPr="008633D2" w:rsidRDefault="00956FB3" w:rsidP="00956FB3">
      <w:pPr>
        <w:pStyle w:val="ListParagraph"/>
        <w:ind w:left="0"/>
        <w:rPr>
          <w:i/>
          <w:lang w:val="en-ZA"/>
        </w:rPr>
      </w:pPr>
    </w:p>
    <w:p w:rsidR="003C6C1E" w:rsidRPr="008633D2" w:rsidRDefault="00BC3347" w:rsidP="00D06992">
      <w:pPr>
        <w:pStyle w:val="Heading3"/>
        <w:rPr>
          <w:lang w:val="en-ZA"/>
        </w:rPr>
      </w:pPr>
      <w:bookmarkStart w:id="182" w:name="_Toc458610799"/>
      <w:r w:rsidRPr="008633D2">
        <w:rPr>
          <w:lang w:val="en-ZA"/>
        </w:rPr>
        <w:t>Compute</w:t>
      </w:r>
      <w:r w:rsidR="003C6C1E" w:rsidRPr="008633D2">
        <w:rPr>
          <w:lang w:val="en-ZA"/>
        </w:rPr>
        <w:t xml:space="preserve"> annualised returns </w:t>
      </w:r>
      <w:r w:rsidR="00F82ECE" w:rsidRPr="008633D2">
        <w:rPr>
          <w:lang w:val="en-ZA"/>
        </w:rPr>
        <w:t>of all funds and the benchmark index</w:t>
      </w:r>
      <w:bookmarkEnd w:id="182"/>
    </w:p>
    <w:p w:rsidR="00956FB3" w:rsidRPr="008633D2" w:rsidRDefault="00956FB3" w:rsidP="00956FB3">
      <w:pPr>
        <w:rPr>
          <w:lang w:val="en-ZA"/>
        </w:rPr>
      </w:pPr>
      <w:r w:rsidRPr="008633D2">
        <w:rPr>
          <w:lang w:val="en-ZA"/>
        </w:rPr>
        <w:t xml:space="preserve">For the purposes of this research the annualised returns of a fund </w:t>
      </w:r>
      <w:r w:rsidR="00183E85">
        <w:rPr>
          <w:lang w:val="en-ZA"/>
        </w:rPr>
        <w:t>was</w:t>
      </w:r>
      <w:r w:rsidRPr="008633D2">
        <w:rPr>
          <w:lang w:val="en-ZA"/>
        </w:rPr>
        <w:t xml:space="preserve"> considered to be the measure of performance. One, three, five and ten year annualised returns </w:t>
      </w:r>
      <w:r w:rsidR="00183E85">
        <w:rPr>
          <w:lang w:val="en-ZA"/>
        </w:rPr>
        <w:t>we</w:t>
      </w:r>
      <w:r w:rsidRPr="008633D2">
        <w:rPr>
          <w:lang w:val="en-ZA"/>
        </w:rPr>
        <w:t>re calculated from monthly returns over the required period. In cases where the fund was not active for the entire period being considered</w:t>
      </w:r>
      <w:r w:rsidR="00896874" w:rsidRPr="008633D2">
        <w:rPr>
          <w:lang w:val="en-ZA"/>
        </w:rPr>
        <w:t xml:space="preserve">, the annualised returns </w:t>
      </w:r>
      <w:r w:rsidR="00183E85">
        <w:rPr>
          <w:lang w:val="en-ZA"/>
        </w:rPr>
        <w:t>we</w:t>
      </w:r>
      <w:r w:rsidR="00896874" w:rsidRPr="008633D2">
        <w:rPr>
          <w:lang w:val="en-ZA"/>
        </w:rPr>
        <w:t>re only consider</w:t>
      </w:r>
      <w:r w:rsidR="0046753E">
        <w:rPr>
          <w:lang w:val="en-ZA"/>
        </w:rPr>
        <w:t>ed</w:t>
      </w:r>
      <w:r w:rsidR="00896874" w:rsidRPr="008633D2">
        <w:rPr>
          <w:lang w:val="en-ZA"/>
        </w:rPr>
        <w:t xml:space="preserve"> for the periods where a full set of data is available. </w:t>
      </w:r>
    </w:p>
    <w:p w:rsidR="00956FB3" w:rsidRDefault="00956FB3" w:rsidP="00956FB3">
      <w:pPr>
        <w:rPr>
          <w:lang w:val="en-ZA"/>
        </w:rPr>
      </w:pPr>
    </w:p>
    <w:p w:rsidR="0098261F" w:rsidRDefault="0098261F" w:rsidP="00956FB3">
      <w:pPr>
        <w:rPr>
          <w:lang w:val="en-ZA"/>
        </w:rPr>
      </w:pPr>
    </w:p>
    <w:p w:rsidR="0098261F" w:rsidRDefault="0098261F" w:rsidP="00956FB3">
      <w:pPr>
        <w:rPr>
          <w:lang w:val="en-ZA"/>
        </w:rPr>
      </w:pPr>
    </w:p>
    <w:p w:rsidR="0098261F" w:rsidRPr="008633D2" w:rsidRDefault="0098261F" w:rsidP="00956FB3">
      <w:pPr>
        <w:rPr>
          <w:lang w:val="en-ZA"/>
        </w:rPr>
      </w:pPr>
    </w:p>
    <w:p w:rsidR="00956FB3" w:rsidRPr="008633D2" w:rsidRDefault="00956FB3" w:rsidP="00956FB3">
      <w:pPr>
        <w:rPr>
          <w:lang w:val="en-ZA"/>
        </w:rPr>
      </w:pPr>
      <w:r w:rsidRPr="008633D2">
        <w:rPr>
          <w:lang w:val="en-ZA"/>
        </w:rPr>
        <w:t xml:space="preserve">Annualised returns </w:t>
      </w:r>
      <w:r w:rsidR="00183E85">
        <w:rPr>
          <w:lang w:val="en-ZA"/>
        </w:rPr>
        <w:t>we</w:t>
      </w:r>
      <w:r w:rsidRPr="008633D2">
        <w:rPr>
          <w:lang w:val="en-ZA"/>
        </w:rPr>
        <w:t xml:space="preserve">re calculated from monthly returns using the following formula: </w:t>
      </w:r>
    </w:p>
    <w:p w:rsidR="00956FB3" w:rsidRPr="008633D2" w:rsidRDefault="003323B7" w:rsidP="00956FB3">
      <w:pPr>
        <w:rPr>
          <w:lang w:val="en-ZA"/>
        </w:rPr>
      </w:pPr>
      <m:oMathPara>
        <m:oMath>
          <m:sSub>
            <m:sSubPr>
              <m:ctrlPr>
                <w:rPr>
                  <w:rFonts w:ascii="Cambria Math" w:hAnsi="Cambria Math"/>
                  <w:i/>
                  <w:lang w:val="en-ZA"/>
                </w:rPr>
              </m:ctrlPr>
            </m:sSubPr>
            <m:e>
              <m:r>
                <w:rPr>
                  <w:rFonts w:ascii="Cambria Math" w:hAnsi="Cambria Math"/>
                  <w:lang w:val="en-ZA"/>
                </w:rPr>
                <m:t>r</m:t>
              </m:r>
            </m:e>
            <m:sub>
              <m:r>
                <w:rPr>
                  <w:rFonts w:ascii="Cambria Math" w:hAnsi="Cambria Math"/>
                  <w:lang w:val="en-ZA"/>
                </w:rPr>
                <m:t>y</m:t>
              </m:r>
            </m:sub>
          </m:sSub>
          <m:r>
            <w:rPr>
              <w:rFonts w:ascii="Cambria Math" w:hAnsi="Cambria Math"/>
              <w:lang w:val="en-ZA"/>
            </w:rPr>
            <m:t xml:space="preserve">= </m:t>
          </m:r>
          <m:rad>
            <m:radPr>
              <m:ctrlPr>
                <w:rPr>
                  <w:rFonts w:ascii="Cambria Math" w:hAnsi="Cambria Math"/>
                  <w:i/>
                  <w:lang w:val="en-ZA"/>
                </w:rPr>
              </m:ctrlPr>
            </m:radPr>
            <m:deg>
              <m:r>
                <w:rPr>
                  <w:rFonts w:ascii="Cambria Math" w:hAnsi="Cambria Math"/>
                  <w:lang w:val="en-ZA"/>
                </w:rPr>
                <m:t>y</m:t>
              </m:r>
            </m:deg>
            <m:e>
              <m:r>
                <w:rPr>
                  <w:rFonts w:ascii="Cambria Math" w:hAnsi="Cambria Math"/>
                  <w:lang w:val="en-ZA"/>
                </w:rPr>
                <m:t>product</m:t>
              </m:r>
              <m:d>
                <m:dPr>
                  <m:ctrlPr>
                    <w:rPr>
                      <w:rFonts w:ascii="Cambria Math" w:hAnsi="Cambria Math"/>
                      <w:i/>
                      <w:lang w:val="en-ZA"/>
                    </w:rPr>
                  </m:ctrlPr>
                </m:dPr>
                <m:e>
                  <m:f>
                    <m:fPr>
                      <m:ctrlPr>
                        <w:rPr>
                          <w:rFonts w:ascii="Cambria Math" w:hAnsi="Cambria Math"/>
                          <w:i/>
                          <w:lang w:val="en-ZA"/>
                        </w:rPr>
                      </m:ctrlPr>
                    </m:fPr>
                    <m:num>
                      <m:sSub>
                        <m:sSubPr>
                          <m:ctrlPr>
                            <w:rPr>
                              <w:rFonts w:ascii="Cambria Math" w:hAnsi="Cambria Math"/>
                              <w:i/>
                              <w:lang w:val="en-ZA"/>
                            </w:rPr>
                          </m:ctrlPr>
                        </m:sSubPr>
                        <m:e>
                          <m:r>
                            <w:rPr>
                              <w:rFonts w:ascii="Cambria Math" w:hAnsi="Cambria Math"/>
                              <w:lang w:val="en-ZA"/>
                            </w:rPr>
                            <m:t>r</m:t>
                          </m:r>
                        </m:e>
                        <m:sub>
                          <m:r>
                            <w:rPr>
                              <w:rFonts w:ascii="Cambria Math" w:hAnsi="Cambria Math"/>
                              <w:lang w:val="en-ZA"/>
                            </w:rPr>
                            <m:t>a</m:t>
                          </m:r>
                        </m:sub>
                      </m:sSub>
                    </m:num>
                    <m:den>
                      <m:r>
                        <w:rPr>
                          <w:rFonts w:ascii="Cambria Math" w:hAnsi="Cambria Math"/>
                          <w:lang w:val="en-ZA"/>
                        </w:rPr>
                        <m:t>100</m:t>
                      </m:r>
                    </m:den>
                  </m:f>
                  <m:r>
                    <w:rPr>
                      <w:rFonts w:ascii="Cambria Math" w:hAnsi="Cambria Math"/>
                      <w:lang w:val="en-ZA"/>
                    </w:rPr>
                    <m:t>+1</m:t>
                  </m:r>
                </m:e>
              </m:d>
            </m:e>
          </m:rad>
          <m:r>
            <w:rPr>
              <w:rFonts w:ascii="Cambria Math" w:hAnsi="Cambria Math"/>
              <w:lang w:val="en-ZA"/>
            </w:rPr>
            <m:t>-1</m:t>
          </m:r>
        </m:oMath>
      </m:oMathPara>
    </w:p>
    <w:p w:rsidR="00956FB3" w:rsidRPr="008633D2" w:rsidRDefault="00956FB3" w:rsidP="00956FB3">
      <w:pPr>
        <w:rPr>
          <w:lang w:val="en-ZA"/>
        </w:rPr>
      </w:pPr>
    </w:p>
    <w:p w:rsidR="00956FB3" w:rsidRPr="008633D2" w:rsidRDefault="00956FB3" w:rsidP="00956FB3">
      <w:pPr>
        <w:rPr>
          <w:lang w:val="en-ZA"/>
        </w:rPr>
      </w:pPr>
      <w:r w:rsidRPr="008633D2">
        <w:rPr>
          <w:lang w:val="en-ZA"/>
        </w:rPr>
        <w:t xml:space="preserve">where  </w:t>
      </w:r>
      <m:oMath>
        <m:sSub>
          <m:sSubPr>
            <m:ctrlPr>
              <w:rPr>
                <w:rFonts w:ascii="Cambria Math" w:hAnsi="Cambria Math"/>
                <w:i/>
                <w:lang w:val="en-ZA"/>
              </w:rPr>
            </m:ctrlPr>
          </m:sSubPr>
          <m:e>
            <m:r>
              <w:rPr>
                <w:rFonts w:ascii="Cambria Math" w:hAnsi="Cambria Math"/>
                <w:lang w:val="en-ZA"/>
              </w:rPr>
              <m:t>r</m:t>
            </m:r>
          </m:e>
          <m:sub>
            <m:r>
              <w:rPr>
                <w:rFonts w:ascii="Cambria Math" w:hAnsi="Cambria Math"/>
                <w:lang w:val="en-ZA"/>
              </w:rPr>
              <m:t>y</m:t>
            </m:r>
          </m:sub>
        </m:sSub>
        <m:r>
          <w:rPr>
            <w:rFonts w:ascii="Cambria Math" w:hAnsi="Cambria Math"/>
            <w:lang w:val="en-ZA"/>
          </w:rPr>
          <m:t xml:space="preserve"> </m:t>
        </m:r>
      </m:oMath>
      <w:r w:rsidRPr="008633D2">
        <w:rPr>
          <w:lang w:val="en-ZA"/>
        </w:rPr>
        <w:t xml:space="preserve"> represents the annualised return over </w:t>
      </w:r>
      <m:oMath>
        <m:r>
          <w:rPr>
            <w:rFonts w:ascii="Cambria Math" w:hAnsi="Cambria Math"/>
            <w:lang w:val="en-ZA"/>
          </w:rPr>
          <m:t>y</m:t>
        </m:r>
      </m:oMath>
      <w:r w:rsidRPr="008633D2">
        <w:rPr>
          <w:lang w:val="en-ZA"/>
        </w:rPr>
        <w:t xml:space="preserve"> years,</w:t>
      </w:r>
    </w:p>
    <w:p w:rsidR="00956FB3" w:rsidRPr="008633D2" w:rsidRDefault="00956FB3" w:rsidP="00956FB3">
      <w:pPr>
        <w:rPr>
          <w:lang w:val="en-ZA"/>
        </w:rPr>
      </w:pPr>
      <w:r w:rsidRPr="008633D2">
        <w:rPr>
          <w:lang w:val="en-ZA"/>
        </w:rPr>
        <w:tab/>
      </w:r>
      <m:oMath>
        <m:sSub>
          <m:sSubPr>
            <m:ctrlPr>
              <w:rPr>
                <w:rFonts w:ascii="Cambria Math" w:hAnsi="Cambria Math"/>
                <w:i/>
                <w:lang w:val="en-ZA"/>
              </w:rPr>
            </m:ctrlPr>
          </m:sSubPr>
          <m:e>
            <m:r>
              <w:rPr>
                <w:rFonts w:ascii="Cambria Math" w:hAnsi="Cambria Math"/>
                <w:lang w:val="en-ZA"/>
              </w:rPr>
              <m:t>r</m:t>
            </m:r>
          </m:e>
          <m:sub>
            <m:r>
              <w:rPr>
                <w:rFonts w:ascii="Cambria Math" w:hAnsi="Cambria Math"/>
                <w:lang w:val="en-ZA"/>
              </w:rPr>
              <m:t>a</m:t>
            </m:r>
          </m:sub>
        </m:sSub>
        <m:r>
          <w:rPr>
            <w:rFonts w:ascii="Cambria Math" w:hAnsi="Cambria Math"/>
            <w:lang w:val="en-ZA"/>
          </w:rPr>
          <m:t xml:space="preserve"> </m:t>
        </m:r>
      </m:oMath>
      <w:r w:rsidRPr="008633D2">
        <w:rPr>
          <w:lang w:val="en-ZA"/>
        </w:rPr>
        <w:t xml:space="preserve"> represents the monthly returns over the period,</w:t>
      </w:r>
    </w:p>
    <w:p w:rsidR="00956FB3" w:rsidRPr="008633D2" w:rsidRDefault="00956FB3" w:rsidP="00956FB3">
      <w:pPr>
        <w:rPr>
          <w:lang w:val="en-ZA"/>
        </w:rPr>
      </w:pPr>
      <w:r w:rsidRPr="008633D2">
        <w:rPr>
          <w:lang w:val="en-ZA"/>
        </w:rPr>
        <w:t>and</w:t>
      </w:r>
      <w:r w:rsidRPr="008633D2">
        <w:rPr>
          <w:lang w:val="en-ZA"/>
        </w:rPr>
        <w:tab/>
      </w:r>
      <m:oMath>
        <m:r>
          <w:rPr>
            <w:rFonts w:ascii="Cambria Math" w:hAnsi="Cambria Math"/>
            <w:lang w:val="en-ZA"/>
          </w:rPr>
          <m:t>y</m:t>
        </m:r>
      </m:oMath>
      <w:r w:rsidRPr="008633D2">
        <w:rPr>
          <w:lang w:val="en-ZA"/>
        </w:rPr>
        <w:t xml:space="preserve"> represents the number of years of returns to be annualised.</w:t>
      </w:r>
    </w:p>
    <w:p w:rsidR="00956FB3" w:rsidRPr="008633D2" w:rsidRDefault="00956FB3" w:rsidP="00956FB3">
      <w:pPr>
        <w:rPr>
          <w:lang w:val="en-ZA"/>
        </w:rPr>
      </w:pPr>
    </w:p>
    <w:p w:rsidR="00F82ECE" w:rsidRPr="008633D2" w:rsidRDefault="00BC3347" w:rsidP="00D06992">
      <w:pPr>
        <w:pStyle w:val="Heading3"/>
        <w:rPr>
          <w:lang w:val="en-ZA"/>
        </w:rPr>
      </w:pPr>
      <w:bookmarkStart w:id="183" w:name="_Toc458610800"/>
      <w:r w:rsidRPr="008633D2">
        <w:rPr>
          <w:lang w:val="en-ZA"/>
        </w:rPr>
        <w:t xml:space="preserve">Compute </w:t>
      </w:r>
      <w:r w:rsidR="00F82ECE" w:rsidRPr="008633D2">
        <w:rPr>
          <w:lang w:val="en-ZA"/>
        </w:rPr>
        <w:t xml:space="preserve">the riskiness of all funds </w:t>
      </w:r>
      <w:r w:rsidR="00952AEE" w:rsidRPr="008633D2">
        <w:rPr>
          <w:lang w:val="en-ZA"/>
        </w:rPr>
        <w:t>against</w:t>
      </w:r>
      <w:r w:rsidR="00F82ECE" w:rsidRPr="008633D2">
        <w:rPr>
          <w:lang w:val="en-ZA"/>
        </w:rPr>
        <w:t xml:space="preserve"> the benchmark index</w:t>
      </w:r>
      <w:bookmarkEnd w:id="183"/>
    </w:p>
    <w:p w:rsidR="00B8621B" w:rsidRDefault="00956FB3" w:rsidP="00956FB3">
      <w:pPr>
        <w:rPr>
          <w:lang w:val="en-ZA"/>
        </w:rPr>
      </w:pPr>
      <w:r w:rsidRPr="008633D2">
        <w:rPr>
          <w:lang w:val="en-ZA"/>
        </w:rPr>
        <w:t>The riskiness of a fund is often measured using the beta of the fund. Beta is a measure</w:t>
      </w:r>
      <w:r w:rsidR="00B8621B">
        <w:rPr>
          <w:lang w:val="en-ZA"/>
        </w:rPr>
        <w:t xml:space="preserve"> of risk </w:t>
      </w:r>
      <w:r w:rsidRPr="008633D2">
        <w:rPr>
          <w:lang w:val="en-ZA"/>
        </w:rPr>
        <w:t xml:space="preserve">in relation to a benchmark. In South </w:t>
      </w:r>
      <w:r w:rsidR="00CC6274" w:rsidRPr="008633D2">
        <w:rPr>
          <w:lang w:val="en-ZA"/>
        </w:rPr>
        <w:t>Africa,</w:t>
      </w:r>
      <w:r w:rsidRPr="008633D2">
        <w:rPr>
          <w:lang w:val="en-ZA"/>
        </w:rPr>
        <w:t xml:space="preserve"> a co</w:t>
      </w:r>
      <w:r w:rsidR="00B8621B">
        <w:rPr>
          <w:lang w:val="en-ZA"/>
        </w:rPr>
        <w:t>mmon benchmark is the FTSE/JSE all s</w:t>
      </w:r>
      <w:r w:rsidRPr="008633D2">
        <w:rPr>
          <w:lang w:val="en-ZA"/>
        </w:rPr>
        <w:t xml:space="preserve">hare index. This is a weighted average calculation of the returns of all companies listed on the JSE and is </w:t>
      </w:r>
      <w:r w:rsidR="00B8621B">
        <w:rPr>
          <w:lang w:val="en-ZA"/>
        </w:rPr>
        <w:t xml:space="preserve">used as a proxy of the </w:t>
      </w:r>
      <w:r w:rsidRPr="008633D2">
        <w:rPr>
          <w:lang w:val="en-ZA"/>
        </w:rPr>
        <w:t>market return</w:t>
      </w:r>
      <w:r w:rsidR="00CC6274" w:rsidRPr="008633D2">
        <w:rPr>
          <w:lang w:val="en-ZA"/>
        </w:rPr>
        <w:t xml:space="preserve">. </w:t>
      </w:r>
      <w:r w:rsidRPr="008633D2">
        <w:rPr>
          <w:lang w:val="en-ZA"/>
        </w:rPr>
        <w:t>In this research, we calculate</w:t>
      </w:r>
      <w:r w:rsidR="00183E85">
        <w:rPr>
          <w:lang w:val="en-ZA"/>
        </w:rPr>
        <w:t>d</w:t>
      </w:r>
      <w:r w:rsidRPr="008633D2">
        <w:rPr>
          <w:lang w:val="en-ZA"/>
        </w:rPr>
        <w:t xml:space="preserve"> the beta for each fund using the FTSE/JSE </w:t>
      </w:r>
      <w:r w:rsidR="00B8621B">
        <w:rPr>
          <w:lang w:val="en-ZA"/>
        </w:rPr>
        <w:t xml:space="preserve">all share index </w:t>
      </w:r>
      <w:r w:rsidRPr="008633D2">
        <w:rPr>
          <w:lang w:val="en-ZA"/>
        </w:rPr>
        <w:t>as the benchmark</w:t>
      </w:r>
      <w:r w:rsidR="00B8621B">
        <w:rPr>
          <w:lang w:val="en-ZA"/>
        </w:rPr>
        <w:t xml:space="preserve"> and assume</w:t>
      </w:r>
      <w:r w:rsidR="00183E85">
        <w:rPr>
          <w:lang w:val="en-ZA"/>
        </w:rPr>
        <w:t>d</w:t>
      </w:r>
      <w:r w:rsidR="00B8621B">
        <w:rPr>
          <w:lang w:val="en-ZA"/>
        </w:rPr>
        <w:t xml:space="preserve"> that i</w:t>
      </w:r>
      <w:r w:rsidR="00183E85">
        <w:rPr>
          <w:lang w:val="en-ZA"/>
        </w:rPr>
        <w:t>t</w:t>
      </w:r>
      <w:r w:rsidR="00B8621B">
        <w:rPr>
          <w:lang w:val="en-ZA"/>
        </w:rPr>
        <w:t xml:space="preserve"> is an adequate proxy for the South African financial market</w:t>
      </w:r>
      <w:r w:rsidRPr="008633D2">
        <w:rPr>
          <w:lang w:val="en-ZA"/>
        </w:rPr>
        <w:t xml:space="preserve">. </w:t>
      </w:r>
    </w:p>
    <w:p w:rsidR="00B8621B" w:rsidRDefault="00B8621B" w:rsidP="00956FB3">
      <w:pPr>
        <w:rPr>
          <w:lang w:val="en-ZA"/>
        </w:rPr>
      </w:pPr>
    </w:p>
    <w:p w:rsidR="00956FB3" w:rsidRDefault="00956FB3" w:rsidP="00956FB3">
      <w:pPr>
        <w:rPr>
          <w:lang w:val="en-ZA"/>
        </w:rPr>
      </w:pPr>
      <w:r w:rsidRPr="008633D2">
        <w:rPr>
          <w:lang w:val="en-ZA"/>
        </w:rPr>
        <w:t xml:space="preserve">The formula used </w:t>
      </w:r>
      <w:r w:rsidR="00B8621B">
        <w:rPr>
          <w:lang w:val="en-ZA"/>
        </w:rPr>
        <w:t>to calculate beta is</w:t>
      </w:r>
      <w:r w:rsidRPr="008633D2">
        <w:rPr>
          <w:lang w:val="en-ZA"/>
        </w:rPr>
        <w:t xml:space="preserve"> presented in equation </w:t>
      </w:r>
      <w:r w:rsidR="00B8621B">
        <w:rPr>
          <w:lang w:val="en-ZA"/>
        </w:rPr>
        <w:t>below</w:t>
      </w:r>
      <w:r w:rsidRPr="008633D2">
        <w:rPr>
          <w:lang w:val="en-ZA"/>
        </w:rPr>
        <w:t xml:space="preserve">: </w:t>
      </w:r>
    </w:p>
    <w:p w:rsidR="00B8621B" w:rsidRPr="008633D2" w:rsidRDefault="00B8621B" w:rsidP="00956FB3">
      <w:pPr>
        <w:rPr>
          <w:lang w:val="en-ZA"/>
        </w:rPr>
      </w:pPr>
    </w:p>
    <w:p w:rsidR="00956FB3" w:rsidRPr="008633D2" w:rsidRDefault="00956FB3" w:rsidP="00956FB3">
      <w:pPr>
        <w:rPr>
          <w:lang w:val="en-ZA"/>
        </w:rPr>
      </w:pPr>
      <m:oMathPara>
        <m:oMath>
          <m:r>
            <w:rPr>
              <w:rFonts w:ascii="Cambria Math" w:hAnsi="Cambria Math"/>
              <w:lang w:val="en-ZA"/>
            </w:rPr>
            <m:t xml:space="preserve">β= </m:t>
          </m:r>
          <m:f>
            <m:fPr>
              <m:ctrlPr>
                <w:rPr>
                  <w:rFonts w:ascii="Cambria Math" w:hAnsi="Cambria Math"/>
                  <w:i/>
                  <w:lang w:val="en-ZA"/>
                </w:rPr>
              </m:ctrlPr>
            </m:fPr>
            <m:num>
              <m:r>
                <w:rPr>
                  <w:rFonts w:ascii="Cambria Math" w:hAnsi="Cambria Math"/>
                  <w:lang w:val="en-ZA"/>
                </w:rPr>
                <m:t>Cov(</m:t>
              </m:r>
              <m:sSub>
                <m:sSubPr>
                  <m:ctrlPr>
                    <w:rPr>
                      <w:rFonts w:ascii="Cambria Math" w:hAnsi="Cambria Math"/>
                      <w:i/>
                      <w:lang w:val="en-ZA"/>
                    </w:rPr>
                  </m:ctrlPr>
                </m:sSubPr>
                <m:e>
                  <m:r>
                    <w:rPr>
                      <w:rFonts w:ascii="Cambria Math" w:hAnsi="Cambria Math"/>
                      <w:lang w:val="en-ZA"/>
                    </w:rPr>
                    <m:t>r</m:t>
                  </m:r>
                </m:e>
                <m:sub>
                  <m:r>
                    <w:rPr>
                      <w:rFonts w:ascii="Cambria Math" w:hAnsi="Cambria Math"/>
                      <w:lang w:val="en-ZA"/>
                    </w:rPr>
                    <m:t>a ,</m:t>
                  </m:r>
                </m:sub>
              </m:sSub>
              <m:sSub>
                <m:sSubPr>
                  <m:ctrlPr>
                    <w:rPr>
                      <w:rFonts w:ascii="Cambria Math" w:hAnsi="Cambria Math"/>
                      <w:i/>
                      <w:lang w:val="en-ZA"/>
                    </w:rPr>
                  </m:ctrlPr>
                </m:sSubPr>
                <m:e>
                  <m:r>
                    <w:rPr>
                      <w:rFonts w:ascii="Cambria Math" w:hAnsi="Cambria Math"/>
                      <w:lang w:val="en-ZA"/>
                    </w:rPr>
                    <m:t>r</m:t>
                  </m:r>
                </m:e>
                <m:sub>
                  <m:r>
                    <w:rPr>
                      <w:rFonts w:ascii="Cambria Math" w:hAnsi="Cambria Math"/>
                      <w:lang w:val="en-ZA"/>
                    </w:rPr>
                    <m:t>b)</m:t>
                  </m:r>
                </m:sub>
              </m:sSub>
            </m:num>
            <m:den>
              <m:r>
                <w:rPr>
                  <w:rFonts w:ascii="Cambria Math" w:hAnsi="Cambria Math"/>
                  <w:lang w:val="en-ZA"/>
                </w:rPr>
                <m:t>Var(</m:t>
              </m:r>
              <m:sSub>
                <m:sSubPr>
                  <m:ctrlPr>
                    <w:rPr>
                      <w:rFonts w:ascii="Cambria Math" w:hAnsi="Cambria Math"/>
                      <w:i/>
                      <w:lang w:val="en-ZA"/>
                    </w:rPr>
                  </m:ctrlPr>
                </m:sSubPr>
                <m:e>
                  <m:r>
                    <w:rPr>
                      <w:rFonts w:ascii="Cambria Math" w:hAnsi="Cambria Math"/>
                      <w:lang w:val="en-ZA"/>
                    </w:rPr>
                    <m:t>r</m:t>
                  </m:r>
                </m:e>
                <m:sub>
                  <m:r>
                    <w:rPr>
                      <w:rFonts w:ascii="Cambria Math" w:hAnsi="Cambria Math"/>
                      <w:lang w:val="en-ZA"/>
                    </w:rPr>
                    <m:t>b</m:t>
                  </m:r>
                </m:sub>
              </m:sSub>
              <m:r>
                <w:rPr>
                  <w:rFonts w:ascii="Cambria Math" w:hAnsi="Cambria Math"/>
                  <w:lang w:val="en-ZA"/>
                </w:rPr>
                <m:t>)</m:t>
              </m:r>
            </m:den>
          </m:f>
          <m:r>
            <w:rPr>
              <w:rFonts w:ascii="Cambria Math" w:hAnsi="Cambria Math"/>
              <w:lang w:val="en-ZA"/>
            </w:rPr>
            <m:t xml:space="preserve"> </m:t>
          </m:r>
        </m:oMath>
      </m:oMathPara>
    </w:p>
    <w:p w:rsidR="00B8621B" w:rsidRDefault="00B8621B" w:rsidP="00956FB3">
      <w:pPr>
        <w:pStyle w:val="NormalWeb"/>
        <w:rPr>
          <w:rFonts w:ascii="Arial" w:hAnsi="Arial"/>
          <w:lang w:val="en-ZA"/>
        </w:rPr>
      </w:pPr>
    </w:p>
    <w:p w:rsidR="00956FB3" w:rsidRPr="008633D2" w:rsidRDefault="00956FB3" w:rsidP="00956FB3">
      <w:pPr>
        <w:pStyle w:val="NormalWeb"/>
        <w:rPr>
          <w:lang w:val="en-ZA"/>
        </w:rPr>
      </w:pPr>
      <w:r w:rsidRPr="008633D2">
        <w:rPr>
          <w:rFonts w:ascii="Arial" w:hAnsi="Arial"/>
          <w:lang w:val="en-ZA"/>
        </w:rPr>
        <w:t>where</w:t>
      </w:r>
      <w:r w:rsidRPr="008633D2">
        <w:rPr>
          <w:lang w:val="en-ZA"/>
        </w:rPr>
        <w:t xml:space="preserve"> β </w:t>
      </w:r>
      <w:r w:rsidR="00B8621B">
        <w:rPr>
          <w:rFonts w:ascii="Arial" w:hAnsi="Arial"/>
          <w:lang w:val="en-ZA"/>
        </w:rPr>
        <w:t>represents b</w:t>
      </w:r>
      <w:r w:rsidRPr="008633D2">
        <w:rPr>
          <w:rFonts w:ascii="Arial" w:hAnsi="Arial"/>
          <w:lang w:val="en-ZA"/>
        </w:rPr>
        <w:t>eta,</w:t>
      </w:r>
      <w:r w:rsidRPr="008633D2">
        <w:rPr>
          <w:lang w:val="en-ZA"/>
        </w:rPr>
        <w:t xml:space="preserve"> </w:t>
      </w:r>
    </w:p>
    <w:p w:rsidR="00956FB3" w:rsidRPr="008633D2" w:rsidRDefault="00956FB3" w:rsidP="00956FB3">
      <w:pPr>
        <w:pStyle w:val="NormalWeb"/>
        <w:rPr>
          <w:rFonts w:ascii="Arial" w:hAnsi="Arial"/>
          <w:lang w:val="en-ZA"/>
        </w:rPr>
      </w:pPr>
      <w:r w:rsidRPr="008633D2">
        <w:rPr>
          <w:rFonts w:ascii="Arial" w:hAnsi="Arial"/>
          <w:lang w:val="en-ZA"/>
        </w:rPr>
        <w:tab/>
      </w:r>
      <m:oMath>
        <m:sSub>
          <m:sSubPr>
            <m:ctrlPr>
              <w:rPr>
                <w:rFonts w:ascii="Cambria Math" w:hAnsi="Cambria Math"/>
                <w:i/>
                <w:lang w:val="en-ZA"/>
              </w:rPr>
            </m:ctrlPr>
          </m:sSubPr>
          <m:e>
            <m:r>
              <w:rPr>
                <w:rFonts w:ascii="Cambria Math" w:hAnsi="Cambria Math"/>
                <w:lang w:val="en-ZA"/>
              </w:rPr>
              <m:t>r</m:t>
            </m:r>
          </m:e>
          <m:sub>
            <m:r>
              <w:rPr>
                <w:rFonts w:ascii="Cambria Math" w:hAnsi="Cambria Math"/>
                <w:lang w:val="en-ZA"/>
              </w:rPr>
              <m:t>a</m:t>
            </m:r>
          </m:sub>
        </m:sSub>
      </m:oMath>
      <w:r w:rsidRPr="008633D2">
        <w:rPr>
          <w:rFonts w:ascii="Arial" w:hAnsi="Arial"/>
          <w:lang w:val="en-ZA"/>
        </w:rPr>
        <w:t>represents an array of monthly returns of the fund for the period,</w:t>
      </w:r>
    </w:p>
    <w:p w:rsidR="00956FB3" w:rsidRPr="008633D2" w:rsidRDefault="00956FB3" w:rsidP="00956FB3">
      <w:pPr>
        <w:pStyle w:val="NormalWeb"/>
        <w:rPr>
          <w:rFonts w:ascii="Arial" w:hAnsi="Arial"/>
          <w:lang w:val="en-ZA"/>
        </w:rPr>
      </w:pPr>
      <w:r w:rsidRPr="008633D2">
        <w:rPr>
          <w:rFonts w:ascii="Arial" w:hAnsi="Arial"/>
          <w:lang w:val="en-ZA"/>
        </w:rPr>
        <w:tab/>
        <w:t>r</w:t>
      </w:r>
      <w:r w:rsidRPr="008633D2">
        <w:rPr>
          <w:rFonts w:ascii="Arial" w:hAnsi="Arial"/>
          <w:vertAlign w:val="subscript"/>
          <w:lang w:val="en-ZA"/>
        </w:rPr>
        <w:t>b</w:t>
      </w:r>
      <w:r w:rsidRPr="008633D2">
        <w:rPr>
          <w:rFonts w:ascii="Arial" w:hAnsi="Arial"/>
          <w:lang w:val="en-ZA"/>
        </w:rPr>
        <w:t xml:space="preserve"> represents an array of monthly returns of the benchmark for the period,</w:t>
      </w:r>
      <w:r w:rsidRPr="008633D2">
        <w:rPr>
          <w:rFonts w:ascii="Arial" w:hAnsi="Arial"/>
          <w:lang w:val="en-ZA"/>
        </w:rPr>
        <w:tab/>
      </w:r>
    </w:p>
    <w:p w:rsidR="00956FB3" w:rsidRPr="008633D2" w:rsidRDefault="00956FB3" w:rsidP="00956FB3">
      <w:pPr>
        <w:pStyle w:val="NormalWeb"/>
        <w:ind w:firstLine="720"/>
        <w:rPr>
          <w:rFonts w:ascii="Arial" w:hAnsi="Arial"/>
          <w:lang w:val="en-ZA"/>
        </w:rPr>
      </w:pPr>
      <m:oMath>
        <m:r>
          <w:rPr>
            <w:rFonts w:ascii="Cambria Math" w:hAnsi="Cambria Math"/>
            <w:lang w:val="en-ZA"/>
          </w:rPr>
          <m:t>Cov</m:t>
        </m:r>
      </m:oMath>
      <w:r w:rsidRPr="008633D2">
        <w:rPr>
          <w:rFonts w:ascii="Arial" w:hAnsi="Arial"/>
          <w:lang w:val="en-ZA"/>
        </w:rPr>
        <w:t xml:space="preserve"> represents the covariance measure</w:t>
      </w:r>
    </w:p>
    <w:p w:rsidR="00956FB3" w:rsidRPr="008633D2" w:rsidRDefault="00956FB3" w:rsidP="00956FB3">
      <w:pPr>
        <w:pStyle w:val="NormalWeb"/>
        <w:rPr>
          <w:rFonts w:ascii="Arial" w:hAnsi="Arial"/>
          <w:lang w:val="en-ZA"/>
        </w:rPr>
      </w:pPr>
      <w:r w:rsidRPr="008633D2">
        <w:rPr>
          <w:rFonts w:ascii="Arial" w:hAnsi="Arial"/>
          <w:lang w:val="en-ZA"/>
        </w:rPr>
        <w:t>and</w:t>
      </w:r>
      <w:r w:rsidRPr="008633D2">
        <w:rPr>
          <w:rFonts w:ascii="Arial" w:hAnsi="Arial"/>
          <w:lang w:val="en-ZA"/>
        </w:rPr>
        <w:tab/>
      </w:r>
      <m:oMath>
        <m:r>
          <w:rPr>
            <w:rFonts w:ascii="Cambria Math" w:hAnsi="Cambria Math"/>
            <w:lang w:val="en-ZA"/>
          </w:rPr>
          <m:t>Var</m:t>
        </m:r>
      </m:oMath>
      <w:r w:rsidRPr="008633D2">
        <w:rPr>
          <w:rFonts w:ascii="Arial" w:hAnsi="Arial"/>
          <w:lang w:val="en-ZA"/>
        </w:rPr>
        <w:t xml:space="preserve"> represents the </w:t>
      </w:r>
      <w:r w:rsidR="00B8621B">
        <w:rPr>
          <w:rFonts w:ascii="Arial" w:hAnsi="Arial"/>
          <w:lang w:val="en-ZA"/>
        </w:rPr>
        <w:t>v</w:t>
      </w:r>
      <w:r w:rsidRPr="008633D2">
        <w:rPr>
          <w:rFonts w:ascii="Arial" w:hAnsi="Arial"/>
          <w:lang w:val="en-ZA"/>
        </w:rPr>
        <w:t>ariance measure.</w:t>
      </w:r>
    </w:p>
    <w:p w:rsidR="00956FB3" w:rsidRPr="008633D2" w:rsidRDefault="00956FB3" w:rsidP="00956FB3">
      <w:pPr>
        <w:rPr>
          <w:lang w:val="en-ZA"/>
        </w:rPr>
      </w:pPr>
    </w:p>
    <w:p w:rsidR="00195AF0" w:rsidRPr="008633D2" w:rsidRDefault="00195AF0" w:rsidP="00D06992">
      <w:pPr>
        <w:pStyle w:val="Heading3"/>
        <w:rPr>
          <w:color w:val="333399"/>
          <w:lang w:val="en-ZA"/>
        </w:rPr>
      </w:pPr>
      <w:bookmarkStart w:id="184" w:name="_Toc458610801"/>
      <w:r w:rsidRPr="008633D2">
        <w:rPr>
          <w:lang w:val="en-ZA"/>
        </w:rPr>
        <w:t>Select the male managed</w:t>
      </w:r>
      <w:r w:rsidR="00BC3347" w:rsidRPr="008633D2">
        <w:rPr>
          <w:lang w:val="en-ZA"/>
        </w:rPr>
        <w:t xml:space="preserve"> funds to use in the comparison</w:t>
      </w:r>
      <w:bookmarkEnd w:id="184"/>
      <w:r w:rsidRPr="008633D2">
        <w:rPr>
          <w:lang w:val="en-ZA"/>
        </w:rPr>
        <w:t xml:space="preserve"> </w:t>
      </w:r>
    </w:p>
    <w:p w:rsidR="00956FB3" w:rsidRPr="008633D2" w:rsidRDefault="00956FB3" w:rsidP="00956FB3">
      <w:pPr>
        <w:rPr>
          <w:lang w:val="en-ZA"/>
        </w:rPr>
      </w:pPr>
      <w:r w:rsidRPr="008633D2">
        <w:rPr>
          <w:lang w:val="en-ZA"/>
        </w:rPr>
        <w:t>To compare the performance of female managed funds to male managed funds in South Africa, each female managed fund identified in section 3.3.2, need</w:t>
      </w:r>
      <w:r w:rsidR="00C12A9F">
        <w:rPr>
          <w:lang w:val="en-ZA"/>
        </w:rPr>
        <w:t>ed</w:t>
      </w:r>
      <w:r w:rsidRPr="008633D2">
        <w:rPr>
          <w:lang w:val="en-ZA"/>
        </w:rPr>
        <w:t xml:space="preserve"> to be matched with a </w:t>
      </w:r>
      <w:r w:rsidR="005262B5">
        <w:rPr>
          <w:lang w:val="en-ZA"/>
        </w:rPr>
        <w:t xml:space="preserve">comparable </w:t>
      </w:r>
      <w:r w:rsidRPr="008633D2">
        <w:rPr>
          <w:lang w:val="en-ZA"/>
        </w:rPr>
        <w:t>male managed fund</w:t>
      </w:r>
      <w:r w:rsidR="00CC6274" w:rsidRPr="008633D2">
        <w:rPr>
          <w:lang w:val="en-ZA"/>
        </w:rPr>
        <w:t xml:space="preserve">. </w:t>
      </w:r>
      <w:r w:rsidRPr="008633D2">
        <w:rPr>
          <w:lang w:val="en-ZA"/>
        </w:rPr>
        <w:t xml:space="preserve">Funds </w:t>
      </w:r>
      <w:r w:rsidR="00C12A9F">
        <w:rPr>
          <w:lang w:val="en-ZA"/>
        </w:rPr>
        <w:t>we</w:t>
      </w:r>
      <w:r w:rsidR="005262B5">
        <w:rPr>
          <w:lang w:val="en-ZA"/>
        </w:rPr>
        <w:t xml:space="preserve">re </w:t>
      </w:r>
      <w:r w:rsidRPr="008633D2">
        <w:rPr>
          <w:lang w:val="en-ZA"/>
        </w:rPr>
        <w:t>matched according to strict criteri</w:t>
      </w:r>
      <w:r w:rsidR="00C12A9F">
        <w:rPr>
          <w:lang w:val="en-ZA"/>
        </w:rPr>
        <w:t>a</w:t>
      </w:r>
      <w:r w:rsidRPr="008633D2">
        <w:rPr>
          <w:lang w:val="en-ZA"/>
        </w:rPr>
        <w:t xml:space="preserve"> </w:t>
      </w:r>
      <w:r w:rsidR="005262B5">
        <w:rPr>
          <w:lang w:val="en-ZA"/>
        </w:rPr>
        <w:t>to ensure that th</w:t>
      </w:r>
      <w:r w:rsidRPr="008633D2">
        <w:rPr>
          <w:lang w:val="en-ZA"/>
        </w:rPr>
        <w:t xml:space="preserve">e results </w:t>
      </w:r>
      <w:r w:rsidR="005262B5">
        <w:rPr>
          <w:lang w:val="en-ZA"/>
        </w:rPr>
        <w:t>produced is</w:t>
      </w:r>
      <w:r w:rsidRPr="008633D2">
        <w:rPr>
          <w:lang w:val="en-ZA"/>
        </w:rPr>
        <w:t xml:space="preserve"> robust. </w:t>
      </w:r>
    </w:p>
    <w:p w:rsidR="0046753E" w:rsidRDefault="0046753E" w:rsidP="00956FB3">
      <w:pPr>
        <w:rPr>
          <w:lang w:val="en-ZA"/>
        </w:rPr>
      </w:pPr>
    </w:p>
    <w:p w:rsidR="00956FB3" w:rsidRPr="008633D2" w:rsidRDefault="00956FB3" w:rsidP="00956FB3">
      <w:pPr>
        <w:rPr>
          <w:lang w:val="en-ZA"/>
        </w:rPr>
      </w:pPr>
      <w:r w:rsidRPr="008633D2">
        <w:rPr>
          <w:lang w:val="en-ZA"/>
        </w:rPr>
        <w:t>The criteri</w:t>
      </w:r>
      <w:r w:rsidR="00C12A9F">
        <w:rPr>
          <w:lang w:val="en-ZA"/>
        </w:rPr>
        <w:t>a</w:t>
      </w:r>
      <w:r w:rsidRPr="008633D2">
        <w:rPr>
          <w:lang w:val="en-ZA"/>
        </w:rPr>
        <w:t xml:space="preserve"> used in this research for matching </w:t>
      </w:r>
      <w:r w:rsidR="005262B5">
        <w:rPr>
          <w:lang w:val="en-ZA"/>
        </w:rPr>
        <w:t xml:space="preserve">two </w:t>
      </w:r>
      <w:r w:rsidRPr="008633D2">
        <w:rPr>
          <w:lang w:val="en-ZA"/>
        </w:rPr>
        <w:t xml:space="preserve">funds is: </w:t>
      </w:r>
    </w:p>
    <w:p w:rsidR="00956FB3" w:rsidRPr="008633D2" w:rsidRDefault="00956FB3" w:rsidP="005E5901">
      <w:pPr>
        <w:pStyle w:val="ListParagraph"/>
        <w:numPr>
          <w:ilvl w:val="0"/>
          <w:numId w:val="16"/>
        </w:numPr>
        <w:rPr>
          <w:lang w:val="en-ZA"/>
        </w:rPr>
      </w:pPr>
      <w:r w:rsidRPr="008633D2">
        <w:rPr>
          <w:lang w:val="en-ZA"/>
        </w:rPr>
        <w:t>Funds belong to the same ASISA sector</w:t>
      </w:r>
    </w:p>
    <w:p w:rsidR="00956FB3" w:rsidRPr="008633D2" w:rsidRDefault="00956FB3" w:rsidP="005E5901">
      <w:pPr>
        <w:pStyle w:val="ListParagraph"/>
        <w:numPr>
          <w:ilvl w:val="0"/>
          <w:numId w:val="16"/>
        </w:numPr>
        <w:rPr>
          <w:lang w:val="en-ZA"/>
        </w:rPr>
      </w:pPr>
      <w:r w:rsidRPr="008633D2">
        <w:rPr>
          <w:lang w:val="en-ZA"/>
        </w:rPr>
        <w:t>Funds have the same</w:t>
      </w:r>
      <w:r w:rsidR="005262B5">
        <w:rPr>
          <w:lang w:val="en-ZA"/>
        </w:rPr>
        <w:t xml:space="preserve"> or the closest possible </w:t>
      </w:r>
      <w:r w:rsidRPr="008633D2">
        <w:rPr>
          <w:lang w:val="en-ZA"/>
        </w:rPr>
        <w:t xml:space="preserve">beta </w:t>
      </w:r>
    </w:p>
    <w:p w:rsidR="00956FB3" w:rsidRPr="008633D2" w:rsidRDefault="00956FB3" w:rsidP="005E5901">
      <w:pPr>
        <w:pStyle w:val="ListParagraph"/>
        <w:numPr>
          <w:ilvl w:val="0"/>
          <w:numId w:val="16"/>
        </w:numPr>
        <w:rPr>
          <w:lang w:val="en-ZA"/>
        </w:rPr>
      </w:pPr>
      <w:r w:rsidRPr="008633D2">
        <w:rPr>
          <w:lang w:val="en-ZA"/>
        </w:rPr>
        <w:t xml:space="preserve">Funds </w:t>
      </w:r>
      <w:r w:rsidR="005262B5" w:rsidRPr="008633D2">
        <w:rPr>
          <w:lang w:val="en-ZA"/>
        </w:rPr>
        <w:t>have the same</w:t>
      </w:r>
      <w:r w:rsidR="005262B5">
        <w:rPr>
          <w:lang w:val="en-ZA"/>
        </w:rPr>
        <w:t xml:space="preserve"> or the closest possible</w:t>
      </w:r>
      <w:r w:rsidRPr="008633D2">
        <w:rPr>
          <w:lang w:val="en-ZA"/>
        </w:rPr>
        <w:t xml:space="preserve"> manager tenures</w:t>
      </w:r>
    </w:p>
    <w:p w:rsidR="00956FB3" w:rsidRDefault="00956FB3" w:rsidP="005E5901">
      <w:pPr>
        <w:pStyle w:val="ListParagraph"/>
        <w:numPr>
          <w:ilvl w:val="0"/>
          <w:numId w:val="16"/>
        </w:numPr>
        <w:rPr>
          <w:lang w:val="en-ZA"/>
        </w:rPr>
      </w:pPr>
      <w:r w:rsidRPr="008633D2">
        <w:rPr>
          <w:lang w:val="en-ZA"/>
        </w:rPr>
        <w:t xml:space="preserve">Funds </w:t>
      </w:r>
      <w:r w:rsidR="005262B5" w:rsidRPr="008633D2">
        <w:rPr>
          <w:lang w:val="en-ZA"/>
        </w:rPr>
        <w:t>have the same</w:t>
      </w:r>
      <w:r w:rsidR="005262B5">
        <w:rPr>
          <w:lang w:val="en-ZA"/>
        </w:rPr>
        <w:t xml:space="preserve"> or the closest possible </w:t>
      </w:r>
      <w:r w:rsidRPr="008633D2">
        <w:rPr>
          <w:lang w:val="en-ZA"/>
        </w:rPr>
        <w:t>fund sizes</w:t>
      </w:r>
    </w:p>
    <w:p w:rsidR="0046753E" w:rsidRDefault="0046753E" w:rsidP="00956FB3">
      <w:pPr>
        <w:rPr>
          <w:lang w:val="en-ZA"/>
        </w:rPr>
      </w:pPr>
    </w:p>
    <w:p w:rsidR="00956FB3" w:rsidRPr="008633D2" w:rsidRDefault="00956FB3" w:rsidP="00956FB3">
      <w:pPr>
        <w:rPr>
          <w:lang w:val="en-ZA"/>
        </w:rPr>
      </w:pPr>
      <w:r w:rsidRPr="008633D2">
        <w:rPr>
          <w:lang w:val="en-ZA"/>
        </w:rPr>
        <w:t xml:space="preserve">Note that the criteria </w:t>
      </w:r>
      <w:r w:rsidR="00527456">
        <w:rPr>
          <w:lang w:val="en-ZA"/>
        </w:rPr>
        <w:t>were</w:t>
      </w:r>
      <w:r w:rsidRPr="008633D2">
        <w:rPr>
          <w:lang w:val="en-ZA"/>
        </w:rPr>
        <w:t xml:space="preserve"> applied in </w:t>
      </w:r>
      <w:r w:rsidR="005262B5">
        <w:rPr>
          <w:lang w:val="en-ZA"/>
        </w:rPr>
        <w:t xml:space="preserve">the </w:t>
      </w:r>
      <w:r w:rsidRPr="008633D2">
        <w:rPr>
          <w:lang w:val="en-ZA"/>
        </w:rPr>
        <w:t xml:space="preserve">order </w:t>
      </w:r>
      <w:r w:rsidR="005262B5">
        <w:rPr>
          <w:lang w:val="en-ZA"/>
        </w:rPr>
        <w:t xml:space="preserve">it is presented above </w:t>
      </w:r>
      <w:r w:rsidRPr="008633D2">
        <w:rPr>
          <w:lang w:val="en-ZA"/>
        </w:rPr>
        <w:t xml:space="preserve">and not all criteria may always </w:t>
      </w:r>
      <w:r w:rsidR="00C12A9F">
        <w:rPr>
          <w:lang w:val="en-ZA"/>
        </w:rPr>
        <w:t xml:space="preserve">have </w:t>
      </w:r>
      <w:r w:rsidRPr="008633D2">
        <w:rPr>
          <w:lang w:val="en-ZA"/>
        </w:rPr>
        <w:t>be</w:t>
      </w:r>
      <w:r w:rsidR="00C12A9F">
        <w:rPr>
          <w:lang w:val="en-ZA"/>
        </w:rPr>
        <w:t>en</w:t>
      </w:r>
      <w:r w:rsidRPr="008633D2">
        <w:rPr>
          <w:lang w:val="en-ZA"/>
        </w:rPr>
        <w:t xml:space="preserve"> satisfied</w:t>
      </w:r>
      <w:r w:rsidR="00CC6274" w:rsidRPr="008633D2">
        <w:rPr>
          <w:lang w:val="en-ZA"/>
        </w:rPr>
        <w:t xml:space="preserve">. </w:t>
      </w:r>
      <w:r w:rsidRPr="008633D2">
        <w:rPr>
          <w:lang w:val="en-ZA"/>
        </w:rPr>
        <w:t xml:space="preserve">Criteria 1 </w:t>
      </w:r>
      <w:r w:rsidR="005262B5">
        <w:rPr>
          <w:lang w:val="en-ZA"/>
        </w:rPr>
        <w:t>must</w:t>
      </w:r>
      <w:r w:rsidRPr="008633D2">
        <w:rPr>
          <w:lang w:val="en-ZA"/>
        </w:rPr>
        <w:t xml:space="preserve"> always </w:t>
      </w:r>
      <w:r w:rsidR="00C12A9F">
        <w:rPr>
          <w:lang w:val="en-ZA"/>
        </w:rPr>
        <w:t xml:space="preserve">have </w:t>
      </w:r>
      <w:r w:rsidRPr="008633D2">
        <w:rPr>
          <w:lang w:val="en-ZA"/>
        </w:rPr>
        <w:t>be</w:t>
      </w:r>
      <w:r w:rsidR="00C12A9F">
        <w:rPr>
          <w:lang w:val="en-ZA"/>
        </w:rPr>
        <w:t>en</w:t>
      </w:r>
      <w:r w:rsidRPr="008633D2">
        <w:rPr>
          <w:lang w:val="en-ZA"/>
        </w:rPr>
        <w:t xml:space="preserve"> satisfied. </w:t>
      </w:r>
      <w:r w:rsidR="005262B5">
        <w:rPr>
          <w:lang w:val="en-ZA"/>
        </w:rPr>
        <w:t>For c</w:t>
      </w:r>
      <w:r w:rsidRPr="008633D2">
        <w:rPr>
          <w:lang w:val="en-ZA"/>
        </w:rPr>
        <w:t>ases in which more than one male managed fund satisfies criteria 2,</w:t>
      </w:r>
      <w:r w:rsidR="005262B5">
        <w:rPr>
          <w:lang w:val="en-ZA"/>
        </w:rPr>
        <w:t xml:space="preserve"> </w:t>
      </w:r>
      <w:r w:rsidR="00896874" w:rsidRPr="008633D2">
        <w:rPr>
          <w:lang w:val="en-ZA"/>
        </w:rPr>
        <w:t xml:space="preserve">criteria 3 </w:t>
      </w:r>
      <w:r w:rsidR="005262B5">
        <w:rPr>
          <w:lang w:val="en-ZA"/>
        </w:rPr>
        <w:t xml:space="preserve">must </w:t>
      </w:r>
      <w:r w:rsidR="00C12A9F">
        <w:rPr>
          <w:lang w:val="en-ZA"/>
        </w:rPr>
        <w:t xml:space="preserve">have </w:t>
      </w:r>
      <w:r w:rsidR="005262B5">
        <w:rPr>
          <w:lang w:val="en-ZA"/>
        </w:rPr>
        <w:t>be</w:t>
      </w:r>
      <w:r w:rsidR="00C12A9F">
        <w:rPr>
          <w:lang w:val="en-ZA"/>
        </w:rPr>
        <w:t>en</w:t>
      </w:r>
      <w:r w:rsidR="00896874" w:rsidRPr="008633D2">
        <w:rPr>
          <w:lang w:val="en-ZA"/>
        </w:rPr>
        <w:t xml:space="preserve"> ap</w:t>
      </w:r>
      <w:r w:rsidR="005262B5">
        <w:rPr>
          <w:lang w:val="en-ZA"/>
        </w:rPr>
        <w:t xml:space="preserve">plied, should more than one male managed fund satisfy criteria 3, criteria 4 should </w:t>
      </w:r>
      <w:r w:rsidR="00C12A9F">
        <w:rPr>
          <w:lang w:val="en-ZA"/>
        </w:rPr>
        <w:t xml:space="preserve">have </w:t>
      </w:r>
      <w:r w:rsidR="005262B5">
        <w:rPr>
          <w:lang w:val="en-ZA"/>
        </w:rPr>
        <w:t>be</w:t>
      </w:r>
      <w:r w:rsidR="00C12A9F">
        <w:rPr>
          <w:lang w:val="en-ZA"/>
        </w:rPr>
        <w:t>en</w:t>
      </w:r>
      <w:r w:rsidR="005262B5">
        <w:rPr>
          <w:lang w:val="en-ZA"/>
        </w:rPr>
        <w:t xml:space="preserve"> applied. </w:t>
      </w:r>
    </w:p>
    <w:p w:rsidR="00195AF0" w:rsidRPr="008633D2" w:rsidRDefault="00195AF0" w:rsidP="00195AF0">
      <w:pPr>
        <w:pStyle w:val="ListParagraph"/>
        <w:ind w:left="783"/>
        <w:rPr>
          <w:lang w:val="en-ZA"/>
        </w:rPr>
      </w:pPr>
    </w:p>
    <w:p w:rsidR="00195AF0" w:rsidRPr="008633D2" w:rsidRDefault="00DE7D6F" w:rsidP="00D06992">
      <w:pPr>
        <w:pStyle w:val="Heading3"/>
        <w:rPr>
          <w:color w:val="333399"/>
          <w:lang w:val="en-ZA"/>
        </w:rPr>
      </w:pPr>
      <w:bookmarkStart w:id="185" w:name="_Toc458610802"/>
      <w:r>
        <w:rPr>
          <w:lang w:val="en-ZA"/>
        </w:rPr>
        <w:t>C</w:t>
      </w:r>
      <w:r w:rsidR="00195AF0" w:rsidRPr="008633D2">
        <w:rPr>
          <w:lang w:val="en-ZA"/>
        </w:rPr>
        <w:t xml:space="preserve">ompare the performance of the </w:t>
      </w:r>
      <w:r w:rsidR="00BC3347" w:rsidRPr="008633D2">
        <w:rPr>
          <w:lang w:val="en-ZA"/>
        </w:rPr>
        <w:t xml:space="preserve">selected </w:t>
      </w:r>
      <w:r w:rsidR="00195AF0" w:rsidRPr="008633D2">
        <w:rPr>
          <w:lang w:val="en-ZA"/>
        </w:rPr>
        <w:t>unit trusts</w:t>
      </w:r>
      <w:bookmarkEnd w:id="185"/>
    </w:p>
    <w:p w:rsidR="0098261F" w:rsidRDefault="00195AF0" w:rsidP="00956FB3">
      <w:pPr>
        <w:rPr>
          <w:lang w:val="en-ZA"/>
        </w:rPr>
      </w:pPr>
      <w:r w:rsidRPr="008633D2">
        <w:rPr>
          <w:lang w:val="en-ZA"/>
        </w:rPr>
        <w:t>Once each of the selected female managed funds ha</w:t>
      </w:r>
      <w:r w:rsidR="00C12A9F">
        <w:rPr>
          <w:lang w:val="en-ZA"/>
        </w:rPr>
        <w:t>d</w:t>
      </w:r>
      <w:r w:rsidRPr="008633D2">
        <w:rPr>
          <w:lang w:val="en-ZA"/>
        </w:rPr>
        <w:t xml:space="preserve"> a corresponding male managed fund, the performance of those fund</w:t>
      </w:r>
      <w:r w:rsidR="00896874" w:rsidRPr="008633D2">
        <w:rPr>
          <w:lang w:val="en-ZA"/>
        </w:rPr>
        <w:t>s c</w:t>
      </w:r>
      <w:r w:rsidR="00C12A9F">
        <w:rPr>
          <w:lang w:val="en-ZA"/>
        </w:rPr>
        <w:t>ould</w:t>
      </w:r>
      <w:r w:rsidR="00896874" w:rsidRPr="008633D2">
        <w:rPr>
          <w:lang w:val="en-ZA"/>
        </w:rPr>
        <w:t xml:space="preserve"> be compared to each other. The performance </w:t>
      </w:r>
      <w:r w:rsidR="00C12A9F">
        <w:rPr>
          <w:lang w:val="en-ZA"/>
        </w:rPr>
        <w:t>was</w:t>
      </w:r>
      <w:r w:rsidR="00896874" w:rsidRPr="008633D2">
        <w:rPr>
          <w:lang w:val="en-ZA"/>
        </w:rPr>
        <w:t xml:space="preserve"> represented by the annualised returns over the last one, three, five and ten </w:t>
      </w:r>
      <w:r w:rsidRPr="008633D2">
        <w:rPr>
          <w:lang w:val="en-ZA"/>
        </w:rPr>
        <w:t xml:space="preserve">years. In each </w:t>
      </w:r>
      <w:r w:rsidR="00CC6274" w:rsidRPr="008633D2">
        <w:rPr>
          <w:lang w:val="en-ZA"/>
        </w:rPr>
        <w:t>instance,</w:t>
      </w:r>
      <w:r w:rsidRPr="008633D2">
        <w:rPr>
          <w:lang w:val="en-ZA"/>
        </w:rPr>
        <w:t xml:space="preserve"> the fund with the greater performance w</w:t>
      </w:r>
      <w:r w:rsidR="00C12A9F">
        <w:rPr>
          <w:lang w:val="en-ZA"/>
        </w:rPr>
        <w:t>as</w:t>
      </w:r>
      <w:r w:rsidRPr="008633D2">
        <w:rPr>
          <w:lang w:val="en-ZA"/>
        </w:rPr>
        <w:t xml:space="preserve"> flagged and the percentage difference w</w:t>
      </w:r>
      <w:r w:rsidR="00C12A9F">
        <w:rPr>
          <w:lang w:val="en-ZA"/>
        </w:rPr>
        <w:t>as</w:t>
      </w:r>
      <w:r w:rsidRPr="008633D2">
        <w:rPr>
          <w:lang w:val="en-ZA"/>
        </w:rPr>
        <w:t xml:space="preserve"> noted. </w:t>
      </w:r>
      <w:r w:rsidR="001B6637">
        <w:rPr>
          <w:lang w:val="en-ZA"/>
        </w:rPr>
        <w:t>In order to</w:t>
      </w:r>
      <w:r w:rsidR="0090421F">
        <w:rPr>
          <w:lang w:val="en-ZA"/>
        </w:rPr>
        <w:t xml:space="preserve"> ensure that the results produced are statistically significant the </w:t>
      </w:r>
      <w:r w:rsidR="001B6637">
        <w:rPr>
          <w:lang w:val="en-ZA"/>
        </w:rPr>
        <w:t xml:space="preserve">null hypotheses described in sections 2.4.1 to 2.4.3 </w:t>
      </w:r>
      <w:r w:rsidR="0098261F">
        <w:rPr>
          <w:lang w:val="en-ZA"/>
        </w:rPr>
        <w:t>was either</w:t>
      </w:r>
      <w:r w:rsidR="0090421F">
        <w:rPr>
          <w:lang w:val="en-ZA"/>
        </w:rPr>
        <w:t xml:space="preserve"> rejected or accepted</w:t>
      </w:r>
      <w:r w:rsidR="0098261F">
        <w:rPr>
          <w:lang w:val="en-ZA"/>
        </w:rPr>
        <w:t xml:space="preserve"> and a conclusion thereby drawn</w:t>
      </w:r>
      <w:r w:rsidR="0090421F">
        <w:rPr>
          <w:lang w:val="en-ZA"/>
        </w:rPr>
        <w:t xml:space="preserve">. </w:t>
      </w:r>
    </w:p>
    <w:p w:rsidR="0098261F" w:rsidRDefault="0098261F" w:rsidP="00956FB3">
      <w:pPr>
        <w:rPr>
          <w:lang w:val="en-ZA"/>
        </w:rPr>
      </w:pPr>
    </w:p>
    <w:p w:rsidR="00DA23CB" w:rsidRDefault="0098261F" w:rsidP="00956FB3">
      <w:pPr>
        <w:rPr>
          <w:lang w:val="en-ZA"/>
        </w:rPr>
      </w:pPr>
      <w:r>
        <w:rPr>
          <w:lang w:val="en-ZA"/>
        </w:rPr>
        <w:t xml:space="preserve">In </w:t>
      </w:r>
      <w:r w:rsidR="0090421F">
        <w:rPr>
          <w:lang w:val="en-ZA"/>
        </w:rPr>
        <w:t>the</w:t>
      </w:r>
      <w:r>
        <w:rPr>
          <w:lang w:val="en-ZA"/>
        </w:rPr>
        <w:t xml:space="preserve"> case of the</w:t>
      </w:r>
      <w:r w:rsidR="0090421F">
        <w:rPr>
          <w:lang w:val="en-ZA"/>
        </w:rPr>
        <w:t xml:space="preserve"> null hypotheses be</w:t>
      </w:r>
      <w:r>
        <w:rPr>
          <w:lang w:val="en-ZA"/>
        </w:rPr>
        <w:t>ing</w:t>
      </w:r>
      <w:r w:rsidR="0090421F">
        <w:rPr>
          <w:lang w:val="en-ZA"/>
        </w:rPr>
        <w:t xml:space="preserve"> rejected, the alternate hypotheses may be accepted. A </w:t>
      </w:r>
      <w:r w:rsidR="00F906EB">
        <w:rPr>
          <w:lang w:val="en-ZA"/>
        </w:rPr>
        <w:t>separate-</w:t>
      </w:r>
      <w:r w:rsidR="00FA1F4F">
        <w:rPr>
          <w:lang w:val="en-ZA"/>
        </w:rPr>
        <w:t xml:space="preserve">variance </w:t>
      </w:r>
      <w:r w:rsidR="0090421F">
        <w:rPr>
          <w:lang w:val="en-ZA"/>
        </w:rPr>
        <w:t>t-</w:t>
      </w:r>
      <w:r w:rsidR="00FA1F4F">
        <w:rPr>
          <w:lang w:val="en-ZA"/>
        </w:rPr>
        <w:t>test</w:t>
      </w:r>
      <w:r w:rsidR="0090421F">
        <w:rPr>
          <w:lang w:val="en-ZA"/>
        </w:rPr>
        <w:t xml:space="preserve"> w</w:t>
      </w:r>
      <w:r w:rsidR="00C12A9F">
        <w:rPr>
          <w:lang w:val="en-ZA"/>
        </w:rPr>
        <w:t>as</w:t>
      </w:r>
      <w:r w:rsidR="0090421F">
        <w:rPr>
          <w:lang w:val="en-ZA"/>
        </w:rPr>
        <w:t xml:space="preserve"> used to conduct the hypothesis test for each of the hypotheses defined in the previous sections. The p-value approach w</w:t>
      </w:r>
      <w:r w:rsidR="00C12A9F">
        <w:rPr>
          <w:lang w:val="en-ZA"/>
        </w:rPr>
        <w:t>as</w:t>
      </w:r>
      <w:r w:rsidR="0090421F">
        <w:rPr>
          <w:lang w:val="en-ZA"/>
        </w:rPr>
        <w:t xml:space="preserve"> then followed to determine the significance of the result. The significance level for all tests done in this research is set to 0.05. </w:t>
      </w:r>
    </w:p>
    <w:p w:rsidR="0090421F" w:rsidRPr="00F906EB" w:rsidRDefault="0090421F" w:rsidP="00956FB3">
      <w:pPr>
        <w:rPr>
          <w:lang w:val="en-ZA"/>
        </w:rPr>
      </w:pPr>
    </w:p>
    <w:p w:rsidR="0090421F" w:rsidRDefault="0090421F" w:rsidP="00956FB3">
      <w:pPr>
        <w:rPr>
          <w:lang w:val="en-ZA"/>
        </w:rPr>
      </w:pPr>
      <w:r w:rsidRPr="00F906EB">
        <w:rPr>
          <w:lang w:val="en-ZA"/>
        </w:rPr>
        <w:t>The equation used to calculate the t-</w:t>
      </w:r>
      <w:r w:rsidR="00FA1F4F" w:rsidRPr="00F906EB">
        <w:rPr>
          <w:lang w:val="en-ZA"/>
        </w:rPr>
        <w:t>test</w:t>
      </w:r>
      <w:r w:rsidRPr="00F906EB">
        <w:rPr>
          <w:lang w:val="en-ZA"/>
        </w:rPr>
        <w:t xml:space="preserve"> is</w:t>
      </w:r>
      <w:r w:rsidR="002F67C5">
        <w:rPr>
          <w:lang w:val="en-ZA"/>
        </w:rPr>
        <w:t xml:space="preserve"> presented below and has been adapted from </w:t>
      </w:r>
      <w:r w:rsidR="002F67C5">
        <w:rPr>
          <w:noProof/>
          <w:lang w:val="en-US"/>
        </w:rPr>
        <w:t xml:space="preserve">Berenson, Levine and Krehbiel </w:t>
      </w:r>
      <w:r w:rsidR="002F67C5">
        <w:rPr>
          <w:lang w:val="en-ZA"/>
        </w:rPr>
        <w:t xml:space="preserve"> </w:t>
      </w:r>
      <w:sdt>
        <w:sdtPr>
          <w:rPr>
            <w:lang w:val="en-ZA"/>
          </w:rPr>
          <w:id w:val="-643971850"/>
          <w:citation/>
        </w:sdtPr>
        <w:sdtEndPr/>
        <w:sdtContent>
          <w:r w:rsidR="002F67C5">
            <w:rPr>
              <w:lang w:val="en-ZA"/>
            </w:rPr>
            <w:fldChar w:fldCharType="begin"/>
          </w:r>
          <w:r w:rsidR="005B7BCE">
            <w:rPr>
              <w:lang w:val="en-US"/>
            </w:rPr>
            <w:instrText xml:space="preserve">CITATION Ber09 \n  \t  \l 1033 </w:instrText>
          </w:r>
          <w:r w:rsidR="002F67C5">
            <w:rPr>
              <w:lang w:val="en-ZA"/>
            </w:rPr>
            <w:fldChar w:fldCharType="separate"/>
          </w:r>
          <w:r w:rsidR="005B7BCE">
            <w:rPr>
              <w:noProof/>
              <w:lang w:val="en-US"/>
            </w:rPr>
            <w:t>(2009)</w:t>
          </w:r>
          <w:r w:rsidR="002F67C5">
            <w:rPr>
              <w:lang w:val="en-ZA"/>
            </w:rPr>
            <w:fldChar w:fldCharType="end"/>
          </w:r>
        </w:sdtContent>
      </w:sdt>
      <w:r w:rsidRPr="00F906EB">
        <w:rPr>
          <w:lang w:val="en-ZA"/>
        </w:rPr>
        <w:t xml:space="preserve"> :</w:t>
      </w:r>
    </w:p>
    <w:p w:rsidR="000F0BEF" w:rsidRPr="00F906EB" w:rsidRDefault="000F0BEF" w:rsidP="00956FB3">
      <w:pPr>
        <w:rPr>
          <w:lang w:val="en-ZA"/>
        </w:rPr>
      </w:pPr>
    </w:p>
    <w:p w:rsidR="0090421F" w:rsidRPr="000F0BEF" w:rsidRDefault="003323B7" w:rsidP="00956FB3">
      <w:pPr>
        <w:rPr>
          <w:lang w:val="en-ZA"/>
        </w:rPr>
      </w:pPr>
      <m:oMathPara>
        <m:oMath>
          <m:sSub>
            <m:sSubPr>
              <m:ctrlPr>
                <w:rPr>
                  <w:rFonts w:ascii="Cambria Math" w:hAnsi="Cambria Math"/>
                  <w:i/>
                  <w:lang w:val="en-ZA"/>
                </w:rPr>
              </m:ctrlPr>
            </m:sSubPr>
            <m:e>
              <m:r>
                <w:rPr>
                  <w:rFonts w:ascii="Cambria Math" w:hAnsi="Cambria Math"/>
                  <w:lang w:val="en-ZA"/>
                </w:rPr>
                <m:t>t</m:t>
              </m:r>
            </m:e>
            <m:sub>
              <m:r>
                <w:rPr>
                  <w:rFonts w:ascii="Cambria Math" w:hAnsi="Cambria Math"/>
                  <w:lang w:val="en-ZA"/>
                </w:rPr>
                <m:t>STAT</m:t>
              </m:r>
            </m:sub>
          </m:sSub>
          <m:r>
            <w:rPr>
              <w:rFonts w:ascii="Cambria Math" w:hAnsi="Cambria Math"/>
              <w:lang w:val="en-ZA"/>
            </w:rPr>
            <m:t xml:space="preserve"> = </m:t>
          </m:r>
          <m:f>
            <m:fPr>
              <m:ctrlPr>
                <w:rPr>
                  <w:rFonts w:ascii="Cambria Math" w:hAnsi="Cambria Math"/>
                  <w:i/>
                  <w:lang w:val="en-ZA"/>
                </w:rPr>
              </m:ctrlPr>
            </m:fPr>
            <m:num>
              <m:r>
                <w:rPr>
                  <w:rFonts w:ascii="Cambria Math" w:hAnsi="Cambria Math"/>
                  <w:lang w:val="en-ZA"/>
                </w:rPr>
                <m:t>(</m:t>
              </m:r>
              <m:sSub>
                <m:sSubPr>
                  <m:ctrlPr>
                    <w:rPr>
                      <w:rFonts w:ascii="Cambria Math" w:hAnsi="Cambria Math"/>
                      <w:i/>
                      <w:lang w:val="en-ZA"/>
                    </w:rPr>
                  </m:ctrlPr>
                </m:sSubPr>
                <m:e>
                  <m:acc>
                    <m:accPr>
                      <m:chr m:val="̅"/>
                      <m:ctrlPr>
                        <w:rPr>
                          <w:rFonts w:ascii="Cambria Math" w:hAnsi="Cambria Math"/>
                          <w:i/>
                          <w:lang w:val="en-ZA"/>
                        </w:rPr>
                      </m:ctrlPr>
                    </m:accPr>
                    <m:e>
                      <m:r>
                        <w:rPr>
                          <w:rFonts w:ascii="Cambria Math" w:hAnsi="Cambria Math"/>
                          <w:lang w:val="en-ZA"/>
                        </w:rPr>
                        <m:t>x</m:t>
                      </m:r>
                    </m:e>
                  </m:acc>
                </m:e>
                <m:sub>
                  <m:r>
                    <w:rPr>
                      <w:rFonts w:ascii="Cambria Math" w:hAnsi="Cambria Math"/>
                      <w:lang w:val="en-ZA"/>
                    </w:rPr>
                    <m:t>m</m:t>
                  </m:r>
                </m:sub>
              </m:sSub>
              <m:r>
                <w:rPr>
                  <w:rFonts w:ascii="Cambria Math" w:hAnsi="Cambria Math"/>
                  <w:lang w:val="en-ZA"/>
                </w:rPr>
                <m:t xml:space="preserve">- </m:t>
              </m:r>
              <m:sSub>
                <m:sSubPr>
                  <m:ctrlPr>
                    <w:rPr>
                      <w:rFonts w:ascii="Cambria Math" w:hAnsi="Cambria Math"/>
                      <w:i/>
                      <w:lang w:val="en-ZA"/>
                    </w:rPr>
                  </m:ctrlPr>
                </m:sSubPr>
                <m:e>
                  <m:acc>
                    <m:accPr>
                      <m:chr m:val="̅"/>
                      <m:ctrlPr>
                        <w:rPr>
                          <w:rFonts w:ascii="Cambria Math" w:hAnsi="Cambria Math"/>
                          <w:i/>
                          <w:lang w:val="en-ZA"/>
                        </w:rPr>
                      </m:ctrlPr>
                    </m:accPr>
                    <m:e>
                      <m:r>
                        <w:rPr>
                          <w:rFonts w:ascii="Cambria Math" w:hAnsi="Cambria Math"/>
                          <w:lang w:val="en-ZA"/>
                        </w:rPr>
                        <m:t>x</m:t>
                      </m:r>
                    </m:e>
                  </m:acc>
                </m:e>
                <m:sub>
                  <m:r>
                    <w:rPr>
                      <w:rFonts w:ascii="Cambria Math" w:hAnsi="Cambria Math"/>
                      <w:lang w:val="en-ZA"/>
                    </w:rPr>
                    <m:t>f</m:t>
                  </m:r>
                </m:sub>
              </m:sSub>
              <m:r>
                <w:rPr>
                  <w:rFonts w:ascii="Cambria Math" w:hAnsi="Cambria Math"/>
                  <w:lang w:val="en-ZA"/>
                </w:rPr>
                <m:t>)</m:t>
              </m:r>
            </m:num>
            <m:den>
              <m:rad>
                <m:radPr>
                  <m:degHide m:val="1"/>
                  <m:ctrlPr>
                    <w:rPr>
                      <w:rFonts w:ascii="Cambria Math" w:hAnsi="Cambria Math"/>
                      <w:i/>
                      <w:lang w:val="en-ZA"/>
                    </w:rPr>
                  </m:ctrlPr>
                </m:radPr>
                <m:deg/>
                <m:e>
                  <m:f>
                    <m:fPr>
                      <m:ctrlPr>
                        <w:rPr>
                          <w:rFonts w:ascii="Cambria Math" w:hAnsi="Cambria Math"/>
                          <w:i/>
                          <w:lang w:val="en-ZA"/>
                        </w:rPr>
                      </m:ctrlPr>
                    </m:fPr>
                    <m:num>
                      <m:sSup>
                        <m:sSupPr>
                          <m:ctrlPr>
                            <w:rPr>
                              <w:rFonts w:ascii="Cambria Math" w:hAnsi="Cambria Math"/>
                              <w:i/>
                              <w:lang w:val="en-ZA"/>
                            </w:rPr>
                          </m:ctrlPr>
                        </m:sSupPr>
                        <m:e>
                          <m:sSub>
                            <m:sSubPr>
                              <m:ctrlPr>
                                <w:rPr>
                                  <w:rFonts w:ascii="Cambria Math" w:hAnsi="Cambria Math"/>
                                  <w:i/>
                                  <w:lang w:val="en-ZA"/>
                                </w:rPr>
                              </m:ctrlPr>
                            </m:sSubPr>
                            <m:e>
                              <m:r>
                                <w:rPr>
                                  <w:rFonts w:ascii="Cambria Math" w:hAnsi="Cambria Math"/>
                                  <w:lang w:val="en-ZA"/>
                                </w:rPr>
                                <m:t>σ</m:t>
                              </m:r>
                            </m:e>
                            <m:sub>
                              <m:r>
                                <w:rPr>
                                  <w:rFonts w:ascii="Cambria Math" w:hAnsi="Cambria Math"/>
                                  <w:lang w:val="en-ZA"/>
                                </w:rPr>
                                <m:t>m</m:t>
                              </m:r>
                            </m:sub>
                          </m:sSub>
                        </m:e>
                        <m:sup>
                          <m:r>
                            <w:rPr>
                              <w:rFonts w:ascii="Cambria Math" w:hAnsi="Cambria Math"/>
                              <w:lang w:val="en-ZA"/>
                            </w:rPr>
                            <m:t>2</m:t>
                          </m:r>
                        </m:sup>
                      </m:sSup>
                    </m:num>
                    <m:den>
                      <m:sSub>
                        <m:sSubPr>
                          <m:ctrlPr>
                            <w:rPr>
                              <w:rFonts w:ascii="Cambria Math" w:hAnsi="Cambria Math"/>
                              <w:i/>
                              <w:lang w:val="en-ZA"/>
                            </w:rPr>
                          </m:ctrlPr>
                        </m:sSubPr>
                        <m:e>
                          <m:r>
                            <w:rPr>
                              <w:rFonts w:ascii="Cambria Math" w:hAnsi="Cambria Math"/>
                              <w:lang w:val="en-ZA"/>
                            </w:rPr>
                            <m:t>n</m:t>
                          </m:r>
                        </m:e>
                        <m:sub>
                          <m:r>
                            <w:rPr>
                              <w:rFonts w:ascii="Cambria Math" w:hAnsi="Cambria Math"/>
                              <w:lang w:val="en-ZA"/>
                            </w:rPr>
                            <m:t>m</m:t>
                          </m:r>
                        </m:sub>
                      </m:sSub>
                    </m:den>
                  </m:f>
                  <m:r>
                    <w:rPr>
                      <w:rFonts w:ascii="Cambria Math" w:hAnsi="Cambria Math"/>
                      <w:lang w:val="en-ZA"/>
                    </w:rPr>
                    <m:t xml:space="preserve">+ </m:t>
                  </m:r>
                  <m:f>
                    <m:fPr>
                      <m:ctrlPr>
                        <w:rPr>
                          <w:rFonts w:ascii="Cambria Math" w:hAnsi="Cambria Math"/>
                          <w:i/>
                          <w:lang w:val="en-ZA"/>
                        </w:rPr>
                      </m:ctrlPr>
                    </m:fPr>
                    <m:num>
                      <m:sSup>
                        <m:sSupPr>
                          <m:ctrlPr>
                            <w:rPr>
                              <w:rFonts w:ascii="Cambria Math" w:hAnsi="Cambria Math"/>
                              <w:i/>
                              <w:lang w:val="en-ZA"/>
                            </w:rPr>
                          </m:ctrlPr>
                        </m:sSupPr>
                        <m:e>
                          <m:sSub>
                            <m:sSubPr>
                              <m:ctrlPr>
                                <w:rPr>
                                  <w:rFonts w:ascii="Cambria Math" w:hAnsi="Cambria Math"/>
                                  <w:i/>
                                  <w:lang w:val="en-ZA"/>
                                </w:rPr>
                              </m:ctrlPr>
                            </m:sSubPr>
                            <m:e>
                              <m:r>
                                <w:rPr>
                                  <w:rFonts w:ascii="Cambria Math" w:hAnsi="Cambria Math"/>
                                  <w:lang w:val="en-ZA"/>
                                </w:rPr>
                                <m:t>σ</m:t>
                              </m:r>
                            </m:e>
                            <m:sub>
                              <m:r>
                                <w:rPr>
                                  <w:rFonts w:ascii="Cambria Math" w:hAnsi="Cambria Math"/>
                                  <w:lang w:val="en-ZA"/>
                                </w:rPr>
                                <m:t>f</m:t>
                              </m:r>
                            </m:sub>
                          </m:sSub>
                        </m:e>
                        <m:sup>
                          <m:r>
                            <w:rPr>
                              <w:rFonts w:ascii="Cambria Math" w:hAnsi="Cambria Math"/>
                              <w:lang w:val="en-ZA"/>
                            </w:rPr>
                            <m:t>2</m:t>
                          </m:r>
                        </m:sup>
                      </m:sSup>
                    </m:num>
                    <m:den>
                      <m:sSub>
                        <m:sSubPr>
                          <m:ctrlPr>
                            <w:rPr>
                              <w:rFonts w:ascii="Cambria Math" w:hAnsi="Cambria Math"/>
                              <w:i/>
                              <w:lang w:val="en-ZA"/>
                            </w:rPr>
                          </m:ctrlPr>
                        </m:sSubPr>
                        <m:e>
                          <m:r>
                            <w:rPr>
                              <w:rFonts w:ascii="Cambria Math" w:hAnsi="Cambria Math"/>
                              <w:lang w:val="en-ZA"/>
                            </w:rPr>
                            <m:t>n</m:t>
                          </m:r>
                        </m:e>
                        <m:sub>
                          <m:r>
                            <w:rPr>
                              <w:rFonts w:ascii="Cambria Math" w:hAnsi="Cambria Math"/>
                              <w:lang w:val="en-ZA"/>
                            </w:rPr>
                            <m:t>f</m:t>
                          </m:r>
                        </m:sub>
                      </m:sSub>
                    </m:den>
                  </m:f>
                </m:e>
              </m:rad>
            </m:den>
          </m:f>
        </m:oMath>
      </m:oMathPara>
    </w:p>
    <w:p w:rsidR="000F0BEF" w:rsidRDefault="000F0BEF" w:rsidP="000F0BEF">
      <w:pPr>
        <w:rPr>
          <w:lang w:val="en-ZA"/>
        </w:rPr>
      </w:pPr>
      <w:r w:rsidRPr="008633D2">
        <w:rPr>
          <w:lang w:val="en-ZA"/>
        </w:rPr>
        <w:t xml:space="preserve">where </w:t>
      </w:r>
    </w:p>
    <w:p w:rsidR="000F0BEF" w:rsidRDefault="003323B7" w:rsidP="000F0BEF">
      <w:pPr>
        <w:ind w:left="720" w:firstLine="60"/>
        <w:rPr>
          <w:lang w:val="en-ZA"/>
        </w:rPr>
      </w:pPr>
      <m:oMath>
        <m:sSub>
          <m:sSubPr>
            <m:ctrlPr>
              <w:rPr>
                <w:rFonts w:ascii="Cambria Math" w:hAnsi="Cambria Math"/>
                <w:i/>
                <w:lang w:val="en-ZA"/>
              </w:rPr>
            </m:ctrlPr>
          </m:sSubPr>
          <m:e>
            <m:acc>
              <m:accPr>
                <m:chr m:val="̅"/>
                <m:ctrlPr>
                  <w:rPr>
                    <w:rFonts w:ascii="Cambria Math" w:hAnsi="Cambria Math"/>
                    <w:i/>
                    <w:lang w:val="en-ZA"/>
                  </w:rPr>
                </m:ctrlPr>
              </m:accPr>
              <m:e>
                <m:r>
                  <w:rPr>
                    <w:rFonts w:ascii="Cambria Math" w:hAnsi="Cambria Math"/>
                    <w:lang w:val="en-ZA"/>
                  </w:rPr>
                  <m:t>x</m:t>
                </m:r>
              </m:e>
            </m:acc>
          </m:e>
          <m:sub>
            <m:r>
              <w:rPr>
                <w:rFonts w:ascii="Cambria Math" w:hAnsi="Cambria Math"/>
                <w:lang w:val="en-ZA"/>
              </w:rPr>
              <m:t xml:space="preserve">m </m:t>
            </m:r>
          </m:sub>
        </m:sSub>
      </m:oMath>
      <w:r w:rsidR="000F0BEF" w:rsidRPr="008633D2">
        <w:rPr>
          <w:lang w:val="en-ZA"/>
        </w:rPr>
        <w:t xml:space="preserve">represents the mean of </w:t>
      </w:r>
      <w:r w:rsidR="000F0BEF">
        <w:rPr>
          <w:lang w:val="en-ZA"/>
        </w:rPr>
        <w:t>the annualised performance of the selected male funds,</w:t>
      </w:r>
    </w:p>
    <w:p w:rsidR="000F0BEF" w:rsidRPr="000F0BEF" w:rsidRDefault="003323B7" w:rsidP="000F0BEF">
      <w:pPr>
        <w:ind w:left="720"/>
        <w:rPr>
          <w:lang w:val="en-ZA"/>
        </w:rPr>
      </w:pPr>
      <m:oMath>
        <m:sSub>
          <m:sSubPr>
            <m:ctrlPr>
              <w:rPr>
                <w:rFonts w:ascii="Cambria Math" w:hAnsi="Cambria Math"/>
                <w:i/>
                <w:lang w:val="en-ZA"/>
              </w:rPr>
            </m:ctrlPr>
          </m:sSubPr>
          <m:e>
            <m:acc>
              <m:accPr>
                <m:chr m:val="̅"/>
                <m:ctrlPr>
                  <w:rPr>
                    <w:rFonts w:ascii="Cambria Math" w:hAnsi="Cambria Math"/>
                    <w:i/>
                    <w:lang w:val="en-ZA"/>
                  </w:rPr>
                </m:ctrlPr>
              </m:accPr>
              <m:e>
                <m:r>
                  <w:rPr>
                    <w:rFonts w:ascii="Cambria Math" w:hAnsi="Cambria Math"/>
                    <w:lang w:val="en-ZA"/>
                  </w:rPr>
                  <m:t>x</m:t>
                </m:r>
              </m:e>
            </m:acc>
          </m:e>
          <m:sub>
            <m:r>
              <w:rPr>
                <w:rFonts w:ascii="Cambria Math" w:hAnsi="Cambria Math"/>
                <w:lang w:val="en-ZA"/>
              </w:rPr>
              <m:t xml:space="preserve">f </m:t>
            </m:r>
          </m:sub>
        </m:sSub>
      </m:oMath>
      <w:r w:rsidR="000F0BEF" w:rsidRPr="000F0BEF">
        <w:rPr>
          <w:lang w:val="en-ZA"/>
        </w:rPr>
        <w:t xml:space="preserve"> </w:t>
      </w:r>
      <w:r w:rsidR="000F0BEF" w:rsidRPr="008633D2">
        <w:rPr>
          <w:lang w:val="en-ZA"/>
        </w:rPr>
        <w:t xml:space="preserve">represents the mean of </w:t>
      </w:r>
      <w:r w:rsidR="000F0BEF">
        <w:rPr>
          <w:lang w:val="en-ZA"/>
        </w:rPr>
        <w:t>the annualised performance of the selected female funds,</w:t>
      </w:r>
    </w:p>
    <w:p w:rsidR="000F0BEF" w:rsidRPr="000F0BEF" w:rsidRDefault="003323B7" w:rsidP="000F0BEF">
      <w:pPr>
        <w:ind w:left="720"/>
        <w:rPr>
          <w:lang w:val="en-ZA"/>
        </w:rPr>
      </w:pPr>
      <m:oMath>
        <m:sSub>
          <m:sSubPr>
            <m:ctrlPr>
              <w:rPr>
                <w:rFonts w:ascii="Cambria Math" w:hAnsi="Cambria Math"/>
                <w:i/>
                <w:lang w:val="en-ZA"/>
              </w:rPr>
            </m:ctrlPr>
          </m:sSubPr>
          <m:e>
            <m:r>
              <w:rPr>
                <w:rFonts w:ascii="Cambria Math" w:hAnsi="Cambria Math"/>
                <w:lang w:val="en-ZA"/>
              </w:rPr>
              <m:t>σ</m:t>
            </m:r>
          </m:e>
          <m:sub>
            <m:r>
              <w:rPr>
                <w:rFonts w:ascii="Cambria Math" w:hAnsi="Cambria Math"/>
                <w:lang w:val="en-ZA"/>
              </w:rPr>
              <m:t>m</m:t>
            </m:r>
          </m:sub>
        </m:sSub>
      </m:oMath>
      <w:r w:rsidR="000F0BEF">
        <w:rPr>
          <w:lang w:val="en-ZA"/>
        </w:rPr>
        <w:t xml:space="preserve"> </w:t>
      </w:r>
      <w:r w:rsidR="000F0BEF" w:rsidRPr="008633D2">
        <w:rPr>
          <w:lang w:val="en-ZA"/>
        </w:rPr>
        <w:t>represents standard deviation</w:t>
      </w:r>
      <w:r w:rsidR="000F0BEF">
        <w:rPr>
          <w:lang w:val="en-ZA"/>
        </w:rPr>
        <w:t xml:space="preserve"> </w:t>
      </w:r>
      <w:r w:rsidR="000F0BEF" w:rsidRPr="008633D2">
        <w:rPr>
          <w:lang w:val="en-ZA"/>
        </w:rPr>
        <w:t xml:space="preserve">of </w:t>
      </w:r>
      <w:r w:rsidR="000F0BEF">
        <w:rPr>
          <w:lang w:val="en-ZA"/>
        </w:rPr>
        <w:t>the annualised performance of the selected male funds,</w:t>
      </w:r>
    </w:p>
    <w:p w:rsidR="000F0BEF" w:rsidRPr="000F0BEF" w:rsidRDefault="003323B7" w:rsidP="000F0BEF">
      <w:pPr>
        <w:ind w:left="720"/>
        <w:rPr>
          <w:lang w:val="en-ZA"/>
        </w:rPr>
      </w:pPr>
      <m:oMath>
        <m:sSub>
          <m:sSubPr>
            <m:ctrlPr>
              <w:rPr>
                <w:rFonts w:ascii="Cambria Math" w:hAnsi="Cambria Math"/>
                <w:i/>
                <w:lang w:val="en-ZA"/>
              </w:rPr>
            </m:ctrlPr>
          </m:sSubPr>
          <m:e>
            <m:r>
              <w:rPr>
                <w:rFonts w:ascii="Cambria Math" w:hAnsi="Cambria Math"/>
                <w:lang w:val="en-ZA"/>
              </w:rPr>
              <m:t>σ</m:t>
            </m:r>
          </m:e>
          <m:sub>
            <m:r>
              <w:rPr>
                <w:rFonts w:ascii="Cambria Math" w:hAnsi="Cambria Math"/>
                <w:lang w:val="en-ZA"/>
              </w:rPr>
              <m:t>f</m:t>
            </m:r>
          </m:sub>
        </m:sSub>
      </m:oMath>
      <w:r w:rsidR="000F0BEF" w:rsidRPr="008633D2">
        <w:rPr>
          <w:lang w:val="en-ZA"/>
        </w:rPr>
        <w:t xml:space="preserve"> represents standard deviation</w:t>
      </w:r>
      <w:r w:rsidR="000F0BEF">
        <w:rPr>
          <w:lang w:val="en-ZA"/>
        </w:rPr>
        <w:t xml:space="preserve"> </w:t>
      </w:r>
      <w:r w:rsidR="000F0BEF" w:rsidRPr="008633D2">
        <w:rPr>
          <w:lang w:val="en-ZA"/>
        </w:rPr>
        <w:t xml:space="preserve">of </w:t>
      </w:r>
      <w:r w:rsidR="000F0BEF">
        <w:rPr>
          <w:lang w:val="en-ZA"/>
        </w:rPr>
        <w:t>the annualised performance of the selected female funds,</w:t>
      </w:r>
    </w:p>
    <w:p w:rsidR="000F0BEF" w:rsidRPr="008633D2" w:rsidRDefault="003323B7" w:rsidP="000F0BEF">
      <w:pPr>
        <w:ind w:left="720"/>
        <w:rPr>
          <w:lang w:val="en-ZA"/>
        </w:rPr>
      </w:pPr>
      <m:oMath>
        <m:sSub>
          <m:sSubPr>
            <m:ctrlPr>
              <w:rPr>
                <w:rFonts w:ascii="Cambria Math" w:hAnsi="Cambria Math"/>
                <w:i/>
                <w:lang w:val="en-ZA"/>
              </w:rPr>
            </m:ctrlPr>
          </m:sSubPr>
          <m:e>
            <m:r>
              <w:rPr>
                <w:rFonts w:ascii="Cambria Math" w:hAnsi="Cambria Math"/>
                <w:lang w:val="en-ZA"/>
              </w:rPr>
              <m:t>n</m:t>
            </m:r>
          </m:e>
          <m:sub>
            <m:r>
              <w:rPr>
                <w:rFonts w:ascii="Cambria Math" w:hAnsi="Cambria Math"/>
                <w:lang w:val="en-ZA"/>
              </w:rPr>
              <m:t>m</m:t>
            </m:r>
          </m:sub>
        </m:sSub>
      </m:oMath>
      <w:r w:rsidR="000F0BEF">
        <w:rPr>
          <w:lang w:val="en-ZA"/>
        </w:rPr>
        <w:t xml:space="preserve"> </w:t>
      </w:r>
      <w:r w:rsidR="000F0BEF" w:rsidRPr="00DE7D6F">
        <w:rPr>
          <w:lang w:val="en-ZA"/>
        </w:rPr>
        <w:t xml:space="preserve">represents the number of </w:t>
      </w:r>
      <w:r w:rsidR="000F0BEF">
        <w:rPr>
          <w:lang w:val="en-ZA"/>
        </w:rPr>
        <w:t>selected male funds</w:t>
      </w:r>
      <w:r w:rsidR="000F0BEF" w:rsidRPr="00DE7D6F">
        <w:rPr>
          <w:lang w:val="en-ZA"/>
        </w:rPr>
        <w:t>.</w:t>
      </w:r>
      <w:r w:rsidR="000F0BEF" w:rsidRPr="008633D2">
        <w:rPr>
          <w:lang w:val="en-ZA"/>
        </w:rPr>
        <w:tab/>
        <w:t xml:space="preserve"> </w:t>
      </w:r>
    </w:p>
    <w:p w:rsidR="000F0BEF" w:rsidRDefault="000F0BEF" w:rsidP="000F0BEF">
      <w:pPr>
        <w:rPr>
          <w:lang w:val="en-ZA"/>
        </w:rPr>
      </w:pPr>
      <w:r>
        <w:rPr>
          <w:lang w:val="en-ZA"/>
        </w:rPr>
        <w:t>a</w:t>
      </w:r>
      <w:r w:rsidRPr="00DE7D6F">
        <w:rPr>
          <w:lang w:val="en-ZA"/>
        </w:rPr>
        <w:t>nd</w:t>
      </w:r>
      <w:r w:rsidR="004F7B9F">
        <w:rPr>
          <w:lang w:val="en-ZA"/>
        </w:rPr>
        <w:t xml:space="preserve"> </w:t>
      </w:r>
      <w:r w:rsidR="004F7B9F">
        <w:rPr>
          <w:lang w:val="en-ZA"/>
        </w:rPr>
        <w:tab/>
      </w:r>
      <m:oMath>
        <m:sSub>
          <m:sSubPr>
            <m:ctrlPr>
              <w:rPr>
                <w:rFonts w:ascii="Cambria Math" w:hAnsi="Cambria Math"/>
                <w:i/>
                <w:lang w:val="en-ZA"/>
              </w:rPr>
            </m:ctrlPr>
          </m:sSubPr>
          <m:e>
            <m:r>
              <w:rPr>
                <w:rFonts w:ascii="Cambria Math" w:hAnsi="Cambria Math"/>
                <w:lang w:val="en-ZA"/>
              </w:rPr>
              <m:t>n</m:t>
            </m:r>
          </m:e>
          <m:sub>
            <m:r>
              <w:rPr>
                <w:rFonts w:ascii="Cambria Math" w:hAnsi="Cambria Math"/>
                <w:lang w:val="en-ZA"/>
              </w:rPr>
              <m:t>f</m:t>
            </m:r>
          </m:sub>
        </m:sSub>
      </m:oMath>
      <w:r>
        <w:rPr>
          <w:lang w:val="en-ZA"/>
        </w:rPr>
        <w:t xml:space="preserve"> </w:t>
      </w:r>
      <w:r w:rsidRPr="00DE7D6F">
        <w:rPr>
          <w:lang w:val="en-ZA"/>
        </w:rPr>
        <w:t xml:space="preserve">represents the number of </w:t>
      </w:r>
      <w:r>
        <w:rPr>
          <w:lang w:val="en-ZA"/>
        </w:rPr>
        <w:t>selected female funds</w:t>
      </w:r>
      <w:r w:rsidRPr="00DE7D6F">
        <w:rPr>
          <w:lang w:val="en-ZA"/>
        </w:rPr>
        <w:t>.</w:t>
      </w:r>
    </w:p>
    <w:p w:rsidR="0098261F" w:rsidRDefault="0098261F" w:rsidP="000F0BEF">
      <w:pPr>
        <w:rPr>
          <w:lang w:val="en-ZA"/>
        </w:rPr>
      </w:pPr>
    </w:p>
    <w:p w:rsidR="0090421F" w:rsidRPr="00F906EB" w:rsidRDefault="0042071E" w:rsidP="0090421F">
      <w:pPr>
        <w:rPr>
          <w:lang w:val="en-ZA"/>
        </w:rPr>
      </w:pPr>
      <w:r>
        <w:rPr>
          <w:lang w:val="en-ZA"/>
        </w:rPr>
        <w:t xml:space="preserve">The normal standard deviation formula in </w:t>
      </w:r>
      <w:r w:rsidR="0046753E">
        <w:rPr>
          <w:lang w:val="en-ZA"/>
        </w:rPr>
        <w:t>Microsoft E</w:t>
      </w:r>
      <w:r>
        <w:rPr>
          <w:lang w:val="en-ZA"/>
        </w:rPr>
        <w:t>xcel w</w:t>
      </w:r>
      <w:r w:rsidR="00C12A9F">
        <w:rPr>
          <w:lang w:val="en-ZA"/>
        </w:rPr>
        <w:t>as</w:t>
      </w:r>
      <w:r>
        <w:rPr>
          <w:lang w:val="en-ZA"/>
        </w:rPr>
        <w:t xml:space="preserve"> used to determine the p-values of the t-test results obtained from the previous formula</w:t>
      </w:r>
      <w:r w:rsidR="0098261F">
        <w:rPr>
          <w:lang w:val="en-ZA"/>
        </w:rPr>
        <w:t xml:space="preserve">. </w:t>
      </w:r>
      <w:r>
        <w:rPr>
          <w:lang w:val="en-ZA"/>
        </w:rPr>
        <w:t>The p-value provide</w:t>
      </w:r>
      <w:r w:rsidR="0098261F">
        <w:rPr>
          <w:lang w:val="en-ZA"/>
        </w:rPr>
        <w:t>d</w:t>
      </w:r>
      <w:r>
        <w:rPr>
          <w:lang w:val="en-ZA"/>
        </w:rPr>
        <w:t xml:space="preserve"> the probability of getting a test statistic greater than or equal to the sample result, given that the null hypotheses being tested is true. </w:t>
      </w:r>
      <w:r w:rsidR="0090421F" w:rsidRPr="00F906EB">
        <w:rPr>
          <w:lang w:val="en-ZA"/>
        </w:rPr>
        <w:t>The null hypothesis w</w:t>
      </w:r>
      <w:r w:rsidR="00C12A9F">
        <w:rPr>
          <w:lang w:val="en-ZA"/>
        </w:rPr>
        <w:t>ould</w:t>
      </w:r>
      <w:r w:rsidR="0090421F" w:rsidRPr="00F906EB">
        <w:rPr>
          <w:lang w:val="en-ZA"/>
        </w:rPr>
        <w:t xml:space="preserve"> be rejected if the p-value calculated for each</w:t>
      </w:r>
      <w:r>
        <w:rPr>
          <w:lang w:val="en-ZA"/>
        </w:rPr>
        <w:t xml:space="preserve"> of the calculated test statistics is</w:t>
      </w:r>
      <w:r w:rsidR="0090421F" w:rsidRPr="00F906EB">
        <w:rPr>
          <w:lang w:val="en-ZA"/>
        </w:rPr>
        <w:t xml:space="preserve"> belo</w:t>
      </w:r>
      <w:r w:rsidR="0098261F">
        <w:rPr>
          <w:lang w:val="en-ZA"/>
        </w:rPr>
        <w:t>w the significance level of 0.05</w:t>
      </w:r>
      <w:r w:rsidR="0090421F" w:rsidRPr="00F906EB">
        <w:rPr>
          <w:lang w:val="en-ZA"/>
        </w:rPr>
        <w:t xml:space="preserve">. </w:t>
      </w:r>
    </w:p>
    <w:p w:rsidR="00DE7D6F" w:rsidRPr="00DE7D6F" w:rsidRDefault="00DE7D6F" w:rsidP="0090421F">
      <w:pPr>
        <w:rPr>
          <w:color w:val="FF0000"/>
          <w:lang w:val="en-ZA"/>
        </w:rPr>
      </w:pPr>
    </w:p>
    <w:p w:rsidR="00195AF0" w:rsidRPr="008633D2" w:rsidRDefault="00DE7D6F" w:rsidP="00D06992">
      <w:pPr>
        <w:pStyle w:val="Heading3"/>
        <w:rPr>
          <w:color w:val="333399"/>
          <w:lang w:val="en-ZA"/>
        </w:rPr>
      </w:pPr>
      <w:bookmarkStart w:id="186" w:name="_Toc458610803"/>
      <w:r>
        <w:rPr>
          <w:lang w:val="en-ZA"/>
        </w:rPr>
        <w:t>Co</w:t>
      </w:r>
      <w:r w:rsidR="00195AF0" w:rsidRPr="008633D2">
        <w:rPr>
          <w:lang w:val="en-ZA"/>
        </w:rPr>
        <w:t xml:space="preserve">mpare the performance of </w:t>
      </w:r>
      <w:r w:rsidR="00BC3347" w:rsidRPr="008633D2">
        <w:rPr>
          <w:lang w:val="en-ZA"/>
        </w:rPr>
        <w:t>all unit trusts to</w:t>
      </w:r>
      <w:r w:rsidR="00195AF0" w:rsidRPr="008633D2">
        <w:rPr>
          <w:lang w:val="en-ZA"/>
        </w:rPr>
        <w:t xml:space="preserve"> the </w:t>
      </w:r>
      <w:r w:rsidR="00BC3347" w:rsidRPr="008633D2">
        <w:rPr>
          <w:lang w:val="en-ZA"/>
        </w:rPr>
        <w:t>chosen benchmark by gender</w:t>
      </w:r>
      <w:bookmarkEnd w:id="186"/>
    </w:p>
    <w:p w:rsidR="0098261F" w:rsidRDefault="0098261F" w:rsidP="00956FB3">
      <w:pPr>
        <w:rPr>
          <w:lang w:val="en-ZA"/>
        </w:rPr>
      </w:pPr>
      <w:r>
        <w:rPr>
          <w:lang w:val="en-ZA"/>
        </w:rPr>
        <w:t>To perform this part of the research</w:t>
      </w:r>
      <w:r w:rsidR="00952AEE" w:rsidRPr="008633D2">
        <w:rPr>
          <w:lang w:val="en-ZA"/>
        </w:rPr>
        <w:t xml:space="preserve"> the full set of funds being considered in this research </w:t>
      </w:r>
      <w:r>
        <w:rPr>
          <w:lang w:val="en-ZA"/>
        </w:rPr>
        <w:t>was</w:t>
      </w:r>
      <w:r w:rsidR="00952AEE" w:rsidRPr="008633D2">
        <w:rPr>
          <w:lang w:val="en-ZA"/>
        </w:rPr>
        <w:t xml:space="preserve"> included. The average of the annualised returns for all female managed funds both single managed and multi-</w:t>
      </w:r>
      <w:r w:rsidR="00093481" w:rsidRPr="008633D2">
        <w:rPr>
          <w:lang w:val="en-ZA"/>
        </w:rPr>
        <w:t xml:space="preserve">managed </w:t>
      </w:r>
      <w:r w:rsidR="00C12A9F">
        <w:rPr>
          <w:lang w:val="en-ZA"/>
        </w:rPr>
        <w:t>was</w:t>
      </w:r>
      <w:r w:rsidR="00952AEE" w:rsidRPr="008633D2">
        <w:rPr>
          <w:lang w:val="en-ZA"/>
        </w:rPr>
        <w:t xml:space="preserve"> computed. The same </w:t>
      </w:r>
      <w:r w:rsidR="00C12A9F">
        <w:rPr>
          <w:lang w:val="en-ZA"/>
        </w:rPr>
        <w:t>was</w:t>
      </w:r>
      <w:r w:rsidR="00952AEE" w:rsidRPr="008633D2">
        <w:rPr>
          <w:lang w:val="en-ZA"/>
        </w:rPr>
        <w:t xml:space="preserve"> done for all male managed funds. These averages </w:t>
      </w:r>
      <w:r w:rsidR="00C12A9F">
        <w:rPr>
          <w:lang w:val="en-ZA"/>
        </w:rPr>
        <w:t>we</w:t>
      </w:r>
      <w:r w:rsidR="00952AEE" w:rsidRPr="008633D2">
        <w:rPr>
          <w:lang w:val="en-ZA"/>
        </w:rPr>
        <w:t>re then compared to the annualised return of the benchmark index over each of the time intervals being considered.</w:t>
      </w:r>
      <w:r w:rsidR="0093055D">
        <w:rPr>
          <w:lang w:val="en-ZA"/>
        </w:rPr>
        <w:t xml:space="preserve"> </w:t>
      </w:r>
    </w:p>
    <w:p w:rsidR="0093055D" w:rsidRDefault="0093055D" w:rsidP="00956FB3">
      <w:pPr>
        <w:rPr>
          <w:lang w:val="en-ZA"/>
        </w:rPr>
      </w:pPr>
      <w:r>
        <w:rPr>
          <w:lang w:val="en-ZA"/>
        </w:rPr>
        <w:t>A one sample t-test is required to determine significance as described in the equation below:</w:t>
      </w:r>
    </w:p>
    <w:p w:rsidR="0093055D" w:rsidRPr="0046753E" w:rsidRDefault="003323B7" w:rsidP="0093055D">
      <w:pPr>
        <w:rPr>
          <w:lang w:val="en-ZA"/>
        </w:rPr>
      </w:pPr>
      <m:oMathPara>
        <m:oMathParaPr>
          <m:jc m:val="center"/>
        </m:oMathParaPr>
        <m:oMath>
          <m:sSub>
            <m:sSubPr>
              <m:ctrlPr>
                <w:rPr>
                  <w:rFonts w:ascii="Cambria Math" w:hAnsi="Cambria Math"/>
                  <w:i/>
                  <w:lang w:val="en-ZA"/>
                </w:rPr>
              </m:ctrlPr>
            </m:sSubPr>
            <m:e>
              <m:r>
                <w:rPr>
                  <w:rFonts w:ascii="Cambria Math" w:hAnsi="Cambria Math"/>
                  <w:lang w:val="en-ZA"/>
                </w:rPr>
                <m:t>t</m:t>
              </m:r>
            </m:e>
            <m:sub>
              <m:r>
                <w:rPr>
                  <w:rFonts w:ascii="Cambria Math" w:hAnsi="Cambria Math"/>
                  <w:lang w:val="en-ZA"/>
                </w:rPr>
                <m:t>STAT</m:t>
              </m:r>
            </m:sub>
          </m:sSub>
          <m:r>
            <w:rPr>
              <w:rFonts w:ascii="Cambria Math" w:hAnsi="Cambria Math"/>
              <w:lang w:val="en-ZA"/>
            </w:rPr>
            <m:t xml:space="preserve"> = </m:t>
          </m:r>
          <m:f>
            <m:fPr>
              <m:ctrlPr>
                <w:rPr>
                  <w:rFonts w:ascii="Cambria Math" w:hAnsi="Cambria Math"/>
                  <w:i/>
                  <w:lang w:val="en-ZA"/>
                </w:rPr>
              </m:ctrlPr>
            </m:fPr>
            <m:num>
              <m:r>
                <w:rPr>
                  <w:rFonts w:ascii="Cambria Math" w:hAnsi="Cambria Math"/>
                  <w:lang w:val="en-ZA"/>
                </w:rPr>
                <m:t>(</m:t>
              </m:r>
              <m:sSub>
                <m:sSubPr>
                  <m:ctrlPr>
                    <w:rPr>
                      <w:rFonts w:ascii="Cambria Math" w:hAnsi="Cambria Math"/>
                      <w:i/>
                      <w:lang w:val="en-ZA"/>
                    </w:rPr>
                  </m:ctrlPr>
                </m:sSubPr>
                <m:e>
                  <m:acc>
                    <m:accPr>
                      <m:chr m:val="̅"/>
                      <m:ctrlPr>
                        <w:rPr>
                          <w:rFonts w:ascii="Cambria Math" w:hAnsi="Cambria Math"/>
                          <w:i/>
                          <w:lang w:val="en-ZA"/>
                        </w:rPr>
                      </m:ctrlPr>
                    </m:accPr>
                    <m:e>
                      <m:r>
                        <w:rPr>
                          <w:rFonts w:ascii="Cambria Math" w:hAnsi="Cambria Math"/>
                          <w:lang w:val="en-ZA"/>
                        </w:rPr>
                        <m:t>x</m:t>
                      </m:r>
                    </m:e>
                  </m:acc>
                </m:e>
                <m:sub>
                  <m:r>
                    <w:rPr>
                      <w:rFonts w:ascii="Cambria Math" w:hAnsi="Cambria Math"/>
                      <w:lang w:val="en-ZA"/>
                    </w:rPr>
                    <m:t>g</m:t>
                  </m:r>
                </m:sub>
              </m:sSub>
              <m:r>
                <w:rPr>
                  <w:rFonts w:ascii="Cambria Math" w:hAnsi="Cambria Math"/>
                  <w:lang w:val="en-ZA"/>
                </w:rPr>
                <m:t xml:space="preserve">- </m:t>
              </m:r>
              <m:sSub>
                <m:sSubPr>
                  <m:ctrlPr>
                    <w:rPr>
                      <w:rFonts w:ascii="Cambria Math" w:hAnsi="Cambria Math"/>
                      <w:i/>
                      <w:lang w:val="en-ZA"/>
                    </w:rPr>
                  </m:ctrlPr>
                </m:sSubPr>
                <m:e>
                  <m:r>
                    <w:rPr>
                      <w:rFonts w:ascii="Cambria Math" w:hAnsi="Cambria Math"/>
                      <w:lang w:val="en-ZA"/>
                    </w:rPr>
                    <m:t>r</m:t>
                  </m:r>
                </m:e>
                <m:sub>
                  <m:r>
                    <w:rPr>
                      <w:rFonts w:ascii="Cambria Math" w:hAnsi="Cambria Math"/>
                      <w:lang w:val="en-ZA"/>
                    </w:rPr>
                    <m:t>b</m:t>
                  </m:r>
                </m:sub>
              </m:sSub>
              <m:r>
                <w:rPr>
                  <w:rFonts w:ascii="Cambria Math" w:hAnsi="Cambria Math"/>
                  <w:lang w:val="en-ZA"/>
                </w:rPr>
                <m:t>)</m:t>
              </m:r>
            </m:num>
            <m:den>
              <m:f>
                <m:fPr>
                  <m:ctrlPr>
                    <w:rPr>
                      <w:rFonts w:ascii="Cambria Math" w:hAnsi="Cambria Math"/>
                      <w:i/>
                      <w:lang w:val="en-ZA"/>
                    </w:rPr>
                  </m:ctrlPr>
                </m:fPr>
                <m:num>
                  <m:sSub>
                    <m:sSubPr>
                      <m:ctrlPr>
                        <w:rPr>
                          <w:rFonts w:ascii="Cambria Math" w:hAnsi="Cambria Math"/>
                          <w:i/>
                          <w:lang w:val="en-ZA"/>
                        </w:rPr>
                      </m:ctrlPr>
                    </m:sSubPr>
                    <m:e>
                      <m:r>
                        <w:rPr>
                          <w:rFonts w:ascii="Cambria Math" w:hAnsi="Cambria Math"/>
                          <w:lang w:val="en-ZA"/>
                        </w:rPr>
                        <m:t>σ</m:t>
                      </m:r>
                    </m:e>
                    <m:sub>
                      <m:r>
                        <w:rPr>
                          <w:rFonts w:ascii="Cambria Math" w:hAnsi="Cambria Math"/>
                          <w:lang w:val="en-ZA"/>
                        </w:rPr>
                        <m:t>g</m:t>
                      </m:r>
                    </m:sub>
                  </m:sSub>
                </m:num>
                <m:den>
                  <m:rad>
                    <m:radPr>
                      <m:degHide m:val="1"/>
                      <m:ctrlPr>
                        <w:rPr>
                          <w:rFonts w:ascii="Cambria Math" w:hAnsi="Cambria Math"/>
                          <w:i/>
                          <w:lang w:val="en-ZA"/>
                        </w:rPr>
                      </m:ctrlPr>
                    </m:radPr>
                    <m:deg/>
                    <m:e>
                      <m:sSub>
                        <m:sSubPr>
                          <m:ctrlPr>
                            <w:rPr>
                              <w:rFonts w:ascii="Cambria Math" w:hAnsi="Cambria Math"/>
                              <w:i/>
                              <w:lang w:val="en-ZA"/>
                            </w:rPr>
                          </m:ctrlPr>
                        </m:sSubPr>
                        <m:e>
                          <m:r>
                            <w:rPr>
                              <w:rFonts w:ascii="Cambria Math" w:hAnsi="Cambria Math"/>
                              <w:lang w:val="en-ZA"/>
                            </w:rPr>
                            <m:t>n</m:t>
                          </m:r>
                        </m:e>
                        <m:sub>
                          <m:r>
                            <w:rPr>
                              <w:rFonts w:ascii="Cambria Math" w:hAnsi="Cambria Math"/>
                              <w:lang w:val="en-ZA"/>
                            </w:rPr>
                            <m:t>g</m:t>
                          </m:r>
                        </m:sub>
                      </m:sSub>
                    </m:e>
                  </m:rad>
                </m:den>
              </m:f>
            </m:den>
          </m:f>
        </m:oMath>
      </m:oMathPara>
    </w:p>
    <w:p w:rsidR="0093055D" w:rsidRDefault="0093055D" w:rsidP="0093055D">
      <w:pPr>
        <w:rPr>
          <w:lang w:val="en-ZA"/>
        </w:rPr>
      </w:pPr>
    </w:p>
    <w:p w:rsidR="0093055D" w:rsidRDefault="0093055D" w:rsidP="0093055D">
      <w:pPr>
        <w:rPr>
          <w:lang w:val="en-ZA"/>
        </w:rPr>
      </w:pPr>
      <w:r w:rsidRPr="008633D2">
        <w:rPr>
          <w:lang w:val="en-ZA"/>
        </w:rPr>
        <w:t xml:space="preserve">where </w:t>
      </w:r>
    </w:p>
    <w:p w:rsidR="0093055D" w:rsidRDefault="003323B7" w:rsidP="0093055D">
      <w:pPr>
        <w:ind w:left="720" w:firstLine="60"/>
        <w:rPr>
          <w:lang w:val="en-ZA"/>
        </w:rPr>
      </w:pPr>
      <m:oMath>
        <m:sSub>
          <m:sSubPr>
            <m:ctrlPr>
              <w:rPr>
                <w:rFonts w:ascii="Cambria Math" w:hAnsi="Cambria Math"/>
                <w:i/>
                <w:lang w:val="en-ZA"/>
              </w:rPr>
            </m:ctrlPr>
          </m:sSubPr>
          <m:e>
            <m:acc>
              <m:accPr>
                <m:chr m:val="̅"/>
                <m:ctrlPr>
                  <w:rPr>
                    <w:rFonts w:ascii="Cambria Math" w:hAnsi="Cambria Math"/>
                    <w:i/>
                    <w:lang w:val="en-ZA"/>
                  </w:rPr>
                </m:ctrlPr>
              </m:accPr>
              <m:e>
                <m:r>
                  <w:rPr>
                    <w:rFonts w:ascii="Cambria Math" w:hAnsi="Cambria Math"/>
                    <w:lang w:val="en-ZA"/>
                  </w:rPr>
                  <m:t>x</m:t>
                </m:r>
              </m:e>
            </m:acc>
          </m:e>
          <m:sub>
            <m:r>
              <w:rPr>
                <w:rFonts w:ascii="Cambria Math" w:hAnsi="Cambria Math"/>
                <w:lang w:val="en-ZA"/>
              </w:rPr>
              <m:t xml:space="preserve">g </m:t>
            </m:r>
          </m:sub>
        </m:sSub>
      </m:oMath>
      <w:r w:rsidR="0093055D" w:rsidRPr="008633D2">
        <w:rPr>
          <w:lang w:val="en-ZA"/>
        </w:rPr>
        <w:t xml:space="preserve">represents the mean of </w:t>
      </w:r>
      <w:r w:rsidR="0093055D">
        <w:rPr>
          <w:lang w:val="en-ZA"/>
        </w:rPr>
        <w:t>the</w:t>
      </w:r>
      <w:r w:rsidR="00527456">
        <w:rPr>
          <w:lang w:val="en-ZA"/>
        </w:rPr>
        <w:t xml:space="preserve"> annualised performance of the </w:t>
      </w:r>
      <w:r w:rsidR="0093055D">
        <w:rPr>
          <w:lang w:val="en-ZA"/>
        </w:rPr>
        <w:t>funds managed by fund managers of gender g,</w:t>
      </w:r>
    </w:p>
    <w:p w:rsidR="0093055D" w:rsidRPr="008633D2" w:rsidRDefault="0093055D" w:rsidP="0093055D">
      <w:pPr>
        <w:pStyle w:val="NormalWeb"/>
        <w:ind w:left="720"/>
        <w:rPr>
          <w:rFonts w:ascii="Arial" w:hAnsi="Arial"/>
          <w:lang w:val="en-ZA"/>
        </w:rPr>
      </w:pPr>
      <w:r w:rsidRPr="008633D2">
        <w:rPr>
          <w:rFonts w:ascii="Arial" w:hAnsi="Arial"/>
          <w:lang w:val="en-ZA"/>
        </w:rPr>
        <w:t>r</w:t>
      </w:r>
      <w:r w:rsidRPr="008633D2">
        <w:rPr>
          <w:rFonts w:ascii="Arial" w:hAnsi="Arial"/>
          <w:vertAlign w:val="subscript"/>
          <w:lang w:val="en-ZA"/>
        </w:rPr>
        <w:t>b</w:t>
      </w:r>
      <w:r>
        <w:rPr>
          <w:rFonts w:ascii="Arial" w:hAnsi="Arial"/>
          <w:lang w:val="en-ZA"/>
        </w:rPr>
        <w:t xml:space="preserve"> represents the annualised return</w:t>
      </w:r>
      <w:r w:rsidRPr="008633D2">
        <w:rPr>
          <w:rFonts w:ascii="Arial" w:hAnsi="Arial"/>
          <w:lang w:val="en-ZA"/>
        </w:rPr>
        <w:t xml:space="preserve"> of the benchmark for the period</w:t>
      </w:r>
      <w:r>
        <w:rPr>
          <w:rFonts w:ascii="Arial" w:hAnsi="Arial"/>
          <w:lang w:val="en-ZA"/>
        </w:rPr>
        <w:t xml:space="preserve"> considered</w:t>
      </w:r>
      <w:r w:rsidRPr="008633D2">
        <w:rPr>
          <w:rFonts w:ascii="Arial" w:hAnsi="Arial"/>
          <w:lang w:val="en-ZA"/>
        </w:rPr>
        <w:t>,</w:t>
      </w:r>
      <w:r w:rsidRPr="008633D2">
        <w:rPr>
          <w:rFonts w:ascii="Arial" w:hAnsi="Arial"/>
          <w:lang w:val="en-ZA"/>
        </w:rPr>
        <w:tab/>
      </w:r>
    </w:p>
    <w:p w:rsidR="0093055D" w:rsidRPr="000F0BEF" w:rsidRDefault="003323B7" w:rsidP="0093055D">
      <w:pPr>
        <w:ind w:left="720"/>
        <w:rPr>
          <w:lang w:val="en-ZA"/>
        </w:rPr>
      </w:pPr>
      <m:oMath>
        <m:sSub>
          <m:sSubPr>
            <m:ctrlPr>
              <w:rPr>
                <w:rFonts w:ascii="Cambria Math" w:hAnsi="Cambria Math"/>
                <w:i/>
                <w:lang w:val="en-ZA"/>
              </w:rPr>
            </m:ctrlPr>
          </m:sSubPr>
          <m:e>
            <m:r>
              <w:rPr>
                <w:rFonts w:ascii="Cambria Math" w:hAnsi="Cambria Math"/>
                <w:lang w:val="en-ZA"/>
              </w:rPr>
              <m:t>σ</m:t>
            </m:r>
          </m:e>
          <m:sub>
            <m:r>
              <w:rPr>
                <w:rFonts w:ascii="Cambria Math" w:hAnsi="Cambria Math"/>
                <w:lang w:val="en-ZA"/>
              </w:rPr>
              <m:t>mg</m:t>
            </m:r>
          </m:sub>
        </m:sSub>
      </m:oMath>
      <w:r w:rsidR="0093055D">
        <w:rPr>
          <w:lang w:val="en-ZA"/>
        </w:rPr>
        <w:t xml:space="preserve"> </w:t>
      </w:r>
      <w:r w:rsidR="0093055D" w:rsidRPr="008633D2">
        <w:rPr>
          <w:lang w:val="en-ZA"/>
        </w:rPr>
        <w:t>represents standard deviation</w:t>
      </w:r>
      <w:r w:rsidR="0093055D">
        <w:rPr>
          <w:lang w:val="en-ZA"/>
        </w:rPr>
        <w:t xml:space="preserve"> </w:t>
      </w:r>
      <w:r w:rsidR="0093055D" w:rsidRPr="008633D2">
        <w:rPr>
          <w:lang w:val="en-ZA"/>
        </w:rPr>
        <w:t xml:space="preserve">of </w:t>
      </w:r>
      <w:r w:rsidR="0093055D">
        <w:rPr>
          <w:lang w:val="en-ZA"/>
        </w:rPr>
        <w:t>the annualised performance of the funds managed by fund managers of gender g,</w:t>
      </w:r>
    </w:p>
    <w:p w:rsidR="0093055D" w:rsidRDefault="0093055D" w:rsidP="0093055D">
      <w:pPr>
        <w:ind w:left="720" w:hanging="720"/>
        <w:rPr>
          <w:lang w:val="en-ZA"/>
        </w:rPr>
      </w:pPr>
      <w:r>
        <w:rPr>
          <w:lang w:val="en-ZA"/>
        </w:rPr>
        <w:t>a</w:t>
      </w:r>
      <w:r w:rsidRPr="00DE7D6F">
        <w:rPr>
          <w:lang w:val="en-ZA"/>
        </w:rPr>
        <w:t>nd</w:t>
      </w:r>
      <w:r>
        <w:rPr>
          <w:lang w:val="en-ZA"/>
        </w:rPr>
        <w:t xml:space="preserve"> </w:t>
      </w:r>
      <w:r>
        <w:rPr>
          <w:lang w:val="en-ZA"/>
        </w:rPr>
        <w:tab/>
      </w:r>
      <m:oMath>
        <m:sSub>
          <m:sSubPr>
            <m:ctrlPr>
              <w:rPr>
                <w:rFonts w:ascii="Cambria Math" w:hAnsi="Cambria Math"/>
                <w:i/>
                <w:lang w:val="en-ZA"/>
              </w:rPr>
            </m:ctrlPr>
          </m:sSubPr>
          <m:e>
            <m:r>
              <w:rPr>
                <w:rFonts w:ascii="Cambria Math" w:hAnsi="Cambria Math"/>
                <w:lang w:val="en-ZA"/>
              </w:rPr>
              <m:t>n</m:t>
            </m:r>
          </m:e>
          <m:sub>
            <m:r>
              <w:rPr>
                <w:rFonts w:ascii="Cambria Math" w:hAnsi="Cambria Math"/>
                <w:lang w:val="en-ZA"/>
              </w:rPr>
              <m:t>g</m:t>
            </m:r>
          </m:sub>
        </m:sSub>
      </m:oMath>
      <w:r>
        <w:rPr>
          <w:lang w:val="en-ZA"/>
        </w:rPr>
        <w:t xml:space="preserve"> </w:t>
      </w:r>
      <w:r w:rsidRPr="00DE7D6F">
        <w:rPr>
          <w:lang w:val="en-ZA"/>
        </w:rPr>
        <w:t xml:space="preserve">represents the number of </w:t>
      </w:r>
      <w:r>
        <w:rPr>
          <w:lang w:val="en-ZA"/>
        </w:rPr>
        <w:t>funds managed by fund managers of gender g that are being considered.</w:t>
      </w:r>
    </w:p>
    <w:p w:rsidR="0093055D" w:rsidRDefault="0093055D" w:rsidP="0093055D">
      <w:pPr>
        <w:ind w:left="720" w:hanging="720"/>
        <w:rPr>
          <w:lang w:val="en-ZA"/>
        </w:rPr>
      </w:pPr>
      <w:r>
        <w:rPr>
          <w:lang w:val="en-ZA"/>
        </w:rPr>
        <w:t xml:space="preserve"> </w:t>
      </w:r>
    </w:p>
    <w:p w:rsidR="00956FB3" w:rsidRDefault="0093055D" w:rsidP="00956FB3">
      <w:pPr>
        <w:rPr>
          <w:lang w:val="en-ZA"/>
        </w:rPr>
      </w:pPr>
      <w:r>
        <w:rPr>
          <w:lang w:val="en-ZA"/>
        </w:rPr>
        <w:t>T</w:t>
      </w:r>
      <w:r w:rsidR="00DE7D6F">
        <w:rPr>
          <w:lang w:val="en-ZA"/>
        </w:rPr>
        <w:t>he p-value approach as descr</w:t>
      </w:r>
      <w:r>
        <w:rPr>
          <w:lang w:val="en-ZA"/>
        </w:rPr>
        <w:t>ibed in the previous section w</w:t>
      </w:r>
      <w:r w:rsidR="00C12A9F">
        <w:rPr>
          <w:lang w:val="en-ZA"/>
        </w:rPr>
        <w:t>as</w:t>
      </w:r>
      <w:r>
        <w:rPr>
          <w:lang w:val="en-ZA"/>
        </w:rPr>
        <w:t xml:space="preserve"> used to determine if the results are </w:t>
      </w:r>
      <w:r w:rsidR="007969E2">
        <w:rPr>
          <w:lang w:val="en-ZA"/>
        </w:rPr>
        <w:t>significant and to</w:t>
      </w:r>
      <w:r>
        <w:rPr>
          <w:lang w:val="en-ZA"/>
        </w:rPr>
        <w:t xml:space="preserve"> indicate if the null hypotheses presented in section </w:t>
      </w:r>
      <w:r w:rsidR="007969E2">
        <w:rPr>
          <w:lang w:val="en-ZA"/>
        </w:rPr>
        <w:t>2.4.4 can</w:t>
      </w:r>
      <w:r>
        <w:rPr>
          <w:lang w:val="en-ZA"/>
        </w:rPr>
        <w:t xml:space="preserve"> </w:t>
      </w:r>
      <w:r w:rsidR="007969E2">
        <w:rPr>
          <w:lang w:val="en-ZA"/>
        </w:rPr>
        <w:t>be accepted</w:t>
      </w:r>
      <w:r w:rsidR="00DE7D6F">
        <w:rPr>
          <w:lang w:val="en-ZA"/>
        </w:rPr>
        <w:t xml:space="preserve"> or reject</w:t>
      </w:r>
      <w:r>
        <w:rPr>
          <w:lang w:val="en-ZA"/>
        </w:rPr>
        <w:t>ed</w:t>
      </w:r>
      <w:r w:rsidR="00DE7D6F">
        <w:rPr>
          <w:lang w:val="en-ZA"/>
        </w:rPr>
        <w:t>.</w:t>
      </w:r>
    </w:p>
    <w:p w:rsidR="0093055D" w:rsidRDefault="0093055D" w:rsidP="00956FB3">
      <w:pPr>
        <w:rPr>
          <w:lang w:val="en-ZA"/>
        </w:rPr>
      </w:pPr>
    </w:p>
    <w:p w:rsidR="0098261F" w:rsidRDefault="0098261F" w:rsidP="00956FB3">
      <w:pPr>
        <w:rPr>
          <w:lang w:val="en-ZA"/>
        </w:rPr>
      </w:pPr>
    </w:p>
    <w:p w:rsidR="0098261F" w:rsidRPr="008633D2" w:rsidRDefault="0098261F" w:rsidP="00956FB3">
      <w:pPr>
        <w:rPr>
          <w:lang w:val="en-ZA"/>
        </w:rPr>
      </w:pPr>
    </w:p>
    <w:p w:rsidR="00BC3347" w:rsidRPr="008633D2" w:rsidRDefault="00BC3347" w:rsidP="00BC3347">
      <w:pPr>
        <w:pStyle w:val="Heading3"/>
        <w:rPr>
          <w:color w:val="333399"/>
          <w:lang w:val="en-ZA"/>
        </w:rPr>
      </w:pPr>
      <w:bookmarkStart w:id="187" w:name="_Toc458610804"/>
      <w:r w:rsidRPr="008633D2">
        <w:rPr>
          <w:lang w:val="en-ZA"/>
        </w:rPr>
        <w:t>Directly compare the riskiness of the all unit trusts by gender</w:t>
      </w:r>
      <w:bookmarkEnd w:id="187"/>
    </w:p>
    <w:p w:rsidR="0098261F" w:rsidRDefault="00952AEE" w:rsidP="00956FB3">
      <w:pPr>
        <w:rPr>
          <w:lang w:val="en-ZA"/>
        </w:rPr>
      </w:pPr>
      <w:r w:rsidRPr="008633D2">
        <w:rPr>
          <w:lang w:val="en-ZA"/>
        </w:rPr>
        <w:t>As indicated in section 3.6.3 beta is the measurement of risk that we use</w:t>
      </w:r>
      <w:r w:rsidR="00C12A9F">
        <w:rPr>
          <w:lang w:val="en-ZA"/>
        </w:rPr>
        <w:t>d</w:t>
      </w:r>
      <w:r w:rsidRPr="008633D2">
        <w:rPr>
          <w:lang w:val="en-ZA"/>
        </w:rPr>
        <w:t xml:space="preserve"> to compare the riskiness of two funds</w:t>
      </w:r>
      <w:r w:rsidR="00CC6274" w:rsidRPr="008633D2">
        <w:rPr>
          <w:lang w:val="en-ZA"/>
        </w:rPr>
        <w:t xml:space="preserve">. </w:t>
      </w:r>
      <w:r w:rsidRPr="008633D2">
        <w:rPr>
          <w:lang w:val="en-ZA"/>
        </w:rPr>
        <w:t xml:space="preserve">To compare the riskiness of all female managed funds to all male managed funds </w:t>
      </w:r>
      <w:r w:rsidR="00DE7D6F">
        <w:rPr>
          <w:lang w:val="en-ZA"/>
        </w:rPr>
        <w:t xml:space="preserve">within the South African unit trust industry, the minimum and maximum value of all betas in the sample </w:t>
      </w:r>
      <w:r w:rsidR="00C12A9F">
        <w:rPr>
          <w:lang w:val="en-ZA"/>
        </w:rPr>
        <w:t>wa</w:t>
      </w:r>
      <w:r w:rsidR="00DE7D6F">
        <w:rPr>
          <w:lang w:val="en-ZA"/>
        </w:rPr>
        <w:t xml:space="preserve">s calculated. </w:t>
      </w:r>
    </w:p>
    <w:p w:rsidR="0098261F" w:rsidRDefault="0098261F" w:rsidP="00956FB3">
      <w:pPr>
        <w:rPr>
          <w:lang w:val="en-ZA"/>
        </w:rPr>
      </w:pPr>
    </w:p>
    <w:p w:rsidR="00956FB3" w:rsidRDefault="00DE7D6F" w:rsidP="00956FB3">
      <w:pPr>
        <w:rPr>
          <w:lang w:val="en-ZA"/>
        </w:rPr>
      </w:pPr>
      <w:r>
        <w:rPr>
          <w:lang w:val="en-ZA"/>
        </w:rPr>
        <w:t>An array of bucke</w:t>
      </w:r>
      <w:r w:rsidR="0098261F">
        <w:rPr>
          <w:lang w:val="en-ZA"/>
        </w:rPr>
        <w:t xml:space="preserve">ts in intervals of </w:t>
      </w:r>
      <w:r>
        <w:rPr>
          <w:lang w:val="en-ZA"/>
        </w:rPr>
        <w:t xml:space="preserve">0.1 from the minimum beta </w:t>
      </w:r>
      <w:r w:rsidR="0098261F">
        <w:rPr>
          <w:lang w:val="en-ZA"/>
        </w:rPr>
        <w:t>included</w:t>
      </w:r>
      <w:r>
        <w:rPr>
          <w:lang w:val="en-ZA"/>
        </w:rPr>
        <w:t xml:space="preserve"> the sample to the maximum beta in</w:t>
      </w:r>
      <w:r w:rsidR="0098261F">
        <w:rPr>
          <w:lang w:val="en-ZA"/>
        </w:rPr>
        <w:t>cluded</w:t>
      </w:r>
      <w:r>
        <w:rPr>
          <w:lang w:val="en-ZA"/>
        </w:rPr>
        <w:t xml:space="preserve"> the sample </w:t>
      </w:r>
      <w:r w:rsidR="00C12A9F">
        <w:rPr>
          <w:lang w:val="en-ZA"/>
        </w:rPr>
        <w:t>wa</w:t>
      </w:r>
      <w:r>
        <w:rPr>
          <w:lang w:val="en-ZA"/>
        </w:rPr>
        <w:t>s produced. The percentage of b</w:t>
      </w:r>
      <w:r w:rsidR="00952AEE" w:rsidRPr="008633D2">
        <w:rPr>
          <w:lang w:val="en-ZA"/>
        </w:rPr>
        <w:t>eta</w:t>
      </w:r>
      <w:r>
        <w:rPr>
          <w:lang w:val="en-ZA"/>
        </w:rPr>
        <w:t xml:space="preserve">s falling into each bucket for male managed </w:t>
      </w:r>
      <w:r w:rsidR="007969E2">
        <w:rPr>
          <w:lang w:val="en-ZA"/>
        </w:rPr>
        <w:t>funds and</w:t>
      </w:r>
      <w:r>
        <w:rPr>
          <w:lang w:val="en-ZA"/>
        </w:rPr>
        <w:t xml:space="preserve"> for female managed funds </w:t>
      </w:r>
      <w:r w:rsidR="00C12A9F">
        <w:rPr>
          <w:lang w:val="en-ZA"/>
        </w:rPr>
        <w:t>wa</w:t>
      </w:r>
      <w:r>
        <w:rPr>
          <w:lang w:val="en-ZA"/>
        </w:rPr>
        <w:t>s then computed. T</w:t>
      </w:r>
      <w:r w:rsidR="00952AEE" w:rsidRPr="008633D2">
        <w:rPr>
          <w:lang w:val="en-ZA"/>
        </w:rPr>
        <w:t xml:space="preserve">he standard </w:t>
      </w:r>
      <w:r w:rsidRPr="008633D2">
        <w:rPr>
          <w:lang w:val="en-ZA"/>
        </w:rPr>
        <w:t xml:space="preserve">deviation </w:t>
      </w:r>
      <w:r>
        <w:rPr>
          <w:lang w:val="en-ZA"/>
        </w:rPr>
        <w:t xml:space="preserve">for each of these arrays </w:t>
      </w:r>
      <w:r w:rsidR="00C12A9F">
        <w:rPr>
          <w:lang w:val="en-ZA"/>
        </w:rPr>
        <w:t>wa</w:t>
      </w:r>
      <w:r>
        <w:rPr>
          <w:lang w:val="en-ZA"/>
        </w:rPr>
        <w:t>s calculated as per the formula below to ensure that the results are significant.</w:t>
      </w:r>
    </w:p>
    <w:p w:rsidR="00DE7D6F" w:rsidRPr="008633D2" w:rsidRDefault="00DE7D6F" w:rsidP="00956FB3">
      <w:pPr>
        <w:rPr>
          <w:lang w:val="en-ZA"/>
        </w:rPr>
      </w:pPr>
    </w:p>
    <w:p w:rsidR="00956FB3" w:rsidRPr="008633D2" w:rsidRDefault="00956FB3" w:rsidP="00956FB3">
      <w:pPr>
        <w:rPr>
          <w:lang w:val="en-ZA"/>
        </w:rPr>
      </w:pPr>
      <m:oMathPara>
        <m:oMath>
          <m:r>
            <w:rPr>
              <w:rFonts w:ascii="Cambria Math" w:hAnsi="Cambria Math"/>
              <w:lang w:val="en-ZA"/>
            </w:rPr>
            <m:t xml:space="preserve">σ= </m:t>
          </m:r>
          <m:rad>
            <m:radPr>
              <m:degHide m:val="1"/>
              <m:ctrlPr>
                <w:rPr>
                  <w:rFonts w:ascii="Cambria Math" w:hAnsi="Cambria Math"/>
                  <w:i/>
                  <w:lang w:val="en-ZA"/>
                </w:rPr>
              </m:ctrlPr>
            </m:radPr>
            <m:deg/>
            <m:e>
              <m:f>
                <m:fPr>
                  <m:ctrlPr>
                    <w:rPr>
                      <w:rFonts w:ascii="Cambria Math" w:hAnsi="Cambria Math"/>
                      <w:i/>
                      <w:lang w:val="en-ZA"/>
                    </w:rPr>
                  </m:ctrlPr>
                </m:fPr>
                <m:num>
                  <m:sSup>
                    <m:sSupPr>
                      <m:ctrlPr>
                        <w:rPr>
                          <w:rFonts w:ascii="Cambria Math" w:hAnsi="Cambria Math"/>
                          <w:i/>
                          <w:lang w:val="en-ZA"/>
                        </w:rPr>
                      </m:ctrlPr>
                    </m:sSupPr>
                    <m:e>
                      <m:nary>
                        <m:naryPr>
                          <m:chr m:val="∑"/>
                          <m:limLoc m:val="undOvr"/>
                          <m:subHide m:val="1"/>
                          <m:supHide m:val="1"/>
                          <m:ctrlPr>
                            <w:rPr>
                              <w:rFonts w:ascii="Cambria Math" w:hAnsi="Cambria Math"/>
                              <w:i/>
                              <w:lang w:val="en-ZA"/>
                            </w:rPr>
                          </m:ctrlPr>
                        </m:naryPr>
                        <m:sub/>
                        <m:sup/>
                        <m:e>
                          <m:r>
                            <w:rPr>
                              <w:rFonts w:ascii="Cambria Math" w:hAnsi="Cambria Math"/>
                              <w:lang w:val="en-ZA"/>
                            </w:rPr>
                            <m:t>(x-</m:t>
                          </m:r>
                          <m:bar>
                            <m:barPr>
                              <m:pos m:val="top"/>
                              <m:ctrlPr>
                                <w:rPr>
                                  <w:rFonts w:ascii="Cambria Math" w:hAnsi="Cambria Math"/>
                                  <w:i/>
                                  <w:lang w:val="en-ZA"/>
                                </w:rPr>
                              </m:ctrlPr>
                            </m:barPr>
                            <m:e>
                              <m:r>
                                <w:rPr>
                                  <w:rFonts w:ascii="Cambria Math" w:hAnsi="Cambria Math"/>
                                  <w:lang w:val="en-ZA"/>
                                </w:rPr>
                                <m:t>x</m:t>
                              </m:r>
                            </m:e>
                          </m:bar>
                          <m:r>
                            <w:rPr>
                              <w:rFonts w:ascii="Cambria Math" w:hAnsi="Cambria Math"/>
                              <w:lang w:val="en-ZA"/>
                            </w:rPr>
                            <m:t>)</m:t>
                          </m:r>
                        </m:e>
                      </m:nary>
                    </m:e>
                    <m:sup>
                      <m:r>
                        <w:rPr>
                          <w:rFonts w:ascii="Cambria Math" w:hAnsi="Cambria Math"/>
                          <w:lang w:val="en-ZA"/>
                        </w:rPr>
                        <m:t>2</m:t>
                      </m:r>
                    </m:sup>
                  </m:sSup>
                </m:num>
                <m:den>
                  <m:r>
                    <w:rPr>
                      <w:rFonts w:ascii="Cambria Math" w:hAnsi="Cambria Math"/>
                      <w:lang w:val="en-ZA"/>
                    </w:rPr>
                    <m:t>n-1</m:t>
                  </m:r>
                </m:den>
              </m:f>
            </m:e>
          </m:rad>
        </m:oMath>
      </m:oMathPara>
    </w:p>
    <w:p w:rsidR="00DE7D6F" w:rsidRDefault="00DE7D6F" w:rsidP="00956FB3">
      <w:pPr>
        <w:rPr>
          <w:lang w:val="en-ZA"/>
        </w:rPr>
      </w:pPr>
    </w:p>
    <w:p w:rsidR="00956FB3" w:rsidRPr="008633D2" w:rsidRDefault="00956FB3" w:rsidP="00956FB3">
      <w:pPr>
        <w:rPr>
          <w:lang w:val="en-ZA"/>
        </w:rPr>
      </w:pPr>
      <w:r w:rsidRPr="008633D2">
        <w:rPr>
          <w:lang w:val="en-ZA"/>
        </w:rPr>
        <w:t xml:space="preserve">where </w:t>
      </w:r>
      <m:oMath>
        <m:r>
          <w:rPr>
            <w:rFonts w:ascii="Cambria Math" w:hAnsi="Cambria Math"/>
            <w:lang w:val="en-ZA"/>
          </w:rPr>
          <m:t>σ</m:t>
        </m:r>
      </m:oMath>
      <w:r w:rsidRPr="008633D2">
        <w:rPr>
          <w:lang w:val="en-ZA"/>
        </w:rPr>
        <w:t xml:space="preserve">  represents standard deviation,</w:t>
      </w:r>
    </w:p>
    <w:p w:rsidR="00956FB3" w:rsidRPr="008633D2" w:rsidRDefault="00956FB3" w:rsidP="00956FB3">
      <w:pPr>
        <w:rPr>
          <w:lang w:val="en-ZA"/>
        </w:rPr>
      </w:pPr>
      <w:r w:rsidRPr="008633D2">
        <w:rPr>
          <w:lang w:val="en-ZA"/>
        </w:rPr>
        <w:tab/>
        <w:t>x represents each value in the sample,</w:t>
      </w:r>
    </w:p>
    <w:p w:rsidR="00956FB3" w:rsidRPr="008633D2" w:rsidRDefault="00956FB3" w:rsidP="00956FB3">
      <w:pPr>
        <w:rPr>
          <w:lang w:val="en-ZA"/>
        </w:rPr>
      </w:pPr>
      <w:r w:rsidRPr="008633D2">
        <w:rPr>
          <w:lang w:val="en-ZA"/>
        </w:rPr>
        <w:tab/>
      </w:r>
      <m:oMath>
        <m:bar>
          <m:barPr>
            <m:pos m:val="top"/>
            <m:ctrlPr>
              <w:rPr>
                <w:rFonts w:ascii="Cambria Math" w:hAnsi="Cambria Math"/>
                <w:i/>
                <w:lang w:val="en-ZA"/>
              </w:rPr>
            </m:ctrlPr>
          </m:barPr>
          <m:e>
            <m:r>
              <w:rPr>
                <w:rFonts w:ascii="Cambria Math" w:hAnsi="Cambria Math"/>
                <w:lang w:val="en-ZA"/>
              </w:rPr>
              <m:t>x</m:t>
            </m:r>
          </m:e>
        </m:bar>
      </m:oMath>
      <w:r w:rsidRPr="008633D2">
        <w:rPr>
          <w:lang w:val="en-ZA"/>
        </w:rPr>
        <w:t xml:space="preserve"> represents the mean of all the values </w:t>
      </w:r>
    </w:p>
    <w:p w:rsidR="00195AF0" w:rsidRDefault="00956FB3" w:rsidP="00DE7D6F">
      <w:pPr>
        <w:rPr>
          <w:lang w:val="en-ZA"/>
        </w:rPr>
      </w:pPr>
      <w:r w:rsidRPr="00DE7D6F">
        <w:rPr>
          <w:lang w:val="en-ZA"/>
        </w:rPr>
        <w:t>and</w:t>
      </w:r>
      <w:r w:rsidRPr="00DE7D6F">
        <w:rPr>
          <w:lang w:val="en-ZA"/>
        </w:rPr>
        <w:tab/>
      </w:r>
      <m:oMath>
        <m:r>
          <w:rPr>
            <w:rFonts w:ascii="Cambria Math" w:hAnsi="Cambria Math"/>
            <w:lang w:val="en-ZA"/>
          </w:rPr>
          <m:t>n</m:t>
        </m:r>
      </m:oMath>
      <w:r w:rsidRPr="00DE7D6F">
        <w:rPr>
          <w:lang w:val="en-ZA"/>
        </w:rPr>
        <w:t xml:space="preserve">  represents the number of values in the sample</w:t>
      </w:r>
      <w:r w:rsidR="00952AEE" w:rsidRPr="00DE7D6F">
        <w:rPr>
          <w:lang w:val="en-ZA"/>
        </w:rPr>
        <w:t>.</w:t>
      </w:r>
    </w:p>
    <w:p w:rsidR="0098261F" w:rsidRDefault="0098261F" w:rsidP="00952AEE">
      <w:pPr>
        <w:rPr>
          <w:lang w:val="en-ZA"/>
        </w:rPr>
      </w:pPr>
    </w:p>
    <w:p w:rsidR="00952AEE" w:rsidRDefault="00952AEE" w:rsidP="00952AEE">
      <w:pPr>
        <w:rPr>
          <w:lang w:val="en-ZA"/>
        </w:rPr>
      </w:pPr>
      <w:r w:rsidRPr="008633D2">
        <w:rPr>
          <w:lang w:val="en-ZA"/>
        </w:rPr>
        <w:t>The standard deviation provide</w:t>
      </w:r>
      <w:r w:rsidR="00C12A9F">
        <w:rPr>
          <w:lang w:val="en-ZA"/>
        </w:rPr>
        <w:t>d</w:t>
      </w:r>
      <w:r w:rsidRPr="008633D2">
        <w:rPr>
          <w:lang w:val="en-ZA"/>
        </w:rPr>
        <w:t xml:space="preserve"> an indication of how each </w:t>
      </w:r>
      <w:r w:rsidR="0046753E">
        <w:rPr>
          <w:lang w:val="en-ZA"/>
        </w:rPr>
        <w:t xml:space="preserve">of </w:t>
      </w:r>
      <w:r w:rsidRPr="008633D2">
        <w:rPr>
          <w:lang w:val="en-ZA"/>
        </w:rPr>
        <w:t>the bucketed beta’s var</w:t>
      </w:r>
      <w:r w:rsidR="00C12A9F">
        <w:rPr>
          <w:lang w:val="en-ZA"/>
        </w:rPr>
        <w:t>ied</w:t>
      </w:r>
      <w:r w:rsidRPr="008633D2">
        <w:rPr>
          <w:lang w:val="en-ZA"/>
        </w:rPr>
        <w:t xml:space="preserve"> for each of the sets of funds, </w:t>
      </w:r>
      <w:r w:rsidR="00093481" w:rsidRPr="008633D2">
        <w:rPr>
          <w:lang w:val="en-ZA"/>
        </w:rPr>
        <w:t>i.e.</w:t>
      </w:r>
      <w:r w:rsidRPr="008633D2">
        <w:rPr>
          <w:lang w:val="en-ZA"/>
        </w:rPr>
        <w:t xml:space="preserve"> male funds and female funds. The difference between the standard deviation provide</w:t>
      </w:r>
      <w:r w:rsidR="00C12A9F">
        <w:rPr>
          <w:lang w:val="en-ZA"/>
        </w:rPr>
        <w:t>s</w:t>
      </w:r>
      <w:r w:rsidRPr="008633D2">
        <w:rPr>
          <w:lang w:val="en-ZA"/>
        </w:rPr>
        <w:t xml:space="preserve"> insight into how the riskiness of the funds </w:t>
      </w:r>
      <w:r w:rsidR="00093481" w:rsidRPr="008633D2">
        <w:rPr>
          <w:lang w:val="en-ZA"/>
        </w:rPr>
        <w:t>varie</w:t>
      </w:r>
      <w:r w:rsidR="00C12A9F">
        <w:rPr>
          <w:lang w:val="en-ZA"/>
        </w:rPr>
        <w:t>d</w:t>
      </w:r>
      <w:r w:rsidR="0098261F">
        <w:rPr>
          <w:lang w:val="en-ZA"/>
        </w:rPr>
        <w:t xml:space="preserve"> by gender</w:t>
      </w:r>
      <w:r w:rsidRPr="008633D2">
        <w:rPr>
          <w:lang w:val="en-ZA"/>
        </w:rPr>
        <w:t xml:space="preserve">. </w:t>
      </w:r>
    </w:p>
    <w:p w:rsidR="00195AF0" w:rsidRPr="008633D2" w:rsidRDefault="00952AEE" w:rsidP="00D06992">
      <w:pPr>
        <w:pStyle w:val="Heading3"/>
        <w:rPr>
          <w:lang w:val="en-ZA"/>
        </w:rPr>
      </w:pPr>
      <w:bookmarkStart w:id="188" w:name="_Toc458610805"/>
      <w:r w:rsidRPr="008633D2">
        <w:rPr>
          <w:lang w:val="en-ZA"/>
        </w:rPr>
        <w:t>Summarise</w:t>
      </w:r>
      <w:r w:rsidR="00195AF0" w:rsidRPr="008633D2">
        <w:rPr>
          <w:lang w:val="en-ZA"/>
        </w:rPr>
        <w:t xml:space="preserve"> the results</w:t>
      </w:r>
      <w:bookmarkEnd w:id="188"/>
    </w:p>
    <w:p w:rsidR="00952AEE" w:rsidRPr="008633D2" w:rsidRDefault="00952AEE" w:rsidP="00952AEE">
      <w:pPr>
        <w:rPr>
          <w:i/>
          <w:lang w:val="en-ZA"/>
        </w:rPr>
      </w:pPr>
      <w:r w:rsidRPr="008633D2">
        <w:rPr>
          <w:lang w:val="en-ZA"/>
        </w:rPr>
        <w:t>Once all the steps highlighted in the previous sections ha</w:t>
      </w:r>
      <w:r w:rsidR="00C12A9F">
        <w:rPr>
          <w:lang w:val="en-ZA"/>
        </w:rPr>
        <w:t>d</w:t>
      </w:r>
      <w:r w:rsidRPr="008633D2">
        <w:rPr>
          <w:lang w:val="en-ZA"/>
        </w:rPr>
        <w:t xml:space="preserve"> been completed, the results produced </w:t>
      </w:r>
      <w:r w:rsidR="00C12A9F">
        <w:rPr>
          <w:lang w:val="en-ZA"/>
        </w:rPr>
        <w:t>we</w:t>
      </w:r>
      <w:r w:rsidR="00CF6ECB">
        <w:rPr>
          <w:lang w:val="en-ZA"/>
        </w:rPr>
        <w:t>re summarised and presented in c</w:t>
      </w:r>
      <w:r w:rsidRPr="008633D2">
        <w:rPr>
          <w:lang w:val="en-ZA"/>
        </w:rPr>
        <w:t xml:space="preserve">hapter 4. The summarised </w:t>
      </w:r>
      <w:r w:rsidR="00093481" w:rsidRPr="008633D2">
        <w:rPr>
          <w:lang w:val="en-ZA"/>
        </w:rPr>
        <w:t>set of results provide</w:t>
      </w:r>
      <w:r w:rsidR="00C12A9F">
        <w:rPr>
          <w:lang w:val="en-ZA"/>
        </w:rPr>
        <w:t>d</w:t>
      </w:r>
      <w:r w:rsidRPr="008633D2">
        <w:rPr>
          <w:lang w:val="en-ZA"/>
        </w:rPr>
        <w:t xml:space="preserve"> insight into the performance of female managed unit trusts in comparison to the male managed unit trusts and to the chosen benchmark. These results </w:t>
      </w:r>
      <w:r w:rsidR="00C12A9F">
        <w:rPr>
          <w:lang w:val="en-ZA"/>
        </w:rPr>
        <w:t>we</w:t>
      </w:r>
      <w:r w:rsidRPr="008633D2">
        <w:rPr>
          <w:lang w:val="en-ZA"/>
        </w:rPr>
        <w:t xml:space="preserve">re </w:t>
      </w:r>
      <w:r w:rsidR="00DE7D6F">
        <w:rPr>
          <w:lang w:val="en-ZA"/>
        </w:rPr>
        <w:t>used to prove or disprove the hypotheses identified earlier and discussed</w:t>
      </w:r>
      <w:r w:rsidRPr="008633D2">
        <w:rPr>
          <w:lang w:val="en-ZA"/>
        </w:rPr>
        <w:t xml:space="preserve"> in </w:t>
      </w:r>
      <w:r w:rsidR="00CF6ECB">
        <w:rPr>
          <w:lang w:val="en-ZA"/>
        </w:rPr>
        <w:t>c</w:t>
      </w:r>
      <w:r w:rsidR="00DE7D6F">
        <w:rPr>
          <w:lang w:val="en-ZA"/>
        </w:rPr>
        <w:t xml:space="preserve">hapter 5. </w:t>
      </w:r>
    </w:p>
    <w:p w:rsidR="00195AF0" w:rsidRPr="008633D2" w:rsidRDefault="00195AF0" w:rsidP="00FD1B3A">
      <w:pPr>
        <w:rPr>
          <w:color w:val="333399"/>
          <w:lang w:val="en-ZA"/>
        </w:rPr>
      </w:pPr>
    </w:p>
    <w:p w:rsidR="008B40C3" w:rsidRPr="008633D2" w:rsidRDefault="008B40C3" w:rsidP="0044202E">
      <w:pPr>
        <w:pStyle w:val="Heading2"/>
        <w:rPr>
          <w:lang w:val="en-ZA"/>
        </w:rPr>
      </w:pPr>
      <w:bookmarkStart w:id="189" w:name="_Toc458610806"/>
      <w:r w:rsidRPr="008633D2">
        <w:rPr>
          <w:lang w:val="en-ZA"/>
        </w:rPr>
        <w:t>Limitations of the study</w:t>
      </w:r>
      <w:bookmarkEnd w:id="189"/>
    </w:p>
    <w:p w:rsidR="00195AF0" w:rsidRPr="008633D2" w:rsidRDefault="00195AF0" w:rsidP="00195AF0">
      <w:pPr>
        <w:rPr>
          <w:lang w:val="en-ZA"/>
        </w:rPr>
      </w:pPr>
      <w:r w:rsidRPr="008633D2">
        <w:rPr>
          <w:lang w:val="en-ZA"/>
        </w:rPr>
        <w:t xml:space="preserve">The number of female fund managers is a concern, as it is less than 10% of the entire population being considered. We could find that due to the size of the sample the results are </w:t>
      </w:r>
      <w:r w:rsidR="00D06992" w:rsidRPr="008633D2">
        <w:rPr>
          <w:lang w:val="en-ZA"/>
        </w:rPr>
        <w:t>inconclusive;</w:t>
      </w:r>
      <w:r w:rsidRPr="008633D2">
        <w:rPr>
          <w:lang w:val="en-ZA"/>
        </w:rPr>
        <w:t xml:space="preserve"> </w:t>
      </w:r>
      <w:r w:rsidR="00527456" w:rsidRPr="008633D2">
        <w:rPr>
          <w:lang w:val="en-ZA"/>
        </w:rPr>
        <w:t>however,</w:t>
      </w:r>
      <w:r w:rsidRPr="008633D2">
        <w:rPr>
          <w:lang w:val="en-ZA"/>
        </w:rPr>
        <w:t xml:space="preserve"> since we are using </w:t>
      </w:r>
      <w:r w:rsidR="00D06992" w:rsidRPr="008633D2">
        <w:rPr>
          <w:lang w:val="en-ZA"/>
        </w:rPr>
        <w:t>10</w:t>
      </w:r>
      <w:r w:rsidRPr="008633D2">
        <w:rPr>
          <w:lang w:val="en-ZA"/>
        </w:rPr>
        <w:t xml:space="preserve"> years of </w:t>
      </w:r>
      <w:r w:rsidR="00D06992" w:rsidRPr="008633D2">
        <w:rPr>
          <w:lang w:val="en-ZA"/>
        </w:rPr>
        <w:t>monthly</w:t>
      </w:r>
      <w:r w:rsidRPr="008633D2">
        <w:rPr>
          <w:lang w:val="en-ZA"/>
        </w:rPr>
        <w:t xml:space="preserve"> data and </w:t>
      </w:r>
      <w:r w:rsidR="00CF6ECB">
        <w:rPr>
          <w:lang w:val="en-ZA"/>
        </w:rPr>
        <w:t>6</w:t>
      </w:r>
      <w:r w:rsidR="000D6EBA">
        <w:rPr>
          <w:lang w:val="en-ZA"/>
        </w:rPr>
        <w:t>4</w:t>
      </w:r>
      <w:r w:rsidRPr="008633D2">
        <w:rPr>
          <w:lang w:val="en-ZA"/>
        </w:rPr>
        <w:t xml:space="preserve"> fund managers we have </w:t>
      </w:r>
      <w:r w:rsidR="00D06992" w:rsidRPr="008633D2">
        <w:rPr>
          <w:lang w:val="en-ZA"/>
        </w:rPr>
        <w:t xml:space="preserve">sufficient data points. </w:t>
      </w:r>
    </w:p>
    <w:p w:rsidR="00D06992" w:rsidRPr="008633D2" w:rsidRDefault="00D06992" w:rsidP="00195AF0">
      <w:pPr>
        <w:rPr>
          <w:lang w:val="en-ZA"/>
        </w:rPr>
      </w:pPr>
    </w:p>
    <w:p w:rsidR="006F2C0B" w:rsidRPr="008633D2" w:rsidRDefault="006F2C0B" w:rsidP="0044202E">
      <w:pPr>
        <w:pStyle w:val="Heading2"/>
        <w:rPr>
          <w:lang w:val="en-ZA"/>
        </w:rPr>
      </w:pPr>
      <w:bookmarkStart w:id="190" w:name="_Ref25473012"/>
      <w:bookmarkStart w:id="191" w:name="_Toc141172762"/>
      <w:bookmarkStart w:id="192" w:name="_Toc141172834"/>
      <w:bookmarkStart w:id="193" w:name="_Toc141173504"/>
      <w:bookmarkStart w:id="194" w:name="_Toc141173570"/>
      <w:bookmarkStart w:id="195" w:name="_Toc184011886"/>
      <w:bookmarkStart w:id="196" w:name="_Toc458610807"/>
      <w:r w:rsidRPr="008633D2">
        <w:rPr>
          <w:lang w:val="en-ZA"/>
        </w:rPr>
        <w:t>Validity and reliability</w:t>
      </w:r>
      <w:bookmarkEnd w:id="190"/>
      <w:bookmarkEnd w:id="191"/>
      <w:bookmarkEnd w:id="192"/>
      <w:bookmarkEnd w:id="193"/>
      <w:bookmarkEnd w:id="194"/>
      <w:bookmarkEnd w:id="195"/>
      <w:bookmarkEnd w:id="196"/>
    </w:p>
    <w:p w:rsidR="00195AF0" w:rsidRPr="008633D2" w:rsidRDefault="00195AF0" w:rsidP="00195AF0">
      <w:pPr>
        <w:rPr>
          <w:lang w:val="en-ZA"/>
        </w:rPr>
      </w:pPr>
      <w:r w:rsidRPr="008633D2">
        <w:rPr>
          <w:lang w:val="en-ZA"/>
        </w:rPr>
        <w:t xml:space="preserve">Roberts, Priest and Traynor </w:t>
      </w:r>
      <w:sdt>
        <w:sdtPr>
          <w:rPr>
            <w:lang w:val="en-ZA"/>
          </w:rPr>
          <w:id w:val="1456908492"/>
          <w:citation/>
        </w:sdtPr>
        <w:sdtEndPr/>
        <w:sdtContent>
          <w:r w:rsidRPr="008633D2">
            <w:rPr>
              <w:lang w:val="en-ZA"/>
            </w:rPr>
            <w:fldChar w:fldCharType="begin"/>
          </w:r>
          <w:r w:rsidRPr="008633D2">
            <w:rPr>
              <w:lang w:val="en-ZA"/>
            </w:rPr>
            <w:instrText xml:space="preserve">CITATION Rob06 \n  \t  \l 1033 </w:instrText>
          </w:r>
          <w:r w:rsidRPr="008633D2">
            <w:rPr>
              <w:lang w:val="en-ZA"/>
            </w:rPr>
            <w:fldChar w:fldCharType="separate"/>
          </w:r>
          <w:r w:rsidRPr="008633D2">
            <w:rPr>
              <w:lang w:val="en-ZA"/>
            </w:rPr>
            <w:t>(2006)</w:t>
          </w:r>
          <w:r w:rsidRPr="008633D2">
            <w:rPr>
              <w:lang w:val="en-ZA"/>
            </w:rPr>
            <w:fldChar w:fldCharType="end"/>
          </w:r>
        </w:sdtContent>
      </w:sdt>
      <w:r w:rsidRPr="008633D2">
        <w:rPr>
          <w:lang w:val="en-ZA"/>
        </w:rPr>
        <w:t xml:space="preserve"> indicate that for research to be helpful, it should not mislead those that use it. The authors suggest that in order to communicate and demonstrate the rigour of a research process and the trustworthiness of the research findings, there must be reliability and validity. </w:t>
      </w:r>
      <w:r w:rsidR="000D6EBA">
        <w:rPr>
          <w:lang w:val="en-ZA"/>
        </w:rPr>
        <w:t xml:space="preserve">External and internal validity as well as reliability </w:t>
      </w:r>
      <w:r w:rsidR="00C12A9F">
        <w:rPr>
          <w:lang w:val="en-ZA"/>
        </w:rPr>
        <w:t>wa</w:t>
      </w:r>
      <w:r w:rsidR="000D6EBA">
        <w:rPr>
          <w:lang w:val="en-ZA"/>
        </w:rPr>
        <w:t>s considered for this research.</w:t>
      </w:r>
    </w:p>
    <w:p w:rsidR="00195AF0" w:rsidRDefault="00195AF0" w:rsidP="006F2C0B">
      <w:pPr>
        <w:rPr>
          <w:color w:val="333399"/>
          <w:lang w:val="en-ZA"/>
        </w:rPr>
      </w:pPr>
    </w:p>
    <w:p w:rsidR="0098261F" w:rsidRPr="008633D2" w:rsidRDefault="0098261F" w:rsidP="006F2C0B">
      <w:pPr>
        <w:rPr>
          <w:color w:val="333399"/>
          <w:lang w:val="en-ZA"/>
        </w:rPr>
      </w:pPr>
    </w:p>
    <w:p w:rsidR="006F2C0B" w:rsidRPr="008633D2" w:rsidRDefault="006F2C0B" w:rsidP="0044202E">
      <w:pPr>
        <w:pStyle w:val="Heading3"/>
        <w:rPr>
          <w:lang w:val="en-ZA"/>
        </w:rPr>
      </w:pPr>
      <w:bookmarkStart w:id="197" w:name="_Toc141172763"/>
      <w:bookmarkStart w:id="198" w:name="_Toc141172835"/>
      <w:bookmarkStart w:id="199" w:name="_Toc141173505"/>
      <w:bookmarkStart w:id="200" w:name="_Toc141173571"/>
      <w:bookmarkStart w:id="201" w:name="_Toc184011887"/>
      <w:bookmarkStart w:id="202" w:name="_Toc458610808"/>
      <w:r w:rsidRPr="008633D2">
        <w:rPr>
          <w:lang w:val="en-ZA"/>
        </w:rPr>
        <w:t>External validity</w:t>
      </w:r>
      <w:bookmarkEnd w:id="197"/>
      <w:bookmarkEnd w:id="198"/>
      <w:bookmarkEnd w:id="199"/>
      <w:bookmarkEnd w:id="200"/>
      <w:bookmarkEnd w:id="201"/>
      <w:bookmarkEnd w:id="202"/>
    </w:p>
    <w:p w:rsidR="000D6EBA" w:rsidRDefault="00195AF0" w:rsidP="00195AF0">
      <w:pPr>
        <w:rPr>
          <w:lang w:val="en-ZA"/>
        </w:rPr>
      </w:pPr>
      <w:bookmarkStart w:id="203" w:name="_Toc141172764"/>
      <w:bookmarkStart w:id="204" w:name="_Toc141172836"/>
      <w:bookmarkStart w:id="205" w:name="_Toc141173506"/>
      <w:bookmarkStart w:id="206" w:name="_Toc141173572"/>
      <w:bookmarkStart w:id="207" w:name="_Toc184011888"/>
      <w:r w:rsidRPr="008633D2">
        <w:rPr>
          <w:lang w:val="en-ZA"/>
        </w:rPr>
        <w:t>The concept of external validity is concerned with the generalisation of the results produced by the research, beyond the specific research context</w:t>
      </w:r>
      <w:sdt>
        <w:sdtPr>
          <w:rPr>
            <w:lang w:val="en-ZA"/>
          </w:rPr>
          <w:id w:val="-1784331810"/>
          <w:citation/>
        </w:sdtPr>
        <w:sdtEndPr/>
        <w:sdtContent>
          <w:r w:rsidRPr="008633D2">
            <w:rPr>
              <w:lang w:val="en-ZA"/>
            </w:rPr>
            <w:fldChar w:fldCharType="begin"/>
          </w:r>
          <w:r w:rsidRPr="008633D2">
            <w:rPr>
              <w:lang w:val="en-ZA"/>
            </w:rPr>
            <w:instrText xml:space="preserve"> CITATION Bry12 \l 1033 </w:instrText>
          </w:r>
          <w:r w:rsidRPr="008633D2">
            <w:rPr>
              <w:lang w:val="en-ZA"/>
            </w:rPr>
            <w:fldChar w:fldCharType="separate"/>
          </w:r>
          <w:r w:rsidRPr="008633D2">
            <w:rPr>
              <w:lang w:val="en-ZA"/>
            </w:rPr>
            <w:t xml:space="preserve"> (Bryman, 2012)</w:t>
          </w:r>
          <w:r w:rsidRPr="008633D2">
            <w:rPr>
              <w:lang w:val="en-ZA"/>
            </w:rPr>
            <w:fldChar w:fldCharType="end"/>
          </w:r>
        </w:sdtContent>
      </w:sdt>
      <w:r w:rsidRPr="008633D2">
        <w:rPr>
          <w:lang w:val="en-ZA"/>
        </w:rPr>
        <w:t>.</w:t>
      </w:r>
      <w:r w:rsidR="000D6EBA">
        <w:rPr>
          <w:lang w:val="en-ZA"/>
        </w:rPr>
        <w:t xml:space="preserve"> </w:t>
      </w:r>
    </w:p>
    <w:p w:rsidR="0098261F" w:rsidRDefault="0098261F" w:rsidP="00195AF0">
      <w:pPr>
        <w:rPr>
          <w:lang w:val="en-ZA"/>
        </w:rPr>
      </w:pPr>
    </w:p>
    <w:p w:rsidR="00195AF0" w:rsidRPr="008633D2" w:rsidRDefault="000D6EBA" w:rsidP="00195AF0">
      <w:pPr>
        <w:rPr>
          <w:lang w:val="en-ZA"/>
        </w:rPr>
      </w:pPr>
      <w:r>
        <w:rPr>
          <w:lang w:val="en-ZA"/>
        </w:rPr>
        <w:t>This</w:t>
      </w:r>
      <w:r w:rsidR="00195AF0" w:rsidRPr="008633D2">
        <w:rPr>
          <w:lang w:val="en-ZA"/>
        </w:rPr>
        <w:t xml:space="preserve"> research focuse</w:t>
      </w:r>
      <w:r w:rsidR="00C12A9F">
        <w:rPr>
          <w:lang w:val="en-ZA"/>
        </w:rPr>
        <w:t>d</w:t>
      </w:r>
      <w:r w:rsidR="00195AF0" w:rsidRPr="008633D2">
        <w:rPr>
          <w:lang w:val="en-ZA"/>
        </w:rPr>
        <w:t xml:space="preserve"> on all of the individually female managed funds in South Africa, it cannot be generalised to other parts of the world as the unit trust industry varies in each country. The results could however, be generalised to other female asset managers in South Africa</w:t>
      </w:r>
      <w:r w:rsidR="00CF6ECB">
        <w:rPr>
          <w:lang w:val="en-ZA"/>
        </w:rPr>
        <w:t xml:space="preserve"> as market conditions, regulations and labour law is the same</w:t>
      </w:r>
      <w:r w:rsidR="00195AF0" w:rsidRPr="008633D2">
        <w:rPr>
          <w:lang w:val="en-ZA"/>
        </w:rPr>
        <w:t xml:space="preserve">. </w:t>
      </w:r>
    </w:p>
    <w:p w:rsidR="00195AF0" w:rsidRPr="008633D2" w:rsidRDefault="00195AF0" w:rsidP="00C873BE">
      <w:pPr>
        <w:rPr>
          <w:color w:val="333399"/>
          <w:lang w:val="en-ZA"/>
        </w:rPr>
      </w:pPr>
    </w:p>
    <w:p w:rsidR="006F2C0B" w:rsidRPr="008633D2" w:rsidRDefault="006F2C0B" w:rsidP="0044202E">
      <w:pPr>
        <w:pStyle w:val="Heading3"/>
        <w:rPr>
          <w:lang w:val="en-ZA"/>
        </w:rPr>
      </w:pPr>
      <w:bookmarkStart w:id="208" w:name="_Toc458610809"/>
      <w:r w:rsidRPr="008633D2">
        <w:rPr>
          <w:lang w:val="en-ZA"/>
        </w:rPr>
        <w:t>Internal validity</w:t>
      </w:r>
      <w:bookmarkEnd w:id="203"/>
      <w:bookmarkEnd w:id="204"/>
      <w:bookmarkEnd w:id="205"/>
      <w:bookmarkEnd w:id="206"/>
      <w:bookmarkEnd w:id="207"/>
      <w:bookmarkEnd w:id="208"/>
    </w:p>
    <w:p w:rsidR="00CF6ECB" w:rsidRDefault="00195AF0" w:rsidP="00195AF0">
      <w:pPr>
        <w:rPr>
          <w:lang w:val="en-ZA"/>
        </w:rPr>
      </w:pPr>
      <w:bookmarkStart w:id="209" w:name="_Toc141172765"/>
      <w:bookmarkStart w:id="210" w:name="_Toc141172837"/>
      <w:bookmarkStart w:id="211" w:name="_Toc141173507"/>
      <w:bookmarkStart w:id="212" w:name="_Toc141173573"/>
      <w:bookmarkStart w:id="213" w:name="_Toc184011889"/>
      <w:r w:rsidRPr="008633D2">
        <w:rPr>
          <w:lang w:val="en-ZA"/>
        </w:rPr>
        <w:t xml:space="preserve">Bryman states that the issue of internal validity is related to the issue of causality and is concerned with ensuring that </w:t>
      </w:r>
      <w:r w:rsidR="00CC6274" w:rsidRPr="008633D2">
        <w:rPr>
          <w:lang w:val="en-ZA"/>
        </w:rPr>
        <w:t>conclusions, which include causal relationships,</w:t>
      </w:r>
      <w:r w:rsidRPr="008633D2">
        <w:rPr>
          <w:lang w:val="en-ZA"/>
        </w:rPr>
        <w:t xml:space="preserve"> are sound</w:t>
      </w:r>
      <w:sdt>
        <w:sdtPr>
          <w:rPr>
            <w:lang w:val="en-ZA"/>
          </w:rPr>
          <w:id w:val="-16626626"/>
          <w:citation/>
        </w:sdtPr>
        <w:sdtEndPr/>
        <w:sdtContent>
          <w:r w:rsidRPr="008633D2">
            <w:rPr>
              <w:lang w:val="en-ZA"/>
            </w:rPr>
            <w:fldChar w:fldCharType="begin"/>
          </w:r>
          <w:r w:rsidRPr="008633D2">
            <w:rPr>
              <w:lang w:val="en-ZA"/>
            </w:rPr>
            <w:instrText xml:space="preserve">CITATION Bry12 \n  \t  \l 1033 </w:instrText>
          </w:r>
          <w:r w:rsidRPr="008633D2">
            <w:rPr>
              <w:lang w:val="en-ZA"/>
            </w:rPr>
            <w:fldChar w:fldCharType="separate"/>
          </w:r>
          <w:r w:rsidRPr="008633D2">
            <w:rPr>
              <w:lang w:val="en-ZA"/>
            </w:rPr>
            <w:t xml:space="preserve"> (2012)</w:t>
          </w:r>
          <w:r w:rsidRPr="008633D2">
            <w:rPr>
              <w:lang w:val="en-ZA"/>
            </w:rPr>
            <w:fldChar w:fldCharType="end"/>
          </w:r>
        </w:sdtContent>
      </w:sdt>
      <w:r w:rsidRPr="008633D2">
        <w:rPr>
          <w:lang w:val="en-ZA"/>
        </w:rPr>
        <w:t xml:space="preserve">. </w:t>
      </w:r>
    </w:p>
    <w:p w:rsidR="000D6EBA" w:rsidRDefault="000D6EBA" w:rsidP="00195AF0">
      <w:pPr>
        <w:rPr>
          <w:lang w:val="en-ZA"/>
        </w:rPr>
      </w:pPr>
    </w:p>
    <w:p w:rsidR="00195AF0" w:rsidRPr="008633D2" w:rsidRDefault="00195AF0" w:rsidP="00195AF0">
      <w:pPr>
        <w:rPr>
          <w:lang w:val="en-ZA"/>
        </w:rPr>
      </w:pPr>
      <w:r w:rsidRPr="008633D2">
        <w:rPr>
          <w:lang w:val="en-ZA"/>
        </w:rPr>
        <w:t xml:space="preserve">In the context of </w:t>
      </w:r>
      <w:r w:rsidR="00CC6274">
        <w:rPr>
          <w:lang w:val="en-ZA"/>
        </w:rPr>
        <w:t xml:space="preserve">this </w:t>
      </w:r>
      <w:r w:rsidR="00CC6274" w:rsidRPr="008633D2">
        <w:rPr>
          <w:lang w:val="en-ZA"/>
        </w:rPr>
        <w:t>research,</w:t>
      </w:r>
      <w:r w:rsidRPr="008633D2">
        <w:rPr>
          <w:lang w:val="en-ZA"/>
        </w:rPr>
        <w:t xml:space="preserve"> internal validity is a concern. The performance of a unit trust is generally related to manager skill and it has been shown that certain specific manager traits do increase performance. The objective of this research </w:t>
      </w:r>
      <w:r w:rsidR="00C12A9F">
        <w:rPr>
          <w:lang w:val="en-ZA"/>
        </w:rPr>
        <w:t>wa</w:t>
      </w:r>
      <w:r w:rsidRPr="008633D2">
        <w:rPr>
          <w:lang w:val="en-ZA"/>
        </w:rPr>
        <w:t>s to establish if higher fund performance is achiev</w:t>
      </w:r>
      <w:r w:rsidR="000D6EBA">
        <w:rPr>
          <w:lang w:val="en-ZA"/>
        </w:rPr>
        <w:t xml:space="preserve">ed by female fund managers than </w:t>
      </w:r>
      <w:r w:rsidRPr="008633D2">
        <w:rPr>
          <w:lang w:val="en-ZA"/>
        </w:rPr>
        <w:t>their male counterparts. The higher performance</w:t>
      </w:r>
      <w:r w:rsidR="000D6EBA">
        <w:rPr>
          <w:lang w:val="en-ZA"/>
        </w:rPr>
        <w:t xml:space="preserve"> may be due to other factors </w:t>
      </w:r>
      <w:r w:rsidRPr="008633D2">
        <w:rPr>
          <w:lang w:val="en-ZA"/>
        </w:rPr>
        <w:t xml:space="preserve">but the focus of this research is purely on </w:t>
      </w:r>
      <w:r w:rsidR="000D6EBA">
        <w:rPr>
          <w:lang w:val="en-ZA"/>
        </w:rPr>
        <w:t>whether</w:t>
      </w:r>
      <w:r w:rsidRPr="008633D2">
        <w:rPr>
          <w:lang w:val="en-ZA"/>
        </w:rPr>
        <w:t xml:space="preserve"> the performance of the </w:t>
      </w:r>
      <w:r w:rsidR="000D6EBA">
        <w:rPr>
          <w:lang w:val="en-ZA"/>
        </w:rPr>
        <w:t xml:space="preserve">female managed </w:t>
      </w:r>
      <w:r w:rsidRPr="008633D2">
        <w:rPr>
          <w:lang w:val="en-ZA"/>
        </w:rPr>
        <w:t>fund</w:t>
      </w:r>
      <w:r w:rsidR="000D6EBA">
        <w:rPr>
          <w:lang w:val="en-ZA"/>
        </w:rPr>
        <w:t>s exceeds that of male managed funds, without consideration of other internal or external factors that</w:t>
      </w:r>
      <w:r w:rsidRPr="008633D2">
        <w:rPr>
          <w:lang w:val="en-ZA"/>
        </w:rPr>
        <w:t xml:space="preserve"> </w:t>
      </w:r>
      <w:r w:rsidR="000D6EBA">
        <w:rPr>
          <w:lang w:val="en-ZA"/>
        </w:rPr>
        <w:t xml:space="preserve">might be the cause of this excess performance. </w:t>
      </w:r>
    </w:p>
    <w:p w:rsidR="00195AF0" w:rsidRPr="008633D2" w:rsidRDefault="00195AF0" w:rsidP="00C873BE">
      <w:pPr>
        <w:rPr>
          <w:color w:val="333399"/>
          <w:lang w:val="en-ZA"/>
        </w:rPr>
      </w:pPr>
    </w:p>
    <w:p w:rsidR="006F2C0B" w:rsidRPr="008633D2" w:rsidRDefault="006F2C0B" w:rsidP="0044202E">
      <w:pPr>
        <w:pStyle w:val="Heading3"/>
        <w:rPr>
          <w:lang w:val="en-ZA"/>
        </w:rPr>
      </w:pPr>
      <w:bookmarkStart w:id="214" w:name="_Toc458610810"/>
      <w:r w:rsidRPr="008633D2">
        <w:rPr>
          <w:lang w:val="en-ZA"/>
        </w:rPr>
        <w:t>Reliability</w:t>
      </w:r>
      <w:bookmarkEnd w:id="209"/>
      <w:bookmarkEnd w:id="210"/>
      <w:bookmarkEnd w:id="211"/>
      <w:bookmarkEnd w:id="212"/>
      <w:bookmarkEnd w:id="213"/>
      <w:bookmarkEnd w:id="214"/>
    </w:p>
    <w:p w:rsidR="00195AF0" w:rsidRPr="008633D2" w:rsidRDefault="00195AF0" w:rsidP="00195AF0">
      <w:pPr>
        <w:rPr>
          <w:lang w:val="en-ZA"/>
        </w:rPr>
      </w:pPr>
      <w:r w:rsidRPr="008633D2">
        <w:rPr>
          <w:lang w:val="en-ZA"/>
        </w:rPr>
        <w:t>Reliability describes how far a particular test will produce similar results in different circumstances, assuming there are no additional changes</w:t>
      </w:r>
      <w:sdt>
        <w:sdtPr>
          <w:rPr>
            <w:lang w:val="en-ZA"/>
          </w:rPr>
          <w:id w:val="-1254359193"/>
          <w:citation/>
        </w:sdtPr>
        <w:sdtEndPr/>
        <w:sdtContent>
          <w:r w:rsidRPr="008633D2">
            <w:rPr>
              <w:lang w:val="en-ZA"/>
            </w:rPr>
            <w:fldChar w:fldCharType="begin"/>
          </w:r>
          <w:r w:rsidRPr="008633D2">
            <w:rPr>
              <w:lang w:val="en-ZA"/>
            </w:rPr>
            <w:instrText xml:space="preserve"> CITATION Rob06 \l 1033 </w:instrText>
          </w:r>
          <w:r w:rsidRPr="008633D2">
            <w:rPr>
              <w:lang w:val="en-ZA"/>
            </w:rPr>
            <w:fldChar w:fldCharType="separate"/>
          </w:r>
          <w:r w:rsidRPr="008633D2">
            <w:rPr>
              <w:lang w:val="en-ZA"/>
            </w:rPr>
            <w:t xml:space="preserve"> (Roberts, Priest, &amp; Traynor, 2006)</w:t>
          </w:r>
          <w:r w:rsidRPr="008633D2">
            <w:rPr>
              <w:lang w:val="en-ZA"/>
            </w:rPr>
            <w:fldChar w:fldCharType="end"/>
          </w:r>
        </w:sdtContent>
      </w:sdt>
      <w:r w:rsidR="00CC6274" w:rsidRPr="008633D2">
        <w:rPr>
          <w:lang w:val="en-ZA"/>
        </w:rPr>
        <w:t xml:space="preserve">. </w:t>
      </w:r>
      <w:r w:rsidRPr="008633D2">
        <w:rPr>
          <w:lang w:val="en-ZA"/>
        </w:rPr>
        <w:t>The three prominent factors to be considered to ensure reliability are stability, internal reliability and inter-observer consistency</w:t>
      </w:r>
      <w:sdt>
        <w:sdtPr>
          <w:rPr>
            <w:lang w:val="en-ZA"/>
          </w:rPr>
          <w:id w:val="1297106591"/>
          <w:citation/>
        </w:sdtPr>
        <w:sdtEndPr/>
        <w:sdtContent>
          <w:r w:rsidRPr="008633D2">
            <w:rPr>
              <w:lang w:val="en-ZA"/>
            </w:rPr>
            <w:fldChar w:fldCharType="begin"/>
          </w:r>
          <w:r w:rsidRPr="008633D2">
            <w:rPr>
              <w:lang w:val="en-ZA"/>
            </w:rPr>
            <w:instrText xml:space="preserve"> CITATION Bry12 \l 1033 </w:instrText>
          </w:r>
          <w:r w:rsidRPr="008633D2">
            <w:rPr>
              <w:lang w:val="en-ZA"/>
            </w:rPr>
            <w:fldChar w:fldCharType="separate"/>
          </w:r>
          <w:r w:rsidRPr="008633D2">
            <w:rPr>
              <w:lang w:val="en-ZA"/>
            </w:rPr>
            <w:t xml:space="preserve"> (Bryman, 2012)</w:t>
          </w:r>
          <w:r w:rsidRPr="008633D2">
            <w:rPr>
              <w:lang w:val="en-ZA"/>
            </w:rPr>
            <w:fldChar w:fldCharType="end"/>
          </w:r>
        </w:sdtContent>
      </w:sdt>
      <w:r w:rsidRPr="008633D2">
        <w:rPr>
          <w:lang w:val="en-ZA"/>
        </w:rPr>
        <w:t>.</w:t>
      </w:r>
    </w:p>
    <w:p w:rsidR="0098261F" w:rsidRDefault="0098261F" w:rsidP="00195AF0">
      <w:pPr>
        <w:rPr>
          <w:lang w:val="en-ZA"/>
        </w:rPr>
      </w:pPr>
    </w:p>
    <w:p w:rsidR="00CF6ECB" w:rsidRDefault="00195AF0" w:rsidP="00195AF0">
      <w:pPr>
        <w:rPr>
          <w:lang w:val="en-ZA"/>
        </w:rPr>
      </w:pPr>
      <w:r w:rsidRPr="008633D2">
        <w:rPr>
          <w:lang w:val="en-ZA"/>
        </w:rPr>
        <w:t>In the context of th</w:t>
      </w:r>
      <w:r w:rsidR="00CF6ECB">
        <w:rPr>
          <w:lang w:val="en-ZA"/>
        </w:rPr>
        <w:t>is</w:t>
      </w:r>
      <w:r w:rsidRPr="008633D2">
        <w:rPr>
          <w:lang w:val="en-ZA"/>
        </w:rPr>
        <w:t xml:space="preserve"> </w:t>
      </w:r>
      <w:r w:rsidR="00CF6ECB">
        <w:rPr>
          <w:lang w:val="en-ZA"/>
        </w:rPr>
        <w:t xml:space="preserve">research, stability </w:t>
      </w:r>
      <w:r w:rsidR="00C12A9F">
        <w:rPr>
          <w:lang w:val="en-ZA"/>
        </w:rPr>
        <w:t>was</w:t>
      </w:r>
      <w:r w:rsidR="00CF6ECB">
        <w:rPr>
          <w:lang w:val="en-ZA"/>
        </w:rPr>
        <w:t xml:space="preserve"> </w:t>
      </w:r>
      <w:r w:rsidRPr="008633D2">
        <w:rPr>
          <w:lang w:val="en-ZA"/>
        </w:rPr>
        <w:t xml:space="preserve">ensured by observing the performance over a period of </w:t>
      </w:r>
      <w:r w:rsidR="00CF6ECB">
        <w:rPr>
          <w:lang w:val="en-ZA"/>
        </w:rPr>
        <w:t xml:space="preserve">approximately ten </w:t>
      </w:r>
      <w:r w:rsidRPr="008633D2">
        <w:rPr>
          <w:lang w:val="en-ZA"/>
        </w:rPr>
        <w:t xml:space="preserve">years for </w:t>
      </w:r>
      <w:r w:rsidR="00CF6ECB">
        <w:rPr>
          <w:lang w:val="en-ZA"/>
        </w:rPr>
        <w:t xml:space="preserve">all existing female unit trusts. </w:t>
      </w:r>
      <w:r w:rsidRPr="008633D2">
        <w:rPr>
          <w:lang w:val="en-ZA"/>
        </w:rPr>
        <w:t xml:space="preserve">This ensures that the sample is large enough to provide a reasonably accurate reflection of the market over time. </w:t>
      </w:r>
    </w:p>
    <w:p w:rsidR="00CF6ECB" w:rsidRDefault="00CF6ECB" w:rsidP="00195AF0">
      <w:pPr>
        <w:rPr>
          <w:lang w:val="en-ZA"/>
        </w:rPr>
      </w:pPr>
    </w:p>
    <w:p w:rsidR="00195AF0" w:rsidRDefault="00195AF0" w:rsidP="00195AF0">
      <w:pPr>
        <w:rPr>
          <w:lang w:val="en-ZA"/>
        </w:rPr>
      </w:pPr>
      <w:r w:rsidRPr="008633D2">
        <w:rPr>
          <w:lang w:val="en-ZA"/>
        </w:rPr>
        <w:t>The research addresses the issue of internal reliability and inter-observer consistency by sourcing all the data from a single source; this ensures consistency in the measurement and presentation of the variables over time. The unit trusts</w:t>
      </w:r>
      <w:r w:rsidR="000D6EBA">
        <w:rPr>
          <w:lang w:val="en-ZA"/>
        </w:rPr>
        <w:t xml:space="preserve"> </w:t>
      </w:r>
      <w:r w:rsidRPr="008633D2">
        <w:rPr>
          <w:lang w:val="en-ZA"/>
        </w:rPr>
        <w:t>compared to each other w</w:t>
      </w:r>
      <w:r w:rsidR="00C12A9F">
        <w:rPr>
          <w:lang w:val="en-ZA"/>
        </w:rPr>
        <w:t>ere</w:t>
      </w:r>
      <w:r w:rsidRPr="008633D2">
        <w:rPr>
          <w:lang w:val="en-ZA"/>
        </w:rPr>
        <w:t xml:space="preserve"> chosen based on the ASISA sector </w:t>
      </w:r>
      <w:r w:rsidR="00C12A9F">
        <w:rPr>
          <w:lang w:val="en-ZA"/>
        </w:rPr>
        <w:t xml:space="preserve">to which they </w:t>
      </w:r>
      <w:r w:rsidRPr="008633D2">
        <w:rPr>
          <w:lang w:val="en-ZA"/>
        </w:rPr>
        <w:t>belong and on the riskiness of the unit t</w:t>
      </w:r>
      <w:r w:rsidR="00CF6ECB">
        <w:rPr>
          <w:lang w:val="en-ZA"/>
        </w:rPr>
        <w:t xml:space="preserve">rust, which is represented by the </w:t>
      </w:r>
      <w:r w:rsidRPr="008633D2">
        <w:rPr>
          <w:lang w:val="en-ZA"/>
        </w:rPr>
        <w:t>beta</w:t>
      </w:r>
      <w:r w:rsidR="00CF6ECB">
        <w:rPr>
          <w:lang w:val="en-ZA"/>
        </w:rPr>
        <w:t xml:space="preserve"> of the fund relative to the benchmark index</w:t>
      </w:r>
      <w:r w:rsidRPr="008633D2">
        <w:rPr>
          <w:lang w:val="en-ZA"/>
        </w:rPr>
        <w:t>. All calculations applied w</w:t>
      </w:r>
      <w:r w:rsidR="00C12A9F">
        <w:rPr>
          <w:lang w:val="en-ZA"/>
        </w:rPr>
        <w:t>ere</w:t>
      </w:r>
      <w:r w:rsidRPr="008633D2">
        <w:rPr>
          <w:lang w:val="en-ZA"/>
        </w:rPr>
        <w:t xml:space="preserve"> done in the same way to ensure consistency.</w:t>
      </w:r>
    </w:p>
    <w:p w:rsidR="0098261F" w:rsidRPr="008633D2" w:rsidRDefault="0098261F" w:rsidP="00195AF0">
      <w:pPr>
        <w:rPr>
          <w:lang w:val="en-ZA"/>
        </w:rPr>
      </w:pPr>
    </w:p>
    <w:p w:rsidR="0098261F" w:rsidRDefault="0098261F" w:rsidP="0098261F">
      <w:pPr>
        <w:pStyle w:val="Heading2"/>
        <w:rPr>
          <w:lang w:val="en-ZA"/>
        </w:rPr>
      </w:pPr>
      <w:bookmarkStart w:id="215" w:name="_Toc458610811"/>
      <w:r>
        <w:rPr>
          <w:lang w:val="en-ZA"/>
        </w:rPr>
        <w:t>Ethical considerations</w:t>
      </w:r>
      <w:bookmarkEnd w:id="215"/>
      <w:r>
        <w:rPr>
          <w:lang w:val="en-ZA"/>
        </w:rPr>
        <w:tab/>
      </w:r>
    </w:p>
    <w:p w:rsidR="0098261F" w:rsidRPr="0098261F" w:rsidRDefault="0098261F" w:rsidP="0098261F">
      <w:pPr>
        <w:rPr>
          <w:lang w:val="en-ZA"/>
        </w:rPr>
      </w:pPr>
      <w:r>
        <w:rPr>
          <w:lang w:val="en-ZA"/>
        </w:rPr>
        <w:t xml:space="preserve">As this research in largely an analysis of publically available information, it has little immediate possible ethically conflicts. However, should the results of this research be made public, it could cause an impact on the hiring of female fund managers within South Africa. In addition, investors may change their current investment strategies due to having more information available. </w:t>
      </w:r>
    </w:p>
    <w:p w:rsidR="00956FB3" w:rsidRPr="008633D2" w:rsidRDefault="00956FB3" w:rsidP="00195AF0">
      <w:pPr>
        <w:rPr>
          <w:color w:val="333399"/>
          <w:lang w:val="en-ZA"/>
        </w:rPr>
      </w:pPr>
    </w:p>
    <w:p w:rsidR="00A45D97" w:rsidRPr="008633D2" w:rsidRDefault="00CC6274" w:rsidP="0035051A">
      <w:pPr>
        <w:pStyle w:val="Heading1"/>
        <w:rPr>
          <w:lang w:val="en-ZA"/>
        </w:rPr>
      </w:pPr>
      <w:bookmarkStart w:id="216" w:name="_Toc458610812"/>
      <w:r w:rsidRPr="008633D2">
        <w:rPr>
          <w:lang w:val="en-ZA"/>
        </w:rPr>
        <w:t>PRESENTATION</w:t>
      </w:r>
      <w:r w:rsidR="00A940B2" w:rsidRPr="008633D2">
        <w:rPr>
          <w:lang w:val="en-ZA"/>
        </w:rPr>
        <w:t xml:space="preserve"> OF RESULTS</w:t>
      </w:r>
      <w:bookmarkEnd w:id="216"/>
    </w:p>
    <w:p w:rsidR="0032543B" w:rsidRPr="008633D2" w:rsidRDefault="0032543B" w:rsidP="00FD45F1">
      <w:pPr>
        <w:rPr>
          <w:lang w:val="en-ZA"/>
        </w:rPr>
      </w:pPr>
      <w:r w:rsidRPr="008633D2">
        <w:rPr>
          <w:lang w:val="en-ZA"/>
        </w:rPr>
        <w:t>This chapter presents and describes the results of the research conducted</w:t>
      </w:r>
      <w:r w:rsidR="002F696F">
        <w:rPr>
          <w:lang w:val="en-ZA"/>
        </w:rPr>
        <w:t xml:space="preserve"> as per chapter 3</w:t>
      </w:r>
      <w:r w:rsidRPr="008633D2">
        <w:rPr>
          <w:lang w:val="en-ZA"/>
        </w:rPr>
        <w:t xml:space="preserve">. The results are not interpreted </w:t>
      </w:r>
      <w:r w:rsidR="002F696F">
        <w:rPr>
          <w:lang w:val="en-ZA"/>
        </w:rPr>
        <w:t>within this chapter</w:t>
      </w:r>
      <w:r w:rsidR="00993AE9" w:rsidRPr="008633D2">
        <w:rPr>
          <w:lang w:val="en-ZA"/>
        </w:rPr>
        <w:t>; this</w:t>
      </w:r>
      <w:r w:rsidRPr="008633D2">
        <w:rPr>
          <w:lang w:val="en-ZA"/>
        </w:rPr>
        <w:t xml:space="preserve"> </w:t>
      </w:r>
      <w:r w:rsidR="00C12A9F">
        <w:rPr>
          <w:lang w:val="en-ZA"/>
        </w:rPr>
        <w:t>is</w:t>
      </w:r>
      <w:r w:rsidRPr="008633D2">
        <w:rPr>
          <w:lang w:val="en-ZA"/>
        </w:rPr>
        <w:t xml:space="preserve"> done in the following chapter.</w:t>
      </w:r>
    </w:p>
    <w:p w:rsidR="00BB5EA5" w:rsidRPr="008633D2" w:rsidRDefault="00BB5EA5" w:rsidP="00FD45F1">
      <w:pPr>
        <w:rPr>
          <w:lang w:val="en-ZA"/>
        </w:rPr>
      </w:pPr>
    </w:p>
    <w:p w:rsidR="00A45D97" w:rsidRPr="008633D2" w:rsidRDefault="0043434C" w:rsidP="0044202E">
      <w:pPr>
        <w:pStyle w:val="Heading2"/>
        <w:rPr>
          <w:lang w:val="en-ZA"/>
        </w:rPr>
      </w:pPr>
      <w:bookmarkStart w:id="217" w:name="_Toc458610813"/>
      <w:r w:rsidRPr="008633D2">
        <w:rPr>
          <w:lang w:val="en-ZA"/>
        </w:rPr>
        <w:t>Introduction</w:t>
      </w:r>
      <w:bookmarkEnd w:id="217"/>
    </w:p>
    <w:p w:rsidR="00993AE9" w:rsidRPr="008633D2" w:rsidRDefault="00993AE9" w:rsidP="0043434C">
      <w:pPr>
        <w:rPr>
          <w:lang w:val="en-ZA"/>
        </w:rPr>
      </w:pPr>
      <w:r w:rsidRPr="008633D2">
        <w:rPr>
          <w:lang w:val="en-ZA"/>
        </w:rPr>
        <w:t xml:space="preserve">The </w:t>
      </w:r>
      <w:r w:rsidR="0023262B" w:rsidRPr="008633D2">
        <w:rPr>
          <w:lang w:val="en-ZA"/>
        </w:rPr>
        <w:t>results presented in this chapter are</w:t>
      </w:r>
      <w:r w:rsidRPr="008633D2">
        <w:rPr>
          <w:lang w:val="en-ZA"/>
        </w:rPr>
        <w:t xml:space="preserve"> based on data </w:t>
      </w:r>
      <w:r w:rsidR="007D306A" w:rsidRPr="008633D2">
        <w:rPr>
          <w:lang w:val="en-ZA"/>
        </w:rPr>
        <w:t>for the period 1 December 2005 to 3</w:t>
      </w:r>
      <w:r w:rsidR="00B60390" w:rsidRPr="008633D2">
        <w:rPr>
          <w:lang w:val="en-ZA"/>
        </w:rPr>
        <w:t>0</w:t>
      </w:r>
      <w:r w:rsidR="007D306A" w:rsidRPr="008633D2">
        <w:rPr>
          <w:lang w:val="en-ZA"/>
        </w:rPr>
        <w:t xml:space="preserve"> June 2015</w:t>
      </w:r>
      <w:r w:rsidR="00CC6274" w:rsidRPr="008633D2">
        <w:rPr>
          <w:lang w:val="en-ZA"/>
        </w:rPr>
        <w:t xml:space="preserve">. </w:t>
      </w:r>
      <w:r w:rsidR="0023262B" w:rsidRPr="008633D2">
        <w:rPr>
          <w:lang w:val="en-ZA"/>
        </w:rPr>
        <w:t xml:space="preserve">The information required for the analysis </w:t>
      </w:r>
      <w:r w:rsidR="000115F1" w:rsidRPr="008633D2">
        <w:rPr>
          <w:lang w:val="en-ZA"/>
        </w:rPr>
        <w:t xml:space="preserve">was not available </w:t>
      </w:r>
      <w:r w:rsidR="0023262B" w:rsidRPr="008633D2">
        <w:rPr>
          <w:lang w:val="en-ZA"/>
        </w:rPr>
        <w:t xml:space="preserve">for </w:t>
      </w:r>
      <w:r w:rsidR="00E8131A">
        <w:rPr>
          <w:lang w:val="en-ZA"/>
        </w:rPr>
        <w:t>all</w:t>
      </w:r>
      <w:r w:rsidR="0023262B" w:rsidRPr="008633D2">
        <w:rPr>
          <w:lang w:val="en-ZA"/>
        </w:rPr>
        <w:t xml:space="preserve"> </w:t>
      </w:r>
      <w:r w:rsidR="000115F1" w:rsidRPr="008633D2">
        <w:rPr>
          <w:lang w:val="en-ZA"/>
        </w:rPr>
        <w:t xml:space="preserve">funds </w:t>
      </w:r>
      <w:r w:rsidR="007D306A" w:rsidRPr="008633D2">
        <w:rPr>
          <w:lang w:val="en-ZA"/>
        </w:rPr>
        <w:t>in So</w:t>
      </w:r>
      <w:r w:rsidR="000115F1" w:rsidRPr="008633D2">
        <w:rPr>
          <w:lang w:val="en-ZA"/>
        </w:rPr>
        <w:t>uth Africa at the time</w:t>
      </w:r>
      <w:r w:rsidR="002934B0">
        <w:rPr>
          <w:lang w:val="en-ZA"/>
        </w:rPr>
        <w:t>, t</w:t>
      </w:r>
      <w:r w:rsidR="00E8131A">
        <w:rPr>
          <w:lang w:val="en-ZA"/>
        </w:rPr>
        <w:t xml:space="preserve">his research has </w:t>
      </w:r>
      <w:r w:rsidR="002934B0">
        <w:rPr>
          <w:lang w:val="en-ZA"/>
        </w:rPr>
        <w:t xml:space="preserve">therefore, </w:t>
      </w:r>
      <w:r w:rsidR="00B24C1B" w:rsidRPr="008633D2">
        <w:rPr>
          <w:lang w:val="en-ZA"/>
        </w:rPr>
        <w:t xml:space="preserve">only considered funds where data was available and </w:t>
      </w:r>
      <w:r w:rsidR="00E8131A">
        <w:rPr>
          <w:lang w:val="en-ZA"/>
        </w:rPr>
        <w:t xml:space="preserve">has </w:t>
      </w:r>
      <w:r w:rsidR="00B24C1B" w:rsidRPr="008633D2">
        <w:rPr>
          <w:lang w:val="en-ZA"/>
        </w:rPr>
        <w:t>discard</w:t>
      </w:r>
      <w:r w:rsidR="00E8131A">
        <w:rPr>
          <w:lang w:val="en-ZA"/>
        </w:rPr>
        <w:t>ed</w:t>
      </w:r>
      <w:r w:rsidR="00B24C1B" w:rsidRPr="008633D2">
        <w:rPr>
          <w:lang w:val="en-ZA"/>
        </w:rPr>
        <w:t xml:space="preserve"> fun</w:t>
      </w:r>
      <w:r w:rsidR="007D306A" w:rsidRPr="008633D2">
        <w:rPr>
          <w:lang w:val="en-ZA"/>
        </w:rPr>
        <w:t xml:space="preserve">ds with incomplete/missing data. </w:t>
      </w:r>
      <w:r w:rsidR="0046753E">
        <w:rPr>
          <w:lang w:val="en-ZA"/>
        </w:rPr>
        <w:t>It should be noted</w:t>
      </w:r>
      <w:r w:rsidR="007D306A" w:rsidRPr="008633D2">
        <w:rPr>
          <w:lang w:val="en-ZA"/>
        </w:rPr>
        <w:t xml:space="preserve"> that more than 90% of South African funds are included in the analysis.</w:t>
      </w:r>
    </w:p>
    <w:p w:rsidR="00C95BB9" w:rsidRPr="008633D2" w:rsidRDefault="00C95BB9" w:rsidP="0043434C">
      <w:pPr>
        <w:rPr>
          <w:lang w:val="en-ZA"/>
        </w:rPr>
      </w:pPr>
    </w:p>
    <w:p w:rsidR="000115F1" w:rsidRPr="008633D2" w:rsidRDefault="002F696F" w:rsidP="0043434C">
      <w:pPr>
        <w:rPr>
          <w:lang w:val="en-ZA"/>
        </w:rPr>
      </w:pPr>
      <w:r>
        <w:rPr>
          <w:lang w:val="en-ZA"/>
        </w:rPr>
        <w:t>R</w:t>
      </w:r>
      <w:r w:rsidR="00093481" w:rsidRPr="008633D2">
        <w:rPr>
          <w:lang w:val="en-ZA"/>
        </w:rPr>
        <w:t>esults pertaining to the South African unit trust industry are</w:t>
      </w:r>
      <w:r w:rsidR="000115F1" w:rsidRPr="008633D2">
        <w:rPr>
          <w:lang w:val="en-ZA"/>
        </w:rPr>
        <w:t xml:space="preserve"> presented</w:t>
      </w:r>
      <w:r>
        <w:rPr>
          <w:lang w:val="en-ZA"/>
        </w:rPr>
        <w:t xml:space="preserve"> first</w:t>
      </w:r>
      <w:r w:rsidR="000115F1" w:rsidRPr="008633D2">
        <w:rPr>
          <w:lang w:val="en-ZA"/>
        </w:rPr>
        <w:t xml:space="preserve">. </w:t>
      </w:r>
      <w:r>
        <w:rPr>
          <w:lang w:val="en-ZA"/>
        </w:rPr>
        <w:t>This is followed by</w:t>
      </w:r>
      <w:r w:rsidR="000115F1" w:rsidRPr="008633D2">
        <w:rPr>
          <w:lang w:val="en-ZA"/>
        </w:rPr>
        <w:t xml:space="preserve"> the results pertaining to the riskiness and the performance of </w:t>
      </w:r>
      <w:r w:rsidR="00B24C1B" w:rsidRPr="008633D2">
        <w:rPr>
          <w:lang w:val="en-ZA"/>
        </w:rPr>
        <w:t>individually female managed funds versus corresponding male managed</w:t>
      </w:r>
      <w:r w:rsidR="000115F1" w:rsidRPr="008633D2">
        <w:rPr>
          <w:lang w:val="en-ZA"/>
        </w:rPr>
        <w:t xml:space="preserve"> funds in the South Africa with a focus on the gender of the fund manager. </w:t>
      </w:r>
      <w:r>
        <w:rPr>
          <w:lang w:val="en-ZA"/>
        </w:rPr>
        <w:t>Thereafter,</w:t>
      </w:r>
      <w:r w:rsidR="00B24C1B" w:rsidRPr="008633D2">
        <w:rPr>
          <w:lang w:val="en-ZA"/>
        </w:rPr>
        <w:t xml:space="preserve"> the results of a comparison between all funds managed </w:t>
      </w:r>
      <w:r>
        <w:rPr>
          <w:lang w:val="en-ZA"/>
        </w:rPr>
        <w:t>in South Africa and the chosen market proxy, the FTSE/JSE all share index is</w:t>
      </w:r>
      <w:r w:rsidR="00B24C1B" w:rsidRPr="008633D2">
        <w:rPr>
          <w:lang w:val="en-ZA"/>
        </w:rPr>
        <w:t xml:space="preserve"> </w:t>
      </w:r>
      <w:r>
        <w:rPr>
          <w:lang w:val="en-ZA"/>
        </w:rPr>
        <w:t>presented. The chapter conclude</w:t>
      </w:r>
      <w:r w:rsidR="00C12A9F">
        <w:rPr>
          <w:lang w:val="en-ZA"/>
        </w:rPr>
        <w:t>s</w:t>
      </w:r>
      <w:r>
        <w:rPr>
          <w:lang w:val="en-ZA"/>
        </w:rPr>
        <w:t xml:space="preserve"> with the presentation of the </w:t>
      </w:r>
      <w:r w:rsidR="00093481" w:rsidRPr="008633D2">
        <w:rPr>
          <w:lang w:val="en-ZA"/>
        </w:rPr>
        <w:t xml:space="preserve">results </w:t>
      </w:r>
      <w:r>
        <w:rPr>
          <w:lang w:val="en-ZA"/>
        </w:rPr>
        <w:t xml:space="preserve">pertaining to the </w:t>
      </w:r>
      <w:r w:rsidRPr="008633D2">
        <w:rPr>
          <w:lang w:val="en-ZA"/>
        </w:rPr>
        <w:t>investigation</w:t>
      </w:r>
      <w:r w:rsidR="00093481" w:rsidRPr="008633D2">
        <w:rPr>
          <w:lang w:val="en-ZA"/>
        </w:rPr>
        <w:t xml:space="preserve"> into the performance of funds based on the </w:t>
      </w:r>
      <w:r>
        <w:rPr>
          <w:lang w:val="en-ZA"/>
        </w:rPr>
        <w:t xml:space="preserve">ASISA </w:t>
      </w:r>
      <w:r w:rsidR="00093481" w:rsidRPr="008633D2">
        <w:rPr>
          <w:lang w:val="en-ZA"/>
        </w:rPr>
        <w:t xml:space="preserve">sector </w:t>
      </w:r>
      <w:r w:rsidR="00BB5EA5" w:rsidRPr="008633D2">
        <w:rPr>
          <w:lang w:val="en-ZA"/>
        </w:rPr>
        <w:t>by gender.</w:t>
      </w:r>
    </w:p>
    <w:p w:rsidR="00C95BB9" w:rsidRPr="008633D2" w:rsidRDefault="00C95BB9" w:rsidP="0043434C">
      <w:pPr>
        <w:rPr>
          <w:lang w:val="en-ZA"/>
        </w:rPr>
      </w:pPr>
    </w:p>
    <w:p w:rsidR="0043434C" w:rsidRPr="008633D2" w:rsidRDefault="00BA6522" w:rsidP="0044202E">
      <w:pPr>
        <w:pStyle w:val="Heading2"/>
        <w:rPr>
          <w:lang w:val="en-ZA"/>
        </w:rPr>
      </w:pPr>
      <w:bookmarkStart w:id="218" w:name="_Toc458610814"/>
      <w:r w:rsidRPr="008633D2">
        <w:rPr>
          <w:lang w:val="en-ZA"/>
        </w:rPr>
        <w:t xml:space="preserve">Results pertaining to </w:t>
      </w:r>
      <w:r w:rsidR="002F696F">
        <w:rPr>
          <w:lang w:val="en-ZA"/>
        </w:rPr>
        <w:t>u</w:t>
      </w:r>
      <w:r w:rsidR="00CB6094" w:rsidRPr="008633D2">
        <w:rPr>
          <w:lang w:val="en-ZA"/>
        </w:rPr>
        <w:t>nit trusts in South Africa</w:t>
      </w:r>
      <w:r w:rsidR="006A46AD" w:rsidRPr="008633D2">
        <w:rPr>
          <w:lang w:val="en-ZA"/>
        </w:rPr>
        <w:t xml:space="preserve"> </w:t>
      </w:r>
      <w:r w:rsidR="00FB5A60" w:rsidRPr="008633D2">
        <w:rPr>
          <w:lang w:val="en-ZA"/>
        </w:rPr>
        <w:t>by</w:t>
      </w:r>
      <w:r w:rsidR="006A46AD" w:rsidRPr="008633D2">
        <w:rPr>
          <w:lang w:val="en-ZA"/>
        </w:rPr>
        <w:t xml:space="preserve"> gender</w:t>
      </w:r>
      <w:bookmarkEnd w:id="218"/>
    </w:p>
    <w:p w:rsidR="00655A3A" w:rsidRPr="008633D2" w:rsidRDefault="00655A3A" w:rsidP="00655A3A">
      <w:pPr>
        <w:pStyle w:val="Heading3"/>
        <w:rPr>
          <w:lang w:val="en-ZA"/>
        </w:rPr>
      </w:pPr>
      <w:bookmarkStart w:id="219" w:name="_Toc458610815"/>
      <w:r w:rsidRPr="008633D2">
        <w:rPr>
          <w:lang w:val="en-ZA"/>
        </w:rPr>
        <w:t xml:space="preserve">Results pertaining to </w:t>
      </w:r>
      <w:r w:rsidR="009B671B" w:rsidRPr="008633D2">
        <w:rPr>
          <w:lang w:val="en-ZA"/>
        </w:rPr>
        <w:t xml:space="preserve">gender in </w:t>
      </w:r>
      <w:r w:rsidRPr="008633D2">
        <w:rPr>
          <w:lang w:val="en-ZA"/>
        </w:rPr>
        <w:t xml:space="preserve">the unit trust industry </w:t>
      </w:r>
      <w:r w:rsidR="009B671B" w:rsidRPr="008633D2">
        <w:rPr>
          <w:lang w:val="en-ZA"/>
        </w:rPr>
        <w:t>of</w:t>
      </w:r>
      <w:r w:rsidRPr="008633D2">
        <w:rPr>
          <w:lang w:val="en-ZA"/>
        </w:rPr>
        <w:t xml:space="preserve"> South Africa</w:t>
      </w:r>
      <w:bookmarkEnd w:id="219"/>
    </w:p>
    <w:p w:rsidR="00E453F8" w:rsidRPr="008633D2" w:rsidRDefault="00CB6094" w:rsidP="00617197">
      <w:pPr>
        <w:pStyle w:val="Caption"/>
        <w:rPr>
          <w:rFonts w:ascii="Times New Roman" w:hAnsi="Times New Roman"/>
          <w:sz w:val="20"/>
          <w:szCs w:val="20"/>
          <w:lang w:val="en-ZA" w:eastAsia="en-ZA"/>
        </w:rPr>
      </w:pPr>
      <w:r w:rsidRPr="008633D2">
        <w:rPr>
          <w:b w:val="0"/>
          <w:lang w:val="en-ZA"/>
        </w:rPr>
        <w:t xml:space="preserve">In </w:t>
      </w:r>
      <w:r w:rsidR="00A04ABB" w:rsidRPr="008633D2">
        <w:rPr>
          <w:b w:val="0"/>
          <w:lang w:val="en-ZA"/>
        </w:rPr>
        <w:t>SA,</w:t>
      </w:r>
      <w:r w:rsidRPr="008633D2">
        <w:rPr>
          <w:b w:val="0"/>
          <w:lang w:val="en-ZA"/>
        </w:rPr>
        <w:t xml:space="preserve"> there </w:t>
      </w:r>
      <w:r w:rsidR="002430E6" w:rsidRPr="008633D2">
        <w:rPr>
          <w:b w:val="0"/>
          <w:lang w:val="en-ZA"/>
        </w:rPr>
        <w:t>were</w:t>
      </w:r>
      <w:r w:rsidRPr="008633D2">
        <w:rPr>
          <w:b w:val="0"/>
          <w:lang w:val="en-ZA"/>
        </w:rPr>
        <w:t xml:space="preserve"> </w:t>
      </w:r>
      <w:r w:rsidR="002430E6" w:rsidRPr="008633D2">
        <w:rPr>
          <w:b w:val="0"/>
          <w:lang w:val="en-ZA"/>
        </w:rPr>
        <w:t>303</w:t>
      </w:r>
      <w:r w:rsidRPr="008633D2">
        <w:rPr>
          <w:b w:val="0"/>
          <w:lang w:val="en-ZA"/>
        </w:rPr>
        <w:t xml:space="preserve"> fund managers</w:t>
      </w:r>
      <w:r w:rsidR="00A04ABB" w:rsidRPr="008633D2">
        <w:rPr>
          <w:b w:val="0"/>
          <w:lang w:val="en-ZA"/>
        </w:rPr>
        <w:t xml:space="preserve"> as of June 2015. This number includes portfolio managers who run more one or more funds individually and may or may not be part of</w:t>
      </w:r>
      <w:r w:rsidR="002430E6" w:rsidRPr="008633D2">
        <w:rPr>
          <w:b w:val="0"/>
          <w:lang w:val="en-ZA"/>
        </w:rPr>
        <w:t xml:space="preserve"> a team running a combined fund</w:t>
      </w:r>
      <w:r w:rsidR="00CC6274" w:rsidRPr="008633D2">
        <w:rPr>
          <w:b w:val="0"/>
          <w:lang w:val="en-ZA"/>
        </w:rPr>
        <w:t xml:space="preserve">. </w:t>
      </w:r>
      <w:r w:rsidR="009C727C" w:rsidRPr="008633D2">
        <w:rPr>
          <w:b w:val="0"/>
          <w:lang w:val="en-ZA"/>
        </w:rPr>
        <w:t xml:space="preserve">Table </w:t>
      </w:r>
      <w:r w:rsidR="00BB5EA5" w:rsidRPr="008633D2">
        <w:rPr>
          <w:b w:val="0"/>
          <w:lang w:val="en-ZA"/>
        </w:rPr>
        <w:t>3</w:t>
      </w:r>
      <w:r w:rsidR="009C727C" w:rsidRPr="008633D2">
        <w:rPr>
          <w:b w:val="0"/>
          <w:lang w:val="en-ZA"/>
        </w:rPr>
        <w:t xml:space="preserve"> shows the breakdown of fund managers in SA by gender. </w:t>
      </w:r>
      <w:r w:rsidR="0023262B" w:rsidRPr="008633D2">
        <w:rPr>
          <w:lang w:val="en-ZA"/>
        </w:rPr>
        <w:fldChar w:fldCharType="begin"/>
      </w:r>
      <w:r w:rsidR="0023262B" w:rsidRPr="008633D2">
        <w:rPr>
          <w:lang w:val="en-ZA"/>
        </w:rPr>
        <w:instrText xml:space="preserve"> LINK </w:instrText>
      </w:r>
      <w:r w:rsidR="005F2182">
        <w:rPr>
          <w:lang w:val="en-ZA"/>
        </w:rPr>
        <w:instrText xml:space="preserve">Excel.Sheet.12 "C:\\Users\\archaryn\\Documents\\MBA\\Research\\Final Analysis\\Data_v1.xlsx" "Summary of results!R15C6:R18C8" </w:instrText>
      </w:r>
      <w:r w:rsidR="0023262B" w:rsidRPr="008633D2">
        <w:rPr>
          <w:lang w:val="en-ZA"/>
        </w:rPr>
        <w:instrText xml:space="preserve">\a \f 4 \h </w:instrText>
      </w:r>
      <w:r w:rsidR="009C727C" w:rsidRPr="008633D2">
        <w:rPr>
          <w:lang w:val="en-ZA"/>
        </w:rPr>
        <w:instrText xml:space="preserve"> \* MERGEFORMAT </w:instrText>
      </w:r>
      <w:r w:rsidR="0023262B" w:rsidRPr="008633D2">
        <w:rPr>
          <w:lang w:val="en-ZA"/>
        </w:rPr>
        <w:fldChar w:fldCharType="separate"/>
      </w:r>
    </w:p>
    <w:p w:rsidR="004907EC" w:rsidRPr="008633D2" w:rsidRDefault="00CC6274" w:rsidP="009C727C">
      <w:pPr>
        <w:pStyle w:val="Caption"/>
        <w:keepNext/>
        <w:jc w:val="center"/>
        <w:divId w:val="2084715343"/>
        <w:rPr>
          <w:lang w:val="en-ZA"/>
        </w:rPr>
      </w:pPr>
      <w:bookmarkStart w:id="220" w:name="_Toc458610848"/>
      <w:r w:rsidRPr="008633D2">
        <w:rPr>
          <w:lang w:val="en-ZA"/>
        </w:rPr>
        <w:t>Table</w:t>
      </w:r>
      <w:r>
        <w:rPr>
          <w:lang w:val="en-ZA"/>
        </w:rPr>
        <w:t xml:space="preserve"> </w:t>
      </w:r>
      <w:r w:rsidR="004907EC" w:rsidRPr="008633D2">
        <w:rPr>
          <w:lang w:val="en-ZA"/>
        </w:rPr>
        <w:fldChar w:fldCharType="begin"/>
      </w:r>
      <w:r w:rsidR="004907EC" w:rsidRPr="008633D2">
        <w:rPr>
          <w:lang w:val="en-ZA"/>
        </w:rPr>
        <w:instrText xml:space="preserve"> SEQ Table \* ARABIC </w:instrText>
      </w:r>
      <w:r w:rsidR="004907EC" w:rsidRPr="008633D2">
        <w:rPr>
          <w:lang w:val="en-ZA"/>
        </w:rPr>
        <w:fldChar w:fldCharType="separate"/>
      </w:r>
      <w:r w:rsidR="00C456D9">
        <w:rPr>
          <w:noProof/>
          <w:lang w:val="en-ZA"/>
        </w:rPr>
        <w:t>3</w:t>
      </w:r>
      <w:r w:rsidR="004907EC" w:rsidRPr="008633D2">
        <w:rPr>
          <w:lang w:val="en-ZA"/>
        </w:rPr>
        <w:fldChar w:fldCharType="end"/>
      </w:r>
      <w:r w:rsidR="004907EC" w:rsidRPr="008633D2">
        <w:rPr>
          <w:lang w:val="en-ZA"/>
        </w:rPr>
        <w:t xml:space="preserve">: </w:t>
      </w:r>
      <w:r w:rsidR="00B60390" w:rsidRPr="008633D2">
        <w:rPr>
          <w:lang w:val="en-ZA"/>
        </w:rPr>
        <w:t>South African f</w:t>
      </w:r>
      <w:r w:rsidR="009C727C" w:rsidRPr="008633D2">
        <w:rPr>
          <w:lang w:val="en-ZA"/>
        </w:rPr>
        <w:t>und managers</w:t>
      </w:r>
      <w:r w:rsidR="004907EC" w:rsidRPr="008633D2">
        <w:rPr>
          <w:lang w:val="en-ZA"/>
        </w:rPr>
        <w:t xml:space="preserve"> by gender</w:t>
      </w:r>
      <w:bookmarkEnd w:id="220"/>
    </w:p>
    <w:tbl>
      <w:tblPr>
        <w:tblW w:w="5000" w:type="pct"/>
        <w:tblLook w:val="04A0" w:firstRow="1" w:lastRow="0" w:firstColumn="1" w:lastColumn="0" w:noHBand="0" w:noVBand="1"/>
      </w:tblPr>
      <w:tblGrid>
        <w:gridCol w:w="2986"/>
        <w:gridCol w:w="2985"/>
        <w:gridCol w:w="2983"/>
      </w:tblGrid>
      <w:tr w:rsidR="00E453F8" w:rsidRPr="008633D2" w:rsidTr="00D450F2">
        <w:trPr>
          <w:divId w:val="2084715343"/>
          <w:trHeight w:val="300"/>
        </w:trPr>
        <w:tc>
          <w:tcPr>
            <w:tcW w:w="1667" w:type="pct"/>
            <w:tcBorders>
              <w:top w:val="single" w:sz="4" w:space="0" w:color="auto"/>
              <w:left w:val="single" w:sz="4" w:space="0" w:color="auto"/>
              <w:bottom w:val="single" w:sz="4" w:space="0" w:color="auto"/>
              <w:right w:val="single" w:sz="4" w:space="0" w:color="auto"/>
            </w:tcBorders>
            <w:shd w:val="clear" w:color="000000" w:fill="366092"/>
            <w:noWrap/>
            <w:vAlign w:val="center"/>
            <w:hideMark/>
          </w:tcPr>
          <w:p w:rsidR="00E453F8" w:rsidRPr="008633D2" w:rsidRDefault="00E453F8" w:rsidP="00E453F8">
            <w:pPr>
              <w:spacing w:before="0" w:after="0" w:line="240" w:lineRule="auto"/>
              <w:jc w:val="center"/>
              <w:rPr>
                <w:rFonts w:cs="Arial"/>
                <w:b/>
                <w:bCs/>
                <w:color w:val="FFFFFF"/>
                <w:sz w:val="22"/>
                <w:szCs w:val="22"/>
                <w:lang w:val="en-ZA" w:eastAsia="en-ZA"/>
              </w:rPr>
            </w:pPr>
            <w:r w:rsidRPr="008633D2">
              <w:rPr>
                <w:rFonts w:cs="Arial"/>
                <w:b/>
                <w:bCs/>
                <w:color w:val="FFFFFF"/>
                <w:sz w:val="22"/>
                <w:szCs w:val="22"/>
                <w:lang w:val="en-ZA" w:eastAsia="en-ZA"/>
              </w:rPr>
              <w:t>Gender</w:t>
            </w:r>
          </w:p>
        </w:tc>
        <w:tc>
          <w:tcPr>
            <w:tcW w:w="1667" w:type="pct"/>
            <w:tcBorders>
              <w:top w:val="single" w:sz="4" w:space="0" w:color="auto"/>
              <w:left w:val="nil"/>
              <w:bottom w:val="single" w:sz="4" w:space="0" w:color="auto"/>
              <w:right w:val="single" w:sz="4" w:space="0" w:color="auto"/>
            </w:tcBorders>
            <w:shd w:val="clear" w:color="000000" w:fill="366092"/>
            <w:noWrap/>
            <w:vAlign w:val="center"/>
            <w:hideMark/>
          </w:tcPr>
          <w:p w:rsidR="00E453F8" w:rsidRPr="008633D2" w:rsidRDefault="00E453F8" w:rsidP="009C727C">
            <w:pPr>
              <w:spacing w:before="0" w:after="0" w:line="240" w:lineRule="auto"/>
              <w:jc w:val="center"/>
              <w:rPr>
                <w:rFonts w:cs="Arial"/>
                <w:b/>
                <w:bCs/>
                <w:color w:val="FFFFFF"/>
                <w:sz w:val="22"/>
                <w:szCs w:val="22"/>
                <w:lang w:val="en-ZA" w:eastAsia="en-ZA"/>
              </w:rPr>
            </w:pPr>
            <w:r w:rsidRPr="008633D2">
              <w:rPr>
                <w:rFonts w:cs="Arial"/>
                <w:b/>
                <w:bCs/>
                <w:color w:val="FFFFFF"/>
                <w:sz w:val="22"/>
                <w:szCs w:val="22"/>
                <w:lang w:val="en-ZA" w:eastAsia="en-ZA"/>
              </w:rPr>
              <w:t xml:space="preserve">Number of </w:t>
            </w:r>
            <w:r w:rsidR="009C727C" w:rsidRPr="008633D2">
              <w:rPr>
                <w:rFonts w:cs="Arial"/>
                <w:b/>
                <w:bCs/>
                <w:color w:val="FFFFFF"/>
                <w:sz w:val="22"/>
                <w:szCs w:val="22"/>
                <w:lang w:val="en-ZA" w:eastAsia="en-ZA"/>
              </w:rPr>
              <w:t>mangers</w:t>
            </w:r>
          </w:p>
        </w:tc>
        <w:tc>
          <w:tcPr>
            <w:tcW w:w="1667" w:type="pct"/>
            <w:tcBorders>
              <w:top w:val="single" w:sz="4" w:space="0" w:color="auto"/>
              <w:left w:val="nil"/>
              <w:bottom w:val="single" w:sz="4" w:space="0" w:color="auto"/>
              <w:right w:val="single" w:sz="4" w:space="0" w:color="auto"/>
            </w:tcBorders>
            <w:shd w:val="clear" w:color="000000" w:fill="366092"/>
            <w:noWrap/>
            <w:vAlign w:val="center"/>
            <w:hideMark/>
          </w:tcPr>
          <w:p w:rsidR="00E453F8" w:rsidRPr="008633D2" w:rsidRDefault="00E453F8" w:rsidP="009C727C">
            <w:pPr>
              <w:spacing w:before="0" w:after="0" w:line="240" w:lineRule="auto"/>
              <w:jc w:val="center"/>
              <w:rPr>
                <w:rFonts w:cs="Arial"/>
                <w:b/>
                <w:bCs/>
                <w:color w:val="FFFFFF"/>
                <w:sz w:val="22"/>
                <w:szCs w:val="22"/>
                <w:lang w:val="en-ZA" w:eastAsia="en-ZA"/>
              </w:rPr>
            </w:pPr>
            <w:r w:rsidRPr="008633D2">
              <w:rPr>
                <w:rFonts w:cs="Arial"/>
                <w:b/>
                <w:bCs/>
                <w:color w:val="FFFFFF"/>
                <w:sz w:val="22"/>
                <w:szCs w:val="22"/>
                <w:lang w:val="en-ZA" w:eastAsia="en-ZA"/>
              </w:rPr>
              <w:t xml:space="preserve">% of </w:t>
            </w:r>
            <w:r w:rsidR="009C727C" w:rsidRPr="008633D2">
              <w:rPr>
                <w:rFonts w:cs="Arial"/>
                <w:b/>
                <w:bCs/>
                <w:color w:val="FFFFFF"/>
                <w:sz w:val="22"/>
                <w:szCs w:val="22"/>
                <w:lang w:val="en-ZA" w:eastAsia="en-ZA"/>
              </w:rPr>
              <w:t>total f</w:t>
            </w:r>
            <w:r w:rsidRPr="008633D2">
              <w:rPr>
                <w:rFonts w:cs="Arial"/>
                <w:b/>
                <w:bCs/>
                <w:color w:val="FFFFFF"/>
                <w:sz w:val="22"/>
                <w:szCs w:val="22"/>
                <w:lang w:val="en-ZA" w:eastAsia="en-ZA"/>
              </w:rPr>
              <w:t>unds</w:t>
            </w:r>
          </w:p>
        </w:tc>
      </w:tr>
      <w:tr w:rsidR="00E453F8" w:rsidRPr="008633D2" w:rsidTr="00D450F2">
        <w:trPr>
          <w:divId w:val="2084715343"/>
          <w:trHeight w:val="300"/>
        </w:trPr>
        <w:tc>
          <w:tcPr>
            <w:tcW w:w="1667" w:type="pct"/>
            <w:tcBorders>
              <w:top w:val="nil"/>
              <w:left w:val="single" w:sz="4" w:space="0" w:color="auto"/>
              <w:bottom w:val="single" w:sz="4" w:space="0" w:color="auto"/>
              <w:right w:val="single" w:sz="4" w:space="0" w:color="auto"/>
            </w:tcBorders>
            <w:shd w:val="clear" w:color="auto" w:fill="auto"/>
            <w:noWrap/>
            <w:vAlign w:val="center"/>
            <w:hideMark/>
          </w:tcPr>
          <w:p w:rsidR="00E453F8" w:rsidRPr="008633D2" w:rsidRDefault="00E453F8" w:rsidP="00E453F8">
            <w:pPr>
              <w:spacing w:before="0" w:after="0" w:line="240" w:lineRule="auto"/>
              <w:jc w:val="left"/>
              <w:rPr>
                <w:rFonts w:cs="Arial"/>
                <w:color w:val="000000"/>
                <w:sz w:val="22"/>
                <w:szCs w:val="22"/>
                <w:lang w:val="en-ZA" w:eastAsia="en-ZA"/>
              </w:rPr>
            </w:pPr>
            <w:r w:rsidRPr="008633D2">
              <w:rPr>
                <w:rFonts w:cs="Arial"/>
                <w:color w:val="000000"/>
                <w:sz w:val="22"/>
                <w:szCs w:val="22"/>
                <w:lang w:val="en-ZA" w:eastAsia="en-ZA"/>
              </w:rPr>
              <w:t>Female</w:t>
            </w:r>
          </w:p>
        </w:tc>
        <w:tc>
          <w:tcPr>
            <w:tcW w:w="1667" w:type="pct"/>
            <w:tcBorders>
              <w:top w:val="nil"/>
              <w:left w:val="nil"/>
              <w:bottom w:val="single" w:sz="4" w:space="0" w:color="auto"/>
              <w:right w:val="single" w:sz="4" w:space="0" w:color="auto"/>
            </w:tcBorders>
            <w:shd w:val="clear" w:color="auto" w:fill="auto"/>
            <w:noWrap/>
            <w:vAlign w:val="center"/>
            <w:hideMark/>
          </w:tcPr>
          <w:p w:rsidR="00E453F8" w:rsidRPr="008633D2" w:rsidRDefault="00E453F8" w:rsidP="00E453F8">
            <w:pPr>
              <w:spacing w:before="0" w:after="0" w:line="240" w:lineRule="auto"/>
              <w:jc w:val="right"/>
              <w:rPr>
                <w:rFonts w:cs="Arial"/>
                <w:color w:val="000000"/>
                <w:sz w:val="22"/>
                <w:szCs w:val="22"/>
                <w:lang w:val="en-ZA" w:eastAsia="en-ZA"/>
              </w:rPr>
            </w:pPr>
            <w:r w:rsidRPr="008633D2">
              <w:rPr>
                <w:rFonts w:cs="Arial"/>
                <w:color w:val="000000"/>
                <w:sz w:val="22"/>
                <w:szCs w:val="22"/>
                <w:lang w:val="en-ZA" w:eastAsia="en-ZA"/>
              </w:rPr>
              <w:t>27</w:t>
            </w:r>
          </w:p>
        </w:tc>
        <w:tc>
          <w:tcPr>
            <w:tcW w:w="1667" w:type="pct"/>
            <w:tcBorders>
              <w:top w:val="nil"/>
              <w:left w:val="nil"/>
              <w:bottom w:val="single" w:sz="4" w:space="0" w:color="auto"/>
              <w:right w:val="single" w:sz="4" w:space="0" w:color="auto"/>
            </w:tcBorders>
            <w:shd w:val="clear" w:color="auto" w:fill="auto"/>
            <w:noWrap/>
            <w:vAlign w:val="center"/>
            <w:hideMark/>
          </w:tcPr>
          <w:p w:rsidR="00E453F8" w:rsidRPr="008633D2" w:rsidRDefault="00E453F8" w:rsidP="00E453F8">
            <w:pPr>
              <w:spacing w:before="0" w:after="0" w:line="240" w:lineRule="auto"/>
              <w:jc w:val="right"/>
              <w:rPr>
                <w:rFonts w:cs="Arial"/>
                <w:color w:val="000000"/>
                <w:sz w:val="22"/>
                <w:szCs w:val="22"/>
                <w:lang w:val="en-ZA" w:eastAsia="en-ZA"/>
              </w:rPr>
            </w:pPr>
            <w:r w:rsidRPr="008633D2">
              <w:rPr>
                <w:rFonts w:cs="Arial"/>
                <w:color w:val="000000"/>
                <w:sz w:val="22"/>
                <w:szCs w:val="22"/>
                <w:lang w:val="en-ZA" w:eastAsia="en-ZA"/>
              </w:rPr>
              <w:t>8.91%</w:t>
            </w:r>
          </w:p>
        </w:tc>
      </w:tr>
      <w:tr w:rsidR="00E453F8" w:rsidRPr="008633D2" w:rsidTr="00D450F2">
        <w:trPr>
          <w:divId w:val="2084715343"/>
          <w:trHeight w:val="300"/>
        </w:trPr>
        <w:tc>
          <w:tcPr>
            <w:tcW w:w="1667" w:type="pct"/>
            <w:tcBorders>
              <w:top w:val="nil"/>
              <w:left w:val="single" w:sz="4" w:space="0" w:color="auto"/>
              <w:bottom w:val="single" w:sz="4" w:space="0" w:color="auto"/>
              <w:right w:val="single" w:sz="4" w:space="0" w:color="auto"/>
            </w:tcBorders>
            <w:shd w:val="clear" w:color="auto" w:fill="auto"/>
            <w:noWrap/>
            <w:vAlign w:val="center"/>
            <w:hideMark/>
          </w:tcPr>
          <w:p w:rsidR="00E453F8" w:rsidRPr="008633D2" w:rsidRDefault="00E453F8" w:rsidP="00E453F8">
            <w:pPr>
              <w:spacing w:before="0" w:after="0" w:line="240" w:lineRule="auto"/>
              <w:jc w:val="left"/>
              <w:rPr>
                <w:rFonts w:cs="Arial"/>
                <w:color w:val="000000"/>
                <w:sz w:val="22"/>
                <w:szCs w:val="22"/>
                <w:lang w:val="en-ZA" w:eastAsia="en-ZA"/>
              </w:rPr>
            </w:pPr>
            <w:r w:rsidRPr="008633D2">
              <w:rPr>
                <w:rFonts w:cs="Arial"/>
                <w:color w:val="000000"/>
                <w:sz w:val="22"/>
                <w:szCs w:val="22"/>
                <w:lang w:val="en-ZA" w:eastAsia="en-ZA"/>
              </w:rPr>
              <w:t>Male</w:t>
            </w:r>
          </w:p>
        </w:tc>
        <w:tc>
          <w:tcPr>
            <w:tcW w:w="1667" w:type="pct"/>
            <w:tcBorders>
              <w:top w:val="nil"/>
              <w:left w:val="nil"/>
              <w:bottom w:val="single" w:sz="4" w:space="0" w:color="auto"/>
              <w:right w:val="single" w:sz="4" w:space="0" w:color="auto"/>
            </w:tcBorders>
            <w:shd w:val="clear" w:color="auto" w:fill="auto"/>
            <w:noWrap/>
            <w:vAlign w:val="center"/>
            <w:hideMark/>
          </w:tcPr>
          <w:p w:rsidR="00E453F8" w:rsidRPr="008633D2" w:rsidRDefault="00E453F8" w:rsidP="00E453F8">
            <w:pPr>
              <w:spacing w:before="0" w:after="0" w:line="240" w:lineRule="auto"/>
              <w:jc w:val="right"/>
              <w:rPr>
                <w:rFonts w:cs="Arial"/>
                <w:color w:val="000000"/>
                <w:sz w:val="22"/>
                <w:szCs w:val="22"/>
                <w:lang w:val="en-ZA" w:eastAsia="en-ZA"/>
              </w:rPr>
            </w:pPr>
            <w:r w:rsidRPr="008633D2">
              <w:rPr>
                <w:rFonts w:cs="Arial"/>
                <w:color w:val="000000"/>
                <w:sz w:val="22"/>
                <w:szCs w:val="22"/>
                <w:lang w:val="en-ZA" w:eastAsia="en-ZA"/>
              </w:rPr>
              <w:t>276</w:t>
            </w:r>
          </w:p>
        </w:tc>
        <w:tc>
          <w:tcPr>
            <w:tcW w:w="1667" w:type="pct"/>
            <w:tcBorders>
              <w:top w:val="nil"/>
              <w:left w:val="nil"/>
              <w:bottom w:val="single" w:sz="4" w:space="0" w:color="auto"/>
              <w:right w:val="single" w:sz="4" w:space="0" w:color="auto"/>
            </w:tcBorders>
            <w:shd w:val="clear" w:color="auto" w:fill="auto"/>
            <w:noWrap/>
            <w:vAlign w:val="center"/>
            <w:hideMark/>
          </w:tcPr>
          <w:p w:rsidR="00E453F8" w:rsidRPr="008633D2" w:rsidRDefault="00E453F8" w:rsidP="00E453F8">
            <w:pPr>
              <w:spacing w:before="0" w:after="0" w:line="240" w:lineRule="auto"/>
              <w:jc w:val="right"/>
              <w:rPr>
                <w:rFonts w:cs="Arial"/>
                <w:color w:val="000000"/>
                <w:sz w:val="22"/>
                <w:szCs w:val="22"/>
                <w:lang w:val="en-ZA" w:eastAsia="en-ZA"/>
              </w:rPr>
            </w:pPr>
            <w:r w:rsidRPr="008633D2">
              <w:rPr>
                <w:rFonts w:cs="Arial"/>
                <w:color w:val="000000"/>
                <w:sz w:val="22"/>
                <w:szCs w:val="22"/>
                <w:lang w:val="en-ZA" w:eastAsia="en-ZA"/>
              </w:rPr>
              <w:t>91.09%</w:t>
            </w:r>
          </w:p>
        </w:tc>
      </w:tr>
      <w:tr w:rsidR="00E453F8" w:rsidRPr="008633D2" w:rsidTr="00D450F2">
        <w:trPr>
          <w:divId w:val="2084715343"/>
          <w:trHeight w:val="300"/>
        </w:trPr>
        <w:tc>
          <w:tcPr>
            <w:tcW w:w="1667" w:type="pct"/>
            <w:tcBorders>
              <w:top w:val="nil"/>
              <w:left w:val="single" w:sz="4" w:space="0" w:color="auto"/>
              <w:bottom w:val="single" w:sz="4" w:space="0" w:color="auto"/>
              <w:right w:val="single" w:sz="4" w:space="0" w:color="auto"/>
            </w:tcBorders>
            <w:shd w:val="clear" w:color="000000" w:fill="95B3D7"/>
            <w:noWrap/>
            <w:vAlign w:val="center"/>
            <w:hideMark/>
          </w:tcPr>
          <w:p w:rsidR="00E453F8" w:rsidRPr="008633D2" w:rsidRDefault="00E453F8" w:rsidP="00E453F8">
            <w:pPr>
              <w:spacing w:before="0" w:after="0" w:line="240" w:lineRule="auto"/>
              <w:jc w:val="left"/>
              <w:rPr>
                <w:rFonts w:cs="Arial"/>
                <w:b/>
                <w:bCs/>
                <w:i/>
                <w:iCs/>
                <w:color w:val="000000"/>
                <w:sz w:val="22"/>
                <w:szCs w:val="22"/>
                <w:lang w:val="en-ZA" w:eastAsia="en-ZA"/>
              </w:rPr>
            </w:pPr>
            <w:r w:rsidRPr="008633D2">
              <w:rPr>
                <w:rFonts w:cs="Arial"/>
                <w:b/>
                <w:bCs/>
                <w:i/>
                <w:iCs/>
                <w:color w:val="000000"/>
                <w:sz w:val="22"/>
                <w:szCs w:val="22"/>
                <w:lang w:val="en-ZA" w:eastAsia="en-ZA"/>
              </w:rPr>
              <w:t>Total</w:t>
            </w:r>
          </w:p>
        </w:tc>
        <w:tc>
          <w:tcPr>
            <w:tcW w:w="1667" w:type="pct"/>
            <w:tcBorders>
              <w:top w:val="nil"/>
              <w:left w:val="nil"/>
              <w:bottom w:val="single" w:sz="4" w:space="0" w:color="auto"/>
              <w:right w:val="single" w:sz="4" w:space="0" w:color="auto"/>
            </w:tcBorders>
            <w:shd w:val="clear" w:color="000000" w:fill="95B3D7"/>
            <w:noWrap/>
            <w:vAlign w:val="center"/>
            <w:hideMark/>
          </w:tcPr>
          <w:p w:rsidR="00E453F8" w:rsidRPr="008633D2" w:rsidRDefault="00E453F8" w:rsidP="00E453F8">
            <w:pPr>
              <w:spacing w:before="0" w:after="0" w:line="240" w:lineRule="auto"/>
              <w:jc w:val="right"/>
              <w:rPr>
                <w:rFonts w:cs="Arial"/>
                <w:b/>
                <w:bCs/>
                <w:color w:val="000000"/>
                <w:sz w:val="22"/>
                <w:szCs w:val="22"/>
                <w:lang w:val="en-ZA" w:eastAsia="en-ZA"/>
              </w:rPr>
            </w:pPr>
            <w:r w:rsidRPr="008633D2">
              <w:rPr>
                <w:rFonts w:cs="Arial"/>
                <w:b/>
                <w:bCs/>
                <w:color w:val="000000"/>
                <w:sz w:val="22"/>
                <w:szCs w:val="22"/>
                <w:lang w:val="en-ZA" w:eastAsia="en-ZA"/>
              </w:rPr>
              <w:t>303</w:t>
            </w:r>
          </w:p>
        </w:tc>
        <w:tc>
          <w:tcPr>
            <w:tcW w:w="1667" w:type="pct"/>
            <w:tcBorders>
              <w:top w:val="nil"/>
              <w:left w:val="nil"/>
              <w:bottom w:val="single" w:sz="4" w:space="0" w:color="auto"/>
              <w:right w:val="single" w:sz="4" w:space="0" w:color="auto"/>
            </w:tcBorders>
            <w:shd w:val="clear" w:color="000000" w:fill="95B3D7"/>
            <w:noWrap/>
            <w:vAlign w:val="center"/>
            <w:hideMark/>
          </w:tcPr>
          <w:p w:rsidR="00E453F8" w:rsidRPr="008633D2" w:rsidRDefault="00E453F8" w:rsidP="00E453F8">
            <w:pPr>
              <w:spacing w:before="0" w:after="0" w:line="240" w:lineRule="auto"/>
              <w:jc w:val="right"/>
              <w:rPr>
                <w:rFonts w:cs="Arial"/>
                <w:b/>
                <w:bCs/>
                <w:color w:val="000000"/>
                <w:sz w:val="22"/>
                <w:szCs w:val="22"/>
                <w:lang w:val="en-ZA" w:eastAsia="en-ZA"/>
              </w:rPr>
            </w:pPr>
            <w:r w:rsidRPr="008633D2">
              <w:rPr>
                <w:rFonts w:cs="Arial"/>
                <w:b/>
                <w:bCs/>
                <w:color w:val="000000"/>
                <w:sz w:val="22"/>
                <w:szCs w:val="22"/>
                <w:lang w:val="en-ZA" w:eastAsia="en-ZA"/>
              </w:rPr>
              <w:t>100.00%</w:t>
            </w:r>
          </w:p>
        </w:tc>
      </w:tr>
    </w:tbl>
    <w:p w:rsidR="002430E6" w:rsidRPr="002934B0" w:rsidRDefault="0023262B" w:rsidP="00977840">
      <w:pPr>
        <w:rPr>
          <w:sz w:val="22"/>
          <w:lang w:val="en-ZA"/>
        </w:rPr>
      </w:pPr>
      <w:r w:rsidRPr="008633D2">
        <w:rPr>
          <w:lang w:val="en-ZA"/>
        </w:rPr>
        <w:fldChar w:fldCharType="end"/>
      </w:r>
    </w:p>
    <w:p w:rsidR="00617197" w:rsidRDefault="00617197" w:rsidP="00977840">
      <w:pPr>
        <w:rPr>
          <w:lang w:val="en-ZA"/>
        </w:rPr>
      </w:pPr>
      <w:r>
        <w:rPr>
          <w:lang w:val="en-ZA"/>
        </w:rPr>
        <w:t xml:space="preserve">The growth in the number of individual fund managers for the period ranging June 2006 to June 2015 is presented in table 4. To obtain this data, all funds that had at least a full year of data at the end of the year considered are included. This table highlights that the number of female fund </w:t>
      </w:r>
      <w:r w:rsidR="00527456">
        <w:rPr>
          <w:lang w:val="en-ZA"/>
        </w:rPr>
        <w:t>manager’s</w:t>
      </w:r>
      <w:r>
        <w:rPr>
          <w:lang w:val="en-ZA"/>
        </w:rPr>
        <w:t xml:space="preserve"> hovers around 10% over the last eight years and has declined over the last three years.</w:t>
      </w:r>
    </w:p>
    <w:p w:rsidR="00036DD0" w:rsidRPr="002934B0" w:rsidRDefault="00036DD0" w:rsidP="00977840">
      <w:pPr>
        <w:rPr>
          <w:sz w:val="10"/>
          <w:lang w:val="en-ZA"/>
        </w:rPr>
      </w:pPr>
    </w:p>
    <w:p w:rsidR="00512397" w:rsidRDefault="00512397" w:rsidP="00512397">
      <w:pPr>
        <w:pStyle w:val="Caption"/>
        <w:keepNext/>
        <w:jc w:val="center"/>
      </w:pPr>
      <w:bookmarkStart w:id="221" w:name="_Toc458610849"/>
      <w:r>
        <w:t xml:space="preserve">Table </w:t>
      </w:r>
      <w:r>
        <w:fldChar w:fldCharType="begin"/>
      </w:r>
      <w:r>
        <w:instrText xml:space="preserve"> SEQ Table \* ARABIC </w:instrText>
      </w:r>
      <w:r>
        <w:fldChar w:fldCharType="separate"/>
      </w:r>
      <w:r w:rsidR="00C456D9">
        <w:rPr>
          <w:noProof/>
        </w:rPr>
        <w:t>4</w:t>
      </w:r>
      <w:r>
        <w:fldChar w:fldCharType="end"/>
      </w:r>
      <w:r>
        <w:t>: Growth in the number of funds managers by gender</w:t>
      </w:r>
      <w:bookmarkEnd w:id="2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91"/>
        <w:gridCol w:w="1585"/>
        <w:gridCol w:w="2036"/>
        <w:gridCol w:w="1899"/>
        <w:gridCol w:w="1657"/>
      </w:tblGrid>
      <w:tr w:rsidR="00512397" w:rsidTr="00036DD0">
        <w:trPr>
          <w:trHeight w:val="300"/>
        </w:trPr>
        <w:tc>
          <w:tcPr>
            <w:tcW w:w="907" w:type="pct"/>
            <w:vMerge w:val="restart"/>
            <w:shd w:val="clear" w:color="000000" w:fill="366092"/>
            <w:tcMar>
              <w:top w:w="15" w:type="dxa"/>
              <w:left w:w="15" w:type="dxa"/>
              <w:bottom w:w="0" w:type="dxa"/>
              <w:right w:w="15" w:type="dxa"/>
            </w:tcMar>
            <w:hideMark/>
          </w:tcPr>
          <w:p w:rsidR="00512397" w:rsidRDefault="00512397" w:rsidP="00A14232">
            <w:pPr>
              <w:spacing w:line="240" w:lineRule="auto"/>
              <w:contextualSpacing/>
              <w:jc w:val="center"/>
              <w:rPr>
                <w:rFonts w:cs="Arial"/>
                <w:b/>
                <w:bCs/>
                <w:color w:val="FFFFFF"/>
                <w:sz w:val="22"/>
                <w:szCs w:val="22"/>
              </w:rPr>
            </w:pPr>
            <w:r>
              <w:rPr>
                <w:rFonts w:cs="Arial"/>
                <w:b/>
                <w:bCs/>
                <w:color w:val="FFFFFF"/>
                <w:sz w:val="22"/>
                <w:szCs w:val="22"/>
              </w:rPr>
              <w:t>Year ended</w:t>
            </w:r>
          </w:p>
        </w:tc>
        <w:tc>
          <w:tcPr>
            <w:tcW w:w="2065" w:type="pct"/>
            <w:gridSpan w:val="2"/>
            <w:shd w:val="clear" w:color="000000" w:fill="366092"/>
            <w:tcMar>
              <w:top w:w="15" w:type="dxa"/>
              <w:left w:w="15" w:type="dxa"/>
              <w:bottom w:w="0" w:type="dxa"/>
              <w:right w:w="15" w:type="dxa"/>
            </w:tcMar>
            <w:vAlign w:val="center"/>
            <w:hideMark/>
          </w:tcPr>
          <w:p w:rsidR="00512397" w:rsidRDefault="00512397" w:rsidP="00A14232">
            <w:pPr>
              <w:spacing w:line="240" w:lineRule="auto"/>
              <w:contextualSpacing/>
              <w:jc w:val="center"/>
              <w:rPr>
                <w:rFonts w:cs="Arial"/>
                <w:b/>
                <w:bCs/>
                <w:color w:val="FFFFFF"/>
                <w:sz w:val="22"/>
                <w:szCs w:val="22"/>
              </w:rPr>
            </w:pPr>
            <w:r>
              <w:rPr>
                <w:rFonts w:cs="Arial"/>
                <w:b/>
                <w:bCs/>
                <w:color w:val="FFFFFF"/>
                <w:sz w:val="22"/>
                <w:szCs w:val="22"/>
              </w:rPr>
              <w:t>Number of fund managers</w:t>
            </w:r>
          </w:p>
        </w:tc>
        <w:tc>
          <w:tcPr>
            <w:tcW w:w="2028" w:type="pct"/>
            <w:gridSpan w:val="2"/>
            <w:shd w:val="clear" w:color="000000" w:fill="366092"/>
            <w:tcMar>
              <w:top w:w="15" w:type="dxa"/>
              <w:left w:w="15" w:type="dxa"/>
              <w:bottom w:w="0" w:type="dxa"/>
              <w:right w:w="15" w:type="dxa"/>
            </w:tcMar>
            <w:vAlign w:val="center"/>
            <w:hideMark/>
          </w:tcPr>
          <w:p w:rsidR="00512397" w:rsidRDefault="00512397" w:rsidP="00A14232">
            <w:pPr>
              <w:spacing w:line="240" w:lineRule="auto"/>
              <w:contextualSpacing/>
              <w:jc w:val="center"/>
              <w:rPr>
                <w:rFonts w:cs="Arial"/>
                <w:b/>
                <w:bCs/>
                <w:color w:val="FFFFFF"/>
                <w:sz w:val="22"/>
                <w:szCs w:val="22"/>
              </w:rPr>
            </w:pPr>
            <w:r>
              <w:rPr>
                <w:rFonts w:cs="Arial"/>
                <w:b/>
                <w:bCs/>
                <w:color w:val="FFFFFF"/>
                <w:sz w:val="22"/>
                <w:szCs w:val="22"/>
              </w:rPr>
              <w:t>% of total  fund managers</w:t>
            </w:r>
          </w:p>
        </w:tc>
      </w:tr>
      <w:tr w:rsidR="00512397" w:rsidTr="00036DD0">
        <w:trPr>
          <w:trHeight w:val="300"/>
        </w:trPr>
        <w:tc>
          <w:tcPr>
            <w:tcW w:w="907" w:type="pct"/>
            <w:vMerge/>
            <w:shd w:val="clear" w:color="000000" w:fill="366092"/>
            <w:tcMar>
              <w:top w:w="15" w:type="dxa"/>
              <w:left w:w="15" w:type="dxa"/>
              <w:bottom w:w="0" w:type="dxa"/>
              <w:right w:w="15" w:type="dxa"/>
            </w:tcMar>
            <w:vAlign w:val="center"/>
          </w:tcPr>
          <w:p w:rsidR="00512397" w:rsidRDefault="00512397" w:rsidP="00A14232">
            <w:pPr>
              <w:spacing w:line="240" w:lineRule="auto"/>
              <w:contextualSpacing/>
              <w:jc w:val="center"/>
              <w:rPr>
                <w:rFonts w:cs="Arial"/>
                <w:b/>
                <w:bCs/>
                <w:color w:val="FFFFFF"/>
                <w:sz w:val="22"/>
                <w:szCs w:val="22"/>
              </w:rPr>
            </w:pPr>
          </w:p>
        </w:tc>
        <w:tc>
          <w:tcPr>
            <w:tcW w:w="904" w:type="pct"/>
            <w:shd w:val="clear" w:color="000000" w:fill="366092"/>
            <w:tcMar>
              <w:top w:w="15" w:type="dxa"/>
              <w:left w:w="15" w:type="dxa"/>
              <w:bottom w:w="0" w:type="dxa"/>
              <w:right w:w="15" w:type="dxa"/>
            </w:tcMar>
            <w:vAlign w:val="center"/>
          </w:tcPr>
          <w:p w:rsidR="00512397" w:rsidRDefault="00512397" w:rsidP="00A14232">
            <w:pPr>
              <w:spacing w:line="240" w:lineRule="auto"/>
              <w:contextualSpacing/>
              <w:jc w:val="center"/>
              <w:rPr>
                <w:rFonts w:cs="Arial"/>
                <w:b/>
                <w:bCs/>
                <w:color w:val="FFFFFF"/>
                <w:sz w:val="22"/>
                <w:szCs w:val="22"/>
              </w:rPr>
            </w:pPr>
            <w:r>
              <w:rPr>
                <w:rFonts w:cs="Arial"/>
                <w:b/>
                <w:bCs/>
                <w:color w:val="FFFFFF"/>
                <w:sz w:val="22"/>
                <w:szCs w:val="22"/>
              </w:rPr>
              <w:t>Female</w:t>
            </w:r>
          </w:p>
        </w:tc>
        <w:tc>
          <w:tcPr>
            <w:tcW w:w="1161" w:type="pct"/>
            <w:shd w:val="clear" w:color="000000" w:fill="366092"/>
            <w:vAlign w:val="center"/>
          </w:tcPr>
          <w:p w:rsidR="00512397" w:rsidRDefault="00512397" w:rsidP="00A14232">
            <w:pPr>
              <w:spacing w:line="240" w:lineRule="auto"/>
              <w:contextualSpacing/>
              <w:jc w:val="center"/>
              <w:rPr>
                <w:rFonts w:cs="Arial"/>
                <w:b/>
                <w:bCs/>
                <w:color w:val="FFFFFF"/>
                <w:sz w:val="22"/>
                <w:szCs w:val="22"/>
              </w:rPr>
            </w:pPr>
            <w:r>
              <w:rPr>
                <w:rFonts w:cs="Arial"/>
                <w:b/>
                <w:bCs/>
                <w:color w:val="FFFFFF"/>
                <w:sz w:val="22"/>
                <w:szCs w:val="22"/>
              </w:rPr>
              <w:t>Male</w:t>
            </w:r>
          </w:p>
        </w:tc>
        <w:tc>
          <w:tcPr>
            <w:tcW w:w="1083" w:type="pct"/>
            <w:shd w:val="clear" w:color="000000" w:fill="366092"/>
            <w:tcMar>
              <w:top w:w="15" w:type="dxa"/>
              <w:left w:w="15" w:type="dxa"/>
              <w:bottom w:w="0" w:type="dxa"/>
              <w:right w:w="15" w:type="dxa"/>
            </w:tcMar>
            <w:vAlign w:val="center"/>
          </w:tcPr>
          <w:p w:rsidR="00512397" w:rsidRDefault="00512397" w:rsidP="00A14232">
            <w:pPr>
              <w:spacing w:line="240" w:lineRule="auto"/>
              <w:contextualSpacing/>
              <w:jc w:val="center"/>
              <w:rPr>
                <w:rFonts w:cs="Arial"/>
                <w:b/>
                <w:bCs/>
                <w:color w:val="FFFFFF"/>
                <w:sz w:val="22"/>
                <w:szCs w:val="22"/>
              </w:rPr>
            </w:pPr>
            <w:r>
              <w:rPr>
                <w:rFonts w:cs="Arial"/>
                <w:b/>
                <w:bCs/>
                <w:color w:val="FFFFFF"/>
                <w:sz w:val="22"/>
                <w:szCs w:val="22"/>
              </w:rPr>
              <w:t>Female</w:t>
            </w:r>
          </w:p>
        </w:tc>
        <w:tc>
          <w:tcPr>
            <w:tcW w:w="945" w:type="pct"/>
            <w:shd w:val="clear" w:color="000000" w:fill="366092"/>
            <w:vAlign w:val="center"/>
          </w:tcPr>
          <w:p w:rsidR="00512397" w:rsidRDefault="00512397" w:rsidP="00A14232">
            <w:pPr>
              <w:spacing w:line="240" w:lineRule="auto"/>
              <w:contextualSpacing/>
              <w:jc w:val="center"/>
              <w:rPr>
                <w:rFonts w:cs="Arial"/>
                <w:b/>
                <w:bCs/>
                <w:color w:val="FFFFFF"/>
                <w:sz w:val="22"/>
                <w:szCs w:val="22"/>
              </w:rPr>
            </w:pPr>
            <w:r>
              <w:rPr>
                <w:rFonts w:cs="Arial"/>
                <w:b/>
                <w:bCs/>
                <w:color w:val="FFFFFF"/>
                <w:sz w:val="22"/>
                <w:szCs w:val="22"/>
              </w:rPr>
              <w:t>Male</w:t>
            </w:r>
          </w:p>
        </w:tc>
      </w:tr>
      <w:tr w:rsidR="00512397" w:rsidTr="00036DD0">
        <w:trPr>
          <w:trHeight w:val="300"/>
        </w:trPr>
        <w:tc>
          <w:tcPr>
            <w:tcW w:w="907" w:type="pct"/>
            <w:shd w:val="clear" w:color="auto" w:fill="auto"/>
            <w:noWrap/>
            <w:tcMar>
              <w:top w:w="15" w:type="dxa"/>
              <w:left w:w="15" w:type="dxa"/>
              <w:bottom w:w="0" w:type="dxa"/>
              <w:right w:w="15" w:type="dxa"/>
            </w:tcMar>
            <w:vAlign w:val="center"/>
            <w:hideMark/>
          </w:tcPr>
          <w:p w:rsidR="00512397" w:rsidRDefault="00512397" w:rsidP="00A14232">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Jun-07</w:t>
            </w:r>
          </w:p>
        </w:tc>
        <w:tc>
          <w:tcPr>
            <w:tcW w:w="904" w:type="pct"/>
            <w:shd w:val="clear" w:color="auto" w:fill="auto"/>
            <w:noWrap/>
            <w:tcMar>
              <w:top w:w="15" w:type="dxa"/>
              <w:left w:w="15" w:type="dxa"/>
              <w:bottom w:w="0" w:type="dxa"/>
              <w:right w:w="15" w:type="dxa"/>
            </w:tcMar>
            <w:vAlign w:val="center"/>
            <w:hideMark/>
          </w:tcPr>
          <w:p w:rsidR="00512397" w:rsidRDefault="00512397" w:rsidP="00A14232">
            <w:pPr>
              <w:spacing w:line="240" w:lineRule="auto"/>
              <w:contextualSpacing/>
              <w:jc w:val="center"/>
              <w:rPr>
                <w:rFonts w:ascii="Calibri" w:hAnsi="Calibri" w:cs="Calibri"/>
                <w:b/>
                <w:bCs/>
                <w:color w:val="000000"/>
                <w:sz w:val="22"/>
                <w:szCs w:val="22"/>
              </w:rPr>
            </w:pPr>
            <w:r>
              <w:rPr>
                <w:rFonts w:ascii="Calibri" w:hAnsi="Calibri" w:cs="Calibri"/>
                <w:b/>
                <w:bCs/>
                <w:color w:val="000000"/>
                <w:sz w:val="22"/>
                <w:szCs w:val="22"/>
              </w:rPr>
              <w:t>15</w:t>
            </w:r>
          </w:p>
        </w:tc>
        <w:tc>
          <w:tcPr>
            <w:tcW w:w="1161" w:type="pct"/>
            <w:shd w:val="clear" w:color="auto" w:fill="auto"/>
            <w:noWrap/>
            <w:tcMar>
              <w:top w:w="15" w:type="dxa"/>
              <w:left w:w="15" w:type="dxa"/>
              <w:bottom w:w="0" w:type="dxa"/>
              <w:right w:w="15" w:type="dxa"/>
            </w:tcMar>
            <w:vAlign w:val="center"/>
            <w:hideMark/>
          </w:tcPr>
          <w:p w:rsidR="00512397" w:rsidRDefault="00512397" w:rsidP="00A14232">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126</w:t>
            </w:r>
          </w:p>
        </w:tc>
        <w:tc>
          <w:tcPr>
            <w:tcW w:w="1083" w:type="pct"/>
            <w:shd w:val="clear" w:color="auto" w:fill="auto"/>
            <w:noWrap/>
            <w:tcMar>
              <w:top w:w="15" w:type="dxa"/>
              <w:left w:w="15" w:type="dxa"/>
              <w:bottom w:w="0" w:type="dxa"/>
              <w:right w:w="15" w:type="dxa"/>
            </w:tcMar>
            <w:vAlign w:val="center"/>
            <w:hideMark/>
          </w:tcPr>
          <w:p w:rsidR="00512397" w:rsidRDefault="00512397" w:rsidP="00A14232">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10.64%</w:t>
            </w:r>
          </w:p>
        </w:tc>
        <w:tc>
          <w:tcPr>
            <w:tcW w:w="945" w:type="pct"/>
            <w:shd w:val="clear" w:color="auto" w:fill="auto"/>
            <w:noWrap/>
            <w:tcMar>
              <w:top w:w="15" w:type="dxa"/>
              <w:left w:w="15" w:type="dxa"/>
              <w:bottom w:w="0" w:type="dxa"/>
              <w:right w:w="15" w:type="dxa"/>
            </w:tcMar>
            <w:vAlign w:val="center"/>
            <w:hideMark/>
          </w:tcPr>
          <w:p w:rsidR="00512397" w:rsidRDefault="00512397" w:rsidP="00A14232">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89.36%</w:t>
            </w:r>
          </w:p>
        </w:tc>
      </w:tr>
      <w:tr w:rsidR="00512397" w:rsidTr="00036DD0">
        <w:trPr>
          <w:trHeight w:val="300"/>
        </w:trPr>
        <w:tc>
          <w:tcPr>
            <w:tcW w:w="907" w:type="pct"/>
            <w:shd w:val="clear" w:color="auto" w:fill="auto"/>
            <w:noWrap/>
            <w:tcMar>
              <w:top w:w="15" w:type="dxa"/>
              <w:left w:w="15" w:type="dxa"/>
              <w:bottom w:w="0" w:type="dxa"/>
              <w:right w:w="15" w:type="dxa"/>
            </w:tcMar>
            <w:vAlign w:val="center"/>
            <w:hideMark/>
          </w:tcPr>
          <w:p w:rsidR="00512397" w:rsidRDefault="00512397" w:rsidP="00A14232">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Jun-08</w:t>
            </w:r>
          </w:p>
        </w:tc>
        <w:tc>
          <w:tcPr>
            <w:tcW w:w="904" w:type="pct"/>
            <w:shd w:val="clear" w:color="auto" w:fill="auto"/>
            <w:noWrap/>
            <w:tcMar>
              <w:top w:w="15" w:type="dxa"/>
              <w:left w:w="15" w:type="dxa"/>
              <w:bottom w:w="0" w:type="dxa"/>
              <w:right w:w="15" w:type="dxa"/>
            </w:tcMar>
            <w:vAlign w:val="center"/>
            <w:hideMark/>
          </w:tcPr>
          <w:p w:rsidR="00512397" w:rsidRDefault="00512397" w:rsidP="00A14232">
            <w:pPr>
              <w:spacing w:line="240" w:lineRule="auto"/>
              <w:contextualSpacing/>
              <w:jc w:val="center"/>
              <w:rPr>
                <w:rFonts w:ascii="Calibri" w:hAnsi="Calibri" w:cs="Calibri"/>
                <w:b/>
                <w:bCs/>
                <w:color w:val="000000"/>
                <w:sz w:val="22"/>
                <w:szCs w:val="22"/>
              </w:rPr>
            </w:pPr>
            <w:r>
              <w:rPr>
                <w:rFonts w:ascii="Calibri" w:hAnsi="Calibri" w:cs="Calibri"/>
                <w:b/>
                <w:bCs/>
                <w:color w:val="000000"/>
                <w:sz w:val="22"/>
                <w:szCs w:val="22"/>
              </w:rPr>
              <w:t>15</w:t>
            </w:r>
          </w:p>
        </w:tc>
        <w:tc>
          <w:tcPr>
            <w:tcW w:w="1161" w:type="pct"/>
            <w:shd w:val="clear" w:color="auto" w:fill="auto"/>
            <w:noWrap/>
            <w:tcMar>
              <w:top w:w="15" w:type="dxa"/>
              <w:left w:w="15" w:type="dxa"/>
              <w:bottom w:w="0" w:type="dxa"/>
              <w:right w:w="15" w:type="dxa"/>
            </w:tcMar>
            <w:vAlign w:val="center"/>
            <w:hideMark/>
          </w:tcPr>
          <w:p w:rsidR="00512397" w:rsidRDefault="00512397" w:rsidP="00A14232">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140</w:t>
            </w:r>
          </w:p>
        </w:tc>
        <w:tc>
          <w:tcPr>
            <w:tcW w:w="1083" w:type="pct"/>
            <w:shd w:val="clear" w:color="auto" w:fill="auto"/>
            <w:noWrap/>
            <w:tcMar>
              <w:top w:w="15" w:type="dxa"/>
              <w:left w:w="15" w:type="dxa"/>
              <w:bottom w:w="0" w:type="dxa"/>
              <w:right w:w="15" w:type="dxa"/>
            </w:tcMar>
            <w:vAlign w:val="center"/>
            <w:hideMark/>
          </w:tcPr>
          <w:p w:rsidR="00512397" w:rsidRDefault="00512397" w:rsidP="00A14232">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9.68%</w:t>
            </w:r>
          </w:p>
        </w:tc>
        <w:tc>
          <w:tcPr>
            <w:tcW w:w="945" w:type="pct"/>
            <w:shd w:val="clear" w:color="auto" w:fill="auto"/>
            <w:noWrap/>
            <w:tcMar>
              <w:top w:w="15" w:type="dxa"/>
              <w:left w:w="15" w:type="dxa"/>
              <w:bottom w:w="0" w:type="dxa"/>
              <w:right w:w="15" w:type="dxa"/>
            </w:tcMar>
            <w:vAlign w:val="center"/>
            <w:hideMark/>
          </w:tcPr>
          <w:p w:rsidR="00512397" w:rsidRDefault="00512397" w:rsidP="00A14232">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90.32%</w:t>
            </w:r>
          </w:p>
        </w:tc>
      </w:tr>
      <w:tr w:rsidR="00512397" w:rsidTr="00036DD0">
        <w:trPr>
          <w:trHeight w:val="300"/>
        </w:trPr>
        <w:tc>
          <w:tcPr>
            <w:tcW w:w="907" w:type="pct"/>
            <w:shd w:val="clear" w:color="auto" w:fill="auto"/>
            <w:noWrap/>
            <w:tcMar>
              <w:top w:w="15" w:type="dxa"/>
              <w:left w:w="15" w:type="dxa"/>
              <w:bottom w:w="0" w:type="dxa"/>
              <w:right w:w="15" w:type="dxa"/>
            </w:tcMar>
            <w:vAlign w:val="center"/>
            <w:hideMark/>
          </w:tcPr>
          <w:p w:rsidR="00512397" w:rsidRDefault="00512397" w:rsidP="00A14232">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Jun-09</w:t>
            </w:r>
          </w:p>
        </w:tc>
        <w:tc>
          <w:tcPr>
            <w:tcW w:w="904" w:type="pct"/>
            <w:shd w:val="clear" w:color="auto" w:fill="auto"/>
            <w:noWrap/>
            <w:tcMar>
              <w:top w:w="15" w:type="dxa"/>
              <w:left w:w="15" w:type="dxa"/>
              <w:bottom w:w="0" w:type="dxa"/>
              <w:right w:w="15" w:type="dxa"/>
            </w:tcMar>
            <w:vAlign w:val="center"/>
            <w:hideMark/>
          </w:tcPr>
          <w:p w:rsidR="00512397" w:rsidRDefault="00512397" w:rsidP="00A14232">
            <w:pPr>
              <w:spacing w:line="240" w:lineRule="auto"/>
              <w:contextualSpacing/>
              <w:jc w:val="center"/>
              <w:rPr>
                <w:rFonts w:ascii="Calibri" w:hAnsi="Calibri" w:cs="Calibri"/>
                <w:b/>
                <w:bCs/>
                <w:color w:val="000000"/>
                <w:sz w:val="22"/>
                <w:szCs w:val="22"/>
              </w:rPr>
            </w:pPr>
            <w:r>
              <w:rPr>
                <w:rFonts w:ascii="Calibri" w:hAnsi="Calibri" w:cs="Calibri"/>
                <w:b/>
                <w:bCs/>
                <w:color w:val="000000"/>
                <w:sz w:val="22"/>
                <w:szCs w:val="22"/>
              </w:rPr>
              <w:t>17</w:t>
            </w:r>
          </w:p>
        </w:tc>
        <w:tc>
          <w:tcPr>
            <w:tcW w:w="1161" w:type="pct"/>
            <w:shd w:val="clear" w:color="auto" w:fill="auto"/>
            <w:noWrap/>
            <w:tcMar>
              <w:top w:w="15" w:type="dxa"/>
              <w:left w:w="15" w:type="dxa"/>
              <w:bottom w:w="0" w:type="dxa"/>
              <w:right w:w="15" w:type="dxa"/>
            </w:tcMar>
            <w:vAlign w:val="center"/>
            <w:hideMark/>
          </w:tcPr>
          <w:p w:rsidR="00512397" w:rsidRDefault="00512397" w:rsidP="00A14232">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163</w:t>
            </w:r>
          </w:p>
        </w:tc>
        <w:tc>
          <w:tcPr>
            <w:tcW w:w="1083" w:type="pct"/>
            <w:shd w:val="clear" w:color="auto" w:fill="auto"/>
            <w:noWrap/>
            <w:tcMar>
              <w:top w:w="15" w:type="dxa"/>
              <w:left w:w="15" w:type="dxa"/>
              <w:bottom w:w="0" w:type="dxa"/>
              <w:right w:w="15" w:type="dxa"/>
            </w:tcMar>
            <w:vAlign w:val="center"/>
            <w:hideMark/>
          </w:tcPr>
          <w:p w:rsidR="00512397" w:rsidRDefault="00512397" w:rsidP="00A14232">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9.44%</w:t>
            </w:r>
          </w:p>
        </w:tc>
        <w:tc>
          <w:tcPr>
            <w:tcW w:w="945" w:type="pct"/>
            <w:shd w:val="clear" w:color="auto" w:fill="auto"/>
            <w:noWrap/>
            <w:tcMar>
              <w:top w:w="15" w:type="dxa"/>
              <w:left w:w="15" w:type="dxa"/>
              <w:bottom w:w="0" w:type="dxa"/>
              <w:right w:w="15" w:type="dxa"/>
            </w:tcMar>
            <w:vAlign w:val="center"/>
            <w:hideMark/>
          </w:tcPr>
          <w:p w:rsidR="00512397" w:rsidRDefault="00512397" w:rsidP="00A14232">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90.56%</w:t>
            </w:r>
          </w:p>
        </w:tc>
      </w:tr>
      <w:tr w:rsidR="00512397" w:rsidTr="00036DD0">
        <w:trPr>
          <w:trHeight w:val="300"/>
        </w:trPr>
        <w:tc>
          <w:tcPr>
            <w:tcW w:w="907" w:type="pct"/>
            <w:shd w:val="clear" w:color="auto" w:fill="auto"/>
            <w:noWrap/>
            <w:tcMar>
              <w:top w:w="15" w:type="dxa"/>
              <w:left w:w="15" w:type="dxa"/>
              <w:bottom w:w="0" w:type="dxa"/>
              <w:right w:w="15" w:type="dxa"/>
            </w:tcMar>
            <w:vAlign w:val="center"/>
            <w:hideMark/>
          </w:tcPr>
          <w:p w:rsidR="00512397" w:rsidRDefault="00512397" w:rsidP="00A14232">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Jun-10</w:t>
            </w:r>
          </w:p>
        </w:tc>
        <w:tc>
          <w:tcPr>
            <w:tcW w:w="904" w:type="pct"/>
            <w:shd w:val="clear" w:color="auto" w:fill="auto"/>
            <w:noWrap/>
            <w:tcMar>
              <w:top w:w="15" w:type="dxa"/>
              <w:left w:w="15" w:type="dxa"/>
              <w:bottom w:w="0" w:type="dxa"/>
              <w:right w:w="15" w:type="dxa"/>
            </w:tcMar>
            <w:vAlign w:val="center"/>
            <w:hideMark/>
          </w:tcPr>
          <w:p w:rsidR="00512397" w:rsidRDefault="00512397" w:rsidP="00A14232">
            <w:pPr>
              <w:spacing w:line="240" w:lineRule="auto"/>
              <w:contextualSpacing/>
              <w:jc w:val="center"/>
              <w:rPr>
                <w:rFonts w:ascii="Calibri" w:hAnsi="Calibri" w:cs="Calibri"/>
                <w:b/>
                <w:bCs/>
                <w:color w:val="000000"/>
                <w:sz w:val="22"/>
                <w:szCs w:val="22"/>
              </w:rPr>
            </w:pPr>
            <w:r>
              <w:rPr>
                <w:rFonts w:ascii="Calibri" w:hAnsi="Calibri" w:cs="Calibri"/>
                <w:b/>
                <w:bCs/>
                <w:color w:val="000000"/>
                <w:sz w:val="22"/>
                <w:szCs w:val="22"/>
              </w:rPr>
              <w:t>19</w:t>
            </w:r>
          </w:p>
        </w:tc>
        <w:tc>
          <w:tcPr>
            <w:tcW w:w="1161" w:type="pct"/>
            <w:shd w:val="clear" w:color="auto" w:fill="auto"/>
            <w:noWrap/>
            <w:tcMar>
              <w:top w:w="15" w:type="dxa"/>
              <w:left w:w="15" w:type="dxa"/>
              <w:bottom w:w="0" w:type="dxa"/>
              <w:right w:w="15" w:type="dxa"/>
            </w:tcMar>
            <w:vAlign w:val="center"/>
            <w:hideMark/>
          </w:tcPr>
          <w:p w:rsidR="00512397" w:rsidRDefault="00512397" w:rsidP="00A14232">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174</w:t>
            </w:r>
          </w:p>
        </w:tc>
        <w:tc>
          <w:tcPr>
            <w:tcW w:w="1083" w:type="pct"/>
            <w:shd w:val="clear" w:color="auto" w:fill="auto"/>
            <w:noWrap/>
            <w:tcMar>
              <w:top w:w="15" w:type="dxa"/>
              <w:left w:w="15" w:type="dxa"/>
              <w:bottom w:w="0" w:type="dxa"/>
              <w:right w:w="15" w:type="dxa"/>
            </w:tcMar>
            <w:vAlign w:val="center"/>
            <w:hideMark/>
          </w:tcPr>
          <w:p w:rsidR="00512397" w:rsidRDefault="00512397" w:rsidP="00A14232">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9.84%</w:t>
            </w:r>
          </w:p>
        </w:tc>
        <w:tc>
          <w:tcPr>
            <w:tcW w:w="945" w:type="pct"/>
            <w:shd w:val="clear" w:color="auto" w:fill="auto"/>
            <w:noWrap/>
            <w:tcMar>
              <w:top w:w="15" w:type="dxa"/>
              <w:left w:w="15" w:type="dxa"/>
              <w:bottom w:w="0" w:type="dxa"/>
              <w:right w:w="15" w:type="dxa"/>
            </w:tcMar>
            <w:vAlign w:val="center"/>
            <w:hideMark/>
          </w:tcPr>
          <w:p w:rsidR="00512397" w:rsidRDefault="00512397" w:rsidP="00A14232">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90.16%</w:t>
            </w:r>
          </w:p>
        </w:tc>
      </w:tr>
      <w:tr w:rsidR="00512397" w:rsidTr="00036DD0">
        <w:trPr>
          <w:trHeight w:val="300"/>
        </w:trPr>
        <w:tc>
          <w:tcPr>
            <w:tcW w:w="907" w:type="pct"/>
            <w:shd w:val="clear" w:color="auto" w:fill="auto"/>
            <w:noWrap/>
            <w:tcMar>
              <w:top w:w="15" w:type="dxa"/>
              <w:left w:w="15" w:type="dxa"/>
              <w:bottom w:w="0" w:type="dxa"/>
              <w:right w:w="15" w:type="dxa"/>
            </w:tcMar>
            <w:vAlign w:val="center"/>
            <w:hideMark/>
          </w:tcPr>
          <w:p w:rsidR="00512397" w:rsidRDefault="00512397" w:rsidP="00A14232">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Jun-11</w:t>
            </w:r>
          </w:p>
        </w:tc>
        <w:tc>
          <w:tcPr>
            <w:tcW w:w="904" w:type="pct"/>
            <w:shd w:val="clear" w:color="auto" w:fill="auto"/>
            <w:noWrap/>
            <w:tcMar>
              <w:top w:w="15" w:type="dxa"/>
              <w:left w:w="15" w:type="dxa"/>
              <w:bottom w:w="0" w:type="dxa"/>
              <w:right w:w="15" w:type="dxa"/>
            </w:tcMar>
            <w:vAlign w:val="center"/>
            <w:hideMark/>
          </w:tcPr>
          <w:p w:rsidR="00512397" w:rsidRDefault="00512397" w:rsidP="00A14232">
            <w:pPr>
              <w:spacing w:line="240" w:lineRule="auto"/>
              <w:contextualSpacing/>
              <w:jc w:val="center"/>
              <w:rPr>
                <w:rFonts w:ascii="Calibri" w:hAnsi="Calibri" w:cs="Calibri"/>
                <w:b/>
                <w:bCs/>
                <w:color w:val="000000"/>
                <w:sz w:val="22"/>
                <w:szCs w:val="22"/>
              </w:rPr>
            </w:pPr>
            <w:r>
              <w:rPr>
                <w:rFonts w:ascii="Calibri" w:hAnsi="Calibri" w:cs="Calibri"/>
                <w:b/>
                <w:bCs/>
                <w:color w:val="000000"/>
                <w:sz w:val="22"/>
                <w:szCs w:val="22"/>
              </w:rPr>
              <w:t>19</w:t>
            </w:r>
          </w:p>
        </w:tc>
        <w:tc>
          <w:tcPr>
            <w:tcW w:w="1161" w:type="pct"/>
            <w:shd w:val="clear" w:color="auto" w:fill="auto"/>
            <w:noWrap/>
            <w:tcMar>
              <w:top w:w="15" w:type="dxa"/>
              <w:left w:w="15" w:type="dxa"/>
              <w:bottom w:w="0" w:type="dxa"/>
              <w:right w:w="15" w:type="dxa"/>
            </w:tcMar>
            <w:vAlign w:val="center"/>
            <w:hideMark/>
          </w:tcPr>
          <w:p w:rsidR="00512397" w:rsidRDefault="00512397" w:rsidP="00A14232">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179</w:t>
            </w:r>
          </w:p>
        </w:tc>
        <w:tc>
          <w:tcPr>
            <w:tcW w:w="1083" w:type="pct"/>
            <w:shd w:val="clear" w:color="auto" w:fill="auto"/>
            <w:noWrap/>
            <w:tcMar>
              <w:top w:w="15" w:type="dxa"/>
              <w:left w:w="15" w:type="dxa"/>
              <w:bottom w:w="0" w:type="dxa"/>
              <w:right w:w="15" w:type="dxa"/>
            </w:tcMar>
            <w:vAlign w:val="center"/>
            <w:hideMark/>
          </w:tcPr>
          <w:p w:rsidR="00512397" w:rsidRDefault="00512397" w:rsidP="00A14232">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9.60%</w:t>
            </w:r>
          </w:p>
        </w:tc>
        <w:tc>
          <w:tcPr>
            <w:tcW w:w="945" w:type="pct"/>
            <w:shd w:val="clear" w:color="auto" w:fill="auto"/>
            <w:noWrap/>
            <w:tcMar>
              <w:top w:w="15" w:type="dxa"/>
              <w:left w:w="15" w:type="dxa"/>
              <w:bottom w:w="0" w:type="dxa"/>
              <w:right w:w="15" w:type="dxa"/>
            </w:tcMar>
            <w:vAlign w:val="center"/>
            <w:hideMark/>
          </w:tcPr>
          <w:p w:rsidR="00512397" w:rsidRDefault="00512397" w:rsidP="00A14232">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90.40%</w:t>
            </w:r>
          </w:p>
        </w:tc>
      </w:tr>
      <w:tr w:rsidR="00512397" w:rsidTr="00036DD0">
        <w:trPr>
          <w:trHeight w:val="300"/>
        </w:trPr>
        <w:tc>
          <w:tcPr>
            <w:tcW w:w="907" w:type="pct"/>
            <w:shd w:val="clear" w:color="auto" w:fill="auto"/>
            <w:noWrap/>
            <w:tcMar>
              <w:top w:w="15" w:type="dxa"/>
              <w:left w:w="15" w:type="dxa"/>
              <w:bottom w:w="0" w:type="dxa"/>
              <w:right w:w="15" w:type="dxa"/>
            </w:tcMar>
            <w:vAlign w:val="center"/>
            <w:hideMark/>
          </w:tcPr>
          <w:p w:rsidR="00512397" w:rsidRDefault="00512397" w:rsidP="00A14232">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Jun-12</w:t>
            </w:r>
          </w:p>
        </w:tc>
        <w:tc>
          <w:tcPr>
            <w:tcW w:w="904" w:type="pct"/>
            <w:shd w:val="clear" w:color="auto" w:fill="auto"/>
            <w:noWrap/>
            <w:tcMar>
              <w:top w:w="15" w:type="dxa"/>
              <w:left w:w="15" w:type="dxa"/>
              <w:bottom w:w="0" w:type="dxa"/>
              <w:right w:w="15" w:type="dxa"/>
            </w:tcMar>
            <w:vAlign w:val="center"/>
            <w:hideMark/>
          </w:tcPr>
          <w:p w:rsidR="00512397" w:rsidRDefault="00512397" w:rsidP="00A14232">
            <w:pPr>
              <w:spacing w:line="240" w:lineRule="auto"/>
              <w:contextualSpacing/>
              <w:jc w:val="center"/>
              <w:rPr>
                <w:rFonts w:ascii="Calibri" w:hAnsi="Calibri" w:cs="Calibri"/>
                <w:b/>
                <w:bCs/>
                <w:color w:val="000000"/>
                <w:sz w:val="22"/>
                <w:szCs w:val="22"/>
              </w:rPr>
            </w:pPr>
            <w:r>
              <w:rPr>
                <w:rFonts w:ascii="Calibri" w:hAnsi="Calibri" w:cs="Calibri"/>
                <w:b/>
                <w:bCs/>
                <w:color w:val="000000"/>
                <w:sz w:val="22"/>
                <w:szCs w:val="22"/>
              </w:rPr>
              <w:t>21</w:t>
            </w:r>
          </w:p>
        </w:tc>
        <w:tc>
          <w:tcPr>
            <w:tcW w:w="1161" w:type="pct"/>
            <w:shd w:val="clear" w:color="auto" w:fill="auto"/>
            <w:noWrap/>
            <w:tcMar>
              <w:top w:w="15" w:type="dxa"/>
              <w:left w:w="15" w:type="dxa"/>
              <w:bottom w:w="0" w:type="dxa"/>
              <w:right w:w="15" w:type="dxa"/>
            </w:tcMar>
            <w:vAlign w:val="center"/>
            <w:hideMark/>
          </w:tcPr>
          <w:p w:rsidR="00512397" w:rsidRDefault="00512397" w:rsidP="00A14232">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186</w:t>
            </w:r>
          </w:p>
        </w:tc>
        <w:tc>
          <w:tcPr>
            <w:tcW w:w="1083" w:type="pct"/>
            <w:shd w:val="clear" w:color="auto" w:fill="auto"/>
            <w:noWrap/>
            <w:tcMar>
              <w:top w:w="15" w:type="dxa"/>
              <w:left w:w="15" w:type="dxa"/>
              <w:bottom w:w="0" w:type="dxa"/>
              <w:right w:w="15" w:type="dxa"/>
            </w:tcMar>
            <w:vAlign w:val="center"/>
            <w:hideMark/>
          </w:tcPr>
          <w:p w:rsidR="00512397" w:rsidRDefault="00512397" w:rsidP="00A14232">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10.14%</w:t>
            </w:r>
          </w:p>
        </w:tc>
        <w:tc>
          <w:tcPr>
            <w:tcW w:w="945" w:type="pct"/>
            <w:shd w:val="clear" w:color="auto" w:fill="auto"/>
            <w:noWrap/>
            <w:tcMar>
              <w:top w:w="15" w:type="dxa"/>
              <w:left w:w="15" w:type="dxa"/>
              <w:bottom w:w="0" w:type="dxa"/>
              <w:right w:w="15" w:type="dxa"/>
            </w:tcMar>
            <w:vAlign w:val="center"/>
            <w:hideMark/>
          </w:tcPr>
          <w:p w:rsidR="00512397" w:rsidRDefault="00512397" w:rsidP="00A14232">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89.86%</w:t>
            </w:r>
          </w:p>
        </w:tc>
      </w:tr>
      <w:tr w:rsidR="00512397" w:rsidTr="00036DD0">
        <w:trPr>
          <w:trHeight w:val="300"/>
        </w:trPr>
        <w:tc>
          <w:tcPr>
            <w:tcW w:w="907" w:type="pct"/>
            <w:shd w:val="clear" w:color="auto" w:fill="auto"/>
            <w:noWrap/>
            <w:tcMar>
              <w:top w:w="15" w:type="dxa"/>
              <w:left w:w="15" w:type="dxa"/>
              <w:bottom w:w="0" w:type="dxa"/>
              <w:right w:w="15" w:type="dxa"/>
            </w:tcMar>
            <w:vAlign w:val="center"/>
            <w:hideMark/>
          </w:tcPr>
          <w:p w:rsidR="00512397" w:rsidRDefault="00512397" w:rsidP="00A14232">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Jun-13</w:t>
            </w:r>
          </w:p>
        </w:tc>
        <w:tc>
          <w:tcPr>
            <w:tcW w:w="904" w:type="pct"/>
            <w:shd w:val="clear" w:color="auto" w:fill="auto"/>
            <w:noWrap/>
            <w:tcMar>
              <w:top w:w="15" w:type="dxa"/>
              <w:left w:w="15" w:type="dxa"/>
              <w:bottom w:w="0" w:type="dxa"/>
              <w:right w:w="15" w:type="dxa"/>
            </w:tcMar>
            <w:vAlign w:val="center"/>
            <w:hideMark/>
          </w:tcPr>
          <w:p w:rsidR="00512397" w:rsidRDefault="00512397" w:rsidP="00A14232">
            <w:pPr>
              <w:spacing w:line="240" w:lineRule="auto"/>
              <w:contextualSpacing/>
              <w:jc w:val="center"/>
              <w:rPr>
                <w:rFonts w:ascii="Calibri" w:hAnsi="Calibri" w:cs="Calibri"/>
                <w:b/>
                <w:bCs/>
                <w:color w:val="000000"/>
                <w:sz w:val="22"/>
                <w:szCs w:val="22"/>
              </w:rPr>
            </w:pPr>
            <w:r>
              <w:rPr>
                <w:rFonts w:ascii="Calibri" w:hAnsi="Calibri" w:cs="Calibri"/>
                <w:b/>
                <w:bCs/>
                <w:color w:val="000000"/>
                <w:sz w:val="22"/>
                <w:szCs w:val="22"/>
              </w:rPr>
              <w:t>23</w:t>
            </w:r>
          </w:p>
        </w:tc>
        <w:tc>
          <w:tcPr>
            <w:tcW w:w="1161" w:type="pct"/>
            <w:shd w:val="clear" w:color="auto" w:fill="auto"/>
            <w:noWrap/>
            <w:tcMar>
              <w:top w:w="15" w:type="dxa"/>
              <w:left w:w="15" w:type="dxa"/>
              <w:bottom w:w="0" w:type="dxa"/>
              <w:right w:w="15" w:type="dxa"/>
            </w:tcMar>
            <w:vAlign w:val="center"/>
            <w:hideMark/>
          </w:tcPr>
          <w:p w:rsidR="00512397" w:rsidRDefault="00512397" w:rsidP="00A14232">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201</w:t>
            </w:r>
          </w:p>
        </w:tc>
        <w:tc>
          <w:tcPr>
            <w:tcW w:w="1083" w:type="pct"/>
            <w:shd w:val="clear" w:color="auto" w:fill="auto"/>
            <w:noWrap/>
            <w:tcMar>
              <w:top w:w="15" w:type="dxa"/>
              <w:left w:w="15" w:type="dxa"/>
              <w:bottom w:w="0" w:type="dxa"/>
              <w:right w:w="15" w:type="dxa"/>
            </w:tcMar>
            <w:vAlign w:val="center"/>
            <w:hideMark/>
          </w:tcPr>
          <w:p w:rsidR="00512397" w:rsidRDefault="00512397" w:rsidP="00A14232">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10.27%</w:t>
            </w:r>
          </w:p>
        </w:tc>
        <w:tc>
          <w:tcPr>
            <w:tcW w:w="945" w:type="pct"/>
            <w:shd w:val="clear" w:color="auto" w:fill="auto"/>
            <w:noWrap/>
            <w:tcMar>
              <w:top w:w="15" w:type="dxa"/>
              <w:left w:w="15" w:type="dxa"/>
              <w:bottom w:w="0" w:type="dxa"/>
              <w:right w:w="15" w:type="dxa"/>
            </w:tcMar>
            <w:vAlign w:val="center"/>
            <w:hideMark/>
          </w:tcPr>
          <w:p w:rsidR="00512397" w:rsidRDefault="00512397" w:rsidP="00A14232">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89.73%</w:t>
            </w:r>
          </w:p>
        </w:tc>
      </w:tr>
      <w:tr w:rsidR="00512397" w:rsidTr="00036DD0">
        <w:trPr>
          <w:trHeight w:val="300"/>
        </w:trPr>
        <w:tc>
          <w:tcPr>
            <w:tcW w:w="907" w:type="pct"/>
            <w:tcBorders>
              <w:bottom w:val="single" w:sz="4" w:space="0" w:color="auto"/>
            </w:tcBorders>
            <w:shd w:val="clear" w:color="auto" w:fill="auto"/>
            <w:noWrap/>
            <w:tcMar>
              <w:top w:w="15" w:type="dxa"/>
              <w:left w:w="15" w:type="dxa"/>
              <w:bottom w:w="0" w:type="dxa"/>
              <w:right w:w="15" w:type="dxa"/>
            </w:tcMar>
            <w:vAlign w:val="center"/>
            <w:hideMark/>
          </w:tcPr>
          <w:p w:rsidR="00512397" w:rsidRDefault="00512397" w:rsidP="00A14232">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Jun-14</w:t>
            </w:r>
          </w:p>
        </w:tc>
        <w:tc>
          <w:tcPr>
            <w:tcW w:w="904" w:type="pct"/>
            <w:tcBorders>
              <w:bottom w:val="single" w:sz="4" w:space="0" w:color="auto"/>
            </w:tcBorders>
            <w:shd w:val="clear" w:color="auto" w:fill="auto"/>
            <w:noWrap/>
            <w:tcMar>
              <w:top w:w="15" w:type="dxa"/>
              <w:left w:w="15" w:type="dxa"/>
              <w:bottom w:w="0" w:type="dxa"/>
              <w:right w:w="15" w:type="dxa"/>
            </w:tcMar>
            <w:vAlign w:val="center"/>
            <w:hideMark/>
          </w:tcPr>
          <w:p w:rsidR="00512397" w:rsidRDefault="00512397" w:rsidP="00A14232">
            <w:pPr>
              <w:spacing w:line="240" w:lineRule="auto"/>
              <w:contextualSpacing/>
              <w:jc w:val="center"/>
              <w:rPr>
                <w:rFonts w:ascii="Calibri" w:hAnsi="Calibri" w:cs="Calibri"/>
                <w:b/>
                <w:bCs/>
                <w:color w:val="000000"/>
                <w:sz w:val="22"/>
                <w:szCs w:val="22"/>
              </w:rPr>
            </w:pPr>
            <w:r>
              <w:rPr>
                <w:rFonts w:ascii="Calibri" w:hAnsi="Calibri" w:cs="Calibri"/>
                <w:b/>
                <w:bCs/>
                <w:color w:val="000000"/>
                <w:sz w:val="22"/>
                <w:szCs w:val="22"/>
              </w:rPr>
              <w:t>24</w:t>
            </w:r>
          </w:p>
        </w:tc>
        <w:tc>
          <w:tcPr>
            <w:tcW w:w="1161" w:type="pct"/>
            <w:tcBorders>
              <w:bottom w:val="single" w:sz="4" w:space="0" w:color="auto"/>
            </w:tcBorders>
            <w:shd w:val="clear" w:color="auto" w:fill="auto"/>
            <w:noWrap/>
            <w:tcMar>
              <w:top w:w="15" w:type="dxa"/>
              <w:left w:w="15" w:type="dxa"/>
              <w:bottom w:w="0" w:type="dxa"/>
              <w:right w:w="15" w:type="dxa"/>
            </w:tcMar>
            <w:vAlign w:val="center"/>
            <w:hideMark/>
          </w:tcPr>
          <w:p w:rsidR="00512397" w:rsidRDefault="00512397" w:rsidP="00A14232">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226</w:t>
            </w:r>
          </w:p>
        </w:tc>
        <w:tc>
          <w:tcPr>
            <w:tcW w:w="1083" w:type="pct"/>
            <w:tcBorders>
              <w:bottom w:val="single" w:sz="4" w:space="0" w:color="auto"/>
            </w:tcBorders>
            <w:shd w:val="clear" w:color="auto" w:fill="auto"/>
            <w:noWrap/>
            <w:tcMar>
              <w:top w:w="15" w:type="dxa"/>
              <w:left w:w="15" w:type="dxa"/>
              <w:bottom w:w="0" w:type="dxa"/>
              <w:right w:w="15" w:type="dxa"/>
            </w:tcMar>
            <w:vAlign w:val="center"/>
            <w:hideMark/>
          </w:tcPr>
          <w:p w:rsidR="00512397" w:rsidRDefault="00512397" w:rsidP="00A14232">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9.60%</w:t>
            </w:r>
          </w:p>
        </w:tc>
        <w:tc>
          <w:tcPr>
            <w:tcW w:w="945" w:type="pct"/>
            <w:tcBorders>
              <w:bottom w:val="single" w:sz="4" w:space="0" w:color="auto"/>
            </w:tcBorders>
            <w:shd w:val="clear" w:color="auto" w:fill="auto"/>
            <w:noWrap/>
            <w:tcMar>
              <w:top w:w="15" w:type="dxa"/>
              <w:left w:w="15" w:type="dxa"/>
              <w:bottom w:w="0" w:type="dxa"/>
              <w:right w:w="15" w:type="dxa"/>
            </w:tcMar>
            <w:vAlign w:val="center"/>
            <w:hideMark/>
          </w:tcPr>
          <w:p w:rsidR="00512397" w:rsidRDefault="00512397" w:rsidP="00A14232">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90.40%</w:t>
            </w:r>
          </w:p>
        </w:tc>
      </w:tr>
      <w:tr w:rsidR="00512397" w:rsidTr="00036DD0">
        <w:trPr>
          <w:trHeight w:val="300"/>
        </w:trPr>
        <w:tc>
          <w:tcPr>
            <w:tcW w:w="907"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512397" w:rsidRDefault="00512397" w:rsidP="00A14232">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Jun-15</w:t>
            </w:r>
          </w:p>
        </w:tc>
        <w:tc>
          <w:tcPr>
            <w:tcW w:w="90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512397" w:rsidRDefault="00512397" w:rsidP="00A14232">
            <w:pPr>
              <w:spacing w:line="240" w:lineRule="auto"/>
              <w:contextualSpacing/>
              <w:jc w:val="center"/>
              <w:rPr>
                <w:rFonts w:ascii="Calibri" w:hAnsi="Calibri" w:cs="Calibri"/>
                <w:b/>
                <w:bCs/>
                <w:color w:val="000000"/>
                <w:sz w:val="22"/>
                <w:szCs w:val="22"/>
              </w:rPr>
            </w:pPr>
            <w:r>
              <w:rPr>
                <w:rFonts w:ascii="Calibri" w:hAnsi="Calibri" w:cs="Calibri"/>
                <w:b/>
                <w:bCs/>
                <w:color w:val="000000"/>
                <w:sz w:val="22"/>
                <w:szCs w:val="22"/>
              </w:rPr>
              <w:t>25</w:t>
            </w:r>
          </w:p>
        </w:tc>
        <w:tc>
          <w:tcPr>
            <w:tcW w:w="1161"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512397" w:rsidRDefault="00512397" w:rsidP="00A14232">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243</w:t>
            </w:r>
          </w:p>
        </w:tc>
        <w:tc>
          <w:tcPr>
            <w:tcW w:w="1083"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512397" w:rsidRDefault="00512397" w:rsidP="00A14232">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9.33%</w:t>
            </w:r>
          </w:p>
        </w:tc>
        <w:tc>
          <w:tcPr>
            <w:tcW w:w="945"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512397" w:rsidRDefault="00512397" w:rsidP="00A14232">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90.67%</w:t>
            </w:r>
          </w:p>
        </w:tc>
      </w:tr>
    </w:tbl>
    <w:p w:rsidR="00617197" w:rsidRDefault="00617197" w:rsidP="00617197">
      <w:r>
        <w:t>The data shown in table 4 is presented</w:t>
      </w:r>
      <w:r w:rsidR="002934B0">
        <w:t xml:space="preserve"> graphically</w:t>
      </w:r>
      <w:r>
        <w:t xml:space="preserve"> in figure 4. This figure highlights that the rate of growth in the number of male fund managers in South Africa is much higher than the growth in the number of female fund man</w:t>
      </w:r>
      <w:r w:rsidR="0046753E">
        <w:t>a</w:t>
      </w:r>
      <w:r>
        <w:t xml:space="preserve">gers. </w:t>
      </w:r>
    </w:p>
    <w:p w:rsidR="00617197" w:rsidRDefault="00617197" w:rsidP="00617197"/>
    <w:p w:rsidR="00512397" w:rsidRDefault="00512397" w:rsidP="00512397">
      <w:pPr>
        <w:rPr>
          <w:lang w:val="en-ZA"/>
        </w:rPr>
      </w:pPr>
      <w:r>
        <w:rPr>
          <w:noProof/>
          <w:lang w:val="en-ZA" w:eastAsia="en-ZA"/>
        </w:rPr>
        <w:drawing>
          <wp:inline distT="0" distB="0" distL="0" distR="0" wp14:anchorId="64A233E3" wp14:editId="3DAD74BD">
            <wp:extent cx="5460642" cy="3065171"/>
            <wp:effectExtent l="38100" t="38100" r="45085" b="4000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C12A9F" w:rsidRDefault="00C12A9F" w:rsidP="00C12A9F">
      <w:pPr>
        <w:pStyle w:val="Caption"/>
        <w:keepNext/>
        <w:jc w:val="center"/>
      </w:pPr>
      <w:bookmarkStart w:id="222" w:name="_Toc458610888"/>
      <w:r>
        <w:t xml:space="preserve">Figure </w:t>
      </w:r>
      <w:r w:rsidR="00E52E42">
        <w:fldChar w:fldCharType="begin"/>
      </w:r>
      <w:r w:rsidR="00E52E42">
        <w:instrText xml:space="preserve"> SEQ Figure \* ARABIC </w:instrText>
      </w:r>
      <w:r w:rsidR="00E52E42">
        <w:fldChar w:fldCharType="separate"/>
      </w:r>
      <w:r w:rsidR="00C456D9">
        <w:rPr>
          <w:noProof/>
        </w:rPr>
        <w:t>4</w:t>
      </w:r>
      <w:r w:rsidR="00E52E42">
        <w:fldChar w:fldCharType="end"/>
      </w:r>
      <w:r>
        <w:t>: Growth in the number of fund managers in South Africa by gender</w:t>
      </w:r>
      <w:bookmarkEnd w:id="222"/>
    </w:p>
    <w:p w:rsidR="00512397" w:rsidRDefault="00512397" w:rsidP="00512397">
      <w:pPr>
        <w:rPr>
          <w:lang w:val="en-ZA"/>
        </w:rPr>
      </w:pPr>
    </w:p>
    <w:p w:rsidR="00617197" w:rsidRDefault="00512397" w:rsidP="00512397">
      <w:pPr>
        <w:rPr>
          <w:lang w:val="en-ZA"/>
        </w:rPr>
      </w:pPr>
      <w:r w:rsidRPr="008633D2">
        <w:rPr>
          <w:lang w:val="en-ZA"/>
        </w:rPr>
        <w:t>T</w:t>
      </w:r>
      <w:r>
        <w:rPr>
          <w:lang w:val="en-ZA"/>
        </w:rPr>
        <w:t>able 5</w:t>
      </w:r>
      <w:r w:rsidR="00617197">
        <w:rPr>
          <w:lang w:val="en-ZA"/>
        </w:rPr>
        <w:t xml:space="preserve"> shows the breakdown of the number of</w:t>
      </w:r>
      <w:r w:rsidRPr="008633D2">
        <w:rPr>
          <w:lang w:val="en-ZA"/>
        </w:rPr>
        <w:t xml:space="preserve"> funds managed in </w:t>
      </w:r>
      <w:r>
        <w:rPr>
          <w:lang w:val="en-ZA"/>
        </w:rPr>
        <w:t>SA</w:t>
      </w:r>
      <w:r w:rsidRPr="008633D2">
        <w:rPr>
          <w:lang w:val="en-ZA"/>
        </w:rPr>
        <w:t xml:space="preserve"> by the gender of the fund manager/s</w:t>
      </w:r>
      <w:r>
        <w:rPr>
          <w:lang w:val="en-ZA"/>
        </w:rPr>
        <w:t xml:space="preserve"> as at 30 June 2015</w:t>
      </w:r>
      <w:r w:rsidRPr="008633D2">
        <w:rPr>
          <w:lang w:val="en-ZA"/>
        </w:rPr>
        <w:t xml:space="preserve">. Individual managed funds are categorised as those managed by a single individual whereas more than one person manages multi-managed funds. </w:t>
      </w:r>
      <w:r>
        <w:rPr>
          <w:lang w:val="en-ZA"/>
        </w:rPr>
        <w:t>Funds for which the name of the fund manager has not been disclosed account for approximately 8.68% of all funds.</w:t>
      </w:r>
    </w:p>
    <w:p w:rsidR="00512397" w:rsidRPr="008633D2" w:rsidRDefault="00512397" w:rsidP="00512397">
      <w:pPr>
        <w:rPr>
          <w:rFonts w:ascii="Times New Roman" w:hAnsi="Times New Roman"/>
          <w:sz w:val="20"/>
          <w:szCs w:val="20"/>
          <w:lang w:val="en-ZA" w:eastAsia="en-ZA"/>
        </w:rPr>
      </w:pPr>
      <w:r w:rsidRPr="008633D2">
        <w:rPr>
          <w:lang w:val="en-ZA"/>
        </w:rPr>
        <w:fldChar w:fldCharType="begin"/>
      </w:r>
      <w:r w:rsidRPr="008633D2">
        <w:rPr>
          <w:lang w:val="en-ZA"/>
        </w:rPr>
        <w:instrText xml:space="preserve"> LINK </w:instrText>
      </w:r>
      <w:r w:rsidR="005F2182">
        <w:rPr>
          <w:lang w:val="en-ZA"/>
        </w:rPr>
        <w:instrText xml:space="preserve">Excel.Sheet.12 "C:\\Users\\archaryn\\Documents\\MBA\\Research\\Final Analysis\\Data_v1.xlsx" "Summary of results!R3C6:R10C10" </w:instrText>
      </w:r>
      <w:r w:rsidRPr="008633D2">
        <w:rPr>
          <w:lang w:val="en-ZA"/>
        </w:rPr>
        <w:instrText xml:space="preserve">\a \f 4 \h  \* MERGEFORMAT </w:instrText>
      </w:r>
      <w:r w:rsidRPr="008633D2">
        <w:rPr>
          <w:lang w:val="en-ZA"/>
        </w:rPr>
        <w:fldChar w:fldCharType="separate"/>
      </w:r>
    </w:p>
    <w:p w:rsidR="00E453F8" w:rsidRPr="008633D2" w:rsidRDefault="00512397" w:rsidP="00977840">
      <w:pPr>
        <w:rPr>
          <w:rFonts w:ascii="Times New Roman" w:hAnsi="Times New Roman"/>
          <w:sz w:val="20"/>
          <w:szCs w:val="20"/>
          <w:lang w:val="en-ZA" w:eastAsia="en-ZA"/>
        </w:rPr>
      </w:pPr>
      <w:r w:rsidRPr="008633D2">
        <w:rPr>
          <w:lang w:val="en-ZA"/>
        </w:rPr>
        <w:fldChar w:fldCharType="end"/>
      </w:r>
      <w:r w:rsidR="00655A3A" w:rsidRPr="008633D2">
        <w:rPr>
          <w:lang w:val="en-ZA"/>
        </w:rPr>
        <w:fldChar w:fldCharType="begin"/>
      </w:r>
      <w:r w:rsidR="00655A3A" w:rsidRPr="008633D2">
        <w:rPr>
          <w:lang w:val="en-ZA"/>
        </w:rPr>
        <w:instrText xml:space="preserve"> LINK </w:instrText>
      </w:r>
      <w:r w:rsidR="005F2182">
        <w:rPr>
          <w:lang w:val="en-ZA"/>
        </w:rPr>
        <w:instrText xml:space="preserve">Excel.Sheet.12 "C:\\Users\\archaryn\\Documents\\MBA\\Research\\Final Analysis\\Data_v1.xlsx" "Summary of results!R3C6:R10C8" </w:instrText>
      </w:r>
      <w:r w:rsidR="00655A3A" w:rsidRPr="008633D2">
        <w:rPr>
          <w:lang w:val="en-ZA"/>
        </w:rPr>
        <w:instrText xml:space="preserve">\a \f 4 \h </w:instrText>
      </w:r>
      <w:r w:rsidR="009C727C" w:rsidRPr="008633D2">
        <w:rPr>
          <w:lang w:val="en-ZA"/>
        </w:rPr>
        <w:instrText xml:space="preserve"> \* MERGEFORMAT </w:instrText>
      </w:r>
      <w:r w:rsidR="00655A3A" w:rsidRPr="008633D2">
        <w:rPr>
          <w:lang w:val="en-ZA"/>
        </w:rPr>
        <w:fldChar w:fldCharType="separate"/>
      </w:r>
    </w:p>
    <w:p w:rsidR="009C727C" w:rsidRPr="008633D2" w:rsidRDefault="00CC6274" w:rsidP="009C727C">
      <w:pPr>
        <w:pStyle w:val="Caption"/>
        <w:keepNext/>
        <w:jc w:val="center"/>
        <w:divId w:val="1770734316"/>
        <w:rPr>
          <w:lang w:val="en-ZA"/>
        </w:rPr>
      </w:pPr>
      <w:bookmarkStart w:id="223" w:name="_Toc458610850"/>
      <w:r w:rsidRPr="008633D2">
        <w:rPr>
          <w:lang w:val="en-ZA"/>
        </w:rPr>
        <w:t>Table</w:t>
      </w:r>
      <w:r>
        <w:rPr>
          <w:lang w:val="en-ZA"/>
        </w:rPr>
        <w:t xml:space="preserve"> </w:t>
      </w:r>
      <w:r w:rsidR="009C727C" w:rsidRPr="008633D2">
        <w:rPr>
          <w:lang w:val="en-ZA"/>
        </w:rPr>
        <w:fldChar w:fldCharType="begin"/>
      </w:r>
      <w:r w:rsidR="009C727C" w:rsidRPr="008633D2">
        <w:rPr>
          <w:lang w:val="en-ZA"/>
        </w:rPr>
        <w:instrText xml:space="preserve"> SEQ Table \* ARABIC </w:instrText>
      </w:r>
      <w:r w:rsidR="009C727C" w:rsidRPr="008633D2">
        <w:rPr>
          <w:lang w:val="en-ZA"/>
        </w:rPr>
        <w:fldChar w:fldCharType="separate"/>
      </w:r>
      <w:r w:rsidR="00C456D9">
        <w:rPr>
          <w:noProof/>
          <w:lang w:val="en-ZA"/>
        </w:rPr>
        <w:t>5</w:t>
      </w:r>
      <w:r w:rsidR="009C727C" w:rsidRPr="008633D2">
        <w:rPr>
          <w:lang w:val="en-ZA"/>
        </w:rPr>
        <w:fldChar w:fldCharType="end"/>
      </w:r>
      <w:r w:rsidR="009C727C" w:rsidRPr="008633D2">
        <w:rPr>
          <w:lang w:val="en-ZA"/>
        </w:rPr>
        <w:t xml:space="preserve">: </w:t>
      </w:r>
      <w:r w:rsidR="00B60390" w:rsidRPr="008633D2">
        <w:rPr>
          <w:lang w:val="en-ZA"/>
        </w:rPr>
        <w:t>The number of South African f</w:t>
      </w:r>
      <w:r w:rsidR="009C727C" w:rsidRPr="008633D2">
        <w:rPr>
          <w:lang w:val="en-ZA"/>
        </w:rPr>
        <w:t>unds by gender</w:t>
      </w:r>
      <w:bookmarkEnd w:id="223"/>
    </w:p>
    <w:tbl>
      <w:tblPr>
        <w:tblW w:w="5000" w:type="pct"/>
        <w:tblLook w:val="04A0" w:firstRow="1" w:lastRow="0" w:firstColumn="1" w:lastColumn="0" w:noHBand="0" w:noVBand="1"/>
      </w:tblPr>
      <w:tblGrid>
        <w:gridCol w:w="3771"/>
        <w:gridCol w:w="2624"/>
        <w:gridCol w:w="2559"/>
      </w:tblGrid>
      <w:tr w:rsidR="00E453F8" w:rsidRPr="008633D2" w:rsidTr="00E73996">
        <w:trPr>
          <w:divId w:val="1770734316"/>
          <w:trHeight w:val="300"/>
        </w:trPr>
        <w:tc>
          <w:tcPr>
            <w:tcW w:w="2106" w:type="pct"/>
            <w:tcBorders>
              <w:top w:val="single" w:sz="4" w:space="0" w:color="auto"/>
              <w:left w:val="single" w:sz="4" w:space="0" w:color="auto"/>
              <w:bottom w:val="single" w:sz="4" w:space="0" w:color="auto"/>
              <w:right w:val="single" w:sz="4" w:space="0" w:color="auto"/>
            </w:tcBorders>
            <w:shd w:val="clear" w:color="000000" w:fill="366092"/>
            <w:noWrap/>
            <w:vAlign w:val="center"/>
            <w:hideMark/>
          </w:tcPr>
          <w:p w:rsidR="00E453F8" w:rsidRPr="008633D2" w:rsidRDefault="00397FC2" w:rsidP="00E453F8">
            <w:pPr>
              <w:jc w:val="center"/>
              <w:rPr>
                <w:rFonts w:cs="Arial"/>
                <w:b/>
                <w:bCs/>
                <w:color w:val="FFFFFF"/>
                <w:sz w:val="22"/>
                <w:szCs w:val="22"/>
                <w:lang w:val="en-ZA" w:eastAsia="en-ZA"/>
              </w:rPr>
            </w:pPr>
            <w:r>
              <w:rPr>
                <w:rFonts w:cs="Arial"/>
                <w:b/>
                <w:bCs/>
                <w:color w:val="FFFFFF"/>
                <w:sz w:val="22"/>
                <w:szCs w:val="22"/>
                <w:lang w:val="en-ZA" w:eastAsia="en-ZA"/>
              </w:rPr>
              <w:t>Manager</w:t>
            </w:r>
          </w:p>
        </w:tc>
        <w:tc>
          <w:tcPr>
            <w:tcW w:w="1465" w:type="pct"/>
            <w:tcBorders>
              <w:top w:val="single" w:sz="4" w:space="0" w:color="auto"/>
              <w:left w:val="nil"/>
              <w:bottom w:val="single" w:sz="4" w:space="0" w:color="auto"/>
              <w:right w:val="single" w:sz="4" w:space="0" w:color="auto"/>
            </w:tcBorders>
            <w:shd w:val="clear" w:color="000000" w:fill="366092"/>
            <w:noWrap/>
            <w:vAlign w:val="center"/>
            <w:hideMark/>
          </w:tcPr>
          <w:p w:rsidR="00E453F8" w:rsidRPr="008633D2" w:rsidRDefault="00397FC2" w:rsidP="00E453F8">
            <w:pPr>
              <w:spacing w:before="0" w:after="0" w:line="240" w:lineRule="auto"/>
              <w:jc w:val="center"/>
              <w:rPr>
                <w:rFonts w:cs="Arial"/>
                <w:b/>
                <w:bCs/>
                <w:color w:val="FFFFFF"/>
                <w:sz w:val="22"/>
                <w:szCs w:val="22"/>
                <w:lang w:val="en-ZA" w:eastAsia="en-ZA"/>
              </w:rPr>
            </w:pPr>
            <w:r>
              <w:rPr>
                <w:rFonts w:cs="Arial"/>
                <w:b/>
                <w:bCs/>
                <w:color w:val="FFFFFF"/>
                <w:sz w:val="22"/>
                <w:szCs w:val="22"/>
                <w:lang w:val="en-ZA" w:eastAsia="en-ZA"/>
              </w:rPr>
              <w:t>Number of f</w:t>
            </w:r>
            <w:r w:rsidR="00E453F8" w:rsidRPr="008633D2">
              <w:rPr>
                <w:rFonts w:cs="Arial"/>
                <w:b/>
                <w:bCs/>
                <w:color w:val="FFFFFF"/>
                <w:sz w:val="22"/>
                <w:szCs w:val="22"/>
                <w:lang w:val="en-ZA" w:eastAsia="en-ZA"/>
              </w:rPr>
              <w:t>unds</w:t>
            </w:r>
          </w:p>
        </w:tc>
        <w:tc>
          <w:tcPr>
            <w:tcW w:w="1429" w:type="pct"/>
            <w:tcBorders>
              <w:top w:val="single" w:sz="4" w:space="0" w:color="auto"/>
              <w:left w:val="nil"/>
              <w:bottom w:val="single" w:sz="4" w:space="0" w:color="auto"/>
              <w:right w:val="single" w:sz="4" w:space="0" w:color="auto"/>
            </w:tcBorders>
            <w:shd w:val="clear" w:color="000000" w:fill="366092"/>
            <w:noWrap/>
            <w:vAlign w:val="center"/>
            <w:hideMark/>
          </w:tcPr>
          <w:p w:rsidR="00E453F8" w:rsidRPr="008633D2" w:rsidRDefault="00397FC2" w:rsidP="00E453F8">
            <w:pPr>
              <w:spacing w:before="0" w:after="0" w:line="240" w:lineRule="auto"/>
              <w:jc w:val="center"/>
              <w:rPr>
                <w:rFonts w:cs="Arial"/>
                <w:b/>
                <w:bCs/>
                <w:color w:val="FFFFFF"/>
                <w:sz w:val="22"/>
                <w:szCs w:val="22"/>
                <w:lang w:val="en-ZA" w:eastAsia="en-ZA"/>
              </w:rPr>
            </w:pPr>
            <w:r>
              <w:rPr>
                <w:rFonts w:cs="Arial"/>
                <w:b/>
                <w:bCs/>
                <w:color w:val="FFFFFF"/>
                <w:sz w:val="22"/>
                <w:szCs w:val="22"/>
                <w:lang w:val="en-ZA" w:eastAsia="en-ZA"/>
              </w:rPr>
              <w:t>% of total SA f</w:t>
            </w:r>
            <w:r w:rsidR="00E453F8" w:rsidRPr="008633D2">
              <w:rPr>
                <w:rFonts w:cs="Arial"/>
                <w:b/>
                <w:bCs/>
                <w:color w:val="FFFFFF"/>
                <w:sz w:val="22"/>
                <w:szCs w:val="22"/>
                <w:lang w:val="en-ZA" w:eastAsia="en-ZA"/>
              </w:rPr>
              <w:t>unds</w:t>
            </w:r>
          </w:p>
        </w:tc>
      </w:tr>
      <w:tr w:rsidR="00E453F8" w:rsidRPr="008633D2" w:rsidTr="00E73996">
        <w:trPr>
          <w:divId w:val="1770734316"/>
          <w:trHeight w:val="300"/>
        </w:trPr>
        <w:tc>
          <w:tcPr>
            <w:tcW w:w="2106" w:type="pct"/>
            <w:tcBorders>
              <w:top w:val="nil"/>
              <w:left w:val="single" w:sz="4" w:space="0" w:color="auto"/>
              <w:bottom w:val="single" w:sz="4" w:space="0" w:color="auto"/>
              <w:right w:val="single" w:sz="4" w:space="0" w:color="auto"/>
            </w:tcBorders>
            <w:shd w:val="clear" w:color="auto" w:fill="auto"/>
            <w:noWrap/>
            <w:vAlign w:val="center"/>
            <w:hideMark/>
          </w:tcPr>
          <w:p w:rsidR="00E453F8" w:rsidRPr="008633D2" w:rsidRDefault="00E453F8" w:rsidP="00E453F8">
            <w:pPr>
              <w:spacing w:before="0" w:after="0" w:line="240" w:lineRule="auto"/>
              <w:jc w:val="left"/>
              <w:rPr>
                <w:rFonts w:cs="Arial"/>
                <w:color w:val="000000"/>
                <w:sz w:val="22"/>
                <w:szCs w:val="22"/>
                <w:lang w:val="en-ZA" w:eastAsia="en-ZA"/>
              </w:rPr>
            </w:pPr>
            <w:r w:rsidRPr="008633D2">
              <w:rPr>
                <w:rFonts w:cs="Arial"/>
                <w:color w:val="000000"/>
                <w:sz w:val="22"/>
                <w:szCs w:val="22"/>
                <w:lang w:val="en-ZA" w:eastAsia="en-ZA"/>
              </w:rPr>
              <w:t>Individual Female</w:t>
            </w:r>
          </w:p>
        </w:tc>
        <w:tc>
          <w:tcPr>
            <w:tcW w:w="1465" w:type="pct"/>
            <w:tcBorders>
              <w:top w:val="nil"/>
              <w:left w:val="nil"/>
              <w:bottom w:val="single" w:sz="4" w:space="0" w:color="auto"/>
              <w:right w:val="single" w:sz="4" w:space="0" w:color="auto"/>
            </w:tcBorders>
            <w:shd w:val="clear" w:color="auto" w:fill="auto"/>
            <w:noWrap/>
            <w:vAlign w:val="center"/>
            <w:hideMark/>
          </w:tcPr>
          <w:p w:rsidR="00E453F8" w:rsidRPr="008633D2" w:rsidRDefault="00E453F8" w:rsidP="00E453F8">
            <w:pPr>
              <w:spacing w:before="0" w:after="0" w:line="240" w:lineRule="auto"/>
              <w:jc w:val="right"/>
              <w:rPr>
                <w:rFonts w:cs="Arial"/>
                <w:color w:val="000000"/>
                <w:sz w:val="22"/>
                <w:szCs w:val="22"/>
                <w:lang w:val="en-ZA" w:eastAsia="en-ZA"/>
              </w:rPr>
            </w:pPr>
            <w:r w:rsidRPr="008633D2">
              <w:rPr>
                <w:rFonts w:cs="Arial"/>
                <w:color w:val="000000"/>
                <w:sz w:val="22"/>
                <w:szCs w:val="22"/>
                <w:lang w:val="en-ZA" w:eastAsia="en-ZA"/>
              </w:rPr>
              <w:t>64</w:t>
            </w:r>
          </w:p>
        </w:tc>
        <w:tc>
          <w:tcPr>
            <w:tcW w:w="1429" w:type="pct"/>
            <w:tcBorders>
              <w:top w:val="nil"/>
              <w:left w:val="nil"/>
              <w:bottom w:val="single" w:sz="4" w:space="0" w:color="auto"/>
              <w:right w:val="single" w:sz="4" w:space="0" w:color="auto"/>
            </w:tcBorders>
            <w:shd w:val="clear" w:color="auto" w:fill="auto"/>
            <w:noWrap/>
            <w:vAlign w:val="center"/>
            <w:hideMark/>
          </w:tcPr>
          <w:p w:rsidR="00E453F8" w:rsidRPr="008633D2" w:rsidRDefault="00E453F8" w:rsidP="00E453F8">
            <w:pPr>
              <w:spacing w:before="0" w:after="0" w:line="240" w:lineRule="auto"/>
              <w:jc w:val="right"/>
              <w:rPr>
                <w:rFonts w:cs="Arial"/>
                <w:color w:val="000000"/>
                <w:sz w:val="22"/>
                <w:szCs w:val="22"/>
                <w:lang w:val="en-ZA" w:eastAsia="en-ZA"/>
              </w:rPr>
            </w:pPr>
            <w:r w:rsidRPr="008633D2">
              <w:rPr>
                <w:rFonts w:cs="Arial"/>
                <w:color w:val="000000"/>
                <w:sz w:val="22"/>
                <w:szCs w:val="22"/>
                <w:lang w:val="en-ZA" w:eastAsia="en-ZA"/>
              </w:rPr>
              <w:t>5.98%</w:t>
            </w:r>
          </w:p>
        </w:tc>
      </w:tr>
      <w:tr w:rsidR="00E453F8" w:rsidRPr="008633D2" w:rsidTr="00E73996">
        <w:trPr>
          <w:divId w:val="1770734316"/>
          <w:trHeight w:val="300"/>
        </w:trPr>
        <w:tc>
          <w:tcPr>
            <w:tcW w:w="2106" w:type="pct"/>
            <w:tcBorders>
              <w:top w:val="nil"/>
              <w:left w:val="single" w:sz="4" w:space="0" w:color="auto"/>
              <w:bottom w:val="single" w:sz="4" w:space="0" w:color="auto"/>
              <w:right w:val="single" w:sz="4" w:space="0" w:color="auto"/>
            </w:tcBorders>
            <w:shd w:val="clear" w:color="auto" w:fill="auto"/>
            <w:noWrap/>
            <w:vAlign w:val="center"/>
            <w:hideMark/>
          </w:tcPr>
          <w:p w:rsidR="00E453F8" w:rsidRPr="008633D2" w:rsidRDefault="00E453F8" w:rsidP="00E453F8">
            <w:pPr>
              <w:spacing w:before="0" w:after="0" w:line="240" w:lineRule="auto"/>
              <w:jc w:val="left"/>
              <w:rPr>
                <w:rFonts w:cs="Arial"/>
                <w:color w:val="000000"/>
                <w:sz w:val="22"/>
                <w:szCs w:val="22"/>
                <w:lang w:val="en-ZA" w:eastAsia="en-ZA"/>
              </w:rPr>
            </w:pPr>
            <w:r w:rsidRPr="008633D2">
              <w:rPr>
                <w:rFonts w:cs="Arial"/>
                <w:color w:val="000000"/>
                <w:sz w:val="22"/>
                <w:szCs w:val="22"/>
                <w:lang w:val="en-ZA" w:eastAsia="en-ZA"/>
              </w:rPr>
              <w:t>Individual Male</w:t>
            </w:r>
          </w:p>
        </w:tc>
        <w:tc>
          <w:tcPr>
            <w:tcW w:w="1465" w:type="pct"/>
            <w:tcBorders>
              <w:top w:val="nil"/>
              <w:left w:val="nil"/>
              <w:bottom w:val="single" w:sz="4" w:space="0" w:color="auto"/>
              <w:right w:val="single" w:sz="4" w:space="0" w:color="auto"/>
            </w:tcBorders>
            <w:shd w:val="clear" w:color="auto" w:fill="auto"/>
            <w:noWrap/>
            <w:vAlign w:val="center"/>
            <w:hideMark/>
          </w:tcPr>
          <w:p w:rsidR="00E453F8" w:rsidRPr="008633D2" w:rsidRDefault="00E453F8" w:rsidP="00E453F8">
            <w:pPr>
              <w:spacing w:before="0" w:after="0" w:line="240" w:lineRule="auto"/>
              <w:jc w:val="right"/>
              <w:rPr>
                <w:rFonts w:cs="Arial"/>
                <w:color w:val="000000"/>
                <w:sz w:val="22"/>
                <w:szCs w:val="22"/>
                <w:lang w:val="en-ZA" w:eastAsia="en-ZA"/>
              </w:rPr>
            </w:pPr>
            <w:r w:rsidRPr="008633D2">
              <w:rPr>
                <w:rFonts w:cs="Arial"/>
                <w:color w:val="000000"/>
                <w:sz w:val="22"/>
                <w:szCs w:val="22"/>
                <w:lang w:val="en-ZA" w:eastAsia="en-ZA"/>
              </w:rPr>
              <w:t>657</w:t>
            </w:r>
          </w:p>
        </w:tc>
        <w:tc>
          <w:tcPr>
            <w:tcW w:w="1429" w:type="pct"/>
            <w:tcBorders>
              <w:top w:val="nil"/>
              <w:left w:val="nil"/>
              <w:bottom w:val="single" w:sz="4" w:space="0" w:color="auto"/>
              <w:right w:val="single" w:sz="4" w:space="0" w:color="auto"/>
            </w:tcBorders>
            <w:shd w:val="clear" w:color="auto" w:fill="auto"/>
            <w:noWrap/>
            <w:vAlign w:val="center"/>
            <w:hideMark/>
          </w:tcPr>
          <w:p w:rsidR="00E453F8" w:rsidRPr="008633D2" w:rsidRDefault="00E453F8" w:rsidP="00E453F8">
            <w:pPr>
              <w:spacing w:before="0" w:after="0" w:line="240" w:lineRule="auto"/>
              <w:jc w:val="right"/>
              <w:rPr>
                <w:rFonts w:cs="Arial"/>
                <w:color w:val="000000"/>
                <w:sz w:val="22"/>
                <w:szCs w:val="22"/>
                <w:lang w:val="en-ZA" w:eastAsia="en-ZA"/>
              </w:rPr>
            </w:pPr>
            <w:r w:rsidRPr="008633D2">
              <w:rPr>
                <w:rFonts w:cs="Arial"/>
                <w:color w:val="000000"/>
                <w:sz w:val="22"/>
                <w:szCs w:val="22"/>
                <w:lang w:val="en-ZA" w:eastAsia="en-ZA"/>
              </w:rPr>
              <w:t>61.34%</w:t>
            </w:r>
          </w:p>
        </w:tc>
      </w:tr>
      <w:tr w:rsidR="00E453F8" w:rsidRPr="008633D2" w:rsidTr="00E73996">
        <w:trPr>
          <w:divId w:val="1770734316"/>
          <w:trHeight w:val="300"/>
        </w:trPr>
        <w:tc>
          <w:tcPr>
            <w:tcW w:w="2106" w:type="pct"/>
            <w:tcBorders>
              <w:top w:val="nil"/>
              <w:left w:val="single" w:sz="4" w:space="0" w:color="auto"/>
              <w:bottom w:val="single" w:sz="4" w:space="0" w:color="auto"/>
              <w:right w:val="single" w:sz="4" w:space="0" w:color="auto"/>
            </w:tcBorders>
            <w:shd w:val="clear" w:color="auto" w:fill="auto"/>
            <w:noWrap/>
            <w:vAlign w:val="center"/>
            <w:hideMark/>
          </w:tcPr>
          <w:p w:rsidR="00E453F8" w:rsidRPr="008633D2" w:rsidRDefault="00E453F8" w:rsidP="00E453F8">
            <w:pPr>
              <w:spacing w:before="0" w:after="0" w:line="240" w:lineRule="auto"/>
              <w:jc w:val="left"/>
              <w:rPr>
                <w:rFonts w:cs="Arial"/>
                <w:color w:val="000000"/>
                <w:sz w:val="22"/>
                <w:szCs w:val="22"/>
                <w:lang w:val="en-ZA" w:eastAsia="en-ZA"/>
              </w:rPr>
            </w:pPr>
            <w:r w:rsidRPr="008633D2">
              <w:rPr>
                <w:rFonts w:cs="Arial"/>
                <w:color w:val="000000"/>
                <w:sz w:val="22"/>
                <w:szCs w:val="22"/>
                <w:lang w:val="en-ZA" w:eastAsia="en-ZA"/>
              </w:rPr>
              <w:t>Multi-Managed Female only</w:t>
            </w:r>
          </w:p>
        </w:tc>
        <w:tc>
          <w:tcPr>
            <w:tcW w:w="1465" w:type="pct"/>
            <w:tcBorders>
              <w:top w:val="nil"/>
              <w:left w:val="nil"/>
              <w:bottom w:val="single" w:sz="4" w:space="0" w:color="auto"/>
              <w:right w:val="single" w:sz="4" w:space="0" w:color="auto"/>
            </w:tcBorders>
            <w:shd w:val="clear" w:color="auto" w:fill="auto"/>
            <w:noWrap/>
            <w:vAlign w:val="center"/>
            <w:hideMark/>
          </w:tcPr>
          <w:p w:rsidR="00E453F8" w:rsidRPr="008633D2" w:rsidRDefault="00E453F8" w:rsidP="00E453F8">
            <w:pPr>
              <w:spacing w:before="0" w:after="0" w:line="240" w:lineRule="auto"/>
              <w:jc w:val="right"/>
              <w:rPr>
                <w:rFonts w:cs="Arial"/>
                <w:color w:val="000000"/>
                <w:sz w:val="22"/>
                <w:szCs w:val="22"/>
                <w:lang w:val="en-ZA" w:eastAsia="en-ZA"/>
              </w:rPr>
            </w:pPr>
            <w:r w:rsidRPr="008633D2">
              <w:rPr>
                <w:rFonts w:cs="Arial"/>
                <w:color w:val="000000"/>
                <w:sz w:val="22"/>
                <w:szCs w:val="22"/>
                <w:lang w:val="en-ZA" w:eastAsia="en-ZA"/>
              </w:rPr>
              <w:t>7</w:t>
            </w:r>
          </w:p>
        </w:tc>
        <w:tc>
          <w:tcPr>
            <w:tcW w:w="1429" w:type="pct"/>
            <w:tcBorders>
              <w:top w:val="nil"/>
              <w:left w:val="nil"/>
              <w:bottom w:val="single" w:sz="4" w:space="0" w:color="auto"/>
              <w:right w:val="single" w:sz="4" w:space="0" w:color="auto"/>
            </w:tcBorders>
            <w:shd w:val="clear" w:color="auto" w:fill="auto"/>
            <w:noWrap/>
            <w:vAlign w:val="center"/>
            <w:hideMark/>
          </w:tcPr>
          <w:p w:rsidR="00E453F8" w:rsidRPr="008633D2" w:rsidRDefault="00E453F8" w:rsidP="00E453F8">
            <w:pPr>
              <w:spacing w:before="0" w:after="0" w:line="240" w:lineRule="auto"/>
              <w:jc w:val="right"/>
              <w:rPr>
                <w:rFonts w:cs="Arial"/>
                <w:color w:val="000000"/>
                <w:sz w:val="22"/>
                <w:szCs w:val="22"/>
                <w:lang w:val="en-ZA" w:eastAsia="en-ZA"/>
              </w:rPr>
            </w:pPr>
            <w:r w:rsidRPr="008633D2">
              <w:rPr>
                <w:rFonts w:cs="Arial"/>
                <w:color w:val="000000"/>
                <w:sz w:val="22"/>
                <w:szCs w:val="22"/>
                <w:lang w:val="en-ZA" w:eastAsia="en-ZA"/>
              </w:rPr>
              <w:t>0.65%</w:t>
            </w:r>
          </w:p>
        </w:tc>
      </w:tr>
      <w:tr w:rsidR="00E453F8" w:rsidRPr="008633D2" w:rsidTr="00E73996">
        <w:trPr>
          <w:divId w:val="1770734316"/>
          <w:trHeight w:val="300"/>
        </w:trPr>
        <w:tc>
          <w:tcPr>
            <w:tcW w:w="2106" w:type="pct"/>
            <w:tcBorders>
              <w:top w:val="nil"/>
              <w:left w:val="single" w:sz="4" w:space="0" w:color="auto"/>
              <w:bottom w:val="single" w:sz="4" w:space="0" w:color="auto"/>
              <w:right w:val="single" w:sz="4" w:space="0" w:color="auto"/>
            </w:tcBorders>
            <w:shd w:val="clear" w:color="auto" w:fill="auto"/>
            <w:noWrap/>
            <w:vAlign w:val="center"/>
            <w:hideMark/>
          </w:tcPr>
          <w:p w:rsidR="00E453F8" w:rsidRPr="008633D2" w:rsidRDefault="00E453F8" w:rsidP="00E453F8">
            <w:pPr>
              <w:spacing w:before="0" w:after="0" w:line="240" w:lineRule="auto"/>
              <w:jc w:val="left"/>
              <w:rPr>
                <w:rFonts w:cs="Arial"/>
                <w:color w:val="000000"/>
                <w:sz w:val="22"/>
                <w:szCs w:val="22"/>
                <w:lang w:val="en-ZA" w:eastAsia="en-ZA"/>
              </w:rPr>
            </w:pPr>
            <w:r w:rsidRPr="008633D2">
              <w:rPr>
                <w:rFonts w:cs="Arial"/>
                <w:color w:val="000000"/>
                <w:sz w:val="22"/>
                <w:szCs w:val="22"/>
                <w:lang w:val="en-ZA" w:eastAsia="en-ZA"/>
              </w:rPr>
              <w:t>Multi-Managed Male only</w:t>
            </w:r>
          </w:p>
        </w:tc>
        <w:tc>
          <w:tcPr>
            <w:tcW w:w="1465" w:type="pct"/>
            <w:tcBorders>
              <w:top w:val="nil"/>
              <w:left w:val="nil"/>
              <w:bottom w:val="single" w:sz="4" w:space="0" w:color="auto"/>
              <w:right w:val="single" w:sz="4" w:space="0" w:color="auto"/>
            </w:tcBorders>
            <w:shd w:val="clear" w:color="auto" w:fill="auto"/>
            <w:noWrap/>
            <w:vAlign w:val="center"/>
            <w:hideMark/>
          </w:tcPr>
          <w:p w:rsidR="00E453F8" w:rsidRPr="008633D2" w:rsidRDefault="00E453F8" w:rsidP="00E453F8">
            <w:pPr>
              <w:spacing w:before="0" w:after="0" w:line="240" w:lineRule="auto"/>
              <w:jc w:val="right"/>
              <w:rPr>
                <w:rFonts w:cs="Arial"/>
                <w:color w:val="000000"/>
                <w:sz w:val="22"/>
                <w:szCs w:val="22"/>
                <w:lang w:val="en-ZA" w:eastAsia="en-ZA"/>
              </w:rPr>
            </w:pPr>
            <w:r w:rsidRPr="008633D2">
              <w:rPr>
                <w:rFonts w:cs="Arial"/>
                <w:color w:val="000000"/>
                <w:sz w:val="22"/>
                <w:szCs w:val="22"/>
                <w:lang w:val="en-ZA" w:eastAsia="en-ZA"/>
              </w:rPr>
              <w:t>214</w:t>
            </w:r>
          </w:p>
        </w:tc>
        <w:tc>
          <w:tcPr>
            <w:tcW w:w="1429" w:type="pct"/>
            <w:tcBorders>
              <w:top w:val="nil"/>
              <w:left w:val="nil"/>
              <w:bottom w:val="single" w:sz="4" w:space="0" w:color="auto"/>
              <w:right w:val="single" w:sz="4" w:space="0" w:color="auto"/>
            </w:tcBorders>
            <w:shd w:val="clear" w:color="auto" w:fill="auto"/>
            <w:noWrap/>
            <w:vAlign w:val="center"/>
            <w:hideMark/>
          </w:tcPr>
          <w:p w:rsidR="00E453F8" w:rsidRPr="008633D2" w:rsidRDefault="00E453F8" w:rsidP="00E453F8">
            <w:pPr>
              <w:spacing w:before="0" w:after="0" w:line="240" w:lineRule="auto"/>
              <w:jc w:val="right"/>
              <w:rPr>
                <w:rFonts w:cs="Arial"/>
                <w:color w:val="000000"/>
                <w:sz w:val="22"/>
                <w:szCs w:val="22"/>
                <w:lang w:val="en-ZA" w:eastAsia="en-ZA"/>
              </w:rPr>
            </w:pPr>
            <w:r w:rsidRPr="008633D2">
              <w:rPr>
                <w:rFonts w:cs="Arial"/>
                <w:color w:val="000000"/>
                <w:sz w:val="22"/>
                <w:szCs w:val="22"/>
                <w:lang w:val="en-ZA" w:eastAsia="en-ZA"/>
              </w:rPr>
              <w:t>19.98%</w:t>
            </w:r>
          </w:p>
        </w:tc>
      </w:tr>
      <w:tr w:rsidR="00E453F8" w:rsidRPr="008633D2" w:rsidTr="00E73996">
        <w:trPr>
          <w:divId w:val="1770734316"/>
          <w:trHeight w:val="300"/>
        </w:trPr>
        <w:tc>
          <w:tcPr>
            <w:tcW w:w="2106" w:type="pct"/>
            <w:tcBorders>
              <w:top w:val="nil"/>
              <w:left w:val="single" w:sz="4" w:space="0" w:color="auto"/>
              <w:bottom w:val="single" w:sz="4" w:space="0" w:color="auto"/>
              <w:right w:val="single" w:sz="4" w:space="0" w:color="auto"/>
            </w:tcBorders>
            <w:shd w:val="clear" w:color="auto" w:fill="auto"/>
            <w:noWrap/>
            <w:vAlign w:val="center"/>
            <w:hideMark/>
          </w:tcPr>
          <w:p w:rsidR="00E453F8" w:rsidRPr="008633D2" w:rsidRDefault="00E453F8" w:rsidP="00E453F8">
            <w:pPr>
              <w:spacing w:before="0" w:after="0" w:line="240" w:lineRule="auto"/>
              <w:jc w:val="left"/>
              <w:rPr>
                <w:rFonts w:cs="Arial"/>
                <w:color w:val="000000"/>
                <w:sz w:val="22"/>
                <w:szCs w:val="22"/>
                <w:lang w:val="en-ZA" w:eastAsia="en-ZA"/>
              </w:rPr>
            </w:pPr>
            <w:r w:rsidRPr="008633D2">
              <w:rPr>
                <w:rFonts w:cs="Arial"/>
                <w:color w:val="000000"/>
                <w:sz w:val="22"/>
                <w:szCs w:val="22"/>
                <w:lang w:val="en-ZA" w:eastAsia="en-ZA"/>
              </w:rPr>
              <w:t>Multi-Managed Mixed</w:t>
            </w:r>
          </w:p>
        </w:tc>
        <w:tc>
          <w:tcPr>
            <w:tcW w:w="1465" w:type="pct"/>
            <w:tcBorders>
              <w:top w:val="nil"/>
              <w:left w:val="nil"/>
              <w:bottom w:val="single" w:sz="4" w:space="0" w:color="auto"/>
              <w:right w:val="single" w:sz="4" w:space="0" w:color="auto"/>
            </w:tcBorders>
            <w:shd w:val="clear" w:color="auto" w:fill="auto"/>
            <w:noWrap/>
            <w:vAlign w:val="center"/>
            <w:hideMark/>
          </w:tcPr>
          <w:p w:rsidR="00E453F8" w:rsidRPr="008633D2" w:rsidRDefault="00E453F8" w:rsidP="00E453F8">
            <w:pPr>
              <w:spacing w:before="0" w:after="0" w:line="240" w:lineRule="auto"/>
              <w:jc w:val="right"/>
              <w:rPr>
                <w:rFonts w:cs="Arial"/>
                <w:color w:val="000000"/>
                <w:sz w:val="22"/>
                <w:szCs w:val="22"/>
                <w:lang w:val="en-ZA" w:eastAsia="en-ZA"/>
              </w:rPr>
            </w:pPr>
            <w:r w:rsidRPr="008633D2">
              <w:rPr>
                <w:rFonts w:cs="Arial"/>
                <w:color w:val="000000"/>
                <w:sz w:val="22"/>
                <w:szCs w:val="22"/>
                <w:lang w:val="en-ZA" w:eastAsia="en-ZA"/>
              </w:rPr>
              <w:t>36</w:t>
            </w:r>
          </w:p>
        </w:tc>
        <w:tc>
          <w:tcPr>
            <w:tcW w:w="1429" w:type="pct"/>
            <w:tcBorders>
              <w:top w:val="nil"/>
              <w:left w:val="nil"/>
              <w:bottom w:val="single" w:sz="4" w:space="0" w:color="auto"/>
              <w:right w:val="single" w:sz="4" w:space="0" w:color="auto"/>
            </w:tcBorders>
            <w:shd w:val="clear" w:color="auto" w:fill="auto"/>
            <w:noWrap/>
            <w:vAlign w:val="center"/>
            <w:hideMark/>
          </w:tcPr>
          <w:p w:rsidR="00E453F8" w:rsidRPr="008633D2" w:rsidRDefault="00E453F8" w:rsidP="00E453F8">
            <w:pPr>
              <w:spacing w:before="0" w:after="0" w:line="240" w:lineRule="auto"/>
              <w:jc w:val="right"/>
              <w:rPr>
                <w:rFonts w:cs="Arial"/>
                <w:color w:val="000000"/>
                <w:sz w:val="22"/>
                <w:szCs w:val="22"/>
                <w:lang w:val="en-ZA" w:eastAsia="en-ZA"/>
              </w:rPr>
            </w:pPr>
            <w:r w:rsidRPr="008633D2">
              <w:rPr>
                <w:rFonts w:cs="Arial"/>
                <w:color w:val="000000"/>
                <w:sz w:val="22"/>
                <w:szCs w:val="22"/>
                <w:lang w:val="en-ZA" w:eastAsia="en-ZA"/>
              </w:rPr>
              <w:t>3.36%</w:t>
            </w:r>
          </w:p>
        </w:tc>
      </w:tr>
      <w:tr w:rsidR="00E453F8" w:rsidRPr="008633D2" w:rsidTr="00E73996">
        <w:trPr>
          <w:divId w:val="1770734316"/>
          <w:trHeight w:val="300"/>
        </w:trPr>
        <w:tc>
          <w:tcPr>
            <w:tcW w:w="2106" w:type="pct"/>
            <w:tcBorders>
              <w:top w:val="nil"/>
              <w:left w:val="single" w:sz="4" w:space="0" w:color="auto"/>
              <w:bottom w:val="single" w:sz="4" w:space="0" w:color="auto"/>
              <w:right w:val="single" w:sz="4" w:space="0" w:color="auto"/>
            </w:tcBorders>
            <w:shd w:val="clear" w:color="auto" w:fill="auto"/>
            <w:noWrap/>
            <w:vAlign w:val="center"/>
            <w:hideMark/>
          </w:tcPr>
          <w:p w:rsidR="00E453F8" w:rsidRPr="008633D2" w:rsidRDefault="00E453F8" w:rsidP="00E453F8">
            <w:pPr>
              <w:spacing w:before="0" w:after="0" w:line="240" w:lineRule="auto"/>
              <w:jc w:val="left"/>
              <w:rPr>
                <w:rFonts w:cs="Arial"/>
                <w:color w:val="000000"/>
                <w:sz w:val="22"/>
                <w:szCs w:val="22"/>
                <w:lang w:val="en-ZA" w:eastAsia="en-ZA"/>
              </w:rPr>
            </w:pPr>
            <w:r w:rsidRPr="008633D2">
              <w:rPr>
                <w:rFonts w:cs="Arial"/>
                <w:color w:val="000000"/>
                <w:sz w:val="22"/>
                <w:szCs w:val="22"/>
                <w:lang w:val="en-ZA" w:eastAsia="en-ZA"/>
              </w:rPr>
              <w:t>Not Disclosed</w:t>
            </w:r>
          </w:p>
        </w:tc>
        <w:tc>
          <w:tcPr>
            <w:tcW w:w="1465" w:type="pct"/>
            <w:tcBorders>
              <w:top w:val="nil"/>
              <w:left w:val="nil"/>
              <w:bottom w:val="single" w:sz="4" w:space="0" w:color="auto"/>
              <w:right w:val="single" w:sz="4" w:space="0" w:color="auto"/>
            </w:tcBorders>
            <w:shd w:val="clear" w:color="auto" w:fill="auto"/>
            <w:noWrap/>
            <w:vAlign w:val="center"/>
            <w:hideMark/>
          </w:tcPr>
          <w:p w:rsidR="00E453F8" w:rsidRPr="008633D2" w:rsidRDefault="00E453F8" w:rsidP="00E453F8">
            <w:pPr>
              <w:spacing w:before="0" w:after="0" w:line="240" w:lineRule="auto"/>
              <w:jc w:val="right"/>
              <w:rPr>
                <w:rFonts w:cs="Arial"/>
                <w:color w:val="000000"/>
                <w:sz w:val="22"/>
                <w:szCs w:val="22"/>
                <w:lang w:val="en-ZA" w:eastAsia="en-ZA"/>
              </w:rPr>
            </w:pPr>
            <w:r w:rsidRPr="008633D2">
              <w:rPr>
                <w:rFonts w:cs="Arial"/>
                <w:color w:val="000000"/>
                <w:sz w:val="22"/>
                <w:szCs w:val="22"/>
                <w:lang w:val="en-ZA" w:eastAsia="en-ZA"/>
              </w:rPr>
              <w:t>93</w:t>
            </w:r>
          </w:p>
        </w:tc>
        <w:tc>
          <w:tcPr>
            <w:tcW w:w="1429" w:type="pct"/>
            <w:tcBorders>
              <w:top w:val="nil"/>
              <w:left w:val="nil"/>
              <w:bottom w:val="single" w:sz="4" w:space="0" w:color="auto"/>
              <w:right w:val="single" w:sz="4" w:space="0" w:color="auto"/>
            </w:tcBorders>
            <w:shd w:val="clear" w:color="auto" w:fill="auto"/>
            <w:noWrap/>
            <w:vAlign w:val="center"/>
            <w:hideMark/>
          </w:tcPr>
          <w:p w:rsidR="00E453F8" w:rsidRPr="008633D2" w:rsidRDefault="00E453F8" w:rsidP="00E453F8">
            <w:pPr>
              <w:spacing w:before="0" w:after="0" w:line="240" w:lineRule="auto"/>
              <w:jc w:val="right"/>
              <w:rPr>
                <w:rFonts w:cs="Arial"/>
                <w:color w:val="000000"/>
                <w:sz w:val="22"/>
                <w:szCs w:val="22"/>
                <w:lang w:val="en-ZA" w:eastAsia="en-ZA"/>
              </w:rPr>
            </w:pPr>
            <w:r w:rsidRPr="008633D2">
              <w:rPr>
                <w:rFonts w:cs="Arial"/>
                <w:color w:val="000000"/>
                <w:sz w:val="22"/>
                <w:szCs w:val="22"/>
                <w:lang w:val="en-ZA" w:eastAsia="en-ZA"/>
              </w:rPr>
              <w:t>8.68%</w:t>
            </w:r>
          </w:p>
        </w:tc>
      </w:tr>
      <w:tr w:rsidR="00E453F8" w:rsidRPr="008633D2" w:rsidTr="00E73996">
        <w:trPr>
          <w:divId w:val="1770734316"/>
          <w:trHeight w:val="300"/>
        </w:trPr>
        <w:tc>
          <w:tcPr>
            <w:tcW w:w="2106" w:type="pct"/>
            <w:tcBorders>
              <w:top w:val="nil"/>
              <w:left w:val="single" w:sz="4" w:space="0" w:color="auto"/>
              <w:bottom w:val="single" w:sz="4" w:space="0" w:color="auto"/>
              <w:right w:val="single" w:sz="4" w:space="0" w:color="auto"/>
            </w:tcBorders>
            <w:shd w:val="clear" w:color="000000" w:fill="95B3D7"/>
            <w:noWrap/>
            <w:vAlign w:val="center"/>
            <w:hideMark/>
          </w:tcPr>
          <w:p w:rsidR="00E453F8" w:rsidRPr="008633D2" w:rsidRDefault="00E453F8" w:rsidP="00E453F8">
            <w:pPr>
              <w:spacing w:before="0" w:after="0" w:line="240" w:lineRule="auto"/>
              <w:jc w:val="left"/>
              <w:rPr>
                <w:rFonts w:cs="Arial"/>
                <w:b/>
                <w:bCs/>
                <w:i/>
                <w:iCs/>
                <w:color w:val="000000"/>
                <w:sz w:val="22"/>
                <w:szCs w:val="22"/>
                <w:lang w:val="en-ZA" w:eastAsia="en-ZA"/>
              </w:rPr>
            </w:pPr>
            <w:r w:rsidRPr="008633D2">
              <w:rPr>
                <w:rFonts w:cs="Arial"/>
                <w:b/>
                <w:bCs/>
                <w:i/>
                <w:iCs/>
                <w:color w:val="000000"/>
                <w:sz w:val="22"/>
                <w:szCs w:val="22"/>
                <w:lang w:val="en-ZA" w:eastAsia="en-ZA"/>
              </w:rPr>
              <w:t>Total</w:t>
            </w:r>
          </w:p>
        </w:tc>
        <w:tc>
          <w:tcPr>
            <w:tcW w:w="1465" w:type="pct"/>
            <w:tcBorders>
              <w:top w:val="nil"/>
              <w:left w:val="nil"/>
              <w:bottom w:val="single" w:sz="4" w:space="0" w:color="auto"/>
              <w:right w:val="single" w:sz="4" w:space="0" w:color="auto"/>
            </w:tcBorders>
            <w:shd w:val="clear" w:color="000000" w:fill="95B3D7"/>
            <w:noWrap/>
            <w:vAlign w:val="center"/>
            <w:hideMark/>
          </w:tcPr>
          <w:p w:rsidR="00E453F8" w:rsidRPr="008633D2" w:rsidRDefault="00E453F8" w:rsidP="00E453F8">
            <w:pPr>
              <w:spacing w:before="0" w:after="0" w:line="240" w:lineRule="auto"/>
              <w:jc w:val="right"/>
              <w:rPr>
                <w:rFonts w:cs="Arial"/>
                <w:b/>
                <w:bCs/>
                <w:color w:val="000000"/>
                <w:sz w:val="22"/>
                <w:szCs w:val="22"/>
                <w:lang w:val="en-ZA" w:eastAsia="en-ZA"/>
              </w:rPr>
            </w:pPr>
            <w:r w:rsidRPr="008633D2">
              <w:rPr>
                <w:rFonts w:cs="Arial"/>
                <w:b/>
                <w:bCs/>
                <w:color w:val="000000"/>
                <w:sz w:val="22"/>
                <w:szCs w:val="22"/>
                <w:lang w:val="en-ZA" w:eastAsia="en-ZA"/>
              </w:rPr>
              <w:t>1071</w:t>
            </w:r>
          </w:p>
        </w:tc>
        <w:tc>
          <w:tcPr>
            <w:tcW w:w="1429" w:type="pct"/>
            <w:tcBorders>
              <w:top w:val="nil"/>
              <w:left w:val="nil"/>
              <w:bottom w:val="single" w:sz="4" w:space="0" w:color="auto"/>
              <w:right w:val="single" w:sz="4" w:space="0" w:color="auto"/>
            </w:tcBorders>
            <w:shd w:val="clear" w:color="000000" w:fill="95B3D7"/>
            <w:noWrap/>
            <w:vAlign w:val="center"/>
            <w:hideMark/>
          </w:tcPr>
          <w:p w:rsidR="00E453F8" w:rsidRPr="008633D2" w:rsidRDefault="00E453F8" w:rsidP="00E453F8">
            <w:pPr>
              <w:spacing w:before="0" w:after="0" w:line="240" w:lineRule="auto"/>
              <w:jc w:val="right"/>
              <w:rPr>
                <w:rFonts w:cs="Arial"/>
                <w:b/>
                <w:bCs/>
                <w:color w:val="000000"/>
                <w:sz w:val="22"/>
                <w:szCs w:val="22"/>
                <w:lang w:val="en-ZA" w:eastAsia="en-ZA"/>
              </w:rPr>
            </w:pPr>
            <w:r w:rsidRPr="008633D2">
              <w:rPr>
                <w:rFonts w:cs="Arial"/>
                <w:b/>
                <w:bCs/>
                <w:color w:val="000000"/>
                <w:sz w:val="22"/>
                <w:szCs w:val="22"/>
                <w:lang w:val="en-ZA" w:eastAsia="en-ZA"/>
              </w:rPr>
              <w:t>100%</w:t>
            </w:r>
          </w:p>
        </w:tc>
      </w:tr>
    </w:tbl>
    <w:p w:rsidR="00617197" w:rsidRPr="002934B0" w:rsidRDefault="00617197" w:rsidP="007D2D06">
      <w:pPr>
        <w:rPr>
          <w:sz w:val="10"/>
          <w:lang w:val="en-ZA"/>
        </w:rPr>
      </w:pPr>
    </w:p>
    <w:p w:rsidR="00617197" w:rsidRDefault="00617197" w:rsidP="00617197">
      <w:pPr>
        <w:rPr>
          <w:lang w:val="en-ZA"/>
        </w:rPr>
      </w:pPr>
      <w:r w:rsidRPr="00617197">
        <w:rPr>
          <w:lang w:val="en-ZA"/>
        </w:rPr>
        <w:t>As discussed in the literature review</w:t>
      </w:r>
      <w:r w:rsidR="00084A6F">
        <w:rPr>
          <w:lang w:val="en-ZA"/>
        </w:rPr>
        <w:t>,</w:t>
      </w:r>
      <w:r w:rsidRPr="00617197">
        <w:rPr>
          <w:lang w:val="en-ZA"/>
        </w:rPr>
        <w:t xml:space="preserve"> the South Afric</w:t>
      </w:r>
      <w:r w:rsidR="00D85665">
        <w:rPr>
          <w:lang w:val="en-ZA"/>
        </w:rPr>
        <w:t>an mutual fund industry has been</w:t>
      </w:r>
      <w:r w:rsidRPr="00617197">
        <w:rPr>
          <w:lang w:val="en-ZA"/>
        </w:rPr>
        <w:t xml:space="preserve"> growing rapidly. </w:t>
      </w:r>
      <w:r>
        <w:rPr>
          <w:lang w:val="en-ZA"/>
        </w:rPr>
        <w:t xml:space="preserve">Table 6 shows the breakdown of the </w:t>
      </w:r>
      <w:r w:rsidRPr="00617197">
        <w:rPr>
          <w:lang w:val="en-ZA"/>
        </w:rPr>
        <w:t>number of funds managed in SA by the gender of the fund manager</w:t>
      </w:r>
      <w:r>
        <w:rPr>
          <w:lang w:val="en-ZA"/>
        </w:rPr>
        <w:t xml:space="preserve">. It is clear that the number of funds managed by males and females </w:t>
      </w:r>
      <w:r w:rsidR="00D85665">
        <w:rPr>
          <w:lang w:val="en-ZA"/>
        </w:rPr>
        <w:t>has</w:t>
      </w:r>
      <w:r>
        <w:rPr>
          <w:lang w:val="en-ZA"/>
        </w:rPr>
        <w:t xml:space="preserve"> been increasing. The percentage of funds managed by each gender individually, has remained relatively constant over the years, with a decrease in the number of funds managed by females over the last three years. Interestingly, the </w:t>
      </w:r>
      <w:r w:rsidR="007969E2">
        <w:rPr>
          <w:lang w:val="en-ZA"/>
        </w:rPr>
        <w:t>number of funds man</w:t>
      </w:r>
      <w:r w:rsidR="00084A6F">
        <w:rPr>
          <w:lang w:val="en-ZA"/>
        </w:rPr>
        <w:t>a</w:t>
      </w:r>
      <w:r w:rsidR="007969E2">
        <w:rPr>
          <w:lang w:val="en-ZA"/>
        </w:rPr>
        <w:t>ged by females tends</w:t>
      </w:r>
      <w:r>
        <w:rPr>
          <w:lang w:val="en-ZA"/>
        </w:rPr>
        <w:t xml:space="preserve"> to hover around 6% of the total number of funds. Note that only funds that had a full </w:t>
      </w:r>
      <w:r w:rsidR="007969E2">
        <w:rPr>
          <w:lang w:val="en-ZA"/>
        </w:rPr>
        <w:t>year’s</w:t>
      </w:r>
      <w:r>
        <w:rPr>
          <w:lang w:val="en-ZA"/>
        </w:rPr>
        <w:t xml:space="preserve"> data over the year considered are included in the results.</w:t>
      </w:r>
    </w:p>
    <w:p w:rsidR="002934B0" w:rsidRPr="002934B0" w:rsidRDefault="002934B0" w:rsidP="00617197">
      <w:pPr>
        <w:rPr>
          <w:sz w:val="8"/>
          <w:lang w:val="en-ZA"/>
        </w:rPr>
      </w:pPr>
    </w:p>
    <w:p w:rsidR="00617197" w:rsidRDefault="00617197" w:rsidP="00617197">
      <w:pPr>
        <w:pStyle w:val="Caption"/>
        <w:keepNext/>
        <w:jc w:val="center"/>
      </w:pPr>
      <w:bookmarkStart w:id="224" w:name="_Toc458610851"/>
      <w:r>
        <w:t xml:space="preserve">Table </w:t>
      </w:r>
      <w:r>
        <w:fldChar w:fldCharType="begin"/>
      </w:r>
      <w:r>
        <w:instrText xml:space="preserve"> SEQ Table \* ARABIC </w:instrText>
      </w:r>
      <w:r>
        <w:fldChar w:fldCharType="separate"/>
      </w:r>
      <w:r w:rsidR="00C456D9">
        <w:rPr>
          <w:noProof/>
        </w:rPr>
        <w:t>6</w:t>
      </w:r>
      <w:r>
        <w:fldChar w:fldCharType="end"/>
      </w:r>
      <w:r>
        <w:t>: Growth in the number of funds in the South African unit trust industry</w:t>
      </w:r>
      <w:bookmarkEnd w:id="2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60"/>
        <w:gridCol w:w="1752"/>
        <w:gridCol w:w="1752"/>
        <w:gridCol w:w="1752"/>
        <w:gridCol w:w="1752"/>
      </w:tblGrid>
      <w:tr w:rsidR="00617197" w:rsidTr="005270E0">
        <w:trPr>
          <w:trHeight w:val="300"/>
        </w:trPr>
        <w:tc>
          <w:tcPr>
            <w:tcW w:w="1004" w:type="pct"/>
            <w:vMerge w:val="restart"/>
            <w:shd w:val="clear" w:color="000000" w:fill="366092"/>
            <w:tcMar>
              <w:top w:w="15" w:type="dxa"/>
              <w:left w:w="15" w:type="dxa"/>
              <w:bottom w:w="0" w:type="dxa"/>
              <w:right w:w="15" w:type="dxa"/>
            </w:tcMar>
            <w:vAlign w:val="center"/>
            <w:hideMark/>
          </w:tcPr>
          <w:p w:rsidR="00617197" w:rsidRDefault="00617197" w:rsidP="005270E0">
            <w:pPr>
              <w:spacing w:line="240" w:lineRule="auto"/>
              <w:contextualSpacing/>
              <w:jc w:val="center"/>
              <w:rPr>
                <w:rFonts w:cs="Arial"/>
                <w:b/>
                <w:bCs/>
                <w:color w:val="FFFFFF"/>
                <w:sz w:val="22"/>
                <w:szCs w:val="22"/>
              </w:rPr>
            </w:pPr>
            <w:r>
              <w:rPr>
                <w:rFonts w:cs="Arial"/>
                <w:b/>
                <w:bCs/>
                <w:color w:val="FFFFFF"/>
                <w:sz w:val="22"/>
                <w:szCs w:val="22"/>
              </w:rPr>
              <w:t>Year ended</w:t>
            </w:r>
          </w:p>
        </w:tc>
        <w:tc>
          <w:tcPr>
            <w:tcW w:w="1998" w:type="pct"/>
            <w:gridSpan w:val="2"/>
            <w:shd w:val="clear" w:color="000000" w:fill="366092"/>
            <w:tcMar>
              <w:top w:w="15" w:type="dxa"/>
              <w:left w:w="15" w:type="dxa"/>
              <w:bottom w:w="0" w:type="dxa"/>
              <w:right w:w="15" w:type="dxa"/>
            </w:tcMar>
            <w:vAlign w:val="center"/>
            <w:hideMark/>
          </w:tcPr>
          <w:p w:rsidR="00617197" w:rsidRDefault="00617197" w:rsidP="005270E0">
            <w:pPr>
              <w:spacing w:line="240" w:lineRule="auto"/>
              <w:contextualSpacing/>
              <w:jc w:val="center"/>
              <w:rPr>
                <w:rFonts w:cs="Arial"/>
                <w:b/>
                <w:bCs/>
                <w:color w:val="FFFFFF"/>
                <w:sz w:val="22"/>
                <w:szCs w:val="22"/>
              </w:rPr>
            </w:pPr>
            <w:r>
              <w:rPr>
                <w:rFonts w:cs="Arial"/>
                <w:b/>
                <w:bCs/>
                <w:color w:val="FFFFFF"/>
                <w:sz w:val="22"/>
                <w:szCs w:val="22"/>
              </w:rPr>
              <w:t>Number of funds</w:t>
            </w:r>
          </w:p>
        </w:tc>
        <w:tc>
          <w:tcPr>
            <w:tcW w:w="1998" w:type="pct"/>
            <w:gridSpan w:val="2"/>
            <w:shd w:val="clear" w:color="000000" w:fill="366092"/>
            <w:tcMar>
              <w:top w:w="15" w:type="dxa"/>
              <w:left w:w="15" w:type="dxa"/>
              <w:bottom w:w="0" w:type="dxa"/>
              <w:right w:w="15" w:type="dxa"/>
            </w:tcMar>
            <w:vAlign w:val="center"/>
            <w:hideMark/>
          </w:tcPr>
          <w:p w:rsidR="00617197" w:rsidRDefault="00617197" w:rsidP="005270E0">
            <w:pPr>
              <w:spacing w:line="240" w:lineRule="auto"/>
              <w:contextualSpacing/>
              <w:jc w:val="center"/>
              <w:rPr>
                <w:rFonts w:cs="Arial"/>
                <w:b/>
                <w:bCs/>
                <w:color w:val="FFFFFF"/>
                <w:sz w:val="22"/>
                <w:szCs w:val="22"/>
              </w:rPr>
            </w:pPr>
            <w:r>
              <w:rPr>
                <w:rFonts w:cs="Arial"/>
                <w:b/>
                <w:bCs/>
                <w:color w:val="FFFFFF"/>
                <w:sz w:val="22"/>
                <w:szCs w:val="22"/>
              </w:rPr>
              <w:t>% of total  funds</w:t>
            </w:r>
          </w:p>
        </w:tc>
      </w:tr>
      <w:tr w:rsidR="00617197" w:rsidTr="005270E0">
        <w:trPr>
          <w:trHeight w:val="300"/>
        </w:trPr>
        <w:tc>
          <w:tcPr>
            <w:tcW w:w="1004" w:type="pct"/>
            <w:vMerge/>
            <w:shd w:val="clear" w:color="000000" w:fill="366092"/>
            <w:tcMar>
              <w:top w:w="15" w:type="dxa"/>
              <w:left w:w="15" w:type="dxa"/>
              <w:bottom w:w="0" w:type="dxa"/>
              <w:right w:w="15" w:type="dxa"/>
            </w:tcMar>
            <w:vAlign w:val="center"/>
          </w:tcPr>
          <w:p w:rsidR="00617197" w:rsidRDefault="00617197" w:rsidP="005270E0">
            <w:pPr>
              <w:spacing w:line="240" w:lineRule="auto"/>
              <w:contextualSpacing/>
              <w:jc w:val="center"/>
              <w:rPr>
                <w:rFonts w:cs="Arial"/>
                <w:b/>
                <w:bCs/>
                <w:color w:val="FFFFFF"/>
                <w:sz w:val="22"/>
                <w:szCs w:val="22"/>
              </w:rPr>
            </w:pPr>
          </w:p>
        </w:tc>
        <w:tc>
          <w:tcPr>
            <w:tcW w:w="999" w:type="pct"/>
            <w:shd w:val="clear" w:color="000000" w:fill="366092"/>
            <w:tcMar>
              <w:top w:w="15" w:type="dxa"/>
              <w:left w:w="15" w:type="dxa"/>
              <w:bottom w:w="0" w:type="dxa"/>
              <w:right w:w="15" w:type="dxa"/>
            </w:tcMar>
            <w:vAlign w:val="center"/>
          </w:tcPr>
          <w:p w:rsidR="00617197" w:rsidRDefault="00617197" w:rsidP="005270E0">
            <w:pPr>
              <w:spacing w:line="240" w:lineRule="auto"/>
              <w:contextualSpacing/>
              <w:jc w:val="center"/>
              <w:rPr>
                <w:rFonts w:cs="Arial"/>
                <w:b/>
                <w:bCs/>
                <w:color w:val="FFFFFF"/>
                <w:sz w:val="22"/>
                <w:szCs w:val="22"/>
              </w:rPr>
            </w:pPr>
            <w:r>
              <w:rPr>
                <w:rFonts w:cs="Arial"/>
                <w:b/>
                <w:bCs/>
                <w:color w:val="FFFFFF"/>
                <w:sz w:val="22"/>
                <w:szCs w:val="22"/>
              </w:rPr>
              <w:t>Female</w:t>
            </w:r>
          </w:p>
        </w:tc>
        <w:tc>
          <w:tcPr>
            <w:tcW w:w="999" w:type="pct"/>
            <w:shd w:val="clear" w:color="000000" w:fill="366092"/>
            <w:vAlign w:val="center"/>
          </w:tcPr>
          <w:p w:rsidR="00617197" w:rsidRDefault="00617197" w:rsidP="005270E0">
            <w:pPr>
              <w:spacing w:line="240" w:lineRule="auto"/>
              <w:contextualSpacing/>
              <w:jc w:val="center"/>
              <w:rPr>
                <w:rFonts w:cs="Arial"/>
                <w:b/>
                <w:bCs/>
                <w:color w:val="FFFFFF"/>
                <w:sz w:val="22"/>
                <w:szCs w:val="22"/>
              </w:rPr>
            </w:pPr>
            <w:r>
              <w:rPr>
                <w:rFonts w:cs="Arial"/>
                <w:b/>
                <w:bCs/>
                <w:color w:val="FFFFFF"/>
                <w:sz w:val="22"/>
                <w:szCs w:val="22"/>
              </w:rPr>
              <w:t>Male</w:t>
            </w:r>
          </w:p>
        </w:tc>
        <w:tc>
          <w:tcPr>
            <w:tcW w:w="999" w:type="pct"/>
            <w:shd w:val="clear" w:color="000000" w:fill="366092"/>
            <w:tcMar>
              <w:top w:w="15" w:type="dxa"/>
              <w:left w:w="15" w:type="dxa"/>
              <w:bottom w:w="0" w:type="dxa"/>
              <w:right w:w="15" w:type="dxa"/>
            </w:tcMar>
            <w:vAlign w:val="center"/>
          </w:tcPr>
          <w:p w:rsidR="00617197" w:rsidRDefault="00617197" w:rsidP="005270E0">
            <w:pPr>
              <w:spacing w:line="240" w:lineRule="auto"/>
              <w:contextualSpacing/>
              <w:jc w:val="center"/>
              <w:rPr>
                <w:rFonts w:cs="Arial"/>
                <w:b/>
                <w:bCs/>
                <w:color w:val="FFFFFF"/>
                <w:sz w:val="22"/>
                <w:szCs w:val="22"/>
              </w:rPr>
            </w:pPr>
            <w:r>
              <w:rPr>
                <w:rFonts w:cs="Arial"/>
                <w:b/>
                <w:bCs/>
                <w:color w:val="FFFFFF"/>
                <w:sz w:val="22"/>
                <w:szCs w:val="22"/>
              </w:rPr>
              <w:t>Female</w:t>
            </w:r>
          </w:p>
        </w:tc>
        <w:tc>
          <w:tcPr>
            <w:tcW w:w="999" w:type="pct"/>
            <w:shd w:val="clear" w:color="000000" w:fill="366092"/>
            <w:vAlign w:val="center"/>
          </w:tcPr>
          <w:p w:rsidR="00617197" w:rsidRDefault="00617197" w:rsidP="005270E0">
            <w:pPr>
              <w:spacing w:line="240" w:lineRule="auto"/>
              <w:contextualSpacing/>
              <w:jc w:val="center"/>
              <w:rPr>
                <w:rFonts w:cs="Arial"/>
                <w:b/>
                <w:bCs/>
                <w:color w:val="FFFFFF"/>
                <w:sz w:val="22"/>
                <w:szCs w:val="22"/>
              </w:rPr>
            </w:pPr>
            <w:r>
              <w:rPr>
                <w:rFonts w:cs="Arial"/>
                <w:b/>
                <w:bCs/>
                <w:color w:val="FFFFFF"/>
                <w:sz w:val="22"/>
                <w:szCs w:val="22"/>
              </w:rPr>
              <w:t>Male</w:t>
            </w:r>
          </w:p>
        </w:tc>
      </w:tr>
      <w:tr w:rsidR="00617197" w:rsidTr="005270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004"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617197" w:rsidRDefault="00617197" w:rsidP="005270E0">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Jun-07</w:t>
            </w:r>
          </w:p>
        </w:tc>
        <w:tc>
          <w:tcPr>
            <w:tcW w:w="99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617197" w:rsidRDefault="00617197" w:rsidP="005270E0">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20</w:t>
            </w:r>
          </w:p>
        </w:tc>
        <w:tc>
          <w:tcPr>
            <w:tcW w:w="99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617197" w:rsidRDefault="00617197" w:rsidP="005270E0">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206</w:t>
            </w:r>
          </w:p>
        </w:tc>
        <w:tc>
          <w:tcPr>
            <w:tcW w:w="99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617197" w:rsidRDefault="00617197" w:rsidP="005270E0">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5.70%</w:t>
            </w:r>
          </w:p>
        </w:tc>
        <w:tc>
          <w:tcPr>
            <w:tcW w:w="99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617197" w:rsidRDefault="00617197" w:rsidP="005270E0">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58.69%</w:t>
            </w:r>
          </w:p>
        </w:tc>
      </w:tr>
      <w:tr w:rsidR="00617197" w:rsidTr="005270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004"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617197" w:rsidRDefault="00617197" w:rsidP="005270E0">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Jun-08</w:t>
            </w:r>
          </w:p>
        </w:tc>
        <w:tc>
          <w:tcPr>
            <w:tcW w:w="99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617197" w:rsidRDefault="00617197" w:rsidP="005270E0">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24</w:t>
            </w:r>
          </w:p>
        </w:tc>
        <w:tc>
          <w:tcPr>
            <w:tcW w:w="99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617197" w:rsidRDefault="00617197" w:rsidP="005270E0">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252</w:t>
            </w:r>
          </w:p>
        </w:tc>
        <w:tc>
          <w:tcPr>
            <w:tcW w:w="99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617197" w:rsidRDefault="00617197" w:rsidP="005270E0">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5.69%</w:t>
            </w:r>
          </w:p>
        </w:tc>
        <w:tc>
          <w:tcPr>
            <w:tcW w:w="99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617197" w:rsidRDefault="00617197" w:rsidP="005270E0">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59.72%</w:t>
            </w:r>
          </w:p>
        </w:tc>
      </w:tr>
      <w:tr w:rsidR="00617197" w:rsidTr="005270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004"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617197" w:rsidRDefault="00617197" w:rsidP="005270E0">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Jun-09</w:t>
            </w:r>
          </w:p>
        </w:tc>
        <w:tc>
          <w:tcPr>
            <w:tcW w:w="99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617197" w:rsidRDefault="00617197" w:rsidP="005270E0">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27</w:t>
            </w:r>
          </w:p>
        </w:tc>
        <w:tc>
          <w:tcPr>
            <w:tcW w:w="99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617197" w:rsidRDefault="00617197" w:rsidP="005270E0">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300</w:t>
            </w:r>
          </w:p>
        </w:tc>
        <w:tc>
          <w:tcPr>
            <w:tcW w:w="99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617197" w:rsidRDefault="00617197" w:rsidP="005270E0">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5.53%</w:t>
            </w:r>
          </w:p>
        </w:tc>
        <w:tc>
          <w:tcPr>
            <w:tcW w:w="99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617197" w:rsidRDefault="00617197" w:rsidP="005270E0">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61.48%</w:t>
            </w:r>
          </w:p>
        </w:tc>
      </w:tr>
      <w:tr w:rsidR="00617197" w:rsidTr="005270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004"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617197" w:rsidRDefault="00617197" w:rsidP="005270E0">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Jun-10</w:t>
            </w:r>
          </w:p>
        </w:tc>
        <w:tc>
          <w:tcPr>
            <w:tcW w:w="99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617197" w:rsidRDefault="00617197" w:rsidP="005270E0">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33</w:t>
            </w:r>
          </w:p>
        </w:tc>
        <w:tc>
          <w:tcPr>
            <w:tcW w:w="99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617197" w:rsidRDefault="00617197" w:rsidP="005270E0">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332</w:t>
            </w:r>
          </w:p>
        </w:tc>
        <w:tc>
          <w:tcPr>
            <w:tcW w:w="99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617197" w:rsidRDefault="00617197" w:rsidP="005270E0">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6.07%</w:t>
            </w:r>
          </w:p>
        </w:tc>
        <w:tc>
          <w:tcPr>
            <w:tcW w:w="99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617197" w:rsidRDefault="00617197" w:rsidP="005270E0">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61.03%</w:t>
            </w:r>
          </w:p>
        </w:tc>
      </w:tr>
      <w:tr w:rsidR="00617197" w:rsidTr="005270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004"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617197" w:rsidRDefault="00617197" w:rsidP="005270E0">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Jun-11</w:t>
            </w:r>
          </w:p>
        </w:tc>
        <w:tc>
          <w:tcPr>
            <w:tcW w:w="99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617197" w:rsidRDefault="00617197" w:rsidP="005270E0">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33</w:t>
            </w:r>
          </w:p>
        </w:tc>
        <w:tc>
          <w:tcPr>
            <w:tcW w:w="99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617197" w:rsidRDefault="00617197" w:rsidP="005270E0">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347</w:t>
            </w:r>
          </w:p>
        </w:tc>
        <w:tc>
          <w:tcPr>
            <w:tcW w:w="99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617197" w:rsidRDefault="00617197" w:rsidP="005270E0">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5.78%</w:t>
            </w:r>
          </w:p>
        </w:tc>
        <w:tc>
          <w:tcPr>
            <w:tcW w:w="99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617197" w:rsidRDefault="00617197" w:rsidP="005270E0">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60.77%</w:t>
            </w:r>
          </w:p>
        </w:tc>
      </w:tr>
      <w:tr w:rsidR="00617197" w:rsidTr="005270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004"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617197" w:rsidRDefault="00617197" w:rsidP="005270E0">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Jun-12</w:t>
            </w:r>
          </w:p>
        </w:tc>
        <w:tc>
          <w:tcPr>
            <w:tcW w:w="99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617197" w:rsidRDefault="00617197" w:rsidP="005270E0">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40</w:t>
            </w:r>
          </w:p>
        </w:tc>
        <w:tc>
          <w:tcPr>
            <w:tcW w:w="99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617197" w:rsidRDefault="00617197" w:rsidP="005270E0">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375</w:t>
            </w:r>
          </w:p>
        </w:tc>
        <w:tc>
          <w:tcPr>
            <w:tcW w:w="99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617197" w:rsidRDefault="00617197" w:rsidP="005270E0">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6.39%</w:t>
            </w:r>
          </w:p>
        </w:tc>
        <w:tc>
          <w:tcPr>
            <w:tcW w:w="99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617197" w:rsidRDefault="00617197" w:rsidP="005270E0">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59.90%</w:t>
            </w:r>
          </w:p>
        </w:tc>
      </w:tr>
      <w:tr w:rsidR="00617197" w:rsidTr="005270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004"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617197" w:rsidRDefault="00617197" w:rsidP="005270E0">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Jun-13</w:t>
            </w:r>
          </w:p>
        </w:tc>
        <w:tc>
          <w:tcPr>
            <w:tcW w:w="99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617197" w:rsidRDefault="00617197" w:rsidP="005270E0">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48</w:t>
            </w:r>
          </w:p>
        </w:tc>
        <w:tc>
          <w:tcPr>
            <w:tcW w:w="99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617197" w:rsidRDefault="00617197" w:rsidP="005270E0">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416</w:t>
            </w:r>
          </w:p>
        </w:tc>
        <w:tc>
          <w:tcPr>
            <w:tcW w:w="99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617197" w:rsidRDefault="00617197" w:rsidP="005270E0">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6.79%</w:t>
            </w:r>
          </w:p>
        </w:tc>
        <w:tc>
          <w:tcPr>
            <w:tcW w:w="99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617197" w:rsidRDefault="00617197" w:rsidP="005270E0">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58.84%</w:t>
            </w:r>
          </w:p>
        </w:tc>
      </w:tr>
      <w:tr w:rsidR="00617197" w:rsidTr="005270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004"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617197" w:rsidRDefault="00617197" w:rsidP="005270E0">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Jun-14</w:t>
            </w:r>
          </w:p>
        </w:tc>
        <w:tc>
          <w:tcPr>
            <w:tcW w:w="99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617197" w:rsidRDefault="00617197" w:rsidP="005270E0">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52</w:t>
            </w:r>
          </w:p>
        </w:tc>
        <w:tc>
          <w:tcPr>
            <w:tcW w:w="99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617197" w:rsidRDefault="00617197" w:rsidP="005270E0">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484</w:t>
            </w:r>
          </w:p>
        </w:tc>
        <w:tc>
          <w:tcPr>
            <w:tcW w:w="99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617197" w:rsidRDefault="00617197" w:rsidP="005270E0">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6.54%</w:t>
            </w:r>
          </w:p>
        </w:tc>
        <w:tc>
          <w:tcPr>
            <w:tcW w:w="99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617197" w:rsidRDefault="00617197" w:rsidP="005270E0">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60.88%</w:t>
            </w:r>
          </w:p>
        </w:tc>
      </w:tr>
      <w:tr w:rsidR="00617197" w:rsidTr="005270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004"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617197" w:rsidRDefault="00617197" w:rsidP="005270E0">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Jun-15</w:t>
            </w:r>
          </w:p>
        </w:tc>
        <w:tc>
          <w:tcPr>
            <w:tcW w:w="99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617197" w:rsidRDefault="00617197" w:rsidP="005270E0">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55</w:t>
            </w:r>
          </w:p>
        </w:tc>
        <w:tc>
          <w:tcPr>
            <w:tcW w:w="99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617197" w:rsidRDefault="00617197" w:rsidP="005270E0">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536</w:t>
            </w:r>
          </w:p>
        </w:tc>
        <w:tc>
          <w:tcPr>
            <w:tcW w:w="99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617197" w:rsidRDefault="00617197" w:rsidP="005270E0">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6.19%</w:t>
            </w:r>
          </w:p>
        </w:tc>
        <w:tc>
          <w:tcPr>
            <w:tcW w:w="99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617197" w:rsidRDefault="00617197" w:rsidP="005270E0">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60.36%</w:t>
            </w:r>
          </w:p>
        </w:tc>
      </w:tr>
    </w:tbl>
    <w:p w:rsidR="00512397" w:rsidRDefault="008D18C4" w:rsidP="007D2D06">
      <w:r>
        <w:rPr>
          <w:lang w:val="en-ZA"/>
        </w:rPr>
        <w:t>The graphical representation</w:t>
      </w:r>
      <w:r w:rsidR="00617197">
        <w:rPr>
          <w:lang w:val="en-ZA"/>
        </w:rPr>
        <w:t xml:space="preserve"> of the data show</w:t>
      </w:r>
      <w:r w:rsidR="00084A6F">
        <w:rPr>
          <w:lang w:val="en-ZA"/>
        </w:rPr>
        <w:t>n</w:t>
      </w:r>
      <w:r w:rsidR="00617197">
        <w:rPr>
          <w:lang w:val="en-ZA"/>
        </w:rPr>
        <w:t xml:space="preserve"> in table 6 is shown in f</w:t>
      </w:r>
      <w:r w:rsidR="007D2D06" w:rsidRPr="007D2D06">
        <w:rPr>
          <w:lang w:val="en-ZA"/>
        </w:rPr>
        <w:t>igu</w:t>
      </w:r>
      <w:r w:rsidR="007D2D06">
        <w:rPr>
          <w:lang w:val="en-ZA"/>
        </w:rPr>
        <w:t xml:space="preserve">re </w:t>
      </w:r>
      <w:r w:rsidR="00617197">
        <w:rPr>
          <w:lang w:val="en-ZA"/>
        </w:rPr>
        <w:t>5</w:t>
      </w:r>
      <w:r>
        <w:rPr>
          <w:lang w:val="en-ZA"/>
        </w:rPr>
        <w:t xml:space="preserve"> below</w:t>
      </w:r>
      <w:r w:rsidR="00617197">
        <w:rPr>
          <w:lang w:val="en-ZA"/>
        </w:rPr>
        <w:t xml:space="preserve">. The graph highlights </w:t>
      </w:r>
      <w:r w:rsidR="007969E2">
        <w:rPr>
          <w:lang w:val="en-ZA"/>
        </w:rPr>
        <w:t>that growth</w:t>
      </w:r>
      <w:r w:rsidR="007D2D06">
        <w:rPr>
          <w:lang w:val="en-ZA"/>
        </w:rPr>
        <w:t xml:space="preserve"> in the number of funds managed by males and females</w:t>
      </w:r>
      <w:r w:rsidR="00617197">
        <w:rPr>
          <w:lang w:val="en-ZA"/>
        </w:rPr>
        <w:t xml:space="preserve"> has been increasing over the last 8 years. It </w:t>
      </w:r>
      <w:r w:rsidR="007D2D06">
        <w:rPr>
          <w:lang w:val="en-ZA"/>
        </w:rPr>
        <w:t>indicates that the growth in the numb</w:t>
      </w:r>
      <w:r>
        <w:rPr>
          <w:lang w:val="en-ZA"/>
        </w:rPr>
        <w:t xml:space="preserve">er of male manage funds is higher </w:t>
      </w:r>
      <w:r w:rsidR="007D2D06">
        <w:rPr>
          <w:lang w:val="en-ZA"/>
        </w:rPr>
        <w:t xml:space="preserve">than the growth of female managed </w:t>
      </w:r>
      <w:r>
        <w:rPr>
          <w:lang w:val="en-ZA"/>
        </w:rPr>
        <w:t xml:space="preserve">funds in South Africa. </w:t>
      </w:r>
    </w:p>
    <w:p w:rsidR="007D2D06" w:rsidRDefault="007D2D06" w:rsidP="007D2D06">
      <w:pPr>
        <w:pStyle w:val="Heading3"/>
        <w:numPr>
          <w:ilvl w:val="0"/>
          <w:numId w:val="0"/>
        </w:numPr>
        <w:ind w:left="851" w:hanging="851"/>
        <w:jc w:val="center"/>
        <w:rPr>
          <w:lang w:val="en-ZA"/>
        </w:rPr>
      </w:pPr>
      <w:bookmarkStart w:id="225" w:name="_Toc447175348"/>
      <w:bookmarkStart w:id="226" w:name="_Toc458610816"/>
      <w:r>
        <w:rPr>
          <w:noProof/>
          <w:lang w:val="en-ZA" w:eastAsia="en-ZA"/>
        </w:rPr>
        <w:drawing>
          <wp:inline distT="0" distB="0" distL="0" distR="0" wp14:anchorId="6CAB25E0" wp14:editId="7CD8F2FD">
            <wp:extent cx="5215943" cy="3013656"/>
            <wp:effectExtent l="38100" t="38100" r="41910" b="349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bookmarkEnd w:id="225"/>
      <w:bookmarkEnd w:id="226"/>
    </w:p>
    <w:p w:rsidR="00084A6F" w:rsidRDefault="00655A3A" w:rsidP="00084A6F">
      <w:pPr>
        <w:pStyle w:val="Caption"/>
        <w:keepNext/>
        <w:jc w:val="center"/>
      </w:pPr>
      <w:r w:rsidRPr="008633D2">
        <w:rPr>
          <w:lang w:val="en-ZA"/>
        </w:rPr>
        <w:fldChar w:fldCharType="end"/>
      </w:r>
      <w:r w:rsidR="00084A6F" w:rsidRPr="00084A6F">
        <w:t xml:space="preserve"> </w:t>
      </w:r>
      <w:bookmarkStart w:id="227" w:name="_Toc458610889"/>
      <w:r w:rsidR="00084A6F">
        <w:t xml:space="preserve">Figure </w:t>
      </w:r>
      <w:r w:rsidR="00E52E42">
        <w:fldChar w:fldCharType="begin"/>
      </w:r>
      <w:r w:rsidR="00E52E42">
        <w:instrText xml:space="preserve"> SEQ Figure \* ARABIC </w:instrText>
      </w:r>
      <w:r w:rsidR="00E52E42">
        <w:fldChar w:fldCharType="separate"/>
      </w:r>
      <w:r w:rsidR="00C456D9">
        <w:rPr>
          <w:noProof/>
        </w:rPr>
        <w:t>5</w:t>
      </w:r>
      <w:r w:rsidR="00E52E42">
        <w:fldChar w:fldCharType="end"/>
      </w:r>
      <w:r w:rsidR="00084A6F">
        <w:t>: The growth in the number of funds in South Africa by fund manager gender</w:t>
      </w:r>
      <w:bookmarkEnd w:id="227"/>
    </w:p>
    <w:p w:rsidR="00F55CCC" w:rsidRDefault="00F55CCC" w:rsidP="007D2D06">
      <w:pPr>
        <w:rPr>
          <w:lang w:val="en-ZA"/>
        </w:rPr>
      </w:pPr>
    </w:p>
    <w:p w:rsidR="006A46AD" w:rsidRPr="008633D2" w:rsidRDefault="006A46AD" w:rsidP="00BB5EA5">
      <w:pPr>
        <w:pStyle w:val="Heading3"/>
        <w:rPr>
          <w:lang w:val="en-ZA"/>
        </w:rPr>
      </w:pPr>
      <w:bookmarkStart w:id="228" w:name="_Toc458610817"/>
      <w:r w:rsidRPr="008633D2">
        <w:rPr>
          <w:lang w:val="en-ZA"/>
        </w:rPr>
        <w:t>Results pertaining to the net value of assets under management</w:t>
      </w:r>
      <w:bookmarkEnd w:id="228"/>
    </w:p>
    <w:p w:rsidR="00E453F8" w:rsidRPr="008633D2" w:rsidRDefault="005D166C" w:rsidP="006A46AD">
      <w:pPr>
        <w:rPr>
          <w:lang w:val="en-ZA"/>
        </w:rPr>
      </w:pPr>
      <w:r w:rsidRPr="008633D2">
        <w:rPr>
          <w:lang w:val="en-ZA"/>
        </w:rPr>
        <w:t xml:space="preserve">Table </w:t>
      </w:r>
      <w:r w:rsidR="005F080A">
        <w:rPr>
          <w:lang w:val="en-ZA"/>
        </w:rPr>
        <w:t>7</w:t>
      </w:r>
      <w:r w:rsidRPr="008633D2">
        <w:rPr>
          <w:lang w:val="en-ZA"/>
        </w:rPr>
        <w:t xml:space="preserve"> </w:t>
      </w:r>
      <w:r w:rsidR="00B60390" w:rsidRPr="008633D2">
        <w:rPr>
          <w:lang w:val="en-ZA"/>
        </w:rPr>
        <w:t>shows</w:t>
      </w:r>
      <w:r w:rsidRPr="008633D2">
        <w:rPr>
          <w:lang w:val="en-ZA"/>
        </w:rPr>
        <w:t xml:space="preserve"> the value of assets under </w:t>
      </w:r>
      <w:r w:rsidR="009E2F37" w:rsidRPr="008633D2">
        <w:rPr>
          <w:lang w:val="en-ZA"/>
        </w:rPr>
        <w:t>management</w:t>
      </w:r>
      <w:r w:rsidRPr="008633D2">
        <w:rPr>
          <w:lang w:val="en-ZA"/>
        </w:rPr>
        <w:t xml:space="preserve"> </w:t>
      </w:r>
      <w:r w:rsidR="00B60390" w:rsidRPr="008633D2">
        <w:rPr>
          <w:lang w:val="en-ZA"/>
        </w:rPr>
        <w:t xml:space="preserve">as at 30 June 2015 </w:t>
      </w:r>
      <w:r w:rsidRPr="008633D2">
        <w:rPr>
          <w:lang w:val="en-ZA"/>
        </w:rPr>
        <w:t>with</w:t>
      </w:r>
      <w:r w:rsidR="009E2F37" w:rsidRPr="008633D2">
        <w:rPr>
          <w:lang w:val="en-ZA"/>
        </w:rPr>
        <w:t>in the S</w:t>
      </w:r>
      <w:r w:rsidRPr="008633D2">
        <w:rPr>
          <w:lang w:val="en-ZA"/>
        </w:rPr>
        <w:t xml:space="preserve">outh African unit trust industry with focus being placed on the gender of the fund managers managing the </w:t>
      </w:r>
      <w:r w:rsidR="009E2F37" w:rsidRPr="008633D2">
        <w:rPr>
          <w:lang w:val="en-ZA"/>
        </w:rPr>
        <w:t>assets</w:t>
      </w:r>
      <w:r w:rsidRPr="008633D2">
        <w:rPr>
          <w:lang w:val="en-ZA"/>
        </w:rPr>
        <w:t xml:space="preserve">. </w:t>
      </w:r>
      <w:r w:rsidR="00840E50">
        <w:rPr>
          <w:lang w:val="en-ZA"/>
        </w:rPr>
        <w:t>The last column in table 5 highlights the average value of the fund managed per fund manager for each manager description.</w:t>
      </w:r>
      <w:r w:rsidR="005F080A">
        <w:rPr>
          <w:lang w:val="en-ZA"/>
        </w:rPr>
        <w:t xml:space="preserve"> This column highlights that on average</w:t>
      </w:r>
      <w:r w:rsidR="00084A6F">
        <w:rPr>
          <w:lang w:val="en-ZA"/>
        </w:rPr>
        <w:t>,</w:t>
      </w:r>
      <w:r w:rsidR="005F080A">
        <w:rPr>
          <w:lang w:val="en-ZA"/>
        </w:rPr>
        <w:t xml:space="preserve"> each individual female fund man</w:t>
      </w:r>
      <w:r w:rsidR="00084A6F">
        <w:rPr>
          <w:lang w:val="en-ZA"/>
        </w:rPr>
        <w:t>a</w:t>
      </w:r>
      <w:r w:rsidR="005F080A">
        <w:rPr>
          <w:lang w:val="en-ZA"/>
        </w:rPr>
        <w:t>ger and each team of female fund managers manage a higher value fund.</w:t>
      </w:r>
      <w:r w:rsidR="00655A3A" w:rsidRPr="008633D2">
        <w:rPr>
          <w:lang w:val="en-ZA"/>
        </w:rPr>
        <w:fldChar w:fldCharType="begin"/>
      </w:r>
      <w:r w:rsidR="00655A3A" w:rsidRPr="008633D2">
        <w:rPr>
          <w:lang w:val="en-ZA"/>
        </w:rPr>
        <w:instrText xml:space="preserve"> LINK </w:instrText>
      </w:r>
      <w:r w:rsidR="005F2182">
        <w:rPr>
          <w:lang w:val="en-ZA"/>
        </w:rPr>
        <w:instrText xml:space="preserve">Excel.Sheet.12 "C:\\Users\\archaryn\\Documents\\MBA\\Research\\Final Analysis\\Data_v1.xlsx" "Summary of results!R3C10:R10C12" </w:instrText>
      </w:r>
      <w:r w:rsidR="00655A3A" w:rsidRPr="008633D2">
        <w:rPr>
          <w:lang w:val="en-ZA"/>
        </w:rPr>
        <w:instrText xml:space="preserve">\a \f 4 \h </w:instrText>
      </w:r>
      <w:r w:rsidRPr="008633D2">
        <w:rPr>
          <w:lang w:val="en-ZA"/>
        </w:rPr>
        <w:instrText xml:space="preserve"> \* MERGEFORMAT </w:instrText>
      </w:r>
      <w:r w:rsidR="00655A3A" w:rsidRPr="008633D2">
        <w:rPr>
          <w:lang w:val="en-ZA"/>
        </w:rPr>
        <w:fldChar w:fldCharType="separate"/>
      </w:r>
    </w:p>
    <w:p w:rsidR="00512397" w:rsidRDefault="00512397" w:rsidP="00512397">
      <w:pPr>
        <w:pStyle w:val="Caption"/>
        <w:keepNext/>
        <w:jc w:val="center"/>
        <w:divId w:val="1479765389"/>
      </w:pPr>
      <w:bookmarkStart w:id="229" w:name="_Toc458610852"/>
      <w:r>
        <w:t xml:space="preserve">Table </w:t>
      </w:r>
      <w:r>
        <w:fldChar w:fldCharType="begin"/>
      </w:r>
      <w:r>
        <w:instrText xml:space="preserve"> SEQ Table \* ARABIC </w:instrText>
      </w:r>
      <w:r>
        <w:fldChar w:fldCharType="separate"/>
      </w:r>
      <w:r w:rsidR="00C456D9">
        <w:rPr>
          <w:noProof/>
        </w:rPr>
        <w:t>7</w:t>
      </w:r>
      <w:r>
        <w:fldChar w:fldCharType="end"/>
      </w:r>
      <w:r>
        <w:t xml:space="preserve">: </w:t>
      </w:r>
      <w:r>
        <w:rPr>
          <w:lang w:val="en-ZA"/>
        </w:rPr>
        <w:t xml:space="preserve">Breakdown of fund size </w:t>
      </w:r>
      <w:r w:rsidRPr="008633D2">
        <w:rPr>
          <w:lang w:val="en-ZA"/>
        </w:rPr>
        <w:t xml:space="preserve">under management by </w:t>
      </w:r>
      <w:r>
        <w:rPr>
          <w:lang w:val="en-ZA"/>
        </w:rPr>
        <w:t>g</w:t>
      </w:r>
      <w:r w:rsidRPr="008633D2">
        <w:rPr>
          <w:lang w:val="en-ZA"/>
        </w:rPr>
        <w:t>ender</w:t>
      </w:r>
      <w:bookmarkEnd w:id="229"/>
    </w:p>
    <w:tbl>
      <w:tblPr>
        <w:tblW w:w="5000" w:type="pct"/>
        <w:tblLayout w:type="fixed"/>
        <w:tblLook w:val="04A0" w:firstRow="1" w:lastRow="0" w:firstColumn="1" w:lastColumn="0" w:noHBand="0" w:noVBand="1"/>
      </w:tblPr>
      <w:tblGrid>
        <w:gridCol w:w="2942"/>
        <w:gridCol w:w="2092"/>
        <w:gridCol w:w="1737"/>
        <w:gridCol w:w="2183"/>
      </w:tblGrid>
      <w:tr w:rsidR="00840E50" w:rsidRPr="008633D2" w:rsidTr="00840E50">
        <w:trPr>
          <w:divId w:val="1479765389"/>
          <w:trHeight w:val="300"/>
        </w:trPr>
        <w:tc>
          <w:tcPr>
            <w:tcW w:w="1643" w:type="pct"/>
            <w:tcBorders>
              <w:top w:val="single" w:sz="4" w:space="0" w:color="auto"/>
              <w:left w:val="single" w:sz="4" w:space="0" w:color="auto"/>
              <w:bottom w:val="single" w:sz="4" w:space="0" w:color="auto"/>
              <w:right w:val="single" w:sz="4" w:space="0" w:color="auto"/>
            </w:tcBorders>
            <w:shd w:val="clear" w:color="000000" w:fill="366092"/>
            <w:noWrap/>
            <w:vAlign w:val="center"/>
            <w:hideMark/>
          </w:tcPr>
          <w:p w:rsidR="00840E50" w:rsidRPr="008633D2" w:rsidRDefault="00840E50" w:rsidP="00840E50">
            <w:pPr>
              <w:spacing w:before="0" w:after="0" w:line="240" w:lineRule="auto"/>
              <w:contextualSpacing/>
              <w:jc w:val="center"/>
              <w:rPr>
                <w:rFonts w:cs="Arial"/>
                <w:b/>
                <w:bCs/>
                <w:color w:val="FFFFFF"/>
                <w:sz w:val="22"/>
                <w:szCs w:val="22"/>
                <w:lang w:val="en-ZA" w:eastAsia="en-ZA"/>
              </w:rPr>
            </w:pPr>
            <w:r>
              <w:rPr>
                <w:rFonts w:cs="Arial"/>
                <w:b/>
                <w:bCs/>
                <w:color w:val="FFFFFF"/>
                <w:sz w:val="22"/>
                <w:szCs w:val="22"/>
                <w:lang w:val="en-ZA" w:eastAsia="en-ZA"/>
              </w:rPr>
              <w:t>Manager description</w:t>
            </w:r>
          </w:p>
        </w:tc>
        <w:tc>
          <w:tcPr>
            <w:tcW w:w="1168" w:type="pct"/>
            <w:tcBorders>
              <w:top w:val="single" w:sz="4" w:space="0" w:color="auto"/>
              <w:left w:val="nil"/>
              <w:bottom w:val="single" w:sz="4" w:space="0" w:color="auto"/>
              <w:right w:val="single" w:sz="4" w:space="0" w:color="auto"/>
            </w:tcBorders>
            <w:shd w:val="clear" w:color="000000" w:fill="366092"/>
            <w:noWrap/>
            <w:vAlign w:val="center"/>
            <w:hideMark/>
          </w:tcPr>
          <w:p w:rsidR="00840E50" w:rsidRPr="008633D2" w:rsidRDefault="00840E50" w:rsidP="00840E50">
            <w:pPr>
              <w:spacing w:before="0" w:after="0" w:line="240" w:lineRule="auto"/>
              <w:contextualSpacing/>
              <w:jc w:val="center"/>
              <w:rPr>
                <w:rFonts w:cs="Arial"/>
                <w:b/>
                <w:bCs/>
                <w:color w:val="FFFFFF"/>
                <w:sz w:val="22"/>
                <w:szCs w:val="22"/>
                <w:lang w:val="en-ZA" w:eastAsia="en-ZA"/>
              </w:rPr>
            </w:pPr>
            <w:r w:rsidRPr="008633D2">
              <w:rPr>
                <w:rFonts w:cs="Arial"/>
                <w:b/>
                <w:bCs/>
                <w:color w:val="FFFFFF"/>
                <w:sz w:val="22"/>
                <w:szCs w:val="22"/>
                <w:lang w:val="en-ZA" w:eastAsia="en-ZA"/>
              </w:rPr>
              <w:t xml:space="preserve">Fund </w:t>
            </w:r>
            <w:r>
              <w:rPr>
                <w:rFonts w:cs="Arial"/>
                <w:b/>
                <w:bCs/>
                <w:color w:val="FFFFFF"/>
                <w:sz w:val="22"/>
                <w:szCs w:val="22"/>
                <w:lang w:val="en-ZA" w:eastAsia="en-ZA"/>
              </w:rPr>
              <w:t>s</w:t>
            </w:r>
            <w:r w:rsidRPr="008633D2">
              <w:rPr>
                <w:rFonts w:cs="Arial"/>
                <w:b/>
                <w:bCs/>
                <w:color w:val="FFFFFF"/>
                <w:sz w:val="22"/>
                <w:szCs w:val="22"/>
                <w:lang w:val="en-ZA" w:eastAsia="en-ZA"/>
              </w:rPr>
              <w:t>ize</w:t>
            </w:r>
          </w:p>
        </w:tc>
        <w:tc>
          <w:tcPr>
            <w:tcW w:w="970" w:type="pct"/>
            <w:tcBorders>
              <w:top w:val="single" w:sz="4" w:space="0" w:color="auto"/>
              <w:left w:val="nil"/>
              <w:bottom w:val="single" w:sz="4" w:space="0" w:color="auto"/>
              <w:right w:val="single" w:sz="4" w:space="0" w:color="auto"/>
            </w:tcBorders>
            <w:shd w:val="clear" w:color="000000" w:fill="366092"/>
            <w:noWrap/>
            <w:vAlign w:val="center"/>
            <w:hideMark/>
          </w:tcPr>
          <w:p w:rsidR="00840E50" w:rsidRPr="008633D2" w:rsidRDefault="00840E50" w:rsidP="00840E50">
            <w:pPr>
              <w:spacing w:before="0" w:after="0" w:line="240" w:lineRule="auto"/>
              <w:contextualSpacing/>
              <w:jc w:val="center"/>
              <w:rPr>
                <w:rFonts w:cs="Arial"/>
                <w:b/>
                <w:bCs/>
                <w:color w:val="FFFFFF"/>
                <w:sz w:val="22"/>
                <w:szCs w:val="22"/>
                <w:lang w:val="en-ZA" w:eastAsia="en-ZA"/>
              </w:rPr>
            </w:pPr>
            <w:r>
              <w:rPr>
                <w:rFonts w:cs="Arial"/>
                <w:b/>
                <w:bCs/>
                <w:color w:val="FFFFFF"/>
                <w:sz w:val="22"/>
                <w:szCs w:val="22"/>
                <w:lang w:val="en-ZA" w:eastAsia="en-ZA"/>
              </w:rPr>
              <w:t>% of total fund s</w:t>
            </w:r>
            <w:r w:rsidRPr="008633D2">
              <w:rPr>
                <w:rFonts w:cs="Arial"/>
                <w:b/>
                <w:bCs/>
                <w:color w:val="FFFFFF"/>
                <w:sz w:val="22"/>
                <w:szCs w:val="22"/>
                <w:lang w:val="en-ZA" w:eastAsia="en-ZA"/>
              </w:rPr>
              <w:t>ize</w:t>
            </w:r>
          </w:p>
        </w:tc>
        <w:tc>
          <w:tcPr>
            <w:tcW w:w="1219" w:type="pct"/>
            <w:tcBorders>
              <w:top w:val="single" w:sz="4" w:space="0" w:color="auto"/>
              <w:left w:val="nil"/>
              <w:bottom w:val="single" w:sz="4" w:space="0" w:color="auto"/>
              <w:right w:val="single" w:sz="4" w:space="0" w:color="auto"/>
            </w:tcBorders>
            <w:shd w:val="clear" w:color="000000" w:fill="366092"/>
            <w:vAlign w:val="center"/>
          </w:tcPr>
          <w:p w:rsidR="00840E50" w:rsidRDefault="00840E50" w:rsidP="00840E50">
            <w:pPr>
              <w:spacing w:line="240" w:lineRule="auto"/>
              <w:contextualSpacing/>
              <w:jc w:val="center"/>
              <w:rPr>
                <w:rFonts w:cs="Arial"/>
                <w:b/>
                <w:bCs/>
                <w:color w:val="FFFFFF"/>
                <w:sz w:val="22"/>
                <w:szCs w:val="22"/>
              </w:rPr>
            </w:pPr>
            <w:r>
              <w:rPr>
                <w:rFonts w:cs="Arial"/>
                <w:b/>
                <w:bCs/>
                <w:color w:val="FFFFFF"/>
                <w:sz w:val="22"/>
                <w:szCs w:val="22"/>
              </w:rPr>
              <w:t>Average fund size per a manager</w:t>
            </w:r>
          </w:p>
        </w:tc>
      </w:tr>
      <w:tr w:rsidR="00840E50" w:rsidRPr="008633D2" w:rsidTr="00840E50">
        <w:trPr>
          <w:divId w:val="1479765389"/>
          <w:trHeight w:val="300"/>
        </w:trPr>
        <w:tc>
          <w:tcPr>
            <w:tcW w:w="1643" w:type="pct"/>
            <w:tcBorders>
              <w:top w:val="nil"/>
              <w:left w:val="single" w:sz="4" w:space="0" w:color="auto"/>
              <w:bottom w:val="single" w:sz="4" w:space="0" w:color="auto"/>
              <w:right w:val="single" w:sz="4" w:space="0" w:color="auto"/>
            </w:tcBorders>
            <w:shd w:val="clear" w:color="auto" w:fill="auto"/>
            <w:noWrap/>
            <w:vAlign w:val="center"/>
            <w:hideMark/>
          </w:tcPr>
          <w:p w:rsidR="00840E50" w:rsidRPr="008633D2" w:rsidRDefault="00840E50" w:rsidP="00840E50">
            <w:pPr>
              <w:spacing w:before="0" w:after="0" w:line="240" w:lineRule="auto"/>
              <w:contextualSpacing/>
              <w:jc w:val="left"/>
              <w:rPr>
                <w:rFonts w:cs="Arial"/>
                <w:color w:val="000000"/>
                <w:sz w:val="22"/>
                <w:szCs w:val="22"/>
                <w:lang w:val="en-ZA" w:eastAsia="en-ZA"/>
              </w:rPr>
            </w:pPr>
            <w:r w:rsidRPr="008633D2">
              <w:rPr>
                <w:rFonts w:cs="Arial"/>
                <w:color w:val="000000"/>
                <w:sz w:val="22"/>
                <w:szCs w:val="22"/>
                <w:lang w:val="en-ZA" w:eastAsia="en-ZA"/>
              </w:rPr>
              <w:t>Individual Female</w:t>
            </w:r>
          </w:p>
        </w:tc>
        <w:tc>
          <w:tcPr>
            <w:tcW w:w="1168" w:type="pct"/>
            <w:tcBorders>
              <w:top w:val="nil"/>
              <w:left w:val="nil"/>
              <w:bottom w:val="single" w:sz="4" w:space="0" w:color="auto"/>
              <w:right w:val="single" w:sz="4" w:space="0" w:color="auto"/>
            </w:tcBorders>
            <w:shd w:val="clear" w:color="auto" w:fill="auto"/>
            <w:noWrap/>
            <w:vAlign w:val="center"/>
            <w:hideMark/>
          </w:tcPr>
          <w:p w:rsidR="00840E50" w:rsidRPr="008633D2" w:rsidRDefault="00840E50" w:rsidP="00840E50">
            <w:pPr>
              <w:spacing w:before="0" w:after="0" w:line="240" w:lineRule="auto"/>
              <w:contextualSpacing/>
              <w:jc w:val="right"/>
              <w:rPr>
                <w:rFonts w:cs="Arial"/>
                <w:color w:val="000000"/>
                <w:sz w:val="22"/>
                <w:szCs w:val="22"/>
                <w:lang w:val="en-ZA" w:eastAsia="en-ZA"/>
              </w:rPr>
            </w:pPr>
            <w:r w:rsidRPr="008633D2">
              <w:rPr>
                <w:rFonts w:cs="Arial"/>
                <w:color w:val="000000"/>
                <w:sz w:val="22"/>
                <w:szCs w:val="22"/>
                <w:lang w:val="en-ZA" w:eastAsia="en-ZA"/>
              </w:rPr>
              <w:t>101,031,970,370</w:t>
            </w:r>
          </w:p>
        </w:tc>
        <w:tc>
          <w:tcPr>
            <w:tcW w:w="970" w:type="pct"/>
            <w:tcBorders>
              <w:top w:val="nil"/>
              <w:left w:val="nil"/>
              <w:bottom w:val="single" w:sz="4" w:space="0" w:color="auto"/>
              <w:right w:val="single" w:sz="4" w:space="0" w:color="auto"/>
            </w:tcBorders>
            <w:shd w:val="clear" w:color="auto" w:fill="auto"/>
            <w:noWrap/>
            <w:vAlign w:val="center"/>
            <w:hideMark/>
          </w:tcPr>
          <w:p w:rsidR="00840E50" w:rsidRPr="008633D2" w:rsidRDefault="00840E50" w:rsidP="00840E50">
            <w:pPr>
              <w:spacing w:before="0" w:after="0" w:line="240" w:lineRule="auto"/>
              <w:contextualSpacing/>
              <w:jc w:val="right"/>
              <w:rPr>
                <w:rFonts w:cs="Arial"/>
                <w:color w:val="000000"/>
                <w:sz w:val="22"/>
                <w:szCs w:val="22"/>
                <w:lang w:val="en-ZA" w:eastAsia="en-ZA"/>
              </w:rPr>
            </w:pPr>
            <w:r w:rsidRPr="008633D2">
              <w:rPr>
                <w:rFonts w:cs="Arial"/>
                <w:color w:val="000000"/>
                <w:sz w:val="22"/>
                <w:szCs w:val="22"/>
                <w:lang w:val="en-ZA" w:eastAsia="en-ZA"/>
              </w:rPr>
              <w:t>5.38%</w:t>
            </w:r>
          </w:p>
        </w:tc>
        <w:tc>
          <w:tcPr>
            <w:tcW w:w="1219" w:type="pct"/>
            <w:tcBorders>
              <w:top w:val="nil"/>
              <w:left w:val="nil"/>
              <w:bottom w:val="single" w:sz="4" w:space="0" w:color="auto"/>
              <w:right w:val="single" w:sz="4" w:space="0" w:color="auto"/>
            </w:tcBorders>
            <w:vAlign w:val="center"/>
          </w:tcPr>
          <w:p w:rsidR="00840E50" w:rsidRDefault="00840E50" w:rsidP="00840E50">
            <w:pPr>
              <w:spacing w:line="240" w:lineRule="auto"/>
              <w:contextualSpacing/>
              <w:jc w:val="right"/>
              <w:rPr>
                <w:rFonts w:cs="Arial"/>
                <w:color w:val="000000"/>
                <w:sz w:val="22"/>
                <w:szCs w:val="22"/>
              </w:rPr>
            </w:pPr>
            <w:r>
              <w:rPr>
                <w:rFonts w:cs="Arial"/>
                <w:color w:val="000000"/>
                <w:sz w:val="22"/>
                <w:szCs w:val="22"/>
              </w:rPr>
              <w:t>1,578,624,537</w:t>
            </w:r>
          </w:p>
        </w:tc>
      </w:tr>
      <w:tr w:rsidR="00840E50" w:rsidRPr="008633D2" w:rsidTr="00840E50">
        <w:trPr>
          <w:divId w:val="1479765389"/>
          <w:trHeight w:val="300"/>
        </w:trPr>
        <w:tc>
          <w:tcPr>
            <w:tcW w:w="1643" w:type="pct"/>
            <w:tcBorders>
              <w:top w:val="nil"/>
              <w:left w:val="single" w:sz="4" w:space="0" w:color="auto"/>
              <w:bottom w:val="single" w:sz="4" w:space="0" w:color="auto"/>
              <w:right w:val="single" w:sz="4" w:space="0" w:color="auto"/>
            </w:tcBorders>
            <w:shd w:val="clear" w:color="auto" w:fill="auto"/>
            <w:noWrap/>
            <w:vAlign w:val="center"/>
            <w:hideMark/>
          </w:tcPr>
          <w:p w:rsidR="00840E50" w:rsidRPr="008633D2" w:rsidRDefault="00840E50" w:rsidP="00840E50">
            <w:pPr>
              <w:spacing w:before="0" w:after="0" w:line="240" w:lineRule="auto"/>
              <w:contextualSpacing/>
              <w:jc w:val="left"/>
              <w:rPr>
                <w:rFonts w:cs="Arial"/>
                <w:color w:val="000000"/>
                <w:sz w:val="22"/>
                <w:szCs w:val="22"/>
                <w:lang w:val="en-ZA" w:eastAsia="en-ZA"/>
              </w:rPr>
            </w:pPr>
            <w:r w:rsidRPr="008633D2">
              <w:rPr>
                <w:rFonts w:cs="Arial"/>
                <w:color w:val="000000"/>
                <w:sz w:val="22"/>
                <w:szCs w:val="22"/>
                <w:lang w:val="en-ZA" w:eastAsia="en-ZA"/>
              </w:rPr>
              <w:t>Individual Male</w:t>
            </w:r>
          </w:p>
        </w:tc>
        <w:tc>
          <w:tcPr>
            <w:tcW w:w="1168" w:type="pct"/>
            <w:tcBorders>
              <w:top w:val="nil"/>
              <w:left w:val="nil"/>
              <w:bottom w:val="single" w:sz="4" w:space="0" w:color="auto"/>
              <w:right w:val="single" w:sz="4" w:space="0" w:color="auto"/>
            </w:tcBorders>
            <w:shd w:val="clear" w:color="auto" w:fill="auto"/>
            <w:noWrap/>
            <w:vAlign w:val="center"/>
            <w:hideMark/>
          </w:tcPr>
          <w:p w:rsidR="00840E50" w:rsidRPr="008633D2" w:rsidRDefault="00840E50" w:rsidP="00840E50">
            <w:pPr>
              <w:spacing w:before="0" w:after="0" w:line="240" w:lineRule="auto"/>
              <w:contextualSpacing/>
              <w:jc w:val="right"/>
              <w:rPr>
                <w:rFonts w:cs="Arial"/>
                <w:color w:val="000000"/>
                <w:sz w:val="22"/>
                <w:szCs w:val="22"/>
                <w:lang w:val="en-ZA" w:eastAsia="en-ZA"/>
              </w:rPr>
            </w:pPr>
            <w:r w:rsidRPr="008633D2">
              <w:rPr>
                <w:rFonts w:cs="Arial"/>
                <w:color w:val="000000"/>
                <w:sz w:val="22"/>
                <w:szCs w:val="22"/>
                <w:lang w:val="en-ZA" w:eastAsia="en-ZA"/>
              </w:rPr>
              <w:t>831,322,996,815</w:t>
            </w:r>
          </w:p>
        </w:tc>
        <w:tc>
          <w:tcPr>
            <w:tcW w:w="970" w:type="pct"/>
            <w:tcBorders>
              <w:top w:val="nil"/>
              <w:left w:val="nil"/>
              <w:bottom w:val="single" w:sz="4" w:space="0" w:color="auto"/>
              <w:right w:val="single" w:sz="4" w:space="0" w:color="auto"/>
            </w:tcBorders>
            <w:shd w:val="clear" w:color="auto" w:fill="auto"/>
            <w:noWrap/>
            <w:vAlign w:val="center"/>
            <w:hideMark/>
          </w:tcPr>
          <w:p w:rsidR="00840E50" w:rsidRPr="008633D2" w:rsidRDefault="00840E50" w:rsidP="00840E50">
            <w:pPr>
              <w:spacing w:before="0" w:after="0" w:line="240" w:lineRule="auto"/>
              <w:contextualSpacing/>
              <w:jc w:val="right"/>
              <w:rPr>
                <w:rFonts w:cs="Arial"/>
                <w:color w:val="000000"/>
                <w:sz w:val="22"/>
                <w:szCs w:val="22"/>
                <w:lang w:val="en-ZA" w:eastAsia="en-ZA"/>
              </w:rPr>
            </w:pPr>
            <w:r w:rsidRPr="008633D2">
              <w:rPr>
                <w:rFonts w:cs="Arial"/>
                <w:color w:val="000000"/>
                <w:sz w:val="22"/>
                <w:szCs w:val="22"/>
                <w:lang w:val="en-ZA" w:eastAsia="en-ZA"/>
              </w:rPr>
              <w:t>44.23%</w:t>
            </w:r>
          </w:p>
        </w:tc>
        <w:tc>
          <w:tcPr>
            <w:tcW w:w="1219" w:type="pct"/>
            <w:tcBorders>
              <w:top w:val="nil"/>
              <w:left w:val="nil"/>
              <w:bottom w:val="single" w:sz="4" w:space="0" w:color="auto"/>
              <w:right w:val="single" w:sz="4" w:space="0" w:color="auto"/>
            </w:tcBorders>
            <w:vAlign w:val="center"/>
          </w:tcPr>
          <w:p w:rsidR="00840E50" w:rsidRDefault="00840E50" w:rsidP="00840E50">
            <w:pPr>
              <w:spacing w:line="240" w:lineRule="auto"/>
              <w:contextualSpacing/>
              <w:jc w:val="right"/>
              <w:rPr>
                <w:rFonts w:cs="Arial"/>
                <w:color w:val="000000"/>
                <w:sz w:val="22"/>
                <w:szCs w:val="22"/>
              </w:rPr>
            </w:pPr>
            <w:r>
              <w:rPr>
                <w:rFonts w:cs="Arial"/>
                <w:color w:val="000000"/>
                <w:sz w:val="22"/>
                <w:szCs w:val="22"/>
              </w:rPr>
              <w:t>1,265,331,806</w:t>
            </w:r>
          </w:p>
        </w:tc>
      </w:tr>
      <w:tr w:rsidR="00840E50" w:rsidRPr="008633D2" w:rsidTr="00840E50">
        <w:trPr>
          <w:divId w:val="1479765389"/>
          <w:trHeight w:val="300"/>
        </w:trPr>
        <w:tc>
          <w:tcPr>
            <w:tcW w:w="1643" w:type="pct"/>
            <w:tcBorders>
              <w:top w:val="nil"/>
              <w:left w:val="single" w:sz="4" w:space="0" w:color="auto"/>
              <w:bottom w:val="single" w:sz="4" w:space="0" w:color="auto"/>
              <w:right w:val="single" w:sz="4" w:space="0" w:color="auto"/>
            </w:tcBorders>
            <w:shd w:val="clear" w:color="auto" w:fill="auto"/>
            <w:noWrap/>
            <w:vAlign w:val="center"/>
            <w:hideMark/>
          </w:tcPr>
          <w:p w:rsidR="00840E50" w:rsidRPr="008633D2" w:rsidRDefault="00840E50" w:rsidP="00840E50">
            <w:pPr>
              <w:spacing w:before="0" w:after="0" w:line="240" w:lineRule="auto"/>
              <w:contextualSpacing/>
              <w:jc w:val="left"/>
              <w:rPr>
                <w:rFonts w:cs="Arial"/>
                <w:color w:val="000000"/>
                <w:sz w:val="22"/>
                <w:szCs w:val="22"/>
                <w:lang w:val="en-ZA" w:eastAsia="en-ZA"/>
              </w:rPr>
            </w:pPr>
            <w:r w:rsidRPr="008633D2">
              <w:rPr>
                <w:rFonts w:cs="Arial"/>
                <w:color w:val="000000"/>
                <w:sz w:val="22"/>
                <w:szCs w:val="22"/>
                <w:lang w:val="en-ZA" w:eastAsia="en-ZA"/>
              </w:rPr>
              <w:t>Multi-Managed Female only</w:t>
            </w:r>
          </w:p>
        </w:tc>
        <w:tc>
          <w:tcPr>
            <w:tcW w:w="1168" w:type="pct"/>
            <w:tcBorders>
              <w:top w:val="nil"/>
              <w:left w:val="nil"/>
              <w:bottom w:val="single" w:sz="4" w:space="0" w:color="auto"/>
              <w:right w:val="single" w:sz="4" w:space="0" w:color="auto"/>
            </w:tcBorders>
            <w:shd w:val="clear" w:color="auto" w:fill="auto"/>
            <w:noWrap/>
            <w:vAlign w:val="center"/>
            <w:hideMark/>
          </w:tcPr>
          <w:p w:rsidR="00840E50" w:rsidRPr="008633D2" w:rsidRDefault="00840E50" w:rsidP="00840E50">
            <w:pPr>
              <w:spacing w:before="0" w:after="0" w:line="240" w:lineRule="auto"/>
              <w:contextualSpacing/>
              <w:jc w:val="right"/>
              <w:rPr>
                <w:rFonts w:cs="Arial"/>
                <w:color w:val="000000"/>
                <w:sz w:val="22"/>
                <w:szCs w:val="22"/>
                <w:lang w:val="en-ZA" w:eastAsia="en-ZA"/>
              </w:rPr>
            </w:pPr>
            <w:r w:rsidRPr="008633D2">
              <w:rPr>
                <w:rFonts w:cs="Arial"/>
                <w:color w:val="000000"/>
                <w:sz w:val="22"/>
                <w:szCs w:val="22"/>
                <w:lang w:val="en-ZA" w:eastAsia="en-ZA"/>
              </w:rPr>
              <w:t>38,988,248,149</w:t>
            </w:r>
          </w:p>
        </w:tc>
        <w:tc>
          <w:tcPr>
            <w:tcW w:w="970" w:type="pct"/>
            <w:tcBorders>
              <w:top w:val="nil"/>
              <w:left w:val="nil"/>
              <w:bottom w:val="single" w:sz="4" w:space="0" w:color="auto"/>
              <w:right w:val="single" w:sz="4" w:space="0" w:color="auto"/>
            </w:tcBorders>
            <w:shd w:val="clear" w:color="auto" w:fill="auto"/>
            <w:noWrap/>
            <w:vAlign w:val="center"/>
            <w:hideMark/>
          </w:tcPr>
          <w:p w:rsidR="00840E50" w:rsidRPr="008633D2" w:rsidRDefault="00840E50" w:rsidP="00840E50">
            <w:pPr>
              <w:spacing w:before="0" w:after="0" w:line="240" w:lineRule="auto"/>
              <w:contextualSpacing/>
              <w:jc w:val="right"/>
              <w:rPr>
                <w:rFonts w:cs="Arial"/>
                <w:color w:val="000000"/>
                <w:sz w:val="22"/>
                <w:szCs w:val="22"/>
                <w:lang w:val="en-ZA" w:eastAsia="en-ZA"/>
              </w:rPr>
            </w:pPr>
            <w:r w:rsidRPr="008633D2">
              <w:rPr>
                <w:rFonts w:cs="Arial"/>
                <w:color w:val="000000"/>
                <w:sz w:val="22"/>
                <w:szCs w:val="22"/>
                <w:lang w:val="en-ZA" w:eastAsia="en-ZA"/>
              </w:rPr>
              <w:t>2.07%</w:t>
            </w:r>
          </w:p>
        </w:tc>
        <w:tc>
          <w:tcPr>
            <w:tcW w:w="1219" w:type="pct"/>
            <w:tcBorders>
              <w:top w:val="nil"/>
              <w:left w:val="nil"/>
              <w:bottom w:val="single" w:sz="4" w:space="0" w:color="auto"/>
              <w:right w:val="single" w:sz="4" w:space="0" w:color="auto"/>
            </w:tcBorders>
            <w:vAlign w:val="center"/>
          </w:tcPr>
          <w:p w:rsidR="00840E50" w:rsidRDefault="00840E50" w:rsidP="00840E50">
            <w:pPr>
              <w:spacing w:line="240" w:lineRule="auto"/>
              <w:contextualSpacing/>
              <w:jc w:val="right"/>
              <w:rPr>
                <w:rFonts w:cs="Arial"/>
                <w:color w:val="000000"/>
                <w:sz w:val="22"/>
                <w:szCs w:val="22"/>
              </w:rPr>
            </w:pPr>
            <w:r>
              <w:rPr>
                <w:rFonts w:cs="Arial"/>
                <w:color w:val="000000"/>
                <w:sz w:val="22"/>
                <w:szCs w:val="22"/>
              </w:rPr>
              <w:t>5,569,749,736</w:t>
            </w:r>
          </w:p>
        </w:tc>
      </w:tr>
      <w:tr w:rsidR="00840E50" w:rsidRPr="008633D2" w:rsidTr="00840E50">
        <w:trPr>
          <w:divId w:val="1479765389"/>
          <w:trHeight w:val="300"/>
        </w:trPr>
        <w:tc>
          <w:tcPr>
            <w:tcW w:w="1643" w:type="pct"/>
            <w:tcBorders>
              <w:top w:val="nil"/>
              <w:left w:val="single" w:sz="4" w:space="0" w:color="auto"/>
              <w:bottom w:val="single" w:sz="4" w:space="0" w:color="auto"/>
              <w:right w:val="single" w:sz="4" w:space="0" w:color="auto"/>
            </w:tcBorders>
            <w:shd w:val="clear" w:color="auto" w:fill="auto"/>
            <w:noWrap/>
            <w:vAlign w:val="center"/>
            <w:hideMark/>
          </w:tcPr>
          <w:p w:rsidR="00840E50" w:rsidRPr="008633D2" w:rsidRDefault="00840E50" w:rsidP="00840E50">
            <w:pPr>
              <w:spacing w:before="0" w:after="0" w:line="240" w:lineRule="auto"/>
              <w:contextualSpacing/>
              <w:jc w:val="left"/>
              <w:rPr>
                <w:rFonts w:cs="Arial"/>
                <w:color w:val="000000"/>
                <w:sz w:val="22"/>
                <w:szCs w:val="22"/>
                <w:lang w:val="en-ZA" w:eastAsia="en-ZA"/>
              </w:rPr>
            </w:pPr>
            <w:r w:rsidRPr="008633D2">
              <w:rPr>
                <w:rFonts w:cs="Arial"/>
                <w:color w:val="000000"/>
                <w:sz w:val="22"/>
                <w:szCs w:val="22"/>
                <w:lang w:val="en-ZA" w:eastAsia="en-ZA"/>
              </w:rPr>
              <w:t>Multi-Managed Male only</w:t>
            </w:r>
          </w:p>
        </w:tc>
        <w:tc>
          <w:tcPr>
            <w:tcW w:w="1168" w:type="pct"/>
            <w:tcBorders>
              <w:top w:val="nil"/>
              <w:left w:val="nil"/>
              <w:bottom w:val="single" w:sz="4" w:space="0" w:color="auto"/>
              <w:right w:val="single" w:sz="4" w:space="0" w:color="auto"/>
            </w:tcBorders>
            <w:shd w:val="clear" w:color="auto" w:fill="auto"/>
            <w:noWrap/>
            <w:vAlign w:val="center"/>
            <w:hideMark/>
          </w:tcPr>
          <w:p w:rsidR="00840E50" w:rsidRPr="008633D2" w:rsidRDefault="00840E50" w:rsidP="00840E50">
            <w:pPr>
              <w:spacing w:before="0" w:after="0" w:line="240" w:lineRule="auto"/>
              <w:contextualSpacing/>
              <w:jc w:val="right"/>
              <w:rPr>
                <w:rFonts w:cs="Arial"/>
                <w:color w:val="000000"/>
                <w:sz w:val="22"/>
                <w:szCs w:val="22"/>
                <w:lang w:val="en-ZA" w:eastAsia="en-ZA"/>
              </w:rPr>
            </w:pPr>
            <w:r w:rsidRPr="008633D2">
              <w:rPr>
                <w:rFonts w:cs="Arial"/>
                <w:color w:val="000000"/>
                <w:sz w:val="22"/>
                <w:szCs w:val="22"/>
                <w:lang w:val="en-ZA" w:eastAsia="en-ZA"/>
              </w:rPr>
              <w:t>714,854,988,772</w:t>
            </w:r>
          </w:p>
        </w:tc>
        <w:tc>
          <w:tcPr>
            <w:tcW w:w="970" w:type="pct"/>
            <w:tcBorders>
              <w:top w:val="nil"/>
              <w:left w:val="nil"/>
              <w:bottom w:val="single" w:sz="4" w:space="0" w:color="auto"/>
              <w:right w:val="single" w:sz="4" w:space="0" w:color="auto"/>
            </w:tcBorders>
            <w:shd w:val="clear" w:color="auto" w:fill="auto"/>
            <w:noWrap/>
            <w:vAlign w:val="center"/>
            <w:hideMark/>
          </w:tcPr>
          <w:p w:rsidR="00840E50" w:rsidRPr="008633D2" w:rsidRDefault="00840E50" w:rsidP="00840E50">
            <w:pPr>
              <w:spacing w:before="0" w:after="0" w:line="240" w:lineRule="auto"/>
              <w:contextualSpacing/>
              <w:jc w:val="right"/>
              <w:rPr>
                <w:rFonts w:cs="Arial"/>
                <w:color w:val="000000"/>
                <w:sz w:val="22"/>
                <w:szCs w:val="22"/>
                <w:lang w:val="en-ZA" w:eastAsia="en-ZA"/>
              </w:rPr>
            </w:pPr>
            <w:r w:rsidRPr="008633D2">
              <w:rPr>
                <w:rFonts w:cs="Arial"/>
                <w:color w:val="000000"/>
                <w:sz w:val="22"/>
                <w:szCs w:val="22"/>
                <w:lang w:val="en-ZA" w:eastAsia="en-ZA"/>
              </w:rPr>
              <w:t>38.04%</w:t>
            </w:r>
          </w:p>
        </w:tc>
        <w:tc>
          <w:tcPr>
            <w:tcW w:w="1219" w:type="pct"/>
            <w:tcBorders>
              <w:top w:val="nil"/>
              <w:left w:val="nil"/>
              <w:bottom w:val="single" w:sz="4" w:space="0" w:color="auto"/>
              <w:right w:val="single" w:sz="4" w:space="0" w:color="auto"/>
            </w:tcBorders>
            <w:vAlign w:val="center"/>
          </w:tcPr>
          <w:p w:rsidR="00840E50" w:rsidRDefault="00840E50" w:rsidP="00840E50">
            <w:pPr>
              <w:spacing w:line="240" w:lineRule="auto"/>
              <w:contextualSpacing/>
              <w:jc w:val="right"/>
              <w:rPr>
                <w:rFonts w:cs="Arial"/>
                <w:color w:val="000000"/>
                <w:sz w:val="22"/>
                <w:szCs w:val="22"/>
              </w:rPr>
            </w:pPr>
            <w:r>
              <w:rPr>
                <w:rFonts w:cs="Arial"/>
                <w:color w:val="000000"/>
                <w:sz w:val="22"/>
                <w:szCs w:val="22"/>
              </w:rPr>
              <w:t>3,340,443,873</w:t>
            </w:r>
          </w:p>
        </w:tc>
      </w:tr>
      <w:tr w:rsidR="00840E50" w:rsidRPr="008633D2" w:rsidTr="00840E50">
        <w:trPr>
          <w:divId w:val="1479765389"/>
          <w:trHeight w:val="300"/>
        </w:trPr>
        <w:tc>
          <w:tcPr>
            <w:tcW w:w="1643" w:type="pct"/>
            <w:tcBorders>
              <w:top w:val="nil"/>
              <w:left w:val="single" w:sz="4" w:space="0" w:color="auto"/>
              <w:bottom w:val="single" w:sz="4" w:space="0" w:color="auto"/>
              <w:right w:val="single" w:sz="4" w:space="0" w:color="auto"/>
            </w:tcBorders>
            <w:shd w:val="clear" w:color="auto" w:fill="auto"/>
            <w:noWrap/>
            <w:vAlign w:val="center"/>
            <w:hideMark/>
          </w:tcPr>
          <w:p w:rsidR="00840E50" w:rsidRPr="008633D2" w:rsidRDefault="00840E50" w:rsidP="00840E50">
            <w:pPr>
              <w:spacing w:before="0" w:after="0" w:line="240" w:lineRule="auto"/>
              <w:contextualSpacing/>
              <w:jc w:val="left"/>
              <w:rPr>
                <w:rFonts w:cs="Arial"/>
                <w:color w:val="000000"/>
                <w:sz w:val="22"/>
                <w:szCs w:val="22"/>
                <w:lang w:val="en-ZA" w:eastAsia="en-ZA"/>
              </w:rPr>
            </w:pPr>
            <w:r w:rsidRPr="008633D2">
              <w:rPr>
                <w:rFonts w:cs="Arial"/>
                <w:color w:val="000000"/>
                <w:sz w:val="22"/>
                <w:szCs w:val="22"/>
                <w:lang w:val="en-ZA" w:eastAsia="en-ZA"/>
              </w:rPr>
              <w:t>Multi-Managed Mixed</w:t>
            </w:r>
          </w:p>
        </w:tc>
        <w:tc>
          <w:tcPr>
            <w:tcW w:w="1168" w:type="pct"/>
            <w:tcBorders>
              <w:top w:val="nil"/>
              <w:left w:val="nil"/>
              <w:bottom w:val="single" w:sz="4" w:space="0" w:color="auto"/>
              <w:right w:val="single" w:sz="4" w:space="0" w:color="auto"/>
            </w:tcBorders>
            <w:shd w:val="clear" w:color="auto" w:fill="auto"/>
            <w:noWrap/>
            <w:vAlign w:val="center"/>
            <w:hideMark/>
          </w:tcPr>
          <w:p w:rsidR="00840E50" w:rsidRPr="008633D2" w:rsidRDefault="00840E50" w:rsidP="00840E50">
            <w:pPr>
              <w:spacing w:before="0" w:after="0" w:line="240" w:lineRule="auto"/>
              <w:contextualSpacing/>
              <w:jc w:val="right"/>
              <w:rPr>
                <w:rFonts w:cs="Arial"/>
                <w:color w:val="000000"/>
                <w:sz w:val="22"/>
                <w:szCs w:val="22"/>
                <w:lang w:val="en-ZA" w:eastAsia="en-ZA"/>
              </w:rPr>
            </w:pPr>
            <w:r w:rsidRPr="008633D2">
              <w:rPr>
                <w:rFonts w:cs="Arial"/>
                <w:color w:val="000000"/>
                <w:sz w:val="22"/>
                <w:szCs w:val="22"/>
                <w:lang w:val="en-ZA" w:eastAsia="en-ZA"/>
              </w:rPr>
              <w:t>97,073,968,472</w:t>
            </w:r>
          </w:p>
        </w:tc>
        <w:tc>
          <w:tcPr>
            <w:tcW w:w="970" w:type="pct"/>
            <w:tcBorders>
              <w:top w:val="nil"/>
              <w:left w:val="nil"/>
              <w:bottom w:val="single" w:sz="4" w:space="0" w:color="auto"/>
              <w:right w:val="single" w:sz="4" w:space="0" w:color="auto"/>
            </w:tcBorders>
            <w:shd w:val="clear" w:color="auto" w:fill="auto"/>
            <w:noWrap/>
            <w:vAlign w:val="center"/>
            <w:hideMark/>
          </w:tcPr>
          <w:p w:rsidR="00840E50" w:rsidRPr="008633D2" w:rsidRDefault="00840E50" w:rsidP="00840E50">
            <w:pPr>
              <w:spacing w:before="0" w:after="0" w:line="240" w:lineRule="auto"/>
              <w:contextualSpacing/>
              <w:jc w:val="right"/>
              <w:rPr>
                <w:rFonts w:cs="Arial"/>
                <w:color w:val="000000"/>
                <w:sz w:val="22"/>
                <w:szCs w:val="22"/>
                <w:lang w:val="en-ZA" w:eastAsia="en-ZA"/>
              </w:rPr>
            </w:pPr>
            <w:r w:rsidRPr="008633D2">
              <w:rPr>
                <w:rFonts w:cs="Arial"/>
                <w:color w:val="000000"/>
                <w:sz w:val="22"/>
                <w:szCs w:val="22"/>
                <w:lang w:val="en-ZA" w:eastAsia="en-ZA"/>
              </w:rPr>
              <w:t>5.17%</w:t>
            </w:r>
          </w:p>
        </w:tc>
        <w:tc>
          <w:tcPr>
            <w:tcW w:w="1219" w:type="pct"/>
            <w:tcBorders>
              <w:top w:val="nil"/>
              <w:left w:val="nil"/>
              <w:bottom w:val="single" w:sz="4" w:space="0" w:color="auto"/>
              <w:right w:val="single" w:sz="4" w:space="0" w:color="auto"/>
            </w:tcBorders>
            <w:vAlign w:val="center"/>
          </w:tcPr>
          <w:p w:rsidR="00840E50" w:rsidRDefault="00840E50" w:rsidP="00840E50">
            <w:pPr>
              <w:spacing w:line="240" w:lineRule="auto"/>
              <w:contextualSpacing/>
              <w:jc w:val="right"/>
              <w:rPr>
                <w:rFonts w:cs="Arial"/>
                <w:color w:val="000000"/>
                <w:sz w:val="22"/>
                <w:szCs w:val="22"/>
              </w:rPr>
            </w:pPr>
            <w:r>
              <w:rPr>
                <w:rFonts w:cs="Arial"/>
                <w:color w:val="000000"/>
                <w:sz w:val="22"/>
                <w:szCs w:val="22"/>
              </w:rPr>
              <w:t>2,696,499,124</w:t>
            </w:r>
          </w:p>
        </w:tc>
      </w:tr>
      <w:tr w:rsidR="00840E50" w:rsidRPr="008633D2" w:rsidTr="00840E50">
        <w:trPr>
          <w:divId w:val="1479765389"/>
          <w:trHeight w:val="300"/>
        </w:trPr>
        <w:tc>
          <w:tcPr>
            <w:tcW w:w="1643" w:type="pct"/>
            <w:tcBorders>
              <w:top w:val="nil"/>
              <w:left w:val="single" w:sz="4" w:space="0" w:color="auto"/>
              <w:bottom w:val="single" w:sz="4" w:space="0" w:color="auto"/>
              <w:right w:val="single" w:sz="4" w:space="0" w:color="auto"/>
            </w:tcBorders>
            <w:shd w:val="clear" w:color="auto" w:fill="auto"/>
            <w:noWrap/>
            <w:vAlign w:val="center"/>
            <w:hideMark/>
          </w:tcPr>
          <w:p w:rsidR="00840E50" w:rsidRPr="008633D2" w:rsidRDefault="00840E50" w:rsidP="00840E50">
            <w:pPr>
              <w:spacing w:before="0" w:after="0" w:line="240" w:lineRule="auto"/>
              <w:contextualSpacing/>
              <w:jc w:val="left"/>
              <w:rPr>
                <w:rFonts w:cs="Arial"/>
                <w:color w:val="000000"/>
                <w:sz w:val="22"/>
                <w:szCs w:val="22"/>
                <w:lang w:val="en-ZA" w:eastAsia="en-ZA"/>
              </w:rPr>
            </w:pPr>
            <w:r w:rsidRPr="008633D2">
              <w:rPr>
                <w:rFonts w:cs="Arial"/>
                <w:color w:val="000000"/>
                <w:sz w:val="22"/>
                <w:szCs w:val="22"/>
                <w:lang w:val="en-ZA" w:eastAsia="en-ZA"/>
              </w:rPr>
              <w:t>Not Disclosed</w:t>
            </w:r>
          </w:p>
        </w:tc>
        <w:tc>
          <w:tcPr>
            <w:tcW w:w="1168" w:type="pct"/>
            <w:tcBorders>
              <w:top w:val="nil"/>
              <w:left w:val="nil"/>
              <w:bottom w:val="single" w:sz="4" w:space="0" w:color="auto"/>
              <w:right w:val="single" w:sz="4" w:space="0" w:color="auto"/>
            </w:tcBorders>
            <w:shd w:val="clear" w:color="auto" w:fill="auto"/>
            <w:noWrap/>
            <w:vAlign w:val="center"/>
            <w:hideMark/>
          </w:tcPr>
          <w:p w:rsidR="00840E50" w:rsidRPr="008633D2" w:rsidRDefault="00840E50" w:rsidP="00840E50">
            <w:pPr>
              <w:spacing w:before="0" w:after="0" w:line="240" w:lineRule="auto"/>
              <w:contextualSpacing/>
              <w:jc w:val="right"/>
              <w:rPr>
                <w:rFonts w:cs="Arial"/>
                <w:color w:val="000000"/>
                <w:sz w:val="22"/>
                <w:szCs w:val="22"/>
                <w:lang w:val="en-ZA" w:eastAsia="en-ZA"/>
              </w:rPr>
            </w:pPr>
            <w:r w:rsidRPr="008633D2">
              <w:rPr>
                <w:rFonts w:cs="Arial"/>
                <w:color w:val="000000"/>
                <w:sz w:val="22"/>
                <w:szCs w:val="22"/>
                <w:lang w:val="en-ZA" w:eastAsia="en-ZA"/>
              </w:rPr>
              <w:t>96,140,873,952</w:t>
            </w:r>
          </w:p>
        </w:tc>
        <w:tc>
          <w:tcPr>
            <w:tcW w:w="970" w:type="pct"/>
            <w:tcBorders>
              <w:top w:val="nil"/>
              <w:left w:val="nil"/>
              <w:bottom w:val="single" w:sz="4" w:space="0" w:color="auto"/>
              <w:right w:val="single" w:sz="4" w:space="0" w:color="auto"/>
            </w:tcBorders>
            <w:shd w:val="clear" w:color="auto" w:fill="auto"/>
            <w:noWrap/>
            <w:vAlign w:val="center"/>
            <w:hideMark/>
          </w:tcPr>
          <w:p w:rsidR="00840E50" w:rsidRPr="008633D2" w:rsidRDefault="00840E50" w:rsidP="00840E50">
            <w:pPr>
              <w:spacing w:before="0" w:after="0" w:line="240" w:lineRule="auto"/>
              <w:contextualSpacing/>
              <w:jc w:val="right"/>
              <w:rPr>
                <w:rFonts w:cs="Arial"/>
                <w:color w:val="000000"/>
                <w:sz w:val="22"/>
                <w:szCs w:val="22"/>
                <w:lang w:val="en-ZA" w:eastAsia="en-ZA"/>
              </w:rPr>
            </w:pPr>
            <w:r w:rsidRPr="008633D2">
              <w:rPr>
                <w:rFonts w:cs="Arial"/>
                <w:color w:val="000000"/>
                <w:sz w:val="22"/>
                <w:szCs w:val="22"/>
                <w:lang w:val="en-ZA" w:eastAsia="en-ZA"/>
              </w:rPr>
              <w:t>5.12%</w:t>
            </w:r>
          </w:p>
        </w:tc>
        <w:tc>
          <w:tcPr>
            <w:tcW w:w="1219" w:type="pct"/>
            <w:tcBorders>
              <w:top w:val="nil"/>
              <w:left w:val="nil"/>
              <w:bottom w:val="single" w:sz="4" w:space="0" w:color="auto"/>
              <w:right w:val="single" w:sz="4" w:space="0" w:color="auto"/>
            </w:tcBorders>
            <w:vAlign w:val="center"/>
          </w:tcPr>
          <w:p w:rsidR="00840E50" w:rsidRDefault="00840E50" w:rsidP="00840E50">
            <w:pPr>
              <w:spacing w:line="240" w:lineRule="auto"/>
              <w:contextualSpacing/>
              <w:jc w:val="right"/>
              <w:rPr>
                <w:rFonts w:cs="Arial"/>
                <w:color w:val="000000"/>
                <w:sz w:val="22"/>
                <w:szCs w:val="22"/>
              </w:rPr>
            </w:pPr>
            <w:r>
              <w:rPr>
                <w:rFonts w:cs="Arial"/>
                <w:color w:val="000000"/>
                <w:sz w:val="22"/>
                <w:szCs w:val="22"/>
              </w:rPr>
              <w:t>1,033,772,838</w:t>
            </w:r>
          </w:p>
        </w:tc>
      </w:tr>
      <w:tr w:rsidR="00840E50" w:rsidRPr="008633D2" w:rsidTr="00840E50">
        <w:trPr>
          <w:divId w:val="1479765389"/>
          <w:trHeight w:val="300"/>
        </w:trPr>
        <w:tc>
          <w:tcPr>
            <w:tcW w:w="1643" w:type="pct"/>
            <w:tcBorders>
              <w:top w:val="nil"/>
              <w:left w:val="single" w:sz="4" w:space="0" w:color="auto"/>
              <w:bottom w:val="single" w:sz="4" w:space="0" w:color="auto"/>
              <w:right w:val="single" w:sz="4" w:space="0" w:color="auto"/>
            </w:tcBorders>
            <w:shd w:val="clear" w:color="000000" w:fill="95B3D7"/>
            <w:noWrap/>
            <w:vAlign w:val="center"/>
            <w:hideMark/>
          </w:tcPr>
          <w:p w:rsidR="00840E50" w:rsidRPr="008633D2" w:rsidRDefault="00840E50" w:rsidP="00840E50">
            <w:pPr>
              <w:spacing w:before="0" w:after="0" w:line="240" w:lineRule="auto"/>
              <w:contextualSpacing/>
              <w:jc w:val="center"/>
              <w:rPr>
                <w:rFonts w:cs="Arial"/>
                <w:b/>
                <w:bCs/>
                <w:i/>
                <w:iCs/>
                <w:color w:val="000000"/>
                <w:sz w:val="22"/>
                <w:szCs w:val="22"/>
                <w:lang w:val="en-ZA" w:eastAsia="en-ZA"/>
              </w:rPr>
            </w:pPr>
            <w:r w:rsidRPr="008633D2">
              <w:rPr>
                <w:rFonts w:cs="Arial"/>
                <w:b/>
                <w:bCs/>
                <w:i/>
                <w:iCs/>
                <w:color w:val="000000"/>
                <w:sz w:val="22"/>
                <w:szCs w:val="22"/>
                <w:lang w:val="en-ZA" w:eastAsia="en-ZA"/>
              </w:rPr>
              <w:t>Total</w:t>
            </w:r>
          </w:p>
        </w:tc>
        <w:tc>
          <w:tcPr>
            <w:tcW w:w="1168" w:type="pct"/>
            <w:tcBorders>
              <w:top w:val="nil"/>
              <w:left w:val="nil"/>
              <w:bottom w:val="single" w:sz="4" w:space="0" w:color="auto"/>
              <w:right w:val="single" w:sz="4" w:space="0" w:color="auto"/>
            </w:tcBorders>
            <w:shd w:val="clear" w:color="000000" w:fill="95B3D7"/>
            <w:noWrap/>
            <w:vAlign w:val="center"/>
            <w:hideMark/>
          </w:tcPr>
          <w:p w:rsidR="00840E50" w:rsidRPr="008633D2" w:rsidRDefault="00840E50" w:rsidP="00840E50">
            <w:pPr>
              <w:spacing w:before="0" w:after="0" w:line="240" w:lineRule="auto"/>
              <w:contextualSpacing/>
              <w:jc w:val="right"/>
              <w:rPr>
                <w:rFonts w:cs="Arial"/>
                <w:b/>
                <w:bCs/>
                <w:color w:val="000000"/>
                <w:sz w:val="22"/>
                <w:szCs w:val="22"/>
                <w:lang w:val="en-ZA" w:eastAsia="en-ZA"/>
              </w:rPr>
            </w:pPr>
            <w:r w:rsidRPr="008633D2">
              <w:rPr>
                <w:rFonts w:cs="Arial"/>
                <w:b/>
                <w:bCs/>
                <w:color w:val="000000"/>
                <w:sz w:val="22"/>
                <w:szCs w:val="22"/>
                <w:lang w:val="en-ZA" w:eastAsia="en-ZA"/>
              </w:rPr>
              <w:t>1,879,413,046,530</w:t>
            </w:r>
          </w:p>
        </w:tc>
        <w:tc>
          <w:tcPr>
            <w:tcW w:w="970" w:type="pct"/>
            <w:tcBorders>
              <w:top w:val="nil"/>
              <w:left w:val="nil"/>
              <w:bottom w:val="single" w:sz="4" w:space="0" w:color="auto"/>
              <w:right w:val="single" w:sz="4" w:space="0" w:color="auto"/>
            </w:tcBorders>
            <w:shd w:val="clear" w:color="000000" w:fill="95B3D7"/>
            <w:noWrap/>
            <w:vAlign w:val="center"/>
            <w:hideMark/>
          </w:tcPr>
          <w:p w:rsidR="00840E50" w:rsidRPr="008633D2" w:rsidRDefault="00840E50" w:rsidP="00840E50">
            <w:pPr>
              <w:spacing w:before="0" w:after="0" w:line="240" w:lineRule="auto"/>
              <w:contextualSpacing/>
              <w:jc w:val="right"/>
              <w:rPr>
                <w:rFonts w:cs="Arial"/>
                <w:b/>
                <w:bCs/>
                <w:color w:val="000000"/>
                <w:sz w:val="22"/>
                <w:szCs w:val="22"/>
                <w:lang w:val="en-ZA" w:eastAsia="en-ZA"/>
              </w:rPr>
            </w:pPr>
            <w:r w:rsidRPr="008633D2">
              <w:rPr>
                <w:rFonts w:cs="Arial"/>
                <w:b/>
                <w:bCs/>
                <w:color w:val="000000"/>
                <w:sz w:val="22"/>
                <w:szCs w:val="22"/>
                <w:lang w:val="en-ZA" w:eastAsia="en-ZA"/>
              </w:rPr>
              <w:t>100%</w:t>
            </w:r>
          </w:p>
        </w:tc>
        <w:tc>
          <w:tcPr>
            <w:tcW w:w="1219" w:type="pct"/>
            <w:tcBorders>
              <w:top w:val="nil"/>
              <w:left w:val="nil"/>
              <w:bottom w:val="single" w:sz="4" w:space="0" w:color="auto"/>
              <w:right w:val="single" w:sz="4" w:space="0" w:color="auto"/>
            </w:tcBorders>
            <w:shd w:val="clear" w:color="000000" w:fill="95B3D7"/>
            <w:vAlign w:val="center"/>
          </w:tcPr>
          <w:p w:rsidR="00840E50" w:rsidRDefault="00840E50" w:rsidP="00840E50">
            <w:pPr>
              <w:spacing w:line="240" w:lineRule="auto"/>
              <w:contextualSpacing/>
              <w:jc w:val="right"/>
              <w:rPr>
                <w:rFonts w:cs="Arial"/>
                <w:b/>
                <w:bCs/>
                <w:color w:val="000000"/>
                <w:sz w:val="22"/>
                <w:szCs w:val="22"/>
              </w:rPr>
            </w:pPr>
            <w:r>
              <w:rPr>
                <w:rFonts w:cs="Arial"/>
                <w:b/>
                <w:bCs/>
                <w:color w:val="000000"/>
                <w:sz w:val="22"/>
                <w:szCs w:val="22"/>
              </w:rPr>
              <w:t>15,484,421,914</w:t>
            </w:r>
          </w:p>
        </w:tc>
      </w:tr>
    </w:tbl>
    <w:p w:rsidR="00BB5EA5" w:rsidRDefault="00655A3A" w:rsidP="00840E50">
      <w:pPr>
        <w:pStyle w:val="CommentText"/>
        <w:rPr>
          <w:lang w:val="en-ZA"/>
        </w:rPr>
      </w:pPr>
      <w:r w:rsidRPr="008633D2">
        <w:rPr>
          <w:lang w:val="en-ZA"/>
        </w:rPr>
        <w:fldChar w:fldCharType="end"/>
      </w:r>
    </w:p>
    <w:p w:rsidR="00840E50" w:rsidRPr="008633D2" w:rsidRDefault="00840E50" w:rsidP="00840E50">
      <w:pPr>
        <w:pStyle w:val="CommentText"/>
        <w:rPr>
          <w:lang w:val="en-ZA"/>
        </w:rPr>
      </w:pPr>
    </w:p>
    <w:p w:rsidR="006A46AD" w:rsidRPr="008633D2" w:rsidRDefault="006A46AD" w:rsidP="00956FB3">
      <w:pPr>
        <w:pStyle w:val="Heading3"/>
        <w:rPr>
          <w:lang w:val="en-ZA"/>
        </w:rPr>
      </w:pPr>
      <w:bookmarkStart w:id="230" w:name="_Toc458610818"/>
      <w:r w:rsidRPr="008633D2">
        <w:rPr>
          <w:lang w:val="en-ZA"/>
        </w:rPr>
        <w:t xml:space="preserve">Results pertaining to the </w:t>
      </w:r>
      <w:r w:rsidR="00A141B4" w:rsidRPr="008633D2">
        <w:rPr>
          <w:lang w:val="en-ZA"/>
        </w:rPr>
        <w:t>riskiness</w:t>
      </w:r>
      <w:r w:rsidRPr="008633D2">
        <w:rPr>
          <w:lang w:val="en-ZA"/>
        </w:rPr>
        <w:t xml:space="preserve"> of the funds managed</w:t>
      </w:r>
      <w:bookmarkEnd w:id="230"/>
      <w:r w:rsidRPr="008633D2">
        <w:rPr>
          <w:lang w:val="en-ZA"/>
        </w:rPr>
        <w:t xml:space="preserve"> </w:t>
      </w:r>
    </w:p>
    <w:p w:rsidR="00780CC2" w:rsidRPr="008633D2" w:rsidRDefault="00724124" w:rsidP="006A46AD">
      <w:pPr>
        <w:rPr>
          <w:lang w:val="en-ZA"/>
        </w:rPr>
      </w:pPr>
      <w:r w:rsidRPr="008633D2">
        <w:rPr>
          <w:lang w:val="en-ZA"/>
        </w:rPr>
        <w:t>In order to assess if there is significant difference in the amount of risk female managed funds are exposed to above the market versus male man</w:t>
      </w:r>
      <w:r w:rsidR="00444611" w:rsidRPr="008633D2">
        <w:rPr>
          <w:lang w:val="en-ZA"/>
        </w:rPr>
        <w:t xml:space="preserve">aged funds, the beta of </w:t>
      </w:r>
      <w:r w:rsidR="00527456">
        <w:rPr>
          <w:lang w:val="en-ZA"/>
        </w:rPr>
        <w:t xml:space="preserve">all </w:t>
      </w:r>
      <w:r w:rsidR="00444611" w:rsidRPr="008633D2">
        <w:rPr>
          <w:lang w:val="en-ZA"/>
        </w:rPr>
        <w:t xml:space="preserve">funds </w:t>
      </w:r>
      <w:r w:rsidR="00527456">
        <w:rPr>
          <w:lang w:val="en-ZA"/>
        </w:rPr>
        <w:t>are place into buckets</w:t>
      </w:r>
      <w:r w:rsidR="00084A6F">
        <w:rPr>
          <w:lang w:val="en-ZA"/>
        </w:rPr>
        <w:t xml:space="preserve"> </w:t>
      </w:r>
      <w:r w:rsidR="00840E50">
        <w:rPr>
          <w:lang w:val="en-ZA"/>
        </w:rPr>
        <w:t>(as described in section 3.6.7)</w:t>
      </w:r>
      <w:r w:rsidRPr="008633D2">
        <w:rPr>
          <w:lang w:val="en-ZA"/>
        </w:rPr>
        <w:t xml:space="preserve"> and the </w:t>
      </w:r>
      <w:r w:rsidR="00840E50">
        <w:rPr>
          <w:lang w:val="en-ZA"/>
        </w:rPr>
        <w:t>percentage of funds p</w:t>
      </w:r>
      <w:r w:rsidRPr="008633D2">
        <w:rPr>
          <w:lang w:val="en-ZA"/>
        </w:rPr>
        <w:t xml:space="preserve">er bucket </w:t>
      </w:r>
      <w:r w:rsidR="00527456">
        <w:rPr>
          <w:lang w:val="en-ZA"/>
        </w:rPr>
        <w:t xml:space="preserve">is </w:t>
      </w:r>
      <w:r w:rsidRPr="008633D2">
        <w:rPr>
          <w:lang w:val="en-ZA"/>
        </w:rPr>
        <w:t>calculated</w:t>
      </w:r>
      <w:r w:rsidR="007969E2" w:rsidRPr="008633D2">
        <w:rPr>
          <w:lang w:val="en-ZA"/>
        </w:rPr>
        <w:t xml:space="preserve">. </w:t>
      </w:r>
      <w:r w:rsidR="005F080A">
        <w:rPr>
          <w:lang w:val="en-ZA"/>
        </w:rPr>
        <w:t>Figure 6 provides a graphical representation of risk profiles of male managed funds and of female managed funds.</w:t>
      </w:r>
      <w:r w:rsidR="00ED7F2C" w:rsidRPr="008633D2">
        <w:rPr>
          <w:lang w:val="en-ZA"/>
        </w:rPr>
        <w:t xml:space="preserve"> </w:t>
      </w:r>
    </w:p>
    <w:p w:rsidR="00956FB3" w:rsidRPr="008633D2" w:rsidRDefault="00956FB3" w:rsidP="006A46AD">
      <w:pPr>
        <w:rPr>
          <w:lang w:val="en-ZA"/>
        </w:rPr>
      </w:pPr>
    </w:p>
    <w:p w:rsidR="00BE0FB7" w:rsidRPr="008633D2" w:rsidRDefault="00780CC2" w:rsidP="00BE0FB7">
      <w:pPr>
        <w:jc w:val="center"/>
        <w:rPr>
          <w:lang w:val="en-ZA"/>
        </w:rPr>
      </w:pPr>
      <w:r w:rsidRPr="008633D2">
        <w:rPr>
          <w:noProof/>
          <w:lang w:val="en-ZA" w:eastAsia="en-ZA"/>
        </w:rPr>
        <w:drawing>
          <wp:inline distT="0" distB="0" distL="0" distR="0" wp14:anchorId="3A62F548" wp14:editId="0EE93A3E">
            <wp:extent cx="5061397" cy="3271233"/>
            <wp:effectExtent l="38100" t="38100" r="44450" b="4381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084A6F" w:rsidRPr="008633D2" w:rsidRDefault="00084A6F" w:rsidP="00084A6F">
      <w:pPr>
        <w:pStyle w:val="Caption"/>
        <w:keepNext/>
        <w:jc w:val="center"/>
        <w:rPr>
          <w:lang w:val="en-ZA"/>
        </w:rPr>
      </w:pPr>
      <w:bookmarkStart w:id="231" w:name="_Toc458610890"/>
      <w:r w:rsidRPr="008633D2">
        <w:rPr>
          <w:lang w:val="en-ZA"/>
        </w:rPr>
        <w:t xml:space="preserve">Figure </w:t>
      </w:r>
      <w:r w:rsidR="00E52E42">
        <w:rPr>
          <w:lang w:val="en-ZA"/>
        </w:rPr>
        <w:fldChar w:fldCharType="begin"/>
      </w:r>
      <w:r w:rsidR="00E52E42">
        <w:rPr>
          <w:lang w:val="en-ZA"/>
        </w:rPr>
        <w:instrText xml:space="preserve"> SEQ Figure \* ARABIC </w:instrText>
      </w:r>
      <w:r w:rsidR="00E52E42">
        <w:rPr>
          <w:lang w:val="en-ZA"/>
        </w:rPr>
        <w:fldChar w:fldCharType="separate"/>
      </w:r>
      <w:r w:rsidR="00C456D9">
        <w:rPr>
          <w:noProof/>
          <w:lang w:val="en-ZA"/>
        </w:rPr>
        <w:t>6</w:t>
      </w:r>
      <w:r w:rsidR="00E52E42">
        <w:rPr>
          <w:lang w:val="en-ZA"/>
        </w:rPr>
        <w:fldChar w:fldCharType="end"/>
      </w:r>
      <w:r w:rsidRPr="008633D2">
        <w:rPr>
          <w:lang w:val="en-ZA"/>
        </w:rPr>
        <w:t>: Graphical representation of the beta</w:t>
      </w:r>
      <w:r>
        <w:rPr>
          <w:lang w:val="en-ZA"/>
        </w:rPr>
        <w:t xml:space="preserve"> profile</w:t>
      </w:r>
      <w:r w:rsidRPr="008633D2">
        <w:rPr>
          <w:lang w:val="en-ZA"/>
        </w:rPr>
        <w:t xml:space="preserve"> of male managed funds compared to female managed funds</w:t>
      </w:r>
      <w:bookmarkEnd w:id="231"/>
    </w:p>
    <w:p w:rsidR="005F080A" w:rsidRDefault="005F080A" w:rsidP="00ED7F2C">
      <w:pPr>
        <w:rPr>
          <w:lang w:val="en-ZA"/>
        </w:rPr>
      </w:pPr>
    </w:p>
    <w:p w:rsidR="00BB5EA5" w:rsidRPr="008633D2" w:rsidRDefault="00ED7F2C" w:rsidP="00ED7F2C">
      <w:pPr>
        <w:rPr>
          <w:lang w:val="en-ZA"/>
        </w:rPr>
      </w:pPr>
      <w:r w:rsidRPr="008633D2">
        <w:rPr>
          <w:lang w:val="en-ZA"/>
        </w:rPr>
        <w:t xml:space="preserve">The standard deviation of the </w:t>
      </w:r>
      <w:r w:rsidR="005F080A">
        <w:rPr>
          <w:lang w:val="en-ZA"/>
        </w:rPr>
        <w:t>range of female beta’s and of male beta’s is shown in table 8</w:t>
      </w:r>
      <w:r w:rsidR="008633D2" w:rsidRPr="008633D2">
        <w:rPr>
          <w:lang w:val="en-ZA"/>
        </w:rPr>
        <w:t xml:space="preserve">. </w:t>
      </w:r>
      <w:r w:rsidRPr="008633D2">
        <w:rPr>
          <w:lang w:val="en-ZA"/>
        </w:rPr>
        <w:t>It can be seen that the difference in the standard deviation is insignificant</w:t>
      </w:r>
      <w:r w:rsidR="00956FB3" w:rsidRPr="008633D2">
        <w:rPr>
          <w:lang w:val="en-ZA"/>
        </w:rPr>
        <w:t>.</w:t>
      </w:r>
    </w:p>
    <w:p w:rsidR="00BE0FB7" w:rsidRPr="008633D2" w:rsidRDefault="00780CC2" w:rsidP="003D316E">
      <w:pPr>
        <w:rPr>
          <w:lang w:val="en-ZA"/>
        </w:rPr>
      </w:pPr>
      <w:r w:rsidRPr="000064FB">
        <w:rPr>
          <w:lang w:val="en-ZA"/>
        </w:rPr>
        <w:fldChar w:fldCharType="begin"/>
      </w:r>
      <w:r w:rsidRPr="008633D2">
        <w:rPr>
          <w:lang w:val="en-ZA"/>
        </w:rPr>
        <w:instrText xml:space="preserve"> LINK </w:instrText>
      </w:r>
      <w:r w:rsidR="005F2182">
        <w:rPr>
          <w:lang w:val="en-ZA"/>
        </w:rPr>
        <w:instrText xml:space="preserve">Excel.Sheet.12 C:\\Users\\archaryn\\Documents\\MBA\\Research\\Data_v2.xlsx "Summary of results!R71C8:R72C10" </w:instrText>
      </w:r>
      <w:r w:rsidRPr="008633D2">
        <w:rPr>
          <w:lang w:val="en-ZA"/>
        </w:rPr>
        <w:instrText xml:space="preserve">\a \f 4 \h </w:instrText>
      </w:r>
      <w:r w:rsidR="00BE0FB7" w:rsidRPr="008633D2">
        <w:rPr>
          <w:lang w:val="en-ZA"/>
        </w:rPr>
        <w:instrText xml:space="preserve"> \* MERGEFORMAT </w:instrText>
      </w:r>
      <w:r w:rsidRPr="000064FB">
        <w:rPr>
          <w:lang w:val="en-ZA"/>
        </w:rPr>
        <w:fldChar w:fldCharType="separate"/>
      </w:r>
    </w:p>
    <w:p w:rsidR="003D316E" w:rsidRPr="008633D2" w:rsidRDefault="003D316E" w:rsidP="003D316E">
      <w:pPr>
        <w:pStyle w:val="Caption"/>
        <w:keepNext/>
        <w:jc w:val="center"/>
        <w:divId w:val="1465348677"/>
        <w:rPr>
          <w:lang w:val="en-ZA"/>
        </w:rPr>
      </w:pPr>
      <w:bookmarkStart w:id="232" w:name="_Toc458610853"/>
      <w:r w:rsidRPr="008633D2">
        <w:rPr>
          <w:lang w:val="en-ZA"/>
        </w:rPr>
        <w:t xml:space="preserve">Table </w:t>
      </w:r>
      <w:r w:rsidRPr="008633D2">
        <w:rPr>
          <w:lang w:val="en-ZA"/>
        </w:rPr>
        <w:fldChar w:fldCharType="begin"/>
      </w:r>
      <w:r w:rsidRPr="008633D2">
        <w:rPr>
          <w:lang w:val="en-ZA"/>
        </w:rPr>
        <w:instrText xml:space="preserve"> SEQ Table \* ARABIC </w:instrText>
      </w:r>
      <w:r w:rsidRPr="008633D2">
        <w:rPr>
          <w:lang w:val="en-ZA"/>
        </w:rPr>
        <w:fldChar w:fldCharType="separate"/>
      </w:r>
      <w:r w:rsidR="00C456D9">
        <w:rPr>
          <w:noProof/>
          <w:lang w:val="en-ZA"/>
        </w:rPr>
        <w:t>8</w:t>
      </w:r>
      <w:r w:rsidRPr="008633D2">
        <w:rPr>
          <w:lang w:val="en-ZA"/>
        </w:rPr>
        <w:fldChar w:fldCharType="end"/>
      </w:r>
      <w:r w:rsidRPr="008633D2">
        <w:rPr>
          <w:lang w:val="en-ZA"/>
        </w:rPr>
        <w:t>: Standard Deviation in the riskiness of funds based on gender</w:t>
      </w:r>
      <w:bookmarkEnd w:id="232"/>
    </w:p>
    <w:tbl>
      <w:tblPr>
        <w:tblW w:w="5000" w:type="pct"/>
        <w:jc w:val="center"/>
        <w:tblLook w:val="04A0" w:firstRow="1" w:lastRow="0" w:firstColumn="1" w:lastColumn="0" w:noHBand="0" w:noVBand="1"/>
      </w:tblPr>
      <w:tblGrid>
        <w:gridCol w:w="3225"/>
        <w:gridCol w:w="2914"/>
        <w:gridCol w:w="2815"/>
      </w:tblGrid>
      <w:tr w:rsidR="00E453F8" w:rsidRPr="008633D2" w:rsidTr="00BE0FB7">
        <w:trPr>
          <w:divId w:val="1465348677"/>
          <w:trHeight w:val="397"/>
          <w:jc w:val="center"/>
        </w:trPr>
        <w:tc>
          <w:tcPr>
            <w:tcW w:w="1801" w:type="pct"/>
            <w:tcBorders>
              <w:top w:val="single" w:sz="4" w:space="0" w:color="auto"/>
              <w:left w:val="single" w:sz="4" w:space="0" w:color="auto"/>
              <w:bottom w:val="single" w:sz="4" w:space="0" w:color="auto"/>
              <w:right w:val="single" w:sz="4" w:space="0" w:color="auto"/>
            </w:tcBorders>
            <w:shd w:val="clear" w:color="000000" w:fill="366092"/>
            <w:noWrap/>
            <w:vAlign w:val="center"/>
            <w:hideMark/>
          </w:tcPr>
          <w:p w:rsidR="00E453F8" w:rsidRPr="008633D2" w:rsidRDefault="00E453F8" w:rsidP="00BE0FB7">
            <w:pPr>
              <w:spacing w:before="0" w:after="0" w:line="240" w:lineRule="auto"/>
              <w:rPr>
                <w:rFonts w:cs="Arial"/>
                <w:b/>
                <w:bCs/>
                <w:color w:val="FFFFFF"/>
                <w:sz w:val="22"/>
                <w:szCs w:val="22"/>
                <w:lang w:val="en-ZA" w:eastAsia="en-ZA"/>
              </w:rPr>
            </w:pPr>
            <w:r w:rsidRPr="008633D2">
              <w:rPr>
                <w:rFonts w:cs="Arial"/>
                <w:b/>
                <w:bCs/>
                <w:color w:val="FFFFFF"/>
                <w:sz w:val="22"/>
                <w:szCs w:val="22"/>
                <w:lang w:val="en-ZA" w:eastAsia="en-ZA"/>
              </w:rPr>
              <w:t>Std Dev of Female funds</w:t>
            </w:r>
          </w:p>
        </w:tc>
        <w:tc>
          <w:tcPr>
            <w:tcW w:w="1627" w:type="pct"/>
            <w:tcBorders>
              <w:top w:val="single" w:sz="4" w:space="0" w:color="auto"/>
              <w:left w:val="nil"/>
              <w:bottom w:val="single" w:sz="4" w:space="0" w:color="auto"/>
              <w:right w:val="single" w:sz="4" w:space="0" w:color="auto"/>
            </w:tcBorders>
            <w:shd w:val="clear" w:color="000000" w:fill="366092"/>
            <w:noWrap/>
            <w:vAlign w:val="center"/>
            <w:hideMark/>
          </w:tcPr>
          <w:p w:rsidR="00E453F8" w:rsidRPr="008633D2" w:rsidRDefault="00E453F8" w:rsidP="00BE0FB7">
            <w:pPr>
              <w:spacing w:before="0" w:after="0" w:line="240" w:lineRule="auto"/>
              <w:jc w:val="center"/>
              <w:rPr>
                <w:rFonts w:cs="Arial"/>
                <w:b/>
                <w:bCs/>
                <w:color w:val="FFFFFF"/>
                <w:sz w:val="22"/>
                <w:szCs w:val="22"/>
                <w:lang w:val="en-ZA" w:eastAsia="en-ZA"/>
              </w:rPr>
            </w:pPr>
            <w:r w:rsidRPr="008633D2">
              <w:rPr>
                <w:rFonts w:cs="Arial"/>
                <w:b/>
                <w:bCs/>
                <w:color w:val="FFFFFF"/>
                <w:sz w:val="22"/>
                <w:szCs w:val="22"/>
                <w:lang w:val="en-ZA" w:eastAsia="en-ZA"/>
              </w:rPr>
              <w:t>Std Dev of Male funds</w:t>
            </w:r>
          </w:p>
        </w:tc>
        <w:tc>
          <w:tcPr>
            <w:tcW w:w="1572" w:type="pct"/>
            <w:tcBorders>
              <w:top w:val="single" w:sz="4" w:space="0" w:color="auto"/>
              <w:left w:val="nil"/>
              <w:bottom w:val="single" w:sz="4" w:space="0" w:color="auto"/>
              <w:right w:val="single" w:sz="4" w:space="0" w:color="auto"/>
            </w:tcBorders>
            <w:shd w:val="clear" w:color="000000" w:fill="366092"/>
            <w:noWrap/>
            <w:vAlign w:val="center"/>
            <w:hideMark/>
          </w:tcPr>
          <w:p w:rsidR="00E453F8" w:rsidRPr="008633D2" w:rsidRDefault="00E453F8" w:rsidP="00BE0FB7">
            <w:pPr>
              <w:spacing w:before="0" w:after="0" w:line="240" w:lineRule="auto"/>
              <w:jc w:val="center"/>
              <w:rPr>
                <w:rFonts w:cs="Arial"/>
                <w:b/>
                <w:bCs/>
                <w:color w:val="FFFFFF"/>
                <w:sz w:val="22"/>
                <w:szCs w:val="22"/>
                <w:lang w:val="en-ZA" w:eastAsia="en-ZA"/>
              </w:rPr>
            </w:pPr>
            <w:r w:rsidRPr="008633D2">
              <w:rPr>
                <w:rFonts w:cs="Arial"/>
                <w:b/>
                <w:bCs/>
                <w:color w:val="FFFFFF"/>
                <w:sz w:val="22"/>
                <w:szCs w:val="22"/>
                <w:lang w:val="en-ZA" w:eastAsia="en-ZA"/>
              </w:rPr>
              <w:t>Difference in Std Dev</w:t>
            </w:r>
          </w:p>
        </w:tc>
      </w:tr>
      <w:tr w:rsidR="00E453F8" w:rsidRPr="008633D2" w:rsidTr="00BE0FB7">
        <w:trPr>
          <w:divId w:val="1465348677"/>
          <w:trHeight w:val="397"/>
          <w:jc w:val="center"/>
        </w:trPr>
        <w:tc>
          <w:tcPr>
            <w:tcW w:w="1801" w:type="pct"/>
            <w:tcBorders>
              <w:top w:val="nil"/>
              <w:left w:val="single" w:sz="4" w:space="0" w:color="auto"/>
              <w:bottom w:val="single" w:sz="4" w:space="0" w:color="auto"/>
              <w:right w:val="single" w:sz="4" w:space="0" w:color="auto"/>
            </w:tcBorders>
            <w:shd w:val="clear" w:color="auto" w:fill="auto"/>
            <w:noWrap/>
            <w:vAlign w:val="center"/>
            <w:hideMark/>
          </w:tcPr>
          <w:p w:rsidR="00E453F8" w:rsidRPr="008633D2" w:rsidRDefault="00E453F8" w:rsidP="00BE0FB7">
            <w:pPr>
              <w:spacing w:before="0" w:after="0" w:line="240" w:lineRule="auto"/>
              <w:jc w:val="center"/>
              <w:rPr>
                <w:rFonts w:cs="Arial"/>
                <w:color w:val="000000"/>
                <w:sz w:val="22"/>
                <w:szCs w:val="22"/>
                <w:lang w:val="en-ZA" w:eastAsia="en-ZA"/>
              </w:rPr>
            </w:pPr>
            <w:r w:rsidRPr="008633D2">
              <w:rPr>
                <w:rFonts w:cs="Arial"/>
                <w:color w:val="000000"/>
                <w:sz w:val="22"/>
                <w:szCs w:val="22"/>
                <w:lang w:val="en-ZA" w:eastAsia="en-ZA"/>
              </w:rPr>
              <w:t>4.31%</w:t>
            </w:r>
          </w:p>
        </w:tc>
        <w:tc>
          <w:tcPr>
            <w:tcW w:w="1627" w:type="pct"/>
            <w:tcBorders>
              <w:top w:val="nil"/>
              <w:left w:val="nil"/>
              <w:bottom w:val="single" w:sz="4" w:space="0" w:color="auto"/>
              <w:right w:val="single" w:sz="4" w:space="0" w:color="auto"/>
            </w:tcBorders>
            <w:shd w:val="clear" w:color="auto" w:fill="auto"/>
            <w:noWrap/>
            <w:vAlign w:val="center"/>
            <w:hideMark/>
          </w:tcPr>
          <w:p w:rsidR="00E453F8" w:rsidRPr="008633D2" w:rsidRDefault="00E453F8" w:rsidP="00BE0FB7">
            <w:pPr>
              <w:spacing w:before="0" w:after="0" w:line="240" w:lineRule="auto"/>
              <w:jc w:val="center"/>
              <w:rPr>
                <w:rFonts w:cs="Arial"/>
                <w:color w:val="000000"/>
                <w:sz w:val="22"/>
                <w:szCs w:val="22"/>
                <w:lang w:val="en-ZA" w:eastAsia="en-ZA"/>
              </w:rPr>
            </w:pPr>
            <w:r w:rsidRPr="008633D2">
              <w:rPr>
                <w:rFonts w:cs="Arial"/>
                <w:color w:val="000000"/>
                <w:sz w:val="22"/>
                <w:szCs w:val="22"/>
                <w:lang w:val="en-ZA" w:eastAsia="en-ZA"/>
              </w:rPr>
              <w:t>4.41%</w:t>
            </w:r>
          </w:p>
        </w:tc>
        <w:tc>
          <w:tcPr>
            <w:tcW w:w="1572" w:type="pct"/>
            <w:tcBorders>
              <w:top w:val="nil"/>
              <w:left w:val="nil"/>
              <w:bottom w:val="single" w:sz="4" w:space="0" w:color="auto"/>
              <w:right w:val="single" w:sz="4" w:space="0" w:color="auto"/>
            </w:tcBorders>
            <w:shd w:val="clear" w:color="auto" w:fill="auto"/>
            <w:noWrap/>
            <w:vAlign w:val="center"/>
            <w:hideMark/>
          </w:tcPr>
          <w:p w:rsidR="00E453F8" w:rsidRPr="008633D2" w:rsidRDefault="00E453F8" w:rsidP="00BE0FB7">
            <w:pPr>
              <w:spacing w:before="0" w:after="0" w:line="240" w:lineRule="auto"/>
              <w:jc w:val="center"/>
              <w:rPr>
                <w:rFonts w:cs="Arial"/>
                <w:color w:val="000000"/>
                <w:sz w:val="22"/>
                <w:szCs w:val="22"/>
                <w:lang w:val="en-ZA" w:eastAsia="en-ZA"/>
              </w:rPr>
            </w:pPr>
            <w:r w:rsidRPr="008633D2">
              <w:rPr>
                <w:rFonts w:cs="Arial"/>
                <w:color w:val="000000"/>
                <w:sz w:val="22"/>
                <w:szCs w:val="22"/>
                <w:lang w:val="en-ZA" w:eastAsia="en-ZA"/>
              </w:rPr>
              <w:t>0.11%</w:t>
            </w:r>
          </w:p>
        </w:tc>
      </w:tr>
    </w:tbl>
    <w:p w:rsidR="000064FB" w:rsidRDefault="00780CC2" w:rsidP="000064FB">
      <w:pPr>
        <w:pStyle w:val="Heading3"/>
        <w:numPr>
          <w:ilvl w:val="0"/>
          <w:numId w:val="0"/>
        </w:numPr>
        <w:ind w:left="851"/>
        <w:rPr>
          <w:lang w:val="en-ZA"/>
        </w:rPr>
      </w:pPr>
      <w:r w:rsidRPr="000064FB">
        <w:rPr>
          <w:lang w:val="en-ZA"/>
        </w:rPr>
        <w:fldChar w:fldCharType="end"/>
      </w:r>
    </w:p>
    <w:p w:rsidR="000064FB" w:rsidRDefault="000064FB">
      <w:pPr>
        <w:spacing w:before="0" w:after="0" w:line="240" w:lineRule="auto"/>
        <w:jc w:val="left"/>
        <w:rPr>
          <w:rFonts w:cs="Arial"/>
          <w:b/>
          <w:bCs/>
          <w:i/>
          <w:iCs/>
          <w:lang w:val="en-ZA"/>
        </w:rPr>
      </w:pPr>
      <w:r>
        <w:rPr>
          <w:lang w:val="en-ZA"/>
        </w:rPr>
        <w:br w:type="page"/>
      </w:r>
    </w:p>
    <w:p w:rsidR="006A46AD" w:rsidRPr="000064FB" w:rsidRDefault="006A46AD" w:rsidP="000064FB">
      <w:pPr>
        <w:pStyle w:val="Heading3"/>
        <w:rPr>
          <w:lang w:val="en-ZA"/>
        </w:rPr>
      </w:pPr>
      <w:bookmarkStart w:id="233" w:name="_Toc458610819"/>
      <w:r w:rsidRPr="000064FB">
        <w:rPr>
          <w:lang w:val="en-ZA"/>
        </w:rPr>
        <w:t xml:space="preserve">Results pertaining to the performance of single managed funds in South Africa based on </w:t>
      </w:r>
      <w:r w:rsidR="00AF1EDF" w:rsidRPr="000064FB">
        <w:rPr>
          <w:lang w:val="en-ZA"/>
        </w:rPr>
        <w:t>g</w:t>
      </w:r>
      <w:r w:rsidRPr="000064FB">
        <w:rPr>
          <w:lang w:val="en-ZA"/>
        </w:rPr>
        <w:t>ender</w:t>
      </w:r>
      <w:bookmarkEnd w:id="233"/>
    </w:p>
    <w:p w:rsidR="00933E3E" w:rsidRPr="008633D2" w:rsidRDefault="00933E3E" w:rsidP="00AF1EDF">
      <w:pPr>
        <w:rPr>
          <w:lang w:val="en-ZA"/>
        </w:rPr>
      </w:pPr>
    </w:p>
    <w:p w:rsidR="001140DB" w:rsidRPr="008633D2" w:rsidRDefault="00BB5EA5" w:rsidP="00C95BB9">
      <w:pPr>
        <w:rPr>
          <w:lang w:val="en-ZA"/>
        </w:rPr>
      </w:pPr>
      <w:r w:rsidRPr="008633D2">
        <w:rPr>
          <w:lang w:val="en-ZA"/>
        </w:rPr>
        <w:t xml:space="preserve">Table </w:t>
      </w:r>
      <w:r w:rsidR="005F080A">
        <w:rPr>
          <w:lang w:val="en-ZA"/>
        </w:rPr>
        <w:t>9</w:t>
      </w:r>
      <w:r w:rsidR="003847B5" w:rsidRPr="008633D2">
        <w:rPr>
          <w:lang w:val="en-ZA"/>
        </w:rPr>
        <w:t xml:space="preserve"> shows the</w:t>
      </w:r>
      <w:r w:rsidR="001140DB" w:rsidRPr="008633D2">
        <w:rPr>
          <w:lang w:val="en-ZA"/>
        </w:rPr>
        <w:t xml:space="preserve"> each of the</w:t>
      </w:r>
      <w:r w:rsidR="003847B5" w:rsidRPr="008633D2">
        <w:rPr>
          <w:lang w:val="en-ZA"/>
        </w:rPr>
        <w:t xml:space="preserve"> female funds</w:t>
      </w:r>
      <w:r w:rsidR="001140DB" w:rsidRPr="008633D2">
        <w:rPr>
          <w:lang w:val="en-ZA"/>
        </w:rPr>
        <w:t xml:space="preserve"> and their corresponding male managed fund identified as described in section 3.6.4. T</w:t>
      </w:r>
      <w:r w:rsidR="003847B5" w:rsidRPr="008633D2">
        <w:rPr>
          <w:lang w:val="en-ZA"/>
        </w:rPr>
        <w:t xml:space="preserve">he beta </w:t>
      </w:r>
      <w:r w:rsidR="001140DB" w:rsidRPr="008633D2">
        <w:rPr>
          <w:lang w:val="en-ZA"/>
        </w:rPr>
        <w:t>as calculated in section 3.6.3</w:t>
      </w:r>
      <w:r w:rsidR="0046753E">
        <w:rPr>
          <w:lang w:val="en-ZA"/>
        </w:rPr>
        <w:t>, is</w:t>
      </w:r>
      <w:r w:rsidR="001140DB" w:rsidRPr="008633D2">
        <w:rPr>
          <w:lang w:val="en-ZA"/>
        </w:rPr>
        <w:t xml:space="preserve"> used to match the funds and the manager tenure</w:t>
      </w:r>
      <w:r w:rsidR="00DD40A9" w:rsidRPr="008633D2">
        <w:rPr>
          <w:lang w:val="en-ZA"/>
        </w:rPr>
        <w:t xml:space="preserve"> in years</w:t>
      </w:r>
      <w:r w:rsidR="001140DB" w:rsidRPr="008633D2">
        <w:rPr>
          <w:lang w:val="en-ZA"/>
        </w:rPr>
        <w:t xml:space="preserve"> for</w:t>
      </w:r>
      <w:r w:rsidR="00DD40A9" w:rsidRPr="008633D2">
        <w:rPr>
          <w:lang w:val="en-ZA"/>
        </w:rPr>
        <w:t xml:space="preserve"> each of </w:t>
      </w:r>
      <w:r w:rsidR="001140DB" w:rsidRPr="008633D2">
        <w:rPr>
          <w:lang w:val="en-ZA"/>
        </w:rPr>
        <w:t>the</w:t>
      </w:r>
      <w:r w:rsidR="003847B5" w:rsidRPr="008633D2">
        <w:rPr>
          <w:lang w:val="en-ZA"/>
        </w:rPr>
        <w:t xml:space="preserve"> funds</w:t>
      </w:r>
      <w:r w:rsidR="001140DB" w:rsidRPr="008633D2">
        <w:rPr>
          <w:lang w:val="en-ZA"/>
        </w:rPr>
        <w:t xml:space="preserve"> </w:t>
      </w:r>
      <w:r w:rsidR="007969E2" w:rsidRPr="008633D2">
        <w:rPr>
          <w:lang w:val="en-ZA"/>
        </w:rPr>
        <w:t>are</w:t>
      </w:r>
      <w:r w:rsidR="001140DB" w:rsidRPr="008633D2">
        <w:rPr>
          <w:lang w:val="en-ZA"/>
        </w:rPr>
        <w:t xml:space="preserve"> shown. </w:t>
      </w:r>
    </w:p>
    <w:p w:rsidR="00BB5EA5" w:rsidRPr="008633D2" w:rsidRDefault="00BB5EA5" w:rsidP="00C95BB9">
      <w:pPr>
        <w:rPr>
          <w:lang w:val="en-ZA"/>
        </w:rPr>
      </w:pPr>
    </w:p>
    <w:p w:rsidR="00C95BB9" w:rsidRPr="008633D2" w:rsidRDefault="001140DB" w:rsidP="00C95BB9">
      <w:pPr>
        <w:rPr>
          <w:lang w:val="en-ZA"/>
        </w:rPr>
      </w:pPr>
      <w:r w:rsidRPr="008633D2">
        <w:rPr>
          <w:lang w:val="en-ZA"/>
        </w:rPr>
        <w:t>The dataset num</w:t>
      </w:r>
      <w:r w:rsidR="00BB5EA5" w:rsidRPr="008633D2">
        <w:rPr>
          <w:lang w:val="en-ZA"/>
        </w:rPr>
        <w:t xml:space="preserve">ber can be used to match table </w:t>
      </w:r>
      <w:r w:rsidR="005F080A">
        <w:rPr>
          <w:lang w:val="en-ZA"/>
        </w:rPr>
        <w:t>9</w:t>
      </w:r>
      <w:r w:rsidRPr="008633D2">
        <w:rPr>
          <w:lang w:val="en-ZA"/>
        </w:rPr>
        <w:t xml:space="preserve"> to table </w:t>
      </w:r>
      <w:r w:rsidR="005F080A">
        <w:rPr>
          <w:lang w:val="en-ZA"/>
        </w:rPr>
        <w:t>10</w:t>
      </w:r>
      <w:r w:rsidRPr="008633D2">
        <w:rPr>
          <w:lang w:val="en-ZA"/>
        </w:rPr>
        <w:t xml:space="preserve">, which </w:t>
      </w:r>
      <w:r w:rsidR="00C95BB9" w:rsidRPr="008633D2">
        <w:rPr>
          <w:lang w:val="en-ZA"/>
        </w:rPr>
        <w:t>shows the annualised</w:t>
      </w:r>
      <w:r w:rsidRPr="008633D2">
        <w:rPr>
          <w:lang w:val="en-ZA"/>
        </w:rPr>
        <w:t xml:space="preserve"> p</w:t>
      </w:r>
      <w:r w:rsidR="00C95BB9" w:rsidRPr="008633D2">
        <w:rPr>
          <w:lang w:val="en-ZA"/>
        </w:rPr>
        <w:t xml:space="preserve">erformance </w:t>
      </w:r>
      <w:r w:rsidRPr="008633D2">
        <w:rPr>
          <w:lang w:val="en-ZA"/>
        </w:rPr>
        <w:t>and the comparison of performance</w:t>
      </w:r>
      <w:r w:rsidR="00C95BB9" w:rsidRPr="008633D2">
        <w:rPr>
          <w:lang w:val="en-ZA"/>
        </w:rPr>
        <w:t xml:space="preserve"> each of the pairs of funds</w:t>
      </w:r>
      <w:r w:rsidR="00CC6274" w:rsidRPr="008633D2">
        <w:rPr>
          <w:lang w:val="en-ZA"/>
        </w:rPr>
        <w:t xml:space="preserve">. </w:t>
      </w:r>
      <w:r w:rsidRPr="008633D2">
        <w:rPr>
          <w:lang w:val="en-ZA"/>
        </w:rPr>
        <w:t xml:space="preserve">The data in table </w:t>
      </w:r>
      <w:r w:rsidR="005F080A">
        <w:rPr>
          <w:lang w:val="en-ZA"/>
        </w:rPr>
        <w:t>10</w:t>
      </w:r>
      <w:r w:rsidRPr="008633D2">
        <w:rPr>
          <w:lang w:val="en-ZA"/>
        </w:rPr>
        <w:t xml:space="preserve"> is presented across the short term (</w:t>
      </w:r>
      <w:r w:rsidR="00630E8D">
        <w:rPr>
          <w:lang w:val="en-ZA"/>
        </w:rPr>
        <w:t>1 year return), medium term (3 and</w:t>
      </w:r>
      <w:r w:rsidRPr="008633D2">
        <w:rPr>
          <w:lang w:val="en-ZA"/>
        </w:rPr>
        <w:t xml:space="preserve"> 5 year returns) and the long term (10 year returns).</w:t>
      </w:r>
    </w:p>
    <w:p w:rsidR="00BB5EA5" w:rsidRPr="008633D2" w:rsidRDefault="00BB5EA5" w:rsidP="00C95BB9">
      <w:pPr>
        <w:rPr>
          <w:lang w:val="en-ZA"/>
        </w:rPr>
      </w:pPr>
    </w:p>
    <w:p w:rsidR="00C95BB9" w:rsidRPr="008633D2" w:rsidRDefault="002B2A12" w:rsidP="00C95BB9">
      <w:pPr>
        <w:rPr>
          <w:lang w:val="en-ZA"/>
        </w:rPr>
      </w:pPr>
      <w:r w:rsidRPr="008633D2">
        <w:rPr>
          <w:lang w:val="en-ZA"/>
        </w:rPr>
        <w:t>The ann</w:t>
      </w:r>
      <w:r w:rsidR="005F080A">
        <w:rPr>
          <w:lang w:val="en-ZA"/>
        </w:rPr>
        <w:t>ualised returns shown in table 10</w:t>
      </w:r>
      <w:r w:rsidRPr="008633D2">
        <w:rPr>
          <w:lang w:val="en-ZA"/>
        </w:rPr>
        <w:t xml:space="preserve"> are calculated as described in section 3.6.2</w:t>
      </w:r>
      <w:r w:rsidR="00CC6274" w:rsidRPr="008633D2">
        <w:rPr>
          <w:lang w:val="en-ZA"/>
        </w:rPr>
        <w:t xml:space="preserve">. </w:t>
      </w:r>
      <w:r w:rsidR="00BB5EA5" w:rsidRPr="008633D2">
        <w:rPr>
          <w:lang w:val="en-ZA"/>
        </w:rPr>
        <w:t>Data is only presented for periods where the fund was</w:t>
      </w:r>
      <w:r w:rsidR="00CF6C27" w:rsidRPr="008633D2">
        <w:rPr>
          <w:lang w:val="en-ZA"/>
        </w:rPr>
        <w:t xml:space="preserve"> in existence. </w:t>
      </w:r>
      <w:r w:rsidRPr="008633D2">
        <w:rPr>
          <w:lang w:val="en-ZA"/>
        </w:rPr>
        <w:t>The differences column is used to provide an idea of the</w:t>
      </w:r>
      <w:r w:rsidR="001140DB" w:rsidRPr="008633D2">
        <w:rPr>
          <w:lang w:val="en-ZA"/>
        </w:rPr>
        <w:t xml:space="preserve"> percentage</w:t>
      </w:r>
      <w:r w:rsidRPr="008633D2">
        <w:rPr>
          <w:lang w:val="en-ZA"/>
        </w:rPr>
        <w:t xml:space="preserve"> outperformance or underperformance of the selected f</w:t>
      </w:r>
      <w:r w:rsidR="005F080A">
        <w:rPr>
          <w:lang w:val="en-ZA"/>
        </w:rPr>
        <w:t>unds. The last column in table 10</w:t>
      </w:r>
      <w:r w:rsidRPr="008633D2">
        <w:rPr>
          <w:lang w:val="en-ZA"/>
        </w:rPr>
        <w:t xml:space="preserve"> provides insight into </w:t>
      </w:r>
      <w:r w:rsidR="00630E8D">
        <w:rPr>
          <w:lang w:val="en-ZA"/>
        </w:rPr>
        <w:t xml:space="preserve">whether </w:t>
      </w:r>
      <w:r w:rsidRPr="008633D2">
        <w:rPr>
          <w:lang w:val="en-ZA"/>
        </w:rPr>
        <w:t xml:space="preserve">the female managed </w:t>
      </w:r>
      <w:r w:rsidR="00630E8D">
        <w:rPr>
          <w:lang w:val="en-ZA"/>
        </w:rPr>
        <w:t xml:space="preserve">fund </w:t>
      </w:r>
      <w:r w:rsidRPr="008633D2">
        <w:rPr>
          <w:lang w:val="en-ZA"/>
        </w:rPr>
        <w:t>outperform</w:t>
      </w:r>
      <w:r w:rsidR="00630E8D">
        <w:rPr>
          <w:lang w:val="en-ZA"/>
        </w:rPr>
        <w:t>s</w:t>
      </w:r>
      <w:r w:rsidRPr="008633D2">
        <w:rPr>
          <w:lang w:val="en-ZA"/>
        </w:rPr>
        <w:t xml:space="preserve"> the corresponding male managed fund </w:t>
      </w:r>
      <w:r w:rsidR="001140DB" w:rsidRPr="008633D2">
        <w:rPr>
          <w:lang w:val="en-ZA"/>
        </w:rPr>
        <w:t>for the different terms considered</w:t>
      </w:r>
      <w:r w:rsidR="00630E8D">
        <w:rPr>
          <w:lang w:val="en-ZA"/>
        </w:rPr>
        <w:t>, where data is available</w:t>
      </w:r>
      <w:r w:rsidR="001140DB" w:rsidRPr="008633D2">
        <w:rPr>
          <w:lang w:val="en-ZA"/>
        </w:rPr>
        <w:t xml:space="preserve">. </w:t>
      </w:r>
    </w:p>
    <w:p w:rsidR="002B2A12" w:rsidRPr="008633D2" w:rsidRDefault="002B2A12" w:rsidP="00C95BB9">
      <w:pPr>
        <w:rPr>
          <w:lang w:val="en-ZA"/>
        </w:rPr>
        <w:sectPr w:rsidR="002B2A12" w:rsidRPr="008633D2" w:rsidSect="00505B81">
          <w:endnotePr>
            <w:numFmt w:val="decimal"/>
          </w:endnotePr>
          <w:pgSz w:w="11907" w:h="16840" w:code="9"/>
          <w:pgMar w:top="1729" w:right="1298" w:bottom="1582" w:left="1871" w:header="720" w:footer="720" w:gutter="0"/>
          <w:pgNumType w:start="1"/>
          <w:cols w:space="720"/>
          <w:docGrid w:linePitch="360"/>
        </w:sectPr>
      </w:pPr>
    </w:p>
    <w:p w:rsidR="003D316E" w:rsidRPr="002934B0" w:rsidRDefault="00972DE8" w:rsidP="002934B0">
      <w:pPr>
        <w:jc w:val="center"/>
        <w:rPr>
          <w:b/>
          <w:lang w:val="en-ZA"/>
        </w:rPr>
      </w:pPr>
      <w:r w:rsidRPr="008633D2">
        <w:rPr>
          <w:lang w:val="en-ZA"/>
        </w:rPr>
        <w:fldChar w:fldCharType="begin"/>
      </w:r>
      <w:r w:rsidRPr="008633D2">
        <w:rPr>
          <w:lang w:val="en-ZA"/>
        </w:rPr>
        <w:instrText xml:space="preserve"> LINK </w:instrText>
      </w:r>
      <w:r w:rsidR="005F2182">
        <w:rPr>
          <w:lang w:val="en-ZA"/>
        </w:rPr>
        <w:instrText xml:space="preserve">Excel.Sheet.12 C:\\Users\\archaryn\\Documents\\MBA\\Research\\Data_v2.xlsx "Summary of results!R179C2:R239C11" </w:instrText>
      </w:r>
      <w:r w:rsidRPr="008633D2">
        <w:rPr>
          <w:lang w:val="en-ZA"/>
        </w:rPr>
        <w:instrText xml:space="preserve">\a \f 4 \h  \* MERGEFORMAT </w:instrText>
      </w:r>
      <w:r w:rsidRPr="008633D2">
        <w:rPr>
          <w:lang w:val="en-ZA"/>
        </w:rPr>
        <w:fldChar w:fldCharType="separate"/>
      </w:r>
      <w:r w:rsidRPr="008633D2">
        <w:rPr>
          <w:lang w:val="en-ZA"/>
        </w:rPr>
        <w:fldChar w:fldCharType="begin"/>
      </w:r>
      <w:r w:rsidRPr="008633D2">
        <w:rPr>
          <w:lang w:val="en-ZA"/>
        </w:rPr>
        <w:instrText xml:space="preserve"> LINK </w:instrText>
      </w:r>
      <w:r w:rsidR="005F2182">
        <w:rPr>
          <w:lang w:val="en-ZA"/>
        </w:rPr>
        <w:instrText xml:space="preserve">Excel.Sheet.12 C:\\Users\\archaryn\\Documents\\MBA\\Research\\Data_v2.xlsx "Summary of results!R179C2:R239C8" </w:instrText>
      </w:r>
      <w:r w:rsidRPr="008633D2">
        <w:rPr>
          <w:lang w:val="en-ZA"/>
        </w:rPr>
        <w:instrText xml:space="preserve">\a \f 4 \h  \* MERGEFORMAT </w:instrText>
      </w:r>
      <w:r w:rsidRPr="008633D2">
        <w:rPr>
          <w:lang w:val="en-ZA"/>
        </w:rPr>
        <w:fldChar w:fldCharType="separate"/>
      </w:r>
      <w:bookmarkStart w:id="234" w:name="_Toc458610854"/>
      <w:r w:rsidR="003D316E" w:rsidRPr="002934B0">
        <w:rPr>
          <w:b/>
          <w:lang w:val="en-ZA"/>
        </w:rPr>
        <w:t xml:space="preserve">Table </w:t>
      </w:r>
      <w:r w:rsidR="003D316E" w:rsidRPr="002934B0">
        <w:rPr>
          <w:b/>
          <w:lang w:val="en-ZA"/>
        </w:rPr>
        <w:fldChar w:fldCharType="begin"/>
      </w:r>
      <w:r w:rsidR="003D316E" w:rsidRPr="002934B0">
        <w:rPr>
          <w:b/>
          <w:lang w:val="en-ZA"/>
        </w:rPr>
        <w:instrText xml:space="preserve"> SEQ Table \* ARABIC </w:instrText>
      </w:r>
      <w:r w:rsidR="003D316E" w:rsidRPr="002934B0">
        <w:rPr>
          <w:b/>
          <w:lang w:val="en-ZA"/>
        </w:rPr>
        <w:fldChar w:fldCharType="separate"/>
      </w:r>
      <w:r w:rsidR="00C456D9">
        <w:rPr>
          <w:b/>
          <w:noProof/>
          <w:lang w:val="en-ZA"/>
        </w:rPr>
        <w:t>9</w:t>
      </w:r>
      <w:r w:rsidR="003D316E" w:rsidRPr="002934B0">
        <w:rPr>
          <w:b/>
          <w:lang w:val="en-ZA"/>
        </w:rPr>
        <w:fldChar w:fldCharType="end"/>
      </w:r>
      <w:r w:rsidR="00E26773" w:rsidRPr="002934B0">
        <w:rPr>
          <w:b/>
          <w:lang w:val="en-ZA"/>
        </w:rPr>
        <w:t>:  Corresponding male and f</w:t>
      </w:r>
      <w:r w:rsidR="003D316E" w:rsidRPr="002934B0">
        <w:rPr>
          <w:b/>
          <w:lang w:val="en-ZA"/>
        </w:rPr>
        <w:t>emale managed funds to be compared</w:t>
      </w:r>
      <w:bookmarkEnd w:id="234"/>
    </w:p>
    <w:tbl>
      <w:tblPr>
        <w:tblW w:w="13838" w:type="dxa"/>
        <w:jc w:val="center"/>
        <w:tblLayout w:type="fixed"/>
        <w:tblLook w:val="04A0" w:firstRow="1" w:lastRow="0" w:firstColumn="1" w:lastColumn="0" w:noHBand="0" w:noVBand="1"/>
      </w:tblPr>
      <w:tblGrid>
        <w:gridCol w:w="709"/>
        <w:gridCol w:w="4677"/>
        <w:gridCol w:w="786"/>
        <w:gridCol w:w="1370"/>
        <w:gridCol w:w="4340"/>
        <w:gridCol w:w="816"/>
        <w:gridCol w:w="1140"/>
      </w:tblGrid>
      <w:tr w:rsidR="00C95BB9" w:rsidRPr="008633D2" w:rsidTr="002934B0">
        <w:trPr>
          <w:cantSplit/>
          <w:trHeight w:val="363"/>
          <w:tblHeader/>
          <w:jc w:val="center"/>
        </w:trPr>
        <w:tc>
          <w:tcPr>
            <w:tcW w:w="709" w:type="dxa"/>
            <w:vMerge w:val="restart"/>
            <w:tcBorders>
              <w:top w:val="single" w:sz="4" w:space="0" w:color="auto"/>
              <w:left w:val="single" w:sz="4" w:space="0" w:color="auto"/>
              <w:right w:val="single" w:sz="4" w:space="0" w:color="auto"/>
            </w:tcBorders>
            <w:shd w:val="clear" w:color="000000" w:fill="366092"/>
            <w:vAlign w:val="center"/>
          </w:tcPr>
          <w:p w:rsidR="00C95BB9" w:rsidRPr="008633D2" w:rsidRDefault="00C95BB9" w:rsidP="0054491B">
            <w:pPr>
              <w:spacing w:before="0" w:after="0" w:line="240" w:lineRule="auto"/>
              <w:jc w:val="center"/>
              <w:rPr>
                <w:rFonts w:cs="Arial"/>
                <w:b/>
                <w:bCs/>
                <w:color w:val="FFFFFF"/>
                <w:sz w:val="22"/>
                <w:szCs w:val="22"/>
                <w:lang w:val="en-ZA" w:eastAsia="en-ZA"/>
              </w:rPr>
            </w:pPr>
            <w:r w:rsidRPr="008633D2">
              <w:rPr>
                <w:rFonts w:cs="Arial"/>
                <w:b/>
                <w:bCs/>
                <w:color w:val="FFFFFF"/>
                <w:sz w:val="22"/>
                <w:szCs w:val="22"/>
                <w:lang w:val="en-ZA" w:eastAsia="en-ZA"/>
              </w:rPr>
              <w:t>Data Set</w:t>
            </w:r>
          </w:p>
        </w:tc>
        <w:tc>
          <w:tcPr>
            <w:tcW w:w="6833" w:type="dxa"/>
            <w:gridSpan w:val="3"/>
            <w:tcBorders>
              <w:top w:val="single" w:sz="4" w:space="0" w:color="auto"/>
              <w:left w:val="nil"/>
              <w:bottom w:val="single" w:sz="4" w:space="0" w:color="auto"/>
              <w:right w:val="single" w:sz="4" w:space="0" w:color="auto"/>
            </w:tcBorders>
            <w:shd w:val="clear" w:color="000000" w:fill="366092"/>
            <w:vAlign w:val="center"/>
          </w:tcPr>
          <w:p w:rsidR="00C95BB9" w:rsidRPr="008633D2" w:rsidRDefault="00C95BB9" w:rsidP="0054491B">
            <w:pPr>
              <w:spacing w:before="0" w:after="0" w:line="240" w:lineRule="auto"/>
              <w:jc w:val="center"/>
              <w:rPr>
                <w:rFonts w:cs="Arial"/>
                <w:b/>
                <w:bCs/>
                <w:color w:val="FFFFFF"/>
                <w:sz w:val="22"/>
                <w:szCs w:val="22"/>
                <w:lang w:val="en-ZA" w:eastAsia="en-ZA"/>
              </w:rPr>
            </w:pPr>
            <w:r w:rsidRPr="008633D2">
              <w:rPr>
                <w:rFonts w:cs="Arial"/>
                <w:b/>
                <w:bCs/>
                <w:color w:val="FFFFFF"/>
                <w:sz w:val="22"/>
                <w:szCs w:val="22"/>
                <w:lang w:val="en-ZA" w:eastAsia="en-ZA"/>
              </w:rPr>
              <w:t>Female funds</w:t>
            </w:r>
          </w:p>
        </w:tc>
        <w:tc>
          <w:tcPr>
            <w:tcW w:w="6296" w:type="dxa"/>
            <w:gridSpan w:val="3"/>
            <w:tcBorders>
              <w:top w:val="single" w:sz="4" w:space="0" w:color="auto"/>
              <w:left w:val="nil"/>
              <w:bottom w:val="single" w:sz="4" w:space="0" w:color="auto"/>
              <w:right w:val="single" w:sz="4" w:space="0" w:color="auto"/>
            </w:tcBorders>
            <w:shd w:val="clear" w:color="000000" w:fill="366092"/>
            <w:vAlign w:val="center"/>
          </w:tcPr>
          <w:p w:rsidR="00C95BB9" w:rsidRPr="008633D2" w:rsidRDefault="00C95BB9" w:rsidP="0054491B">
            <w:pPr>
              <w:spacing w:before="0" w:after="0" w:line="240" w:lineRule="auto"/>
              <w:jc w:val="center"/>
              <w:rPr>
                <w:rFonts w:cs="Arial"/>
                <w:b/>
                <w:bCs/>
                <w:color w:val="FFFFFF"/>
                <w:sz w:val="22"/>
                <w:szCs w:val="22"/>
                <w:lang w:val="en-ZA" w:eastAsia="en-ZA"/>
              </w:rPr>
            </w:pPr>
            <w:r w:rsidRPr="008633D2">
              <w:rPr>
                <w:rFonts w:cs="Arial"/>
                <w:b/>
                <w:bCs/>
                <w:color w:val="FFFFFF"/>
                <w:sz w:val="22"/>
                <w:szCs w:val="22"/>
                <w:lang w:val="en-ZA" w:eastAsia="en-ZA"/>
              </w:rPr>
              <w:t>Corresponding Male funds</w:t>
            </w:r>
          </w:p>
        </w:tc>
      </w:tr>
      <w:tr w:rsidR="00C95BB9" w:rsidRPr="008633D2" w:rsidTr="002934B0">
        <w:trPr>
          <w:cantSplit/>
          <w:trHeight w:val="363"/>
          <w:tblHeader/>
          <w:jc w:val="center"/>
        </w:trPr>
        <w:tc>
          <w:tcPr>
            <w:tcW w:w="709" w:type="dxa"/>
            <w:vMerge/>
            <w:tcBorders>
              <w:left w:val="single" w:sz="4" w:space="0" w:color="auto"/>
              <w:bottom w:val="single" w:sz="4" w:space="0" w:color="auto"/>
              <w:right w:val="single" w:sz="4" w:space="0" w:color="auto"/>
            </w:tcBorders>
            <w:shd w:val="clear" w:color="000000" w:fill="366092"/>
            <w:vAlign w:val="center"/>
          </w:tcPr>
          <w:p w:rsidR="00C95BB9" w:rsidRPr="008633D2" w:rsidRDefault="00C95BB9" w:rsidP="0054491B">
            <w:pPr>
              <w:spacing w:before="0" w:after="0" w:line="240" w:lineRule="auto"/>
              <w:jc w:val="center"/>
              <w:rPr>
                <w:rFonts w:cs="Arial"/>
                <w:b/>
                <w:bCs/>
                <w:color w:val="FFFFFF"/>
                <w:sz w:val="22"/>
                <w:szCs w:val="22"/>
                <w:lang w:val="en-ZA" w:eastAsia="en-ZA"/>
              </w:rPr>
            </w:pPr>
          </w:p>
        </w:tc>
        <w:tc>
          <w:tcPr>
            <w:tcW w:w="4677" w:type="dxa"/>
            <w:tcBorders>
              <w:top w:val="single" w:sz="4" w:space="0" w:color="auto"/>
              <w:left w:val="nil"/>
              <w:bottom w:val="single" w:sz="4" w:space="0" w:color="auto"/>
              <w:right w:val="single" w:sz="4" w:space="0" w:color="auto"/>
            </w:tcBorders>
            <w:shd w:val="clear" w:color="000000" w:fill="366092"/>
            <w:vAlign w:val="center"/>
          </w:tcPr>
          <w:p w:rsidR="00C95BB9" w:rsidRPr="008633D2" w:rsidRDefault="00C95BB9" w:rsidP="00C95BB9">
            <w:pPr>
              <w:spacing w:before="0" w:after="0" w:line="240" w:lineRule="auto"/>
              <w:jc w:val="center"/>
              <w:rPr>
                <w:rFonts w:cs="Arial"/>
                <w:b/>
                <w:bCs/>
                <w:color w:val="FFFFFF"/>
                <w:sz w:val="22"/>
                <w:szCs w:val="22"/>
                <w:lang w:val="en-ZA" w:eastAsia="en-ZA"/>
              </w:rPr>
            </w:pPr>
            <w:r w:rsidRPr="008633D2">
              <w:rPr>
                <w:rFonts w:cs="Arial"/>
                <w:b/>
                <w:bCs/>
                <w:color w:val="FFFFFF"/>
                <w:sz w:val="22"/>
                <w:szCs w:val="22"/>
                <w:lang w:val="en-ZA" w:eastAsia="en-ZA"/>
              </w:rPr>
              <w:t>Fund Name</w:t>
            </w:r>
          </w:p>
        </w:tc>
        <w:tc>
          <w:tcPr>
            <w:tcW w:w="786" w:type="dxa"/>
            <w:tcBorders>
              <w:top w:val="single" w:sz="4" w:space="0" w:color="auto"/>
              <w:left w:val="nil"/>
              <w:bottom w:val="single" w:sz="4" w:space="0" w:color="auto"/>
              <w:right w:val="single" w:sz="4" w:space="0" w:color="auto"/>
            </w:tcBorders>
            <w:shd w:val="clear" w:color="000000" w:fill="366092"/>
            <w:vAlign w:val="center"/>
          </w:tcPr>
          <w:p w:rsidR="00C95BB9" w:rsidRPr="008633D2" w:rsidRDefault="00C95BB9" w:rsidP="0054491B">
            <w:pPr>
              <w:spacing w:before="0" w:after="0" w:line="240" w:lineRule="auto"/>
              <w:jc w:val="center"/>
              <w:rPr>
                <w:rFonts w:cs="Arial"/>
                <w:b/>
                <w:bCs/>
                <w:color w:val="FFFFFF"/>
                <w:sz w:val="22"/>
                <w:szCs w:val="22"/>
                <w:lang w:val="en-ZA" w:eastAsia="en-ZA"/>
              </w:rPr>
            </w:pPr>
            <w:r w:rsidRPr="008633D2">
              <w:rPr>
                <w:rFonts w:cs="Arial"/>
                <w:b/>
                <w:bCs/>
                <w:color w:val="FFFFFF"/>
                <w:sz w:val="22"/>
                <w:szCs w:val="22"/>
                <w:lang w:val="en-ZA" w:eastAsia="en-ZA"/>
              </w:rPr>
              <w:t>Beta</w:t>
            </w:r>
          </w:p>
        </w:tc>
        <w:tc>
          <w:tcPr>
            <w:tcW w:w="1370" w:type="dxa"/>
            <w:tcBorders>
              <w:top w:val="single" w:sz="4" w:space="0" w:color="auto"/>
              <w:left w:val="nil"/>
              <w:bottom w:val="single" w:sz="4" w:space="0" w:color="auto"/>
              <w:right w:val="single" w:sz="4" w:space="0" w:color="auto"/>
            </w:tcBorders>
            <w:shd w:val="clear" w:color="000000" w:fill="366092"/>
            <w:vAlign w:val="center"/>
          </w:tcPr>
          <w:p w:rsidR="00C95BB9" w:rsidRPr="008633D2" w:rsidRDefault="00C95BB9" w:rsidP="0054491B">
            <w:pPr>
              <w:spacing w:before="0" w:after="0" w:line="240" w:lineRule="auto"/>
              <w:jc w:val="center"/>
              <w:rPr>
                <w:rFonts w:cs="Arial"/>
                <w:b/>
                <w:bCs/>
                <w:color w:val="FFFFFF"/>
                <w:sz w:val="22"/>
                <w:szCs w:val="22"/>
                <w:lang w:val="en-ZA" w:eastAsia="en-ZA"/>
              </w:rPr>
            </w:pPr>
            <w:r w:rsidRPr="008633D2">
              <w:rPr>
                <w:rFonts w:cs="Arial"/>
                <w:b/>
                <w:bCs/>
                <w:color w:val="FFFFFF"/>
                <w:sz w:val="22"/>
                <w:szCs w:val="22"/>
                <w:lang w:val="en-ZA" w:eastAsia="en-ZA"/>
              </w:rPr>
              <w:t>Manager Tenure</w:t>
            </w:r>
            <w:r w:rsidR="00DD40A9" w:rsidRPr="008633D2">
              <w:rPr>
                <w:rFonts w:cs="Arial"/>
                <w:b/>
                <w:bCs/>
                <w:color w:val="FFFFFF"/>
                <w:sz w:val="22"/>
                <w:szCs w:val="22"/>
                <w:lang w:val="en-ZA" w:eastAsia="en-ZA"/>
              </w:rPr>
              <w:t>(y)</w:t>
            </w:r>
          </w:p>
        </w:tc>
        <w:tc>
          <w:tcPr>
            <w:tcW w:w="4340" w:type="dxa"/>
            <w:tcBorders>
              <w:top w:val="single" w:sz="4" w:space="0" w:color="auto"/>
              <w:left w:val="nil"/>
              <w:bottom w:val="single" w:sz="4" w:space="0" w:color="auto"/>
              <w:right w:val="single" w:sz="4" w:space="0" w:color="auto"/>
            </w:tcBorders>
            <w:shd w:val="clear" w:color="000000" w:fill="366092"/>
            <w:vAlign w:val="center"/>
          </w:tcPr>
          <w:p w:rsidR="00C95BB9" w:rsidRPr="008633D2" w:rsidRDefault="00C95BB9" w:rsidP="00C95BB9">
            <w:pPr>
              <w:spacing w:before="0" w:after="0" w:line="240" w:lineRule="auto"/>
              <w:jc w:val="center"/>
              <w:rPr>
                <w:rFonts w:cs="Arial"/>
                <w:b/>
                <w:bCs/>
                <w:color w:val="FFFFFF"/>
                <w:sz w:val="22"/>
                <w:szCs w:val="22"/>
                <w:lang w:val="en-ZA" w:eastAsia="en-ZA"/>
              </w:rPr>
            </w:pPr>
            <w:r w:rsidRPr="008633D2">
              <w:rPr>
                <w:rFonts w:cs="Arial"/>
                <w:b/>
                <w:bCs/>
                <w:color w:val="FFFFFF"/>
                <w:sz w:val="22"/>
                <w:szCs w:val="22"/>
                <w:lang w:val="en-ZA" w:eastAsia="en-ZA"/>
              </w:rPr>
              <w:t>Fund Name</w:t>
            </w:r>
          </w:p>
        </w:tc>
        <w:tc>
          <w:tcPr>
            <w:tcW w:w="816" w:type="dxa"/>
            <w:tcBorders>
              <w:top w:val="single" w:sz="4" w:space="0" w:color="auto"/>
              <w:left w:val="nil"/>
              <w:bottom w:val="single" w:sz="4" w:space="0" w:color="auto"/>
              <w:right w:val="single" w:sz="4" w:space="0" w:color="auto"/>
            </w:tcBorders>
            <w:shd w:val="clear" w:color="000000" w:fill="366092"/>
            <w:vAlign w:val="center"/>
          </w:tcPr>
          <w:p w:rsidR="00C95BB9" w:rsidRPr="008633D2" w:rsidRDefault="00C95BB9" w:rsidP="00A447BF">
            <w:pPr>
              <w:spacing w:before="0" w:after="0" w:line="240" w:lineRule="auto"/>
              <w:jc w:val="center"/>
              <w:rPr>
                <w:rFonts w:cs="Arial"/>
                <w:b/>
                <w:bCs/>
                <w:color w:val="FFFFFF"/>
                <w:sz w:val="22"/>
                <w:szCs w:val="22"/>
                <w:lang w:val="en-ZA" w:eastAsia="en-ZA"/>
              </w:rPr>
            </w:pPr>
            <w:r w:rsidRPr="008633D2">
              <w:rPr>
                <w:rFonts w:cs="Arial"/>
                <w:b/>
                <w:bCs/>
                <w:color w:val="FFFFFF"/>
                <w:sz w:val="22"/>
                <w:szCs w:val="22"/>
                <w:lang w:val="en-ZA" w:eastAsia="en-ZA"/>
              </w:rPr>
              <w:t>Beta</w:t>
            </w:r>
          </w:p>
        </w:tc>
        <w:tc>
          <w:tcPr>
            <w:tcW w:w="1140" w:type="dxa"/>
            <w:tcBorders>
              <w:top w:val="single" w:sz="4" w:space="0" w:color="auto"/>
              <w:left w:val="nil"/>
              <w:bottom w:val="single" w:sz="4" w:space="0" w:color="auto"/>
              <w:right w:val="single" w:sz="4" w:space="0" w:color="auto"/>
            </w:tcBorders>
            <w:shd w:val="clear" w:color="000000" w:fill="366092"/>
            <w:vAlign w:val="center"/>
          </w:tcPr>
          <w:p w:rsidR="00C95BB9" w:rsidRPr="008633D2" w:rsidRDefault="00C95BB9" w:rsidP="00C95BB9">
            <w:pPr>
              <w:spacing w:before="0" w:after="0" w:line="240" w:lineRule="auto"/>
              <w:ind w:left="-135"/>
              <w:jc w:val="center"/>
              <w:rPr>
                <w:rFonts w:cs="Arial"/>
                <w:b/>
                <w:bCs/>
                <w:color w:val="FFFFFF"/>
                <w:sz w:val="22"/>
                <w:szCs w:val="22"/>
                <w:lang w:val="en-ZA" w:eastAsia="en-ZA"/>
              </w:rPr>
            </w:pPr>
            <w:r w:rsidRPr="008633D2">
              <w:rPr>
                <w:rFonts w:cs="Arial"/>
                <w:b/>
                <w:bCs/>
                <w:color w:val="FFFFFF"/>
                <w:sz w:val="22"/>
                <w:szCs w:val="22"/>
                <w:lang w:val="en-ZA" w:eastAsia="en-ZA"/>
              </w:rPr>
              <w:t>Manager Tenure</w:t>
            </w:r>
            <w:r w:rsidR="00DD40A9" w:rsidRPr="008633D2">
              <w:rPr>
                <w:rFonts w:cs="Arial"/>
                <w:b/>
                <w:bCs/>
                <w:color w:val="FFFFFF"/>
                <w:sz w:val="22"/>
                <w:szCs w:val="22"/>
                <w:lang w:val="en-ZA" w:eastAsia="en-ZA"/>
              </w:rPr>
              <w:t>(y)</w:t>
            </w:r>
          </w:p>
        </w:tc>
      </w:tr>
      <w:tr w:rsidR="003847B5"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1</w:t>
            </w:r>
          </w:p>
        </w:tc>
        <w:tc>
          <w:tcPr>
            <w:tcW w:w="4677" w:type="dxa"/>
            <w:tcBorders>
              <w:top w:val="nil"/>
              <w:left w:val="nil"/>
              <w:bottom w:val="single" w:sz="4" w:space="0" w:color="auto"/>
              <w:right w:val="single" w:sz="4" w:space="0" w:color="auto"/>
            </w:tcBorders>
            <w:shd w:val="clear" w:color="000000" w:fill="B1A0C7"/>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27four Asset Select Prescient FoF A1</w:t>
            </w:r>
          </w:p>
        </w:tc>
        <w:tc>
          <w:tcPr>
            <w:tcW w:w="786"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0.45</w:t>
            </w:r>
          </w:p>
        </w:tc>
        <w:tc>
          <w:tcPr>
            <w:tcW w:w="1370"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3.17</w:t>
            </w:r>
          </w:p>
        </w:tc>
        <w:tc>
          <w:tcPr>
            <w:tcW w:w="4340" w:type="dxa"/>
            <w:tcBorders>
              <w:top w:val="nil"/>
              <w:left w:val="nil"/>
              <w:bottom w:val="single" w:sz="4" w:space="0" w:color="auto"/>
              <w:right w:val="single" w:sz="4" w:space="0" w:color="auto"/>
            </w:tcBorders>
            <w:shd w:val="clear" w:color="000000" w:fill="92CDDC"/>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Kagiso Balanced</w:t>
            </w:r>
          </w:p>
        </w:tc>
        <w:tc>
          <w:tcPr>
            <w:tcW w:w="816"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0.45</w:t>
            </w:r>
          </w:p>
        </w:tc>
        <w:tc>
          <w:tcPr>
            <w:tcW w:w="1140"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C95BB9">
            <w:pPr>
              <w:spacing w:before="0" w:after="0" w:line="240" w:lineRule="auto"/>
              <w:ind w:left="-135"/>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4.17</w:t>
            </w:r>
          </w:p>
        </w:tc>
      </w:tr>
      <w:tr w:rsidR="003847B5"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2</w:t>
            </w:r>
          </w:p>
        </w:tc>
        <w:tc>
          <w:tcPr>
            <w:tcW w:w="4677" w:type="dxa"/>
            <w:tcBorders>
              <w:top w:val="nil"/>
              <w:left w:val="nil"/>
              <w:bottom w:val="single" w:sz="4" w:space="0" w:color="auto"/>
              <w:right w:val="single" w:sz="4" w:space="0" w:color="auto"/>
            </w:tcBorders>
            <w:shd w:val="clear" w:color="000000" w:fill="B1A0C7"/>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27four Balanced Prescient FoF C</w:t>
            </w:r>
          </w:p>
        </w:tc>
        <w:tc>
          <w:tcPr>
            <w:tcW w:w="786"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0.34</w:t>
            </w:r>
          </w:p>
        </w:tc>
        <w:tc>
          <w:tcPr>
            <w:tcW w:w="1370"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2.58</w:t>
            </w:r>
          </w:p>
        </w:tc>
        <w:tc>
          <w:tcPr>
            <w:tcW w:w="4340" w:type="dxa"/>
            <w:tcBorders>
              <w:top w:val="nil"/>
              <w:left w:val="nil"/>
              <w:bottom w:val="single" w:sz="4" w:space="0" w:color="auto"/>
              <w:right w:val="single" w:sz="4" w:space="0" w:color="auto"/>
            </w:tcBorders>
            <w:shd w:val="clear" w:color="000000" w:fill="92CDDC"/>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Aeon Balanced Prescient A2</w:t>
            </w:r>
          </w:p>
        </w:tc>
        <w:tc>
          <w:tcPr>
            <w:tcW w:w="816"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0.34</w:t>
            </w:r>
          </w:p>
        </w:tc>
        <w:tc>
          <w:tcPr>
            <w:tcW w:w="1140"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2.75</w:t>
            </w:r>
          </w:p>
        </w:tc>
      </w:tr>
      <w:tr w:rsidR="003847B5"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3</w:t>
            </w:r>
          </w:p>
        </w:tc>
        <w:tc>
          <w:tcPr>
            <w:tcW w:w="4677" w:type="dxa"/>
            <w:tcBorders>
              <w:top w:val="nil"/>
              <w:left w:val="nil"/>
              <w:bottom w:val="single" w:sz="4" w:space="0" w:color="auto"/>
              <w:right w:val="single" w:sz="4" w:space="0" w:color="auto"/>
            </w:tcBorders>
            <w:shd w:val="clear" w:color="000000" w:fill="B1A0C7"/>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27four Global Equity Prescient FF A1</w:t>
            </w:r>
          </w:p>
        </w:tc>
        <w:tc>
          <w:tcPr>
            <w:tcW w:w="786"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-0.13</w:t>
            </w:r>
          </w:p>
        </w:tc>
        <w:tc>
          <w:tcPr>
            <w:tcW w:w="1370"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1.58</w:t>
            </w:r>
          </w:p>
        </w:tc>
        <w:tc>
          <w:tcPr>
            <w:tcW w:w="4340" w:type="dxa"/>
            <w:tcBorders>
              <w:top w:val="nil"/>
              <w:left w:val="nil"/>
              <w:bottom w:val="single" w:sz="4" w:space="0" w:color="auto"/>
              <w:right w:val="single" w:sz="4" w:space="0" w:color="auto"/>
            </w:tcBorders>
            <w:shd w:val="clear" w:color="000000" w:fill="92CDDC"/>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Bateleur Global Equity Prescient FF A2</w:t>
            </w:r>
          </w:p>
        </w:tc>
        <w:tc>
          <w:tcPr>
            <w:tcW w:w="816"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-0.12</w:t>
            </w:r>
          </w:p>
        </w:tc>
        <w:tc>
          <w:tcPr>
            <w:tcW w:w="1140"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1.08</w:t>
            </w:r>
          </w:p>
        </w:tc>
      </w:tr>
      <w:tr w:rsidR="003847B5"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4</w:t>
            </w:r>
          </w:p>
        </w:tc>
        <w:tc>
          <w:tcPr>
            <w:tcW w:w="4677" w:type="dxa"/>
            <w:tcBorders>
              <w:top w:val="nil"/>
              <w:left w:val="nil"/>
              <w:bottom w:val="single" w:sz="4" w:space="0" w:color="auto"/>
              <w:right w:val="single" w:sz="4" w:space="0" w:color="auto"/>
            </w:tcBorders>
            <w:shd w:val="clear" w:color="000000" w:fill="B1A0C7"/>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27four Shari'ah Balan. Prescient FoF A1</w:t>
            </w:r>
          </w:p>
        </w:tc>
        <w:tc>
          <w:tcPr>
            <w:tcW w:w="786"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0.44</w:t>
            </w:r>
          </w:p>
        </w:tc>
        <w:tc>
          <w:tcPr>
            <w:tcW w:w="1370"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3.17</w:t>
            </w:r>
          </w:p>
        </w:tc>
        <w:tc>
          <w:tcPr>
            <w:tcW w:w="4340" w:type="dxa"/>
            <w:tcBorders>
              <w:top w:val="nil"/>
              <w:left w:val="nil"/>
              <w:bottom w:val="single" w:sz="4" w:space="0" w:color="auto"/>
              <w:right w:val="single" w:sz="4" w:space="0" w:color="auto"/>
            </w:tcBorders>
            <w:shd w:val="clear" w:color="000000" w:fill="92CDDC"/>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Optimum BCI Managed Growth A</w:t>
            </w:r>
          </w:p>
        </w:tc>
        <w:tc>
          <w:tcPr>
            <w:tcW w:w="816"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0.44</w:t>
            </w:r>
          </w:p>
        </w:tc>
        <w:tc>
          <w:tcPr>
            <w:tcW w:w="1140"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1.25</w:t>
            </w:r>
          </w:p>
        </w:tc>
      </w:tr>
      <w:tr w:rsidR="003847B5"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5</w:t>
            </w:r>
          </w:p>
        </w:tc>
        <w:tc>
          <w:tcPr>
            <w:tcW w:w="4677" w:type="dxa"/>
            <w:tcBorders>
              <w:top w:val="nil"/>
              <w:left w:val="nil"/>
              <w:bottom w:val="single" w:sz="4" w:space="0" w:color="auto"/>
              <w:right w:val="single" w:sz="4" w:space="0" w:color="auto"/>
            </w:tcBorders>
            <w:shd w:val="clear" w:color="000000" w:fill="B1A0C7"/>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27four Stable Prescient FoF C</w:t>
            </w:r>
          </w:p>
        </w:tc>
        <w:tc>
          <w:tcPr>
            <w:tcW w:w="786"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0.18</w:t>
            </w:r>
          </w:p>
        </w:tc>
        <w:tc>
          <w:tcPr>
            <w:tcW w:w="1370"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2.58</w:t>
            </w:r>
          </w:p>
        </w:tc>
        <w:tc>
          <w:tcPr>
            <w:tcW w:w="4340" w:type="dxa"/>
            <w:tcBorders>
              <w:top w:val="nil"/>
              <w:left w:val="nil"/>
              <w:bottom w:val="single" w:sz="4" w:space="0" w:color="auto"/>
              <w:right w:val="single" w:sz="4" w:space="0" w:color="auto"/>
            </w:tcBorders>
            <w:shd w:val="clear" w:color="000000" w:fill="92CDDC"/>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NFB Ci Cautious FoF A</w:t>
            </w:r>
          </w:p>
        </w:tc>
        <w:tc>
          <w:tcPr>
            <w:tcW w:w="816"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0.18</w:t>
            </w:r>
          </w:p>
        </w:tc>
        <w:tc>
          <w:tcPr>
            <w:tcW w:w="1140"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1.75</w:t>
            </w:r>
          </w:p>
        </w:tc>
      </w:tr>
      <w:tr w:rsidR="003847B5"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6</w:t>
            </w:r>
          </w:p>
        </w:tc>
        <w:tc>
          <w:tcPr>
            <w:tcW w:w="4677" w:type="dxa"/>
            <w:tcBorders>
              <w:top w:val="nil"/>
              <w:left w:val="nil"/>
              <w:bottom w:val="single" w:sz="4" w:space="0" w:color="auto"/>
              <w:right w:val="single" w:sz="4" w:space="0" w:color="auto"/>
            </w:tcBorders>
            <w:shd w:val="clear" w:color="000000" w:fill="B1A0C7"/>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ABSA Income Enhancer R</w:t>
            </w:r>
          </w:p>
        </w:tc>
        <w:tc>
          <w:tcPr>
            <w:tcW w:w="786"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-0.01</w:t>
            </w:r>
          </w:p>
        </w:tc>
        <w:tc>
          <w:tcPr>
            <w:tcW w:w="1370"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2.83</w:t>
            </w:r>
          </w:p>
        </w:tc>
        <w:tc>
          <w:tcPr>
            <w:tcW w:w="4340" w:type="dxa"/>
            <w:tcBorders>
              <w:top w:val="nil"/>
              <w:left w:val="nil"/>
              <w:bottom w:val="single" w:sz="4" w:space="0" w:color="auto"/>
              <w:right w:val="single" w:sz="4" w:space="0" w:color="auto"/>
            </w:tcBorders>
            <w:shd w:val="clear" w:color="000000" w:fill="92CDDC"/>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Old Mutual Income R</w:t>
            </w:r>
          </w:p>
        </w:tc>
        <w:tc>
          <w:tcPr>
            <w:tcW w:w="816"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-0.01</w:t>
            </w:r>
          </w:p>
        </w:tc>
        <w:tc>
          <w:tcPr>
            <w:tcW w:w="1140"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3.00</w:t>
            </w:r>
          </w:p>
        </w:tc>
      </w:tr>
      <w:tr w:rsidR="003847B5"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7</w:t>
            </w:r>
          </w:p>
        </w:tc>
        <w:tc>
          <w:tcPr>
            <w:tcW w:w="4677" w:type="dxa"/>
            <w:tcBorders>
              <w:top w:val="nil"/>
              <w:left w:val="nil"/>
              <w:bottom w:val="single" w:sz="4" w:space="0" w:color="auto"/>
              <w:right w:val="single" w:sz="4" w:space="0" w:color="auto"/>
            </w:tcBorders>
            <w:shd w:val="clear" w:color="000000" w:fill="B1A0C7"/>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ABSA MM Absolute Return Prudential C2</w:t>
            </w:r>
          </w:p>
        </w:tc>
        <w:tc>
          <w:tcPr>
            <w:tcW w:w="786"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0.27</w:t>
            </w:r>
          </w:p>
        </w:tc>
        <w:tc>
          <w:tcPr>
            <w:tcW w:w="1370"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3.08</w:t>
            </w:r>
          </w:p>
        </w:tc>
        <w:tc>
          <w:tcPr>
            <w:tcW w:w="4340" w:type="dxa"/>
            <w:tcBorders>
              <w:top w:val="nil"/>
              <w:left w:val="nil"/>
              <w:bottom w:val="single" w:sz="4" w:space="0" w:color="auto"/>
              <w:right w:val="single" w:sz="4" w:space="0" w:color="auto"/>
            </w:tcBorders>
            <w:shd w:val="clear" w:color="000000" w:fill="92CDDC"/>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STANLIB Inflation Plus 5% A</w:t>
            </w:r>
          </w:p>
        </w:tc>
        <w:tc>
          <w:tcPr>
            <w:tcW w:w="816"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0.27</w:t>
            </w:r>
          </w:p>
        </w:tc>
        <w:tc>
          <w:tcPr>
            <w:tcW w:w="1140"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5.42</w:t>
            </w:r>
          </w:p>
        </w:tc>
      </w:tr>
      <w:tr w:rsidR="003847B5"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8</w:t>
            </w:r>
          </w:p>
        </w:tc>
        <w:tc>
          <w:tcPr>
            <w:tcW w:w="4677" w:type="dxa"/>
            <w:tcBorders>
              <w:top w:val="nil"/>
              <w:left w:val="nil"/>
              <w:bottom w:val="single" w:sz="4" w:space="0" w:color="auto"/>
              <w:right w:val="single" w:sz="4" w:space="0" w:color="auto"/>
            </w:tcBorders>
            <w:shd w:val="clear" w:color="000000" w:fill="B1A0C7"/>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ABSA Money Market</w:t>
            </w:r>
          </w:p>
        </w:tc>
        <w:tc>
          <w:tcPr>
            <w:tcW w:w="786"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-0.01</w:t>
            </w:r>
          </w:p>
        </w:tc>
        <w:tc>
          <w:tcPr>
            <w:tcW w:w="1370"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6.58</w:t>
            </w:r>
          </w:p>
        </w:tc>
        <w:tc>
          <w:tcPr>
            <w:tcW w:w="4340" w:type="dxa"/>
            <w:tcBorders>
              <w:top w:val="nil"/>
              <w:left w:val="nil"/>
              <w:bottom w:val="single" w:sz="4" w:space="0" w:color="auto"/>
              <w:right w:val="single" w:sz="4" w:space="0" w:color="auto"/>
            </w:tcBorders>
            <w:shd w:val="clear" w:color="000000" w:fill="92CDDC"/>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STANLIB Inst Money Market B5</w:t>
            </w:r>
          </w:p>
        </w:tc>
        <w:tc>
          <w:tcPr>
            <w:tcW w:w="816"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-0.01</w:t>
            </w:r>
          </w:p>
        </w:tc>
        <w:tc>
          <w:tcPr>
            <w:tcW w:w="1140"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7.50</w:t>
            </w:r>
          </w:p>
        </w:tc>
      </w:tr>
      <w:tr w:rsidR="003847B5"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9</w:t>
            </w:r>
          </w:p>
        </w:tc>
        <w:tc>
          <w:tcPr>
            <w:tcW w:w="4677" w:type="dxa"/>
            <w:tcBorders>
              <w:top w:val="nil"/>
              <w:left w:val="nil"/>
              <w:bottom w:val="single" w:sz="4" w:space="0" w:color="auto"/>
              <w:right w:val="single" w:sz="4" w:space="0" w:color="auto"/>
            </w:tcBorders>
            <w:shd w:val="clear" w:color="000000" w:fill="B1A0C7"/>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ABSA Multi Mgd Wealth Accumulation FoF A</w:t>
            </w:r>
          </w:p>
        </w:tc>
        <w:tc>
          <w:tcPr>
            <w:tcW w:w="786"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0.32</w:t>
            </w:r>
          </w:p>
        </w:tc>
        <w:tc>
          <w:tcPr>
            <w:tcW w:w="1370"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7.00</w:t>
            </w:r>
          </w:p>
        </w:tc>
        <w:tc>
          <w:tcPr>
            <w:tcW w:w="4340" w:type="dxa"/>
            <w:tcBorders>
              <w:top w:val="nil"/>
              <w:left w:val="nil"/>
              <w:bottom w:val="single" w:sz="4" w:space="0" w:color="auto"/>
              <w:right w:val="single" w:sz="4" w:space="0" w:color="auto"/>
            </w:tcBorders>
            <w:shd w:val="clear" w:color="000000" w:fill="92CDDC"/>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Optimum BCI Balanced A</w:t>
            </w:r>
          </w:p>
        </w:tc>
        <w:tc>
          <w:tcPr>
            <w:tcW w:w="816"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0.32</w:t>
            </w:r>
          </w:p>
        </w:tc>
        <w:tc>
          <w:tcPr>
            <w:tcW w:w="1140"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1.25</w:t>
            </w:r>
          </w:p>
        </w:tc>
      </w:tr>
      <w:tr w:rsidR="003847B5"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10</w:t>
            </w:r>
          </w:p>
        </w:tc>
        <w:tc>
          <w:tcPr>
            <w:tcW w:w="4677" w:type="dxa"/>
            <w:tcBorders>
              <w:top w:val="nil"/>
              <w:left w:val="nil"/>
              <w:bottom w:val="single" w:sz="4" w:space="0" w:color="auto"/>
              <w:right w:val="single" w:sz="4" w:space="0" w:color="auto"/>
            </w:tcBorders>
            <w:shd w:val="clear" w:color="000000" w:fill="B1A0C7"/>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ABSA Multi Mgd Wealth Creation FoF A</w:t>
            </w:r>
          </w:p>
        </w:tc>
        <w:tc>
          <w:tcPr>
            <w:tcW w:w="786"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0.41</w:t>
            </w:r>
          </w:p>
        </w:tc>
        <w:tc>
          <w:tcPr>
            <w:tcW w:w="1370"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7.00</w:t>
            </w:r>
          </w:p>
        </w:tc>
        <w:tc>
          <w:tcPr>
            <w:tcW w:w="4340" w:type="dxa"/>
            <w:tcBorders>
              <w:top w:val="nil"/>
              <w:left w:val="nil"/>
              <w:bottom w:val="single" w:sz="4" w:space="0" w:color="auto"/>
              <w:right w:val="single" w:sz="4" w:space="0" w:color="auto"/>
            </w:tcBorders>
            <w:shd w:val="clear" w:color="000000" w:fill="92CDDC"/>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ADB BCI Flexible Prudential FoF</w:t>
            </w:r>
          </w:p>
        </w:tc>
        <w:tc>
          <w:tcPr>
            <w:tcW w:w="816"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0.41</w:t>
            </w:r>
          </w:p>
        </w:tc>
        <w:tc>
          <w:tcPr>
            <w:tcW w:w="1140"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6.67</w:t>
            </w:r>
          </w:p>
        </w:tc>
      </w:tr>
      <w:tr w:rsidR="003847B5"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11</w:t>
            </w:r>
          </w:p>
        </w:tc>
        <w:tc>
          <w:tcPr>
            <w:tcW w:w="4677" w:type="dxa"/>
            <w:tcBorders>
              <w:top w:val="nil"/>
              <w:left w:val="nil"/>
              <w:bottom w:val="single" w:sz="4" w:space="0" w:color="auto"/>
              <w:right w:val="single" w:sz="4" w:space="0" w:color="auto"/>
            </w:tcBorders>
            <w:shd w:val="clear" w:color="000000" w:fill="B1A0C7"/>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ABSA Multi Mgd Wealth Preservation FoF A</w:t>
            </w:r>
          </w:p>
        </w:tc>
        <w:tc>
          <w:tcPr>
            <w:tcW w:w="786"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0.26</w:t>
            </w:r>
          </w:p>
        </w:tc>
        <w:tc>
          <w:tcPr>
            <w:tcW w:w="1370"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7.00</w:t>
            </w:r>
          </w:p>
        </w:tc>
        <w:tc>
          <w:tcPr>
            <w:tcW w:w="4340" w:type="dxa"/>
            <w:tcBorders>
              <w:top w:val="nil"/>
              <w:left w:val="nil"/>
              <w:bottom w:val="single" w:sz="4" w:space="0" w:color="auto"/>
              <w:right w:val="single" w:sz="4" w:space="0" w:color="auto"/>
            </w:tcBorders>
            <w:shd w:val="clear" w:color="000000" w:fill="92CDDC"/>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Grindrod Stable Growth</w:t>
            </w:r>
          </w:p>
        </w:tc>
        <w:tc>
          <w:tcPr>
            <w:tcW w:w="816"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0.26</w:t>
            </w:r>
          </w:p>
        </w:tc>
        <w:tc>
          <w:tcPr>
            <w:tcW w:w="1140"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3.33</w:t>
            </w:r>
          </w:p>
        </w:tc>
      </w:tr>
      <w:tr w:rsidR="003847B5"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12</w:t>
            </w:r>
          </w:p>
        </w:tc>
        <w:tc>
          <w:tcPr>
            <w:tcW w:w="4677" w:type="dxa"/>
            <w:tcBorders>
              <w:top w:val="nil"/>
              <w:left w:val="nil"/>
              <w:bottom w:val="single" w:sz="4" w:space="0" w:color="auto"/>
              <w:right w:val="single" w:sz="4" w:space="0" w:color="auto"/>
            </w:tcBorders>
            <w:shd w:val="clear" w:color="000000" w:fill="B1A0C7"/>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ABSA Multi Mgd Wealth Protection FoF A</w:t>
            </w:r>
          </w:p>
        </w:tc>
        <w:tc>
          <w:tcPr>
            <w:tcW w:w="786"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0.22</w:t>
            </w:r>
          </w:p>
        </w:tc>
        <w:tc>
          <w:tcPr>
            <w:tcW w:w="1370"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7.00</w:t>
            </w:r>
          </w:p>
        </w:tc>
        <w:tc>
          <w:tcPr>
            <w:tcW w:w="4340" w:type="dxa"/>
            <w:tcBorders>
              <w:top w:val="nil"/>
              <w:left w:val="nil"/>
              <w:bottom w:val="single" w:sz="4" w:space="0" w:color="auto"/>
              <w:right w:val="single" w:sz="4" w:space="0" w:color="auto"/>
            </w:tcBorders>
            <w:shd w:val="clear" w:color="000000" w:fill="92CDDC"/>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Sanlam Multi Mgd Cautious FoF A2</w:t>
            </w:r>
          </w:p>
        </w:tc>
        <w:tc>
          <w:tcPr>
            <w:tcW w:w="816"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0.22</w:t>
            </w:r>
          </w:p>
        </w:tc>
        <w:tc>
          <w:tcPr>
            <w:tcW w:w="1140"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4.92</w:t>
            </w:r>
          </w:p>
        </w:tc>
      </w:tr>
      <w:tr w:rsidR="003847B5"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13</w:t>
            </w:r>
          </w:p>
        </w:tc>
        <w:tc>
          <w:tcPr>
            <w:tcW w:w="4677" w:type="dxa"/>
            <w:tcBorders>
              <w:top w:val="nil"/>
              <w:left w:val="nil"/>
              <w:bottom w:val="single" w:sz="4" w:space="0" w:color="auto"/>
              <w:right w:val="single" w:sz="4" w:space="0" w:color="auto"/>
            </w:tcBorders>
            <w:shd w:val="clear" w:color="000000" w:fill="B1A0C7"/>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ABSA Multi-Managed Bond A</w:t>
            </w:r>
          </w:p>
        </w:tc>
        <w:tc>
          <w:tcPr>
            <w:tcW w:w="786"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0.08</w:t>
            </w:r>
          </w:p>
        </w:tc>
        <w:tc>
          <w:tcPr>
            <w:tcW w:w="1370"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6.25</w:t>
            </w:r>
          </w:p>
        </w:tc>
        <w:tc>
          <w:tcPr>
            <w:tcW w:w="4340" w:type="dxa"/>
            <w:tcBorders>
              <w:top w:val="nil"/>
              <w:left w:val="nil"/>
              <w:bottom w:val="single" w:sz="4" w:space="0" w:color="auto"/>
              <w:right w:val="single" w:sz="4" w:space="0" w:color="auto"/>
            </w:tcBorders>
            <w:shd w:val="clear" w:color="000000" w:fill="92CDDC"/>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STANLIB MM Bond B1</w:t>
            </w:r>
          </w:p>
        </w:tc>
        <w:tc>
          <w:tcPr>
            <w:tcW w:w="816"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0.08</w:t>
            </w:r>
          </w:p>
        </w:tc>
        <w:tc>
          <w:tcPr>
            <w:tcW w:w="1140"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0.75</w:t>
            </w:r>
          </w:p>
        </w:tc>
      </w:tr>
      <w:tr w:rsidR="003847B5"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14</w:t>
            </w:r>
          </w:p>
        </w:tc>
        <w:tc>
          <w:tcPr>
            <w:tcW w:w="4677" w:type="dxa"/>
            <w:tcBorders>
              <w:top w:val="nil"/>
              <w:left w:val="nil"/>
              <w:bottom w:val="single" w:sz="4" w:space="0" w:color="auto"/>
              <w:right w:val="single" w:sz="4" w:space="0" w:color="auto"/>
            </w:tcBorders>
            <w:shd w:val="clear" w:color="000000" w:fill="B1A0C7"/>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ABSA Multi-Managed Equity</w:t>
            </w:r>
          </w:p>
        </w:tc>
        <w:tc>
          <w:tcPr>
            <w:tcW w:w="786"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0.78</w:t>
            </w:r>
          </w:p>
        </w:tc>
        <w:tc>
          <w:tcPr>
            <w:tcW w:w="1370"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6.42</w:t>
            </w:r>
          </w:p>
        </w:tc>
        <w:tc>
          <w:tcPr>
            <w:tcW w:w="4340" w:type="dxa"/>
            <w:tcBorders>
              <w:top w:val="nil"/>
              <w:left w:val="nil"/>
              <w:bottom w:val="single" w:sz="4" w:space="0" w:color="auto"/>
              <w:right w:val="single" w:sz="4" w:space="0" w:color="auto"/>
            </w:tcBorders>
            <w:shd w:val="clear" w:color="000000" w:fill="92CDDC"/>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Old Mutual Albaraka Equity A</w:t>
            </w:r>
          </w:p>
        </w:tc>
        <w:tc>
          <w:tcPr>
            <w:tcW w:w="816"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0.78</w:t>
            </w:r>
          </w:p>
        </w:tc>
        <w:tc>
          <w:tcPr>
            <w:tcW w:w="1140"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8.50</w:t>
            </w:r>
          </w:p>
        </w:tc>
      </w:tr>
      <w:tr w:rsidR="003847B5"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15</w:t>
            </w:r>
          </w:p>
        </w:tc>
        <w:tc>
          <w:tcPr>
            <w:tcW w:w="4677" w:type="dxa"/>
            <w:tcBorders>
              <w:top w:val="nil"/>
              <w:left w:val="nil"/>
              <w:bottom w:val="single" w:sz="4" w:space="0" w:color="auto"/>
              <w:right w:val="single" w:sz="4" w:space="0" w:color="auto"/>
            </w:tcBorders>
            <w:shd w:val="clear" w:color="000000" w:fill="B1A0C7"/>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ABSA Opportunity Income FoF A</w:t>
            </w:r>
          </w:p>
        </w:tc>
        <w:tc>
          <w:tcPr>
            <w:tcW w:w="786"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0.07</w:t>
            </w:r>
          </w:p>
        </w:tc>
        <w:tc>
          <w:tcPr>
            <w:tcW w:w="1370"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2.50</w:t>
            </w:r>
          </w:p>
        </w:tc>
        <w:tc>
          <w:tcPr>
            <w:tcW w:w="4340" w:type="dxa"/>
            <w:tcBorders>
              <w:top w:val="nil"/>
              <w:left w:val="nil"/>
              <w:bottom w:val="single" w:sz="4" w:space="0" w:color="auto"/>
              <w:right w:val="single" w:sz="4" w:space="0" w:color="auto"/>
            </w:tcBorders>
            <w:shd w:val="clear" w:color="000000" w:fill="92CDDC"/>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PSG MM Income FoF C</w:t>
            </w:r>
          </w:p>
        </w:tc>
        <w:tc>
          <w:tcPr>
            <w:tcW w:w="816"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0.07</w:t>
            </w:r>
          </w:p>
        </w:tc>
        <w:tc>
          <w:tcPr>
            <w:tcW w:w="1140"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1.67</w:t>
            </w:r>
          </w:p>
        </w:tc>
      </w:tr>
      <w:tr w:rsidR="003847B5"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16</w:t>
            </w:r>
          </w:p>
        </w:tc>
        <w:tc>
          <w:tcPr>
            <w:tcW w:w="4677" w:type="dxa"/>
            <w:tcBorders>
              <w:top w:val="nil"/>
              <w:left w:val="nil"/>
              <w:bottom w:val="single" w:sz="4" w:space="0" w:color="auto"/>
              <w:right w:val="single" w:sz="4" w:space="0" w:color="auto"/>
            </w:tcBorders>
            <w:shd w:val="clear" w:color="000000" w:fill="B1A0C7"/>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ABSA Prudential FoF</w:t>
            </w:r>
          </w:p>
        </w:tc>
        <w:tc>
          <w:tcPr>
            <w:tcW w:w="786"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0.46</w:t>
            </w:r>
          </w:p>
        </w:tc>
        <w:tc>
          <w:tcPr>
            <w:tcW w:w="1370"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2.50</w:t>
            </w:r>
          </w:p>
        </w:tc>
        <w:tc>
          <w:tcPr>
            <w:tcW w:w="4340" w:type="dxa"/>
            <w:tcBorders>
              <w:top w:val="nil"/>
              <w:left w:val="nil"/>
              <w:bottom w:val="single" w:sz="4" w:space="0" w:color="auto"/>
              <w:right w:val="single" w:sz="4" w:space="0" w:color="auto"/>
            </w:tcBorders>
            <w:shd w:val="clear" w:color="000000" w:fill="92CDDC"/>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Oasis Crescent Balanced High Eq FoF D</w:t>
            </w:r>
          </w:p>
        </w:tc>
        <w:tc>
          <w:tcPr>
            <w:tcW w:w="816"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0.46</w:t>
            </w:r>
          </w:p>
        </w:tc>
        <w:tc>
          <w:tcPr>
            <w:tcW w:w="1140"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5.25</w:t>
            </w:r>
          </w:p>
        </w:tc>
      </w:tr>
      <w:tr w:rsidR="003847B5"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17</w:t>
            </w:r>
          </w:p>
        </w:tc>
        <w:tc>
          <w:tcPr>
            <w:tcW w:w="4677" w:type="dxa"/>
            <w:tcBorders>
              <w:top w:val="nil"/>
              <w:left w:val="nil"/>
              <w:bottom w:val="single" w:sz="4" w:space="0" w:color="auto"/>
              <w:right w:val="single" w:sz="4" w:space="0" w:color="auto"/>
            </w:tcBorders>
            <w:shd w:val="clear" w:color="000000" w:fill="B1A0C7"/>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Alusi Managed FoF B</w:t>
            </w:r>
          </w:p>
        </w:tc>
        <w:tc>
          <w:tcPr>
            <w:tcW w:w="786"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0.42</w:t>
            </w:r>
          </w:p>
        </w:tc>
        <w:tc>
          <w:tcPr>
            <w:tcW w:w="1370"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4.42</w:t>
            </w:r>
          </w:p>
        </w:tc>
        <w:tc>
          <w:tcPr>
            <w:tcW w:w="4340" w:type="dxa"/>
            <w:tcBorders>
              <w:top w:val="nil"/>
              <w:left w:val="nil"/>
              <w:bottom w:val="single" w:sz="4" w:space="0" w:color="auto"/>
              <w:right w:val="single" w:sz="4" w:space="0" w:color="auto"/>
            </w:tcBorders>
            <w:shd w:val="clear" w:color="000000" w:fill="92CDDC"/>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Sasfin MET Prudential A1</w:t>
            </w:r>
          </w:p>
        </w:tc>
        <w:tc>
          <w:tcPr>
            <w:tcW w:w="816"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0.42</w:t>
            </w:r>
          </w:p>
        </w:tc>
        <w:tc>
          <w:tcPr>
            <w:tcW w:w="1140"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5.50</w:t>
            </w:r>
          </w:p>
        </w:tc>
      </w:tr>
      <w:tr w:rsidR="003847B5"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18</w:t>
            </w:r>
          </w:p>
        </w:tc>
        <w:tc>
          <w:tcPr>
            <w:tcW w:w="4677" w:type="dxa"/>
            <w:tcBorders>
              <w:top w:val="nil"/>
              <w:left w:val="nil"/>
              <w:bottom w:val="single" w:sz="4" w:space="0" w:color="auto"/>
              <w:right w:val="single" w:sz="4" w:space="0" w:color="auto"/>
            </w:tcBorders>
            <w:shd w:val="clear" w:color="000000" w:fill="B1A0C7"/>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BCI Enhanced Interest A</w:t>
            </w:r>
          </w:p>
        </w:tc>
        <w:tc>
          <w:tcPr>
            <w:tcW w:w="786"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0.06</w:t>
            </w:r>
          </w:p>
        </w:tc>
        <w:tc>
          <w:tcPr>
            <w:tcW w:w="1370"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6.50</w:t>
            </w:r>
          </w:p>
        </w:tc>
        <w:tc>
          <w:tcPr>
            <w:tcW w:w="4340" w:type="dxa"/>
            <w:tcBorders>
              <w:top w:val="nil"/>
              <w:left w:val="nil"/>
              <w:bottom w:val="single" w:sz="4" w:space="0" w:color="auto"/>
              <w:right w:val="single" w:sz="4" w:space="0" w:color="auto"/>
            </w:tcBorders>
            <w:shd w:val="clear" w:color="000000" w:fill="92CDDC"/>
            <w:noWrap/>
            <w:vAlign w:val="center"/>
            <w:hideMark/>
          </w:tcPr>
          <w:p w:rsidR="00972DE8" w:rsidRPr="008633D2" w:rsidRDefault="00972DE8" w:rsidP="0054491B">
            <w:pPr>
              <w:spacing w:before="0" w:after="0" w:line="240" w:lineRule="auto"/>
              <w:jc w:val="left"/>
              <w:rPr>
                <w:rFonts w:ascii="Verdana" w:hAnsi="Verdana" w:cs="Calibri"/>
                <w:sz w:val="20"/>
                <w:szCs w:val="20"/>
                <w:lang w:val="en-ZA" w:eastAsia="en-ZA"/>
              </w:rPr>
            </w:pPr>
            <w:r w:rsidRPr="008633D2">
              <w:rPr>
                <w:rFonts w:ascii="Verdana" w:hAnsi="Verdana" w:cs="Calibri"/>
                <w:sz w:val="20"/>
                <w:szCs w:val="20"/>
                <w:lang w:val="en-ZA" w:eastAsia="en-ZA"/>
              </w:rPr>
              <w:t>Stewart MET Abs Return Blend FoF A</w:t>
            </w:r>
          </w:p>
        </w:tc>
        <w:tc>
          <w:tcPr>
            <w:tcW w:w="816"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0.06</w:t>
            </w:r>
          </w:p>
        </w:tc>
        <w:tc>
          <w:tcPr>
            <w:tcW w:w="1140"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7.67</w:t>
            </w:r>
          </w:p>
        </w:tc>
      </w:tr>
      <w:tr w:rsidR="003847B5"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19</w:t>
            </w:r>
          </w:p>
        </w:tc>
        <w:tc>
          <w:tcPr>
            <w:tcW w:w="4677" w:type="dxa"/>
            <w:tcBorders>
              <w:top w:val="nil"/>
              <w:left w:val="nil"/>
              <w:bottom w:val="single" w:sz="4" w:space="0" w:color="auto"/>
              <w:right w:val="single" w:sz="4" w:space="0" w:color="auto"/>
            </w:tcBorders>
            <w:shd w:val="clear" w:color="000000" w:fill="B1A0C7"/>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Cadiz Absolute Yield A</w:t>
            </w:r>
          </w:p>
        </w:tc>
        <w:tc>
          <w:tcPr>
            <w:tcW w:w="786"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0.03</w:t>
            </w:r>
          </w:p>
        </w:tc>
        <w:tc>
          <w:tcPr>
            <w:tcW w:w="1370"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9.33</w:t>
            </w:r>
          </w:p>
        </w:tc>
        <w:tc>
          <w:tcPr>
            <w:tcW w:w="4340" w:type="dxa"/>
            <w:tcBorders>
              <w:top w:val="nil"/>
              <w:left w:val="nil"/>
              <w:bottom w:val="single" w:sz="4" w:space="0" w:color="auto"/>
              <w:right w:val="single" w:sz="4" w:space="0" w:color="auto"/>
            </w:tcBorders>
            <w:shd w:val="clear" w:color="000000" w:fill="92CDDC"/>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Momentum Income Plus A</w:t>
            </w:r>
          </w:p>
        </w:tc>
        <w:tc>
          <w:tcPr>
            <w:tcW w:w="816"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0.03</w:t>
            </w:r>
          </w:p>
        </w:tc>
        <w:tc>
          <w:tcPr>
            <w:tcW w:w="1140"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8.50</w:t>
            </w:r>
          </w:p>
        </w:tc>
      </w:tr>
      <w:tr w:rsidR="003847B5"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20</w:t>
            </w:r>
          </w:p>
        </w:tc>
        <w:tc>
          <w:tcPr>
            <w:tcW w:w="4677" w:type="dxa"/>
            <w:tcBorders>
              <w:top w:val="nil"/>
              <w:left w:val="nil"/>
              <w:bottom w:val="single" w:sz="4" w:space="0" w:color="auto"/>
              <w:right w:val="single" w:sz="4" w:space="0" w:color="auto"/>
            </w:tcBorders>
            <w:shd w:val="clear" w:color="000000" w:fill="B1A0C7"/>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Capital Incubator BCI WW Flexible</w:t>
            </w:r>
          </w:p>
        </w:tc>
        <w:tc>
          <w:tcPr>
            <w:tcW w:w="786"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0.34</w:t>
            </w:r>
          </w:p>
        </w:tc>
        <w:tc>
          <w:tcPr>
            <w:tcW w:w="1370"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7.50</w:t>
            </w:r>
          </w:p>
        </w:tc>
        <w:tc>
          <w:tcPr>
            <w:tcW w:w="4340" w:type="dxa"/>
            <w:tcBorders>
              <w:top w:val="nil"/>
              <w:left w:val="nil"/>
              <w:bottom w:val="single" w:sz="4" w:space="0" w:color="auto"/>
              <w:right w:val="single" w:sz="4" w:space="0" w:color="auto"/>
            </w:tcBorders>
            <w:shd w:val="clear" w:color="000000" w:fill="92CDDC"/>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Caleo BCI Worldwide Opportunities FoF A</w:t>
            </w:r>
          </w:p>
        </w:tc>
        <w:tc>
          <w:tcPr>
            <w:tcW w:w="816"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0.49</w:t>
            </w:r>
          </w:p>
        </w:tc>
        <w:tc>
          <w:tcPr>
            <w:tcW w:w="1140"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7.75</w:t>
            </w:r>
          </w:p>
        </w:tc>
      </w:tr>
      <w:tr w:rsidR="003847B5"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21</w:t>
            </w:r>
          </w:p>
        </w:tc>
        <w:tc>
          <w:tcPr>
            <w:tcW w:w="4677" w:type="dxa"/>
            <w:tcBorders>
              <w:top w:val="nil"/>
              <w:left w:val="nil"/>
              <w:bottom w:val="single" w:sz="4" w:space="0" w:color="auto"/>
              <w:right w:val="single" w:sz="4" w:space="0" w:color="auto"/>
            </w:tcBorders>
            <w:shd w:val="clear" w:color="000000" w:fill="B1A0C7"/>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Capital Incubator BCI WW Flexible FoF</w:t>
            </w:r>
          </w:p>
        </w:tc>
        <w:tc>
          <w:tcPr>
            <w:tcW w:w="786"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0.14</w:t>
            </w:r>
          </w:p>
        </w:tc>
        <w:tc>
          <w:tcPr>
            <w:tcW w:w="1370"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5.00</w:t>
            </w:r>
          </w:p>
        </w:tc>
        <w:tc>
          <w:tcPr>
            <w:tcW w:w="4340" w:type="dxa"/>
            <w:tcBorders>
              <w:top w:val="nil"/>
              <w:left w:val="nil"/>
              <w:bottom w:val="single" w:sz="4" w:space="0" w:color="auto"/>
              <w:right w:val="single" w:sz="4" w:space="0" w:color="auto"/>
            </w:tcBorders>
            <w:shd w:val="clear" w:color="000000" w:fill="92CDDC"/>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BCI Worldwide Flexible FoF 3B2</w:t>
            </w:r>
          </w:p>
        </w:tc>
        <w:tc>
          <w:tcPr>
            <w:tcW w:w="816"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0.14</w:t>
            </w:r>
          </w:p>
        </w:tc>
        <w:tc>
          <w:tcPr>
            <w:tcW w:w="1140"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1.92</w:t>
            </w:r>
          </w:p>
        </w:tc>
      </w:tr>
      <w:tr w:rsidR="003847B5"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22</w:t>
            </w:r>
          </w:p>
        </w:tc>
        <w:tc>
          <w:tcPr>
            <w:tcW w:w="4677" w:type="dxa"/>
            <w:tcBorders>
              <w:top w:val="nil"/>
              <w:left w:val="nil"/>
              <w:bottom w:val="single" w:sz="4" w:space="0" w:color="auto"/>
              <w:right w:val="single" w:sz="4" w:space="0" w:color="auto"/>
            </w:tcBorders>
            <w:shd w:val="clear" w:color="000000" w:fill="B1A0C7"/>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Citadel Balanced H4 B1</w:t>
            </w:r>
          </w:p>
        </w:tc>
        <w:tc>
          <w:tcPr>
            <w:tcW w:w="786"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0.55</w:t>
            </w:r>
          </w:p>
        </w:tc>
        <w:tc>
          <w:tcPr>
            <w:tcW w:w="1370"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4.25</w:t>
            </w:r>
          </w:p>
        </w:tc>
        <w:tc>
          <w:tcPr>
            <w:tcW w:w="4340" w:type="dxa"/>
            <w:tcBorders>
              <w:top w:val="nil"/>
              <w:left w:val="nil"/>
              <w:bottom w:val="single" w:sz="4" w:space="0" w:color="auto"/>
              <w:right w:val="single" w:sz="4" w:space="0" w:color="auto"/>
            </w:tcBorders>
            <w:shd w:val="clear" w:color="000000" w:fill="92CDDC"/>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Kagiso Islamic Balanced</w:t>
            </w:r>
          </w:p>
        </w:tc>
        <w:tc>
          <w:tcPr>
            <w:tcW w:w="816"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0.55</w:t>
            </w:r>
          </w:p>
        </w:tc>
        <w:tc>
          <w:tcPr>
            <w:tcW w:w="1140"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4.17</w:t>
            </w:r>
          </w:p>
        </w:tc>
      </w:tr>
      <w:tr w:rsidR="003847B5"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23</w:t>
            </w:r>
          </w:p>
        </w:tc>
        <w:tc>
          <w:tcPr>
            <w:tcW w:w="4677" w:type="dxa"/>
            <w:tcBorders>
              <w:top w:val="nil"/>
              <w:left w:val="nil"/>
              <w:bottom w:val="single" w:sz="4" w:space="0" w:color="auto"/>
              <w:right w:val="single" w:sz="4" w:space="0" w:color="auto"/>
            </w:tcBorders>
            <w:shd w:val="clear" w:color="000000" w:fill="B1A0C7"/>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Citadel Global Equity H4 FoF B1</w:t>
            </w:r>
          </w:p>
        </w:tc>
        <w:tc>
          <w:tcPr>
            <w:tcW w:w="786"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0.46</w:t>
            </w:r>
          </w:p>
        </w:tc>
        <w:tc>
          <w:tcPr>
            <w:tcW w:w="1370"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4.50</w:t>
            </w:r>
          </w:p>
        </w:tc>
        <w:tc>
          <w:tcPr>
            <w:tcW w:w="4340" w:type="dxa"/>
            <w:tcBorders>
              <w:top w:val="nil"/>
              <w:left w:val="nil"/>
              <w:bottom w:val="single" w:sz="4" w:space="0" w:color="auto"/>
              <w:right w:val="single" w:sz="4" w:space="0" w:color="auto"/>
            </w:tcBorders>
            <w:shd w:val="clear" w:color="000000" w:fill="92CDDC"/>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Old Mutual Global Equity A</w:t>
            </w:r>
          </w:p>
        </w:tc>
        <w:tc>
          <w:tcPr>
            <w:tcW w:w="816"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0.45</w:t>
            </w:r>
          </w:p>
        </w:tc>
        <w:tc>
          <w:tcPr>
            <w:tcW w:w="1140"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7.50</w:t>
            </w:r>
          </w:p>
        </w:tc>
      </w:tr>
      <w:tr w:rsidR="003847B5"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24</w:t>
            </w:r>
          </w:p>
        </w:tc>
        <w:tc>
          <w:tcPr>
            <w:tcW w:w="4677" w:type="dxa"/>
            <w:tcBorders>
              <w:top w:val="nil"/>
              <w:left w:val="nil"/>
              <w:bottom w:val="single" w:sz="4" w:space="0" w:color="auto"/>
              <w:right w:val="single" w:sz="4" w:space="0" w:color="auto"/>
            </w:tcBorders>
            <w:shd w:val="clear" w:color="000000" w:fill="B1A0C7"/>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Citadel SA Equity H4 B1</w:t>
            </w:r>
          </w:p>
        </w:tc>
        <w:tc>
          <w:tcPr>
            <w:tcW w:w="786"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0.71</w:t>
            </w:r>
          </w:p>
        </w:tc>
        <w:tc>
          <w:tcPr>
            <w:tcW w:w="1370"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4.50</w:t>
            </w:r>
          </w:p>
        </w:tc>
        <w:tc>
          <w:tcPr>
            <w:tcW w:w="4340" w:type="dxa"/>
            <w:tcBorders>
              <w:top w:val="nil"/>
              <w:left w:val="nil"/>
              <w:bottom w:val="single" w:sz="4" w:space="0" w:color="auto"/>
              <w:right w:val="single" w:sz="4" w:space="0" w:color="auto"/>
            </w:tcBorders>
            <w:shd w:val="clear" w:color="000000" w:fill="92CDDC"/>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Mazi Capital Prime Equity A1</w:t>
            </w:r>
          </w:p>
        </w:tc>
        <w:tc>
          <w:tcPr>
            <w:tcW w:w="816"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0.71</w:t>
            </w:r>
          </w:p>
        </w:tc>
        <w:tc>
          <w:tcPr>
            <w:tcW w:w="1140"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4.92</w:t>
            </w:r>
          </w:p>
        </w:tc>
      </w:tr>
      <w:tr w:rsidR="003847B5"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25</w:t>
            </w:r>
          </w:p>
        </w:tc>
        <w:tc>
          <w:tcPr>
            <w:tcW w:w="4677" w:type="dxa"/>
            <w:tcBorders>
              <w:top w:val="nil"/>
              <w:left w:val="nil"/>
              <w:bottom w:val="single" w:sz="4" w:space="0" w:color="auto"/>
              <w:right w:val="single" w:sz="4" w:space="0" w:color="auto"/>
            </w:tcBorders>
            <w:shd w:val="clear" w:color="000000" w:fill="B1A0C7"/>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Community Growth Gilt</w:t>
            </w:r>
          </w:p>
        </w:tc>
        <w:tc>
          <w:tcPr>
            <w:tcW w:w="786"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0.03</w:t>
            </w:r>
          </w:p>
        </w:tc>
        <w:tc>
          <w:tcPr>
            <w:tcW w:w="1370"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2.83</w:t>
            </w:r>
          </w:p>
        </w:tc>
        <w:tc>
          <w:tcPr>
            <w:tcW w:w="4340" w:type="dxa"/>
            <w:tcBorders>
              <w:top w:val="nil"/>
              <w:left w:val="nil"/>
              <w:bottom w:val="single" w:sz="4" w:space="0" w:color="auto"/>
              <w:right w:val="single" w:sz="4" w:space="0" w:color="auto"/>
            </w:tcBorders>
            <w:shd w:val="clear" w:color="000000" w:fill="92CDDC"/>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ABSA Bond B</w:t>
            </w:r>
          </w:p>
        </w:tc>
        <w:tc>
          <w:tcPr>
            <w:tcW w:w="816"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0.03</w:t>
            </w:r>
          </w:p>
        </w:tc>
        <w:tc>
          <w:tcPr>
            <w:tcW w:w="1140"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1.58</w:t>
            </w:r>
          </w:p>
        </w:tc>
      </w:tr>
      <w:tr w:rsidR="003847B5"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26</w:t>
            </w:r>
          </w:p>
        </w:tc>
        <w:tc>
          <w:tcPr>
            <w:tcW w:w="4677" w:type="dxa"/>
            <w:tcBorders>
              <w:top w:val="nil"/>
              <w:left w:val="nil"/>
              <w:bottom w:val="single" w:sz="4" w:space="0" w:color="auto"/>
              <w:right w:val="single" w:sz="4" w:space="0" w:color="auto"/>
            </w:tcBorders>
            <w:shd w:val="clear" w:color="000000" w:fill="B1A0C7"/>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Community Growth Money Market</w:t>
            </w:r>
          </w:p>
        </w:tc>
        <w:tc>
          <w:tcPr>
            <w:tcW w:w="786"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-0.01</w:t>
            </w:r>
          </w:p>
        </w:tc>
        <w:tc>
          <w:tcPr>
            <w:tcW w:w="1370"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5.08</w:t>
            </w:r>
          </w:p>
        </w:tc>
        <w:tc>
          <w:tcPr>
            <w:tcW w:w="4340" w:type="dxa"/>
            <w:tcBorders>
              <w:top w:val="nil"/>
              <w:left w:val="nil"/>
              <w:bottom w:val="single" w:sz="4" w:space="0" w:color="auto"/>
              <w:right w:val="single" w:sz="4" w:space="0" w:color="auto"/>
            </w:tcBorders>
            <w:shd w:val="clear" w:color="000000" w:fill="92CDDC"/>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Glacier Money Market A</w:t>
            </w:r>
          </w:p>
        </w:tc>
        <w:tc>
          <w:tcPr>
            <w:tcW w:w="816"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-0.01</w:t>
            </w:r>
          </w:p>
        </w:tc>
        <w:tc>
          <w:tcPr>
            <w:tcW w:w="1140"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5.25</w:t>
            </w:r>
          </w:p>
        </w:tc>
      </w:tr>
      <w:tr w:rsidR="003847B5"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27</w:t>
            </w:r>
          </w:p>
        </w:tc>
        <w:tc>
          <w:tcPr>
            <w:tcW w:w="4677" w:type="dxa"/>
            <w:tcBorders>
              <w:top w:val="nil"/>
              <w:left w:val="nil"/>
              <w:bottom w:val="single" w:sz="4" w:space="0" w:color="auto"/>
              <w:right w:val="single" w:sz="4" w:space="0" w:color="auto"/>
            </w:tcBorders>
            <w:shd w:val="clear" w:color="000000" w:fill="B1A0C7"/>
            <w:noWrap/>
            <w:vAlign w:val="center"/>
            <w:hideMark/>
          </w:tcPr>
          <w:p w:rsidR="00972DE8" w:rsidRPr="008633D2" w:rsidRDefault="00972DE8"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Coronation Money Market</w:t>
            </w:r>
          </w:p>
        </w:tc>
        <w:tc>
          <w:tcPr>
            <w:tcW w:w="786"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-0.01</w:t>
            </w:r>
          </w:p>
        </w:tc>
        <w:tc>
          <w:tcPr>
            <w:tcW w:w="1370" w:type="dxa"/>
            <w:tcBorders>
              <w:top w:val="nil"/>
              <w:left w:val="nil"/>
              <w:bottom w:val="single" w:sz="4" w:space="0" w:color="auto"/>
              <w:right w:val="single" w:sz="4" w:space="0" w:color="auto"/>
            </w:tcBorders>
            <w:shd w:val="clear" w:color="000000" w:fill="E4DFEC"/>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12.50</w:t>
            </w:r>
          </w:p>
        </w:tc>
        <w:tc>
          <w:tcPr>
            <w:tcW w:w="4340" w:type="dxa"/>
            <w:tcBorders>
              <w:top w:val="nil"/>
              <w:left w:val="nil"/>
              <w:bottom w:val="single" w:sz="4" w:space="0" w:color="auto"/>
              <w:right w:val="single" w:sz="4" w:space="0" w:color="auto"/>
            </w:tcBorders>
            <w:shd w:val="clear" w:color="000000" w:fill="92CDDC"/>
            <w:noWrap/>
            <w:vAlign w:val="center"/>
            <w:hideMark/>
          </w:tcPr>
          <w:p w:rsidR="00972DE8" w:rsidRPr="008633D2" w:rsidRDefault="001248F7"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SIM Money Market R</w:t>
            </w:r>
          </w:p>
        </w:tc>
        <w:tc>
          <w:tcPr>
            <w:tcW w:w="816" w:type="dxa"/>
            <w:tcBorders>
              <w:top w:val="nil"/>
              <w:left w:val="nil"/>
              <w:bottom w:val="single" w:sz="4" w:space="0" w:color="auto"/>
              <w:right w:val="single" w:sz="4" w:space="0" w:color="auto"/>
            </w:tcBorders>
            <w:shd w:val="clear" w:color="000000" w:fill="DAEEF3"/>
            <w:noWrap/>
            <w:vAlign w:val="center"/>
            <w:hideMark/>
          </w:tcPr>
          <w:p w:rsidR="00972DE8" w:rsidRPr="008633D2" w:rsidRDefault="00972DE8"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-0.01</w:t>
            </w:r>
          </w:p>
        </w:tc>
        <w:tc>
          <w:tcPr>
            <w:tcW w:w="1140" w:type="dxa"/>
            <w:tcBorders>
              <w:top w:val="nil"/>
              <w:left w:val="nil"/>
              <w:bottom w:val="single" w:sz="4" w:space="0" w:color="auto"/>
              <w:right w:val="single" w:sz="4" w:space="0" w:color="auto"/>
            </w:tcBorders>
            <w:shd w:val="clear" w:color="000000" w:fill="DAEEF3"/>
            <w:noWrap/>
            <w:vAlign w:val="center"/>
            <w:hideMark/>
          </w:tcPr>
          <w:p w:rsidR="00972DE8" w:rsidRPr="008633D2" w:rsidRDefault="001248F7"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14.42</w:t>
            </w:r>
          </w:p>
        </w:tc>
      </w:tr>
      <w:tr w:rsidR="002A33BE"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28</w:t>
            </w:r>
          </w:p>
        </w:tc>
        <w:tc>
          <w:tcPr>
            <w:tcW w:w="4677" w:type="dxa"/>
            <w:tcBorders>
              <w:top w:val="nil"/>
              <w:left w:val="nil"/>
              <w:bottom w:val="single" w:sz="4" w:space="0" w:color="auto"/>
              <w:right w:val="single" w:sz="4" w:space="0" w:color="auto"/>
            </w:tcBorders>
            <w:shd w:val="clear" w:color="000000" w:fill="B1A0C7"/>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Momentum Africa Equity A</w:t>
            </w:r>
          </w:p>
        </w:tc>
        <w:tc>
          <w:tcPr>
            <w:tcW w:w="786"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0.10</w:t>
            </w:r>
          </w:p>
        </w:tc>
        <w:tc>
          <w:tcPr>
            <w:tcW w:w="1370"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1.33</w:t>
            </w:r>
          </w:p>
        </w:tc>
        <w:tc>
          <w:tcPr>
            <w:tcW w:w="4340" w:type="dxa"/>
            <w:tcBorders>
              <w:top w:val="nil"/>
              <w:left w:val="nil"/>
              <w:bottom w:val="single" w:sz="4" w:space="0" w:color="auto"/>
              <w:right w:val="single" w:sz="4" w:space="0" w:color="auto"/>
            </w:tcBorders>
            <w:shd w:val="clear" w:color="000000" w:fill="92CDDC"/>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STANLIB Africa Equity B1</w:t>
            </w:r>
          </w:p>
        </w:tc>
        <w:tc>
          <w:tcPr>
            <w:tcW w:w="816"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0.45</w:t>
            </w:r>
          </w:p>
        </w:tc>
        <w:tc>
          <w:tcPr>
            <w:tcW w:w="1140"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4.42</w:t>
            </w:r>
          </w:p>
        </w:tc>
      </w:tr>
      <w:tr w:rsidR="002A33BE"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29</w:t>
            </w:r>
          </w:p>
        </w:tc>
        <w:tc>
          <w:tcPr>
            <w:tcW w:w="4677" w:type="dxa"/>
            <w:tcBorders>
              <w:top w:val="nil"/>
              <w:left w:val="nil"/>
              <w:bottom w:val="single" w:sz="4" w:space="0" w:color="auto"/>
              <w:right w:val="single" w:sz="4" w:space="0" w:color="auto"/>
            </w:tcBorders>
            <w:shd w:val="clear" w:color="000000" w:fill="B1A0C7"/>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Momentum Factor 3 FoF A</w:t>
            </w:r>
          </w:p>
        </w:tc>
        <w:tc>
          <w:tcPr>
            <w:tcW w:w="786"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0.27</w:t>
            </w:r>
          </w:p>
        </w:tc>
        <w:tc>
          <w:tcPr>
            <w:tcW w:w="1370"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3.25</w:t>
            </w:r>
          </w:p>
        </w:tc>
        <w:tc>
          <w:tcPr>
            <w:tcW w:w="4340" w:type="dxa"/>
            <w:tcBorders>
              <w:top w:val="nil"/>
              <w:left w:val="nil"/>
              <w:bottom w:val="single" w:sz="4" w:space="0" w:color="auto"/>
              <w:right w:val="single" w:sz="4" w:space="0" w:color="auto"/>
            </w:tcBorders>
            <w:shd w:val="clear" w:color="000000" w:fill="92CDDC"/>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Inv Solutions Stable FoF</w:t>
            </w:r>
          </w:p>
        </w:tc>
        <w:tc>
          <w:tcPr>
            <w:tcW w:w="816"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0.27</w:t>
            </w:r>
          </w:p>
        </w:tc>
        <w:tc>
          <w:tcPr>
            <w:tcW w:w="1140"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3.92</w:t>
            </w:r>
          </w:p>
        </w:tc>
      </w:tr>
      <w:tr w:rsidR="002A33BE"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30</w:t>
            </w:r>
          </w:p>
        </w:tc>
        <w:tc>
          <w:tcPr>
            <w:tcW w:w="4677" w:type="dxa"/>
            <w:tcBorders>
              <w:top w:val="nil"/>
              <w:left w:val="nil"/>
              <w:bottom w:val="single" w:sz="4" w:space="0" w:color="auto"/>
              <w:right w:val="single" w:sz="4" w:space="0" w:color="auto"/>
            </w:tcBorders>
            <w:shd w:val="clear" w:color="000000" w:fill="B1A0C7"/>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Momentum Factor 5 FoF A</w:t>
            </w:r>
          </w:p>
        </w:tc>
        <w:tc>
          <w:tcPr>
            <w:tcW w:w="786"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0.45</w:t>
            </w:r>
          </w:p>
        </w:tc>
        <w:tc>
          <w:tcPr>
            <w:tcW w:w="1370"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3.25</w:t>
            </w:r>
          </w:p>
        </w:tc>
        <w:tc>
          <w:tcPr>
            <w:tcW w:w="4340" w:type="dxa"/>
            <w:tcBorders>
              <w:top w:val="nil"/>
              <w:left w:val="nil"/>
              <w:bottom w:val="single" w:sz="4" w:space="0" w:color="auto"/>
              <w:right w:val="single" w:sz="4" w:space="0" w:color="auto"/>
            </w:tcBorders>
            <w:shd w:val="clear" w:color="000000" w:fill="92CDDC"/>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SBRO BCI Balanced FoF A</w:t>
            </w:r>
          </w:p>
        </w:tc>
        <w:tc>
          <w:tcPr>
            <w:tcW w:w="816"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0.45</w:t>
            </w:r>
          </w:p>
        </w:tc>
        <w:tc>
          <w:tcPr>
            <w:tcW w:w="1140"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3.58</w:t>
            </w:r>
          </w:p>
        </w:tc>
      </w:tr>
      <w:tr w:rsidR="002A33BE"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31</w:t>
            </w:r>
          </w:p>
        </w:tc>
        <w:tc>
          <w:tcPr>
            <w:tcW w:w="4677" w:type="dxa"/>
            <w:tcBorders>
              <w:top w:val="nil"/>
              <w:left w:val="nil"/>
              <w:bottom w:val="single" w:sz="4" w:space="0" w:color="auto"/>
              <w:right w:val="single" w:sz="4" w:space="0" w:color="auto"/>
            </w:tcBorders>
            <w:shd w:val="clear" w:color="000000" w:fill="B1A0C7"/>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Momentum Factor 7 FoF A</w:t>
            </w:r>
          </w:p>
        </w:tc>
        <w:tc>
          <w:tcPr>
            <w:tcW w:w="786"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0.52</w:t>
            </w:r>
          </w:p>
        </w:tc>
        <w:tc>
          <w:tcPr>
            <w:tcW w:w="1370"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3.25</w:t>
            </w:r>
          </w:p>
        </w:tc>
        <w:tc>
          <w:tcPr>
            <w:tcW w:w="4340" w:type="dxa"/>
            <w:tcBorders>
              <w:top w:val="nil"/>
              <w:left w:val="nil"/>
              <w:bottom w:val="single" w:sz="4" w:space="0" w:color="auto"/>
              <w:right w:val="single" w:sz="4" w:space="0" w:color="auto"/>
            </w:tcBorders>
            <w:shd w:val="clear" w:color="000000" w:fill="92CDDC"/>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BCI Best Blend Balanced C</w:t>
            </w:r>
          </w:p>
        </w:tc>
        <w:tc>
          <w:tcPr>
            <w:tcW w:w="816"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0.52</w:t>
            </w:r>
          </w:p>
        </w:tc>
        <w:tc>
          <w:tcPr>
            <w:tcW w:w="1140"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1.17</w:t>
            </w:r>
          </w:p>
        </w:tc>
      </w:tr>
      <w:tr w:rsidR="002A33BE"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32</w:t>
            </w:r>
          </w:p>
        </w:tc>
        <w:tc>
          <w:tcPr>
            <w:tcW w:w="4677" w:type="dxa"/>
            <w:tcBorders>
              <w:top w:val="nil"/>
              <w:left w:val="nil"/>
              <w:bottom w:val="single" w:sz="4" w:space="0" w:color="auto"/>
              <w:right w:val="single" w:sz="4" w:space="0" w:color="auto"/>
            </w:tcBorders>
            <w:shd w:val="clear" w:color="000000" w:fill="B1A0C7"/>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Momentum Factor Equity FoF A</w:t>
            </w:r>
          </w:p>
        </w:tc>
        <w:tc>
          <w:tcPr>
            <w:tcW w:w="786"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0.82</w:t>
            </w:r>
          </w:p>
        </w:tc>
        <w:tc>
          <w:tcPr>
            <w:tcW w:w="1370"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3.33</w:t>
            </w:r>
          </w:p>
        </w:tc>
        <w:tc>
          <w:tcPr>
            <w:tcW w:w="4340" w:type="dxa"/>
            <w:tcBorders>
              <w:top w:val="nil"/>
              <w:left w:val="nil"/>
              <w:bottom w:val="single" w:sz="4" w:space="0" w:color="auto"/>
              <w:right w:val="single" w:sz="4" w:space="0" w:color="auto"/>
            </w:tcBorders>
            <w:shd w:val="clear" w:color="000000" w:fill="92CDDC"/>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Afena Equity Prescient A1</w:t>
            </w:r>
          </w:p>
        </w:tc>
        <w:tc>
          <w:tcPr>
            <w:tcW w:w="816"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0.82</w:t>
            </w:r>
          </w:p>
        </w:tc>
        <w:tc>
          <w:tcPr>
            <w:tcW w:w="1140"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3.25</w:t>
            </w:r>
          </w:p>
        </w:tc>
      </w:tr>
      <w:tr w:rsidR="002A33BE"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33</w:t>
            </w:r>
          </w:p>
        </w:tc>
        <w:tc>
          <w:tcPr>
            <w:tcW w:w="4677" w:type="dxa"/>
            <w:tcBorders>
              <w:top w:val="nil"/>
              <w:left w:val="nil"/>
              <w:bottom w:val="single" w:sz="4" w:space="0" w:color="auto"/>
              <w:right w:val="single" w:sz="4" w:space="0" w:color="auto"/>
            </w:tcBorders>
            <w:shd w:val="clear" w:color="000000" w:fill="B1A0C7"/>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Momentum Industrial A</w:t>
            </w:r>
          </w:p>
        </w:tc>
        <w:tc>
          <w:tcPr>
            <w:tcW w:w="786"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0.63</w:t>
            </w:r>
          </w:p>
        </w:tc>
        <w:tc>
          <w:tcPr>
            <w:tcW w:w="1370"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4.08</w:t>
            </w:r>
          </w:p>
        </w:tc>
        <w:tc>
          <w:tcPr>
            <w:tcW w:w="4340" w:type="dxa"/>
            <w:tcBorders>
              <w:top w:val="nil"/>
              <w:left w:val="nil"/>
              <w:bottom w:val="single" w:sz="4" w:space="0" w:color="auto"/>
              <w:right w:val="single" w:sz="4" w:space="0" w:color="auto"/>
            </w:tcBorders>
            <w:shd w:val="clear" w:color="000000" w:fill="92CDDC"/>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Old Mutual Industrial A</w:t>
            </w:r>
          </w:p>
        </w:tc>
        <w:tc>
          <w:tcPr>
            <w:tcW w:w="816"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0.69</w:t>
            </w:r>
          </w:p>
        </w:tc>
        <w:tc>
          <w:tcPr>
            <w:tcW w:w="1140"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2.75</w:t>
            </w:r>
          </w:p>
        </w:tc>
      </w:tr>
      <w:tr w:rsidR="002A33BE"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34</w:t>
            </w:r>
          </w:p>
        </w:tc>
        <w:tc>
          <w:tcPr>
            <w:tcW w:w="4677" w:type="dxa"/>
            <w:tcBorders>
              <w:top w:val="nil"/>
              <w:left w:val="nil"/>
              <w:bottom w:val="single" w:sz="4" w:space="0" w:color="auto"/>
              <w:right w:val="single" w:sz="4" w:space="0" w:color="auto"/>
            </w:tcBorders>
            <w:shd w:val="clear" w:color="000000" w:fill="B1A0C7"/>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Momentum MoM Specialist Equity A</w:t>
            </w:r>
          </w:p>
        </w:tc>
        <w:tc>
          <w:tcPr>
            <w:tcW w:w="786"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1.18</w:t>
            </w:r>
          </w:p>
        </w:tc>
        <w:tc>
          <w:tcPr>
            <w:tcW w:w="1370"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1.33</w:t>
            </w:r>
          </w:p>
        </w:tc>
        <w:tc>
          <w:tcPr>
            <w:tcW w:w="4340" w:type="dxa"/>
            <w:tcBorders>
              <w:top w:val="nil"/>
              <w:left w:val="nil"/>
              <w:bottom w:val="single" w:sz="4" w:space="0" w:color="auto"/>
              <w:right w:val="single" w:sz="4" w:space="0" w:color="auto"/>
            </w:tcBorders>
            <w:shd w:val="clear" w:color="000000" w:fill="92CDDC"/>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Satrix Alsi Index A1</w:t>
            </w:r>
          </w:p>
        </w:tc>
        <w:tc>
          <w:tcPr>
            <w:tcW w:w="816"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1.01</w:t>
            </w:r>
          </w:p>
        </w:tc>
        <w:tc>
          <w:tcPr>
            <w:tcW w:w="1140"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1.25</w:t>
            </w:r>
          </w:p>
        </w:tc>
      </w:tr>
      <w:tr w:rsidR="002A33BE"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35</w:t>
            </w:r>
          </w:p>
        </w:tc>
        <w:tc>
          <w:tcPr>
            <w:tcW w:w="4677" w:type="dxa"/>
            <w:tcBorders>
              <w:top w:val="nil"/>
              <w:left w:val="nil"/>
              <w:bottom w:val="single" w:sz="4" w:space="0" w:color="auto"/>
              <w:right w:val="single" w:sz="4" w:space="0" w:color="auto"/>
            </w:tcBorders>
            <w:shd w:val="clear" w:color="000000" w:fill="B1A0C7"/>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NGI Private Wealth Bond</w:t>
            </w:r>
          </w:p>
        </w:tc>
        <w:tc>
          <w:tcPr>
            <w:tcW w:w="786"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0.03</w:t>
            </w:r>
          </w:p>
        </w:tc>
        <w:tc>
          <w:tcPr>
            <w:tcW w:w="1370"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5.33</w:t>
            </w:r>
          </w:p>
        </w:tc>
        <w:tc>
          <w:tcPr>
            <w:tcW w:w="4340" w:type="dxa"/>
            <w:tcBorders>
              <w:top w:val="nil"/>
              <w:left w:val="nil"/>
              <w:bottom w:val="single" w:sz="4" w:space="0" w:color="auto"/>
              <w:right w:val="single" w:sz="4" w:space="0" w:color="auto"/>
            </w:tcBorders>
            <w:shd w:val="clear" w:color="000000" w:fill="92CDDC"/>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ABSA Bond B</w:t>
            </w:r>
          </w:p>
        </w:tc>
        <w:tc>
          <w:tcPr>
            <w:tcW w:w="816"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0.03</w:t>
            </w:r>
          </w:p>
        </w:tc>
        <w:tc>
          <w:tcPr>
            <w:tcW w:w="1140"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1.58</w:t>
            </w:r>
          </w:p>
        </w:tc>
      </w:tr>
      <w:tr w:rsidR="002A33BE"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36</w:t>
            </w:r>
          </w:p>
        </w:tc>
        <w:tc>
          <w:tcPr>
            <w:tcW w:w="4677" w:type="dxa"/>
            <w:tcBorders>
              <w:top w:val="nil"/>
              <w:left w:val="nil"/>
              <w:bottom w:val="single" w:sz="4" w:space="0" w:color="auto"/>
              <w:right w:val="single" w:sz="4" w:space="0" w:color="auto"/>
            </w:tcBorders>
            <w:shd w:val="clear" w:color="000000" w:fill="B1A0C7"/>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Old Mutual Bond R</w:t>
            </w:r>
          </w:p>
        </w:tc>
        <w:tc>
          <w:tcPr>
            <w:tcW w:w="786"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0.03</w:t>
            </w:r>
          </w:p>
        </w:tc>
        <w:tc>
          <w:tcPr>
            <w:tcW w:w="1370"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6.00</w:t>
            </w:r>
          </w:p>
        </w:tc>
        <w:tc>
          <w:tcPr>
            <w:tcW w:w="4340" w:type="dxa"/>
            <w:tcBorders>
              <w:top w:val="nil"/>
              <w:left w:val="nil"/>
              <w:bottom w:val="single" w:sz="4" w:space="0" w:color="auto"/>
              <w:right w:val="single" w:sz="4" w:space="0" w:color="auto"/>
            </w:tcBorders>
            <w:shd w:val="clear" w:color="000000" w:fill="92CDDC"/>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Investec Corporate Bond Z</w:t>
            </w:r>
          </w:p>
        </w:tc>
        <w:tc>
          <w:tcPr>
            <w:tcW w:w="816"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0.03</w:t>
            </w:r>
          </w:p>
        </w:tc>
        <w:tc>
          <w:tcPr>
            <w:tcW w:w="1140"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9.17</w:t>
            </w:r>
          </w:p>
        </w:tc>
      </w:tr>
      <w:tr w:rsidR="002A33BE"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37</w:t>
            </w:r>
          </w:p>
        </w:tc>
        <w:tc>
          <w:tcPr>
            <w:tcW w:w="4677" w:type="dxa"/>
            <w:tcBorders>
              <w:top w:val="nil"/>
              <w:left w:val="nil"/>
              <w:bottom w:val="single" w:sz="4" w:space="0" w:color="auto"/>
              <w:right w:val="single" w:sz="4" w:space="0" w:color="auto"/>
            </w:tcBorders>
            <w:shd w:val="clear" w:color="000000" w:fill="B1A0C7"/>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Old Mutual Financial Servs A</w:t>
            </w:r>
          </w:p>
        </w:tc>
        <w:tc>
          <w:tcPr>
            <w:tcW w:w="786"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0.72</w:t>
            </w:r>
          </w:p>
        </w:tc>
        <w:tc>
          <w:tcPr>
            <w:tcW w:w="1370"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9.00</w:t>
            </w:r>
          </w:p>
        </w:tc>
        <w:tc>
          <w:tcPr>
            <w:tcW w:w="4340" w:type="dxa"/>
            <w:tcBorders>
              <w:top w:val="nil"/>
              <w:left w:val="nil"/>
              <w:bottom w:val="single" w:sz="4" w:space="0" w:color="auto"/>
              <w:right w:val="single" w:sz="4" w:space="0" w:color="auto"/>
            </w:tcBorders>
            <w:shd w:val="clear" w:color="000000" w:fill="92CDDC"/>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SIM Financial A</w:t>
            </w:r>
          </w:p>
        </w:tc>
        <w:tc>
          <w:tcPr>
            <w:tcW w:w="816"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0.73</w:t>
            </w:r>
          </w:p>
        </w:tc>
        <w:tc>
          <w:tcPr>
            <w:tcW w:w="1140"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4.08</w:t>
            </w:r>
          </w:p>
        </w:tc>
      </w:tr>
      <w:tr w:rsidR="002A33BE"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38</w:t>
            </w:r>
          </w:p>
        </w:tc>
        <w:tc>
          <w:tcPr>
            <w:tcW w:w="4677" w:type="dxa"/>
            <w:tcBorders>
              <w:top w:val="nil"/>
              <w:left w:val="nil"/>
              <w:bottom w:val="single" w:sz="4" w:space="0" w:color="auto"/>
              <w:right w:val="single" w:sz="4" w:space="0" w:color="auto"/>
            </w:tcBorders>
            <w:shd w:val="clear" w:color="000000" w:fill="B1A0C7"/>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Old Mutual Global FTSE RAFI Index FF A</w:t>
            </w:r>
          </w:p>
        </w:tc>
        <w:tc>
          <w:tcPr>
            <w:tcW w:w="786"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0.65</w:t>
            </w:r>
          </w:p>
        </w:tc>
        <w:tc>
          <w:tcPr>
            <w:tcW w:w="1370"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2.58</w:t>
            </w:r>
          </w:p>
        </w:tc>
        <w:tc>
          <w:tcPr>
            <w:tcW w:w="4340" w:type="dxa"/>
            <w:tcBorders>
              <w:top w:val="nil"/>
              <w:left w:val="nil"/>
              <w:bottom w:val="single" w:sz="4" w:space="0" w:color="auto"/>
              <w:right w:val="single" w:sz="4" w:space="0" w:color="auto"/>
            </w:tcBorders>
            <w:shd w:val="clear" w:color="000000" w:fill="92CDDC"/>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SIM Global Best Ideas FF A</w:t>
            </w:r>
          </w:p>
        </w:tc>
        <w:tc>
          <w:tcPr>
            <w:tcW w:w="816"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0.59</w:t>
            </w:r>
          </w:p>
        </w:tc>
        <w:tc>
          <w:tcPr>
            <w:tcW w:w="1140"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8.42</w:t>
            </w:r>
          </w:p>
        </w:tc>
      </w:tr>
      <w:tr w:rsidR="002A33BE"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39</w:t>
            </w:r>
          </w:p>
        </w:tc>
        <w:tc>
          <w:tcPr>
            <w:tcW w:w="4677" w:type="dxa"/>
            <w:tcBorders>
              <w:top w:val="nil"/>
              <w:left w:val="nil"/>
              <w:bottom w:val="single" w:sz="4" w:space="0" w:color="auto"/>
              <w:right w:val="single" w:sz="4" w:space="0" w:color="auto"/>
            </w:tcBorders>
            <w:shd w:val="clear" w:color="000000" w:fill="B1A0C7"/>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Old Mutual RAFI 40 Tracker A</w:t>
            </w:r>
          </w:p>
        </w:tc>
        <w:tc>
          <w:tcPr>
            <w:tcW w:w="786"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0.98</w:t>
            </w:r>
          </w:p>
        </w:tc>
        <w:tc>
          <w:tcPr>
            <w:tcW w:w="1370"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3.25</w:t>
            </w:r>
          </w:p>
        </w:tc>
        <w:tc>
          <w:tcPr>
            <w:tcW w:w="4340" w:type="dxa"/>
            <w:tcBorders>
              <w:top w:val="nil"/>
              <w:left w:val="nil"/>
              <w:bottom w:val="single" w:sz="4" w:space="0" w:color="auto"/>
              <w:right w:val="single" w:sz="4" w:space="0" w:color="auto"/>
            </w:tcBorders>
            <w:shd w:val="clear" w:color="000000" w:fill="92CDDC"/>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MitonOptimal IP Smart Equity A</w:t>
            </w:r>
          </w:p>
        </w:tc>
        <w:tc>
          <w:tcPr>
            <w:tcW w:w="816"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0.98</w:t>
            </w:r>
          </w:p>
        </w:tc>
        <w:tc>
          <w:tcPr>
            <w:tcW w:w="1140"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2.50</w:t>
            </w:r>
          </w:p>
        </w:tc>
      </w:tr>
      <w:tr w:rsidR="002A33BE"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40</w:t>
            </w:r>
          </w:p>
        </w:tc>
        <w:tc>
          <w:tcPr>
            <w:tcW w:w="4677" w:type="dxa"/>
            <w:tcBorders>
              <w:top w:val="nil"/>
              <w:left w:val="nil"/>
              <w:bottom w:val="single" w:sz="4" w:space="0" w:color="auto"/>
              <w:right w:val="single" w:sz="4" w:space="0" w:color="auto"/>
            </w:tcBorders>
            <w:shd w:val="clear" w:color="000000" w:fill="B1A0C7"/>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Old Mutual Top 40 A</w:t>
            </w:r>
          </w:p>
        </w:tc>
        <w:tc>
          <w:tcPr>
            <w:tcW w:w="786"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1.04</w:t>
            </w:r>
          </w:p>
        </w:tc>
        <w:tc>
          <w:tcPr>
            <w:tcW w:w="1370"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3.25</w:t>
            </w:r>
          </w:p>
        </w:tc>
        <w:tc>
          <w:tcPr>
            <w:tcW w:w="4340" w:type="dxa"/>
            <w:tcBorders>
              <w:top w:val="nil"/>
              <w:left w:val="nil"/>
              <w:bottom w:val="single" w:sz="4" w:space="0" w:color="auto"/>
              <w:right w:val="single" w:sz="4" w:space="0" w:color="auto"/>
            </w:tcBorders>
            <w:shd w:val="clear" w:color="000000" w:fill="92CDDC"/>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Momentum Top 40 Index A</w:t>
            </w:r>
          </w:p>
        </w:tc>
        <w:tc>
          <w:tcPr>
            <w:tcW w:w="816"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1.02</w:t>
            </w:r>
          </w:p>
        </w:tc>
        <w:tc>
          <w:tcPr>
            <w:tcW w:w="1140"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3.75</w:t>
            </w:r>
          </w:p>
        </w:tc>
      </w:tr>
      <w:tr w:rsidR="002A33BE"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41</w:t>
            </w:r>
          </w:p>
        </w:tc>
        <w:tc>
          <w:tcPr>
            <w:tcW w:w="4677" w:type="dxa"/>
            <w:tcBorders>
              <w:top w:val="nil"/>
              <w:left w:val="nil"/>
              <w:bottom w:val="single" w:sz="4" w:space="0" w:color="auto"/>
              <w:right w:val="single" w:sz="4" w:space="0" w:color="auto"/>
            </w:tcBorders>
            <w:shd w:val="clear" w:color="000000" w:fill="B1A0C7"/>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Platinum MET Balanced FoF</w:t>
            </w:r>
          </w:p>
        </w:tc>
        <w:tc>
          <w:tcPr>
            <w:tcW w:w="786"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0.36</w:t>
            </w:r>
          </w:p>
        </w:tc>
        <w:tc>
          <w:tcPr>
            <w:tcW w:w="1370"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9.67</w:t>
            </w:r>
          </w:p>
        </w:tc>
        <w:tc>
          <w:tcPr>
            <w:tcW w:w="4340" w:type="dxa"/>
            <w:tcBorders>
              <w:top w:val="nil"/>
              <w:left w:val="nil"/>
              <w:bottom w:val="single" w:sz="4" w:space="0" w:color="auto"/>
              <w:right w:val="single" w:sz="4" w:space="0" w:color="auto"/>
            </w:tcBorders>
            <w:shd w:val="clear" w:color="000000" w:fill="92CDDC"/>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Nedgroup Inv Opportunity A1</w:t>
            </w:r>
          </w:p>
        </w:tc>
        <w:tc>
          <w:tcPr>
            <w:tcW w:w="816"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0.37</w:t>
            </w:r>
          </w:p>
        </w:tc>
        <w:tc>
          <w:tcPr>
            <w:tcW w:w="1140"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4.00</w:t>
            </w:r>
          </w:p>
        </w:tc>
      </w:tr>
      <w:tr w:rsidR="002A33BE"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42</w:t>
            </w:r>
          </w:p>
        </w:tc>
        <w:tc>
          <w:tcPr>
            <w:tcW w:w="4677" w:type="dxa"/>
            <w:tcBorders>
              <w:top w:val="nil"/>
              <w:left w:val="nil"/>
              <w:bottom w:val="single" w:sz="4" w:space="0" w:color="auto"/>
              <w:right w:val="single" w:sz="4" w:space="0" w:color="auto"/>
            </w:tcBorders>
            <w:shd w:val="clear" w:color="000000" w:fill="B1A0C7"/>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Platinum MET Income Provider FoF</w:t>
            </w:r>
          </w:p>
        </w:tc>
        <w:tc>
          <w:tcPr>
            <w:tcW w:w="786"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0.11</w:t>
            </w:r>
          </w:p>
        </w:tc>
        <w:tc>
          <w:tcPr>
            <w:tcW w:w="1370"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9.67</w:t>
            </w:r>
          </w:p>
        </w:tc>
        <w:tc>
          <w:tcPr>
            <w:tcW w:w="4340" w:type="dxa"/>
            <w:tcBorders>
              <w:top w:val="nil"/>
              <w:left w:val="nil"/>
              <w:bottom w:val="single" w:sz="4" w:space="0" w:color="auto"/>
              <w:right w:val="single" w:sz="4" w:space="0" w:color="auto"/>
            </w:tcBorders>
            <w:shd w:val="clear" w:color="000000" w:fill="92CDDC"/>
            <w:noWrap/>
            <w:vAlign w:val="center"/>
            <w:hideMark/>
          </w:tcPr>
          <w:p w:rsidR="002A33BE" w:rsidRPr="008633D2" w:rsidRDefault="001248F7"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NGI Private Wealth Conservative FoF</w:t>
            </w:r>
          </w:p>
        </w:tc>
        <w:tc>
          <w:tcPr>
            <w:tcW w:w="816" w:type="dxa"/>
            <w:tcBorders>
              <w:top w:val="nil"/>
              <w:left w:val="nil"/>
              <w:bottom w:val="single" w:sz="4" w:space="0" w:color="auto"/>
              <w:right w:val="single" w:sz="4" w:space="0" w:color="auto"/>
            </w:tcBorders>
            <w:shd w:val="clear" w:color="000000" w:fill="DAEEF3"/>
            <w:noWrap/>
            <w:vAlign w:val="center"/>
            <w:hideMark/>
          </w:tcPr>
          <w:p w:rsidR="002A33BE" w:rsidRPr="008633D2" w:rsidRDefault="001248F7"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0.13</w:t>
            </w:r>
          </w:p>
        </w:tc>
        <w:tc>
          <w:tcPr>
            <w:tcW w:w="1140" w:type="dxa"/>
            <w:tcBorders>
              <w:top w:val="nil"/>
              <w:left w:val="nil"/>
              <w:bottom w:val="single" w:sz="4" w:space="0" w:color="auto"/>
              <w:right w:val="single" w:sz="4" w:space="0" w:color="auto"/>
            </w:tcBorders>
            <w:shd w:val="clear" w:color="000000" w:fill="DAEEF3"/>
            <w:noWrap/>
            <w:vAlign w:val="center"/>
            <w:hideMark/>
          </w:tcPr>
          <w:p w:rsidR="002A33BE" w:rsidRPr="008633D2" w:rsidRDefault="001248F7"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11.17</w:t>
            </w:r>
          </w:p>
        </w:tc>
      </w:tr>
      <w:tr w:rsidR="002A33BE"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43</w:t>
            </w:r>
          </w:p>
        </w:tc>
        <w:tc>
          <w:tcPr>
            <w:tcW w:w="4677" w:type="dxa"/>
            <w:tcBorders>
              <w:top w:val="nil"/>
              <w:left w:val="nil"/>
              <w:bottom w:val="single" w:sz="4" w:space="0" w:color="auto"/>
              <w:right w:val="single" w:sz="4" w:space="0" w:color="auto"/>
            </w:tcBorders>
            <w:shd w:val="clear" w:color="000000" w:fill="B1A0C7"/>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Platinum MET Worldwide Flexible A</w:t>
            </w:r>
          </w:p>
        </w:tc>
        <w:tc>
          <w:tcPr>
            <w:tcW w:w="786"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0.51</w:t>
            </w:r>
          </w:p>
        </w:tc>
        <w:tc>
          <w:tcPr>
            <w:tcW w:w="1370"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9.67</w:t>
            </w:r>
          </w:p>
        </w:tc>
        <w:tc>
          <w:tcPr>
            <w:tcW w:w="4340" w:type="dxa"/>
            <w:tcBorders>
              <w:top w:val="nil"/>
              <w:left w:val="nil"/>
              <w:bottom w:val="single" w:sz="4" w:space="0" w:color="auto"/>
              <w:right w:val="single" w:sz="4" w:space="0" w:color="auto"/>
            </w:tcBorders>
            <w:shd w:val="clear" w:color="000000" w:fill="92CDDC"/>
            <w:noWrap/>
            <w:vAlign w:val="center"/>
            <w:hideMark/>
          </w:tcPr>
          <w:p w:rsidR="002A33BE" w:rsidRPr="008633D2" w:rsidRDefault="001248F7"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Coronation Market Plus</w:t>
            </w:r>
          </w:p>
        </w:tc>
        <w:tc>
          <w:tcPr>
            <w:tcW w:w="816" w:type="dxa"/>
            <w:tcBorders>
              <w:top w:val="nil"/>
              <w:left w:val="nil"/>
              <w:bottom w:val="single" w:sz="4" w:space="0" w:color="auto"/>
              <w:right w:val="single" w:sz="4" w:space="0" w:color="auto"/>
            </w:tcBorders>
            <w:shd w:val="clear" w:color="000000" w:fill="DAEEF3"/>
            <w:noWrap/>
            <w:vAlign w:val="center"/>
            <w:hideMark/>
          </w:tcPr>
          <w:p w:rsidR="002A33BE" w:rsidRPr="008633D2" w:rsidRDefault="001248F7"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0.60</w:t>
            </w:r>
          </w:p>
        </w:tc>
        <w:tc>
          <w:tcPr>
            <w:tcW w:w="1140" w:type="dxa"/>
            <w:tcBorders>
              <w:top w:val="nil"/>
              <w:left w:val="nil"/>
              <w:bottom w:val="single" w:sz="4" w:space="0" w:color="auto"/>
              <w:right w:val="single" w:sz="4" w:space="0" w:color="auto"/>
            </w:tcBorders>
            <w:shd w:val="clear" w:color="000000" w:fill="DAEEF3"/>
            <w:noWrap/>
            <w:vAlign w:val="center"/>
            <w:hideMark/>
          </w:tcPr>
          <w:p w:rsidR="002A33BE" w:rsidRPr="008633D2" w:rsidRDefault="001248F7"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14.00</w:t>
            </w:r>
          </w:p>
        </w:tc>
      </w:tr>
      <w:tr w:rsidR="002A33BE"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44</w:t>
            </w:r>
          </w:p>
        </w:tc>
        <w:tc>
          <w:tcPr>
            <w:tcW w:w="4677" w:type="dxa"/>
            <w:tcBorders>
              <w:top w:val="nil"/>
              <w:left w:val="nil"/>
              <w:bottom w:val="single" w:sz="4" w:space="0" w:color="auto"/>
              <w:right w:val="single" w:sz="4" w:space="0" w:color="auto"/>
            </w:tcBorders>
            <w:shd w:val="clear" w:color="000000" w:fill="B1A0C7"/>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Prescient Pos Rtn QuantPlus C</w:t>
            </w:r>
          </w:p>
        </w:tc>
        <w:tc>
          <w:tcPr>
            <w:tcW w:w="786"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0.35</w:t>
            </w:r>
          </w:p>
        </w:tc>
        <w:tc>
          <w:tcPr>
            <w:tcW w:w="1370"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11.17</w:t>
            </w:r>
          </w:p>
        </w:tc>
        <w:tc>
          <w:tcPr>
            <w:tcW w:w="4340" w:type="dxa"/>
            <w:tcBorders>
              <w:top w:val="nil"/>
              <w:left w:val="nil"/>
              <w:bottom w:val="single" w:sz="4" w:space="0" w:color="auto"/>
              <w:right w:val="single" w:sz="4" w:space="0" w:color="auto"/>
            </w:tcBorders>
            <w:shd w:val="clear" w:color="000000" w:fill="92CDDC"/>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Aeon Balanced Prescient A2</w:t>
            </w:r>
          </w:p>
        </w:tc>
        <w:tc>
          <w:tcPr>
            <w:tcW w:w="816"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0.34</w:t>
            </w:r>
          </w:p>
        </w:tc>
        <w:tc>
          <w:tcPr>
            <w:tcW w:w="1140"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2.75</w:t>
            </w:r>
          </w:p>
        </w:tc>
      </w:tr>
      <w:tr w:rsidR="002A33BE"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45</w:t>
            </w:r>
          </w:p>
        </w:tc>
        <w:tc>
          <w:tcPr>
            <w:tcW w:w="4677" w:type="dxa"/>
            <w:tcBorders>
              <w:top w:val="nil"/>
              <w:left w:val="nil"/>
              <w:bottom w:val="single" w:sz="4" w:space="0" w:color="auto"/>
              <w:right w:val="single" w:sz="4" w:space="0" w:color="auto"/>
            </w:tcBorders>
            <w:shd w:val="clear" w:color="000000" w:fill="B1A0C7"/>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Satrix Dividend Plus Index A1</w:t>
            </w:r>
          </w:p>
        </w:tc>
        <w:tc>
          <w:tcPr>
            <w:tcW w:w="786"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0.73</w:t>
            </w:r>
          </w:p>
        </w:tc>
        <w:tc>
          <w:tcPr>
            <w:tcW w:w="1370"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1.25</w:t>
            </w:r>
          </w:p>
        </w:tc>
        <w:tc>
          <w:tcPr>
            <w:tcW w:w="4340" w:type="dxa"/>
            <w:tcBorders>
              <w:top w:val="nil"/>
              <w:left w:val="nil"/>
              <w:bottom w:val="single" w:sz="4" w:space="0" w:color="auto"/>
              <w:right w:val="single" w:sz="4" w:space="0" w:color="auto"/>
            </w:tcBorders>
            <w:shd w:val="clear" w:color="000000" w:fill="92CDDC"/>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Stewart MET Macro Equity FoF A</w:t>
            </w:r>
          </w:p>
        </w:tc>
        <w:tc>
          <w:tcPr>
            <w:tcW w:w="816"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0.73</w:t>
            </w:r>
          </w:p>
        </w:tc>
        <w:tc>
          <w:tcPr>
            <w:tcW w:w="1140"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7.67</w:t>
            </w:r>
          </w:p>
        </w:tc>
      </w:tr>
      <w:tr w:rsidR="002A33BE"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46</w:t>
            </w:r>
          </w:p>
        </w:tc>
        <w:tc>
          <w:tcPr>
            <w:tcW w:w="4677" w:type="dxa"/>
            <w:tcBorders>
              <w:top w:val="nil"/>
              <w:left w:val="nil"/>
              <w:bottom w:val="single" w:sz="4" w:space="0" w:color="auto"/>
              <w:right w:val="single" w:sz="4" w:space="0" w:color="auto"/>
            </w:tcBorders>
            <w:shd w:val="clear" w:color="000000" w:fill="B1A0C7"/>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Satrix Equally Weighted Top 40 Index A1</w:t>
            </w:r>
          </w:p>
        </w:tc>
        <w:tc>
          <w:tcPr>
            <w:tcW w:w="786"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0.96</w:t>
            </w:r>
          </w:p>
        </w:tc>
        <w:tc>
          <w:tcPr>
            <w:tcW w:w="1370"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1.25</w:t>
            </w:r>
          </w:p>
        </w:tc>
        <w:tc>
          <w:tcPr>
            <w:tcW w:w="4340" w:type="dxa"/>
            <w:tcBorders>
              <w:top w:val="nil"/>
              <w:left w:val="nil"/>
              <w:bottom w:val="single" w:sz="4" w:space="0" w:color="auto"/>
              <w:right w:val="single" w:sz="4" w:space="0" w:color="auto"/>
            </w:tcBorders>
            <w:shd w:val="clear" w:color="000000" w:fill="92CDDC"/>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sz w:val="20"/>
                <w:szCs w:val="20"/>
                <w:lang w:val="en-ZA" w:eastAsia="en-ZA"/>
              </w:rPr>
              <w:t>Saffron MET Top 20 Fund A</w:t>
            </w:r>
          </w:p>
        </w:tc>
        <w:tc>
          <w:tcPr>
            <w:tcW w:w="816"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0.91</w:t>
            </w:r>
          </w:p>
        </w:tc>
        <w:tc>
          <w:tcPr>
            <w:tcW w:w="1140"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3.00</w:t>
            </w:r>
          </w:p>
        </w:tc>
      </w:tr>
      <w:tr w:rsidR="002A33BE"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47</w:t>
            </w:r>
          </w:p>
        </w:tc>
        <w:tc>
          <w:tcPr>
            <w:tcW w:w="4677" w:type="dxa"/>
            <w:tcBorders>
              <w:top w:val="nil"/>
              <w:left w:val="nil"/>
              <w:bottom w:val="single" w:sz="4" w:space="0" w:color="auto"/>
              <w:right w:val="single" w:sz="4" w:space="0" w:color="auto"/>
            </w:tcBorders>
            <w:shd w:val="clear" w:color="000000" w:fill="B1A0C7"/>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Satrix Property Index A1</w:t>
            </w:r>
          </w:p>
        </w:tc>
        <w:tc>
          <w:tcPr>
            <w:tcW w:w="786"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-0.17</w:t>
            </w:r>
          </w:p>
        </w:tc>
        <w:tc>
          <w:tcPr>
            <w:tcW w:w="1370"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1.25</w:t>
            </w:r>
          </w:p>
        </w:tc>
        <w:tc>
          <w:tcPr>
            <w:tcW w:w="4340" w:type="dxa"/>
            <w:tcBorders>
              <w:top w:val="nil"/>
              <w:left w:val="nil"/>
              <w:bottom w:val="single" w:sz="4" w:space="0" w:color="auto"/>
              <w:right w:val="single" w:sz="4" w:space="0" w:color="auto"/>
            </w:tcBorders>
            <w:shd w:val="clear" w:color="000000" w:fill="92CDDC"/>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Autus BCI Property</w:t>
            </w:r>
          </w:p>
        </w:tc>
        <w:tc>
          <w:tcPr>
            <w:tcW w:w="816"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-0.15</w:t>
            </w:r>
          </w:p>
        </w:tc>
        <w:tc>
          <w:tcPr>
            <w:tcW w:w="1140"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2.50</w:t>
            </w:r>
          </w:p>
        </w:tc>
      </w:tr>
      <w:tr w:rsidR="002A33BE"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48</w:t>
            </w:r>
          </w:p>
        </w:tc>
        <w:tc>
          <w:tcPr>
            <w:tcW w:w="4677" w:type="dxa"/>
            <w:tcBorders>
              <w:top w:val="nil"/>
              <w:left w:val="nil"/>
              <w:bottom w:val="single" w:sz="4" w:space="0" w:color="auto"/>
              <w:right w:val="single" w:sz="4" w:space="0" w:color="auto"/>
            </w:tcBorders>
            <w:shd w:val="clear" w:color="000000" w:fill="B1A0C7"/>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Satrix Rafi 40 Index A1</w:t>
            </w:r>
          </w:p>
        </w:tc>
        <w:tc>
          <w:tcPr>
            <w:tcW w:w="786"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1.09</w:t>
            </w:r>
          </w:p>
        </w:tc>
        <w:tc>
          <w:tcPr>
            <w:tcW w:w="1370"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1.25</w:t>
            </w:r>
          </w:p>
        </w:tc>
        <w:tc>
          <w:tcPr>
            <w:tcW w:w="4340" w:type="dxa"/>
            <w:tcBorders>
              <w:top w:val="nil"/>
              <w:left w:val="nil"/>
              <w:bottom w:val="single" w:sz="4" w:space="0" w:color="auto"/>
              <w:right w:val="single" w:sz="4" w:space="0" w:color="auto"/>
            </w:tcBorders>
            <w:shd w:val="clear" w:color="000000" w:fill="92CDDC"/>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Satrix Alsi Index A1</w:t>
            </w:r>
          </w:p>
        </w:tc>
        <w:tc>
          <w:tcPr>
            <w:tcW w:w="816"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1.01</w:t>
            </w:r>
          </w:p>
        </w:tc>
        <w:tc>
          <w:tcPr>
            <w:tcW w:w="1140"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1.25</w:t>
            </w:r>
          </w:p>
        </w:tc>
      </w:tr>
      <w:tr w:rsidR="002A33BE"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49</w:t>
            </w:r>
          </w:p>
        </w:tc>
        <w:tc>
          <w:tcPr>
            <w:tcW w:w="4677" w:type="dxa"/>
            <w:tcBorders>
              <w:top w:val="nil"/>
              <w:left w:val="nil"/>
              <w:bottom w:val="single" w:sz="4" w:space="0" w:color="auto"/>
              <w:right w:val="single" w:sz="4" w:space="0" w:color="auto"/>
            </w:tcBorders>
            <w:shd w:val="clear" w:color="000000" w:fill="B1A0C7"/>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Satrix Top 40 Index A1</w:t>
            </w:r>
          </w:p>
        </w:tc>
        <w:tc>
          <w:tcPr>
            <w:tcW w:w="786"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1.02</w:t>
            </w:r>
          </w:p>
        </w:tc>
        <w:tc>
          <w:tcPr>
            <w:tcW w:w="1370"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1.75</w:t>
            </w:r>
          </w:p>
        </w:tc>
        <w:tc>
          <w:tcPr>
            <w:tcW w:w="4340" w:type="dxa"/>
            <w:tcBorders>
              <w:top w:val="nil"/>
              <w:left w:val="nil"/>
              <w:bottom w:val="single" w:sz="4" w:space="0" w:color="auto"/>
              <w:right w:val="single" w:sz="4" w:space="0" w:color="auto"/>
            </w:tcBorders>
            <w:shd w:val="clear" w:color="000000" w:fill="92CDDC"/>
            <w:noWrap/>
            <w:vAlign w:val="center"/>
            <w:hideMark/>
          </w:tcPr>
          <w:p w:rsidR="002A33BE" w:rsidRPr="008633D2" w:rsidRDefault="002A33BE" w:rsidP="0054491B">
            <w:pPr>
              <w:spacing w:before="0" w:after="0" w:line="240" w:lineRule="auto"/>
              <w:jc w:val="left"/>
              <w:rPr>
                <w:rFonts w:ascii="Verdana" w:hAnsi="Verdana" w:cs="Calibri"/>
                <w:sz w:val="20"/>
                <w:szCs w:val="20"/>
                <w:lang w:val="en-ZA" w:eastAsia="en-ZA"/>
              </w:rPr>
            </w:pPr>
            <w:r w:rsidRPr="008633D2">
              <w:rPr>
                <w:rFonts w:ascii="Verdana" w:hAnsi="Verdana" w:cs="Calibri"/>
                <w:sz w:val="20"/>
                <w:szCs w:val="20"/>
                <w:lang w:val="en-ZA" w:eastAsia="en-ZA"/>
              </w:rPr>
              <w:t>Saffron MET Top 20 Fund A</w:t>
            </w:r>
          </w:p>
        </w:tc>
        <w:tc>
          <w:tcPr>
            <w:tcW w:w="816"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0.91</w:t>
            </w:r>
          </w:p>
        </w:tc>
        <w:tc>
          <w:tcPr>
            <w:tcW w:w="1140"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3.00</w:t>
            </w:r>
          </w:p>
        </w:tc>
      </w:tr>
      <w:tr w:rsidR="002A33BE"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50</w:t>
            </w:r>
          </w:p>
        </w:tc>
        <w:tc>
          <w:tcPr>
            <w:tcW w:w="4677" w:type="dxa"/>
            <w:tcBorders>
              <w:top w:val="nil"/>
              <w:left w:val="nil"/>
              <w:bottom w:val="single" w:sz="4" w:space="0" w:color="auto"/>
              <w:right w:val="single" w:sz="4" w:space="0" w:color="auto"/>
            </w:tcBorders>
            <w:shd w:val="clear" w:color="000000" w:fill="B1A0C7"/>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Select Manager MET Global Moderate FoF A</w:t>
            </w:r>
          </w:p>
        </w:tc>
        <w:tc>
          <w:tcPr>
            <w:tcW w:w="786"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0.13</w:t>
            </w:r>
          </w:p>
        </w:tc>
        <w:tc>
          <w:tcPr>
            <w:tcW w:w="1370"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w:t>
            </w:r>
          </w:p>
        </w:tc>
        <w:tc>
          <w:tcPr>
            <w:tcW w:w="4340" w:type="dxa"/>
            <w:tcBorders>
              <w:top w:val="nil"/>
              <w:left w:val="nil"/>
              <w:bottom w:val="single" w:sz="4" w:space="0" w:color="auto"/>
              <w:right w:val="single" w:sz="4" w:space="0" w:color="auto"/>
            </w:tcBorders>
            <w:shd w:val="clear" w:color="000000" w:fill="92CDDC"/>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Foord International FF R</w:t>
            </w:r>
          </w:p>
        </w:tc>
        <w:tc>
          <w:tcPr>
            <w:tcW w:w="816"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0.11</w:t>
            </w:r>
          </w:p>
        </w:tc>
        <w:tc>
          <w:tcPr>
            <w:tcW w:w="1140"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9.33</w:t>
            </w:r>
          </w:p>
        </w:tc>
      </w:tr>
      <w:tr w:rsidR="002A33BE"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51</w:t>
            </w:r>
          </w:p>
        </w:tc>
        <w:tc>
          <w:tcPr>
            <w:tcW w:w="4677" w:type="dxa"/>
            <w:tcBorders>
              <w:top w:val="nil"/>
              <w:left w:val="nil"/>
              <w:bottom w:val="single" w:sz="4" w:space="0" w:color="auto"/>
              <w:right w:val="single" w:sz="4" w:space="0" w:color="auto"/>
            </w:tcBorders>
            <w:shd w:val="clear" w:color="000000" w:fill="B1A0C7"/>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SIM Small Cap A</w:t>
            </w:r>
          </w:p>
        </w:tc>
        <w:tc>
          <w:tcPr>
            <w:tcW w:w="786"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0.64</w:t>
            </w:r>
          </w:p>
        </w:tc>
        <w:tc>
          <w:tcPr>
            <w:tcW w:w="1370"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3.75</w:t>
            </w:r>
          </w:p>
        </w:tc>
        <w:tc>
          <w:tcPr>
            <w:tcW w:w="4340" w:type="dxa"/>
            <w:tcBorders>
              <w:top w:val="nil"/>
              <w:left w:val="nil"/>
              <w:bottom w:val="single" w:sz="4" w:space="0" w:color="auto"/>
              <w:right w:val="single" w:sz="4" w:space="0" w:color="auto"/>
            </w:tcBorders>
            <w:shd w:val="clear" w:color="000000" w:fill="92CDDC"/>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Old Mutual Mid &amp; Small-Cap A</w:t>
            </w:r>
          </w:p>
        </w:tc>
        <w:tc>
          <w:tcPr>
            <w:tcW w:w="816"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0.62</w:t>
            </w:r>
          </w:p>
        </w:tc>
        <w:tc>
          <w:tcPr>
            <w:tcW w:w="1140"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5.83</w:t>
            </w:r>
          </w:p>
        </w:tc>
      </w:tr>
      <w:tr w:rsidR="002A33BE"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52</w:t>
            </w:r>
          </w:p>
        </w:tc>
        <w:tc>
          <w:tcPr>
            <w:tcW w:w="4677" w:type="dxa"/>
            <w:tcBorders>
              <w:top w:val="nil"/>
              <w:left w:val="nil"/>
              <w:bottom w:val="single" w:sz="4" w:space="0" w:color="auto"/>
              <w:right w:val="single" w:sz="4" w:space="0" w:color="auto"/>
            </w:tcBorders>
            <w:shd w:val="clear" w:color="000000" w:fill="B1A0C7"/>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STANLIB Prudential Bond A</w:t>
            </w:r>
          </w:p>
        </w:tc>
        <w:tc>
          <w:tcPr>
            <w:tcW w:w="786"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0.02</w:t>
            </w:r>
          </w:p>
        </w:tc>
        <w:tc>
          <w:tcPr>
            <w:tcW w:w="1370"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9.17</w:t>
            </w:r>
          </w:p>
        </w:tc>
        <w:tc>
          <w:tcPr>
            <w:tcW w:w="4340" w:type="dxa"/>
            <w:tcBorders>
              <w:top w:val="nil"/>
              <w:left w:val="nil"/>
              <w:bottom w:val="single" w:sz="4" w:space="0" w:color="auto"/>
              <w:right w:val="single" w:sz="4" w:space="0" w:color="auto"/>
            </w:tcBorders>
            <w:shd w:val="clear" w:color="000000" w:fill="92CDDC"/>
            <w:noWrap/>
            <w:vAlign w:val="center"/>
            <w:hideMark/>
          </w:tcPr>
          <w:p w:rsidR="002A33BE" w:rsidRPr="008633D2" w:rsidRDefault="002A33BE" w:rsidP="0054491B">
            <w:pPr>
              <w:spacing w:before="0" w:after="0" w:line="240" w:lineRule="auto"/>
              <w:jc w:val="left"/>
              <w:rPr>
                <w:rFonts w:ascii="Verdana" w:hAnsi="Verdana" w:cs="Calibri"/>
                <w:sz w:val="20"/>
                <w:szCs w:val="20"/>
                <w:lang w:val="en-ZA" w:eastAsia="en-ZA"/>
              </w:rPr>
            </w:pPr>
            <w:r w:rsidRPr="008633D2">
              <w:rPr>
                <w:rFonts w:ascii="Verdana" w:hAnsi="Verdana" w:cs="Calibri"/>
                <w:color w:val="000000"/>
                <w:sz w:val="20"/>
                <w:szCs w:val="20"/>
                <w:lang w:val="en-ZA" w:eastAsia="en-ZA"/>
              </w:rPr>
              <w:t>Sanlam Multi Mgd Bond B1</w:t>
            </w:r>
          </w:p>
        </w:tc>
        <w:tc>
          <w:tcPr>
            <w:tcW w:w="816"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0.02</w:t>
            </w:r>
          </w:p>
        </w:tc>
        <w:tc>
          <w:tcPr>
            <w:tcW w:w="1140"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9.33</w:t>
            </w:r>
          </w:p>
        </w:tc>
      </w:tr>
      <w:tr w:rsidR="002A33BE"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53</w:t>
            </w:r>
          </w:p>
        </w:tc>
        <w:tc>
          <w:tcPr>
            <w:tcW w:w="4677" w:type="dxa"/>
            <w:tcBorders>
              <w:top w:val="nil"/>
              <w:left w:val="nil"/>
              <w:bottom w:val="single" w:sz="4" w:space="0" w:color="auto"/>
              <w:right w:val="single" w:sz="4" w:space="0" w:color="auto"/>
            </w:tcBorders>
            <w:shd w:val="clear" w:color="000000" w:fill="B1A0C7"/>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Truffle MET Balanced A</w:t>
            </w:r>
          </w:p>
        </w:tc>
        <w:tc>
          <w:tcPr>
            <w:tcW w:w="786"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0.54</w:t>
            </w:r>
          </w:p>
        </w:tc>
        <w:tc>
          <w:tcPr>
            <w:tcW w:w="1370"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3.75</w:t>
            </w:r>
          </w:p>
        </w:tc>
        <w:tc>
          <w:tcPr>
            <w:tcW w:w="4340" w:type="dxa"/>
            <w:tcBorders>
              <w:top w:val="nil"/>
              <w:left w:val="nil"/>
              <w:bottom w:val="single" w:sz="4" w:space="0" w:color="auto"/>
              <w:right w:val="single" w:sz="4" w:space="0" w:color="auto"/>
            </w:tcBorders>
            <w:shd w:val="clear" w:color="000000" w:fill="92CDDC"/>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CS BCI Aggressive Prudential FoF</w:t>
            </w:r>
          </w:p>
        </w:tc>
        <w:tc>
          <w:tcPr>
            <w:tcW w:w="816"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0.54</w:t>
            </w:r>
          </w:p>
        </w:tc>
        <w:tc>
          <w:tcPr>
            <w:tcW w:w="1140"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3.17</w:t>
            </w:r>
          </w:p>
        </w:tc>
      </w:tr>
      <w:tr w:rsidR="002A33BE"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54</w:t>
            </w:r>
          </w:p>
        </w:tc>
        <w:tc>
          <w:tcPr>
            <w:tcW w:w="4677" w:type="dxa"/>
            <w:tcBorders>
              <w:top w:val="nil"/>
              <w:left w:val="nil"/>
              <w:bottom w:val="single" w:sz="4" w:space="0" w:color="auto"/>
              <w:right w:val="single" w:sz="4" w:space="0" w:color="auto"/>
            </w:tcBorders>
            <w:shd w:val="clear" w:color="000000" w:fill="B1A0C7"/>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Truffle MET General Equity A</w:t>
            </w:r>
          </w:p>
        </w:tc>
        <w:tc>
          <w:tcPr>
            <w:tcW w:w="786"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0.83</w:t>
            </w:r>
          </w:p>
        </w:tc>
        <w:tc>
          <w:tcPr>
            <w:tcW w:w="1370"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4.67</w:t>
            </w:r>
          </w:p>
        </w:tc>
        <w:tc>
          <w:tcPr>
            <w:tcW w:w="4340" w:type="dxa"/>
            <w:tcBorders>
              <w:top w:val="nil"/>
              <w:left w:val="nil"/>
              <w:bottom w:val="single" w:sz="4" w:space="0" w:color="auto"/>
              <w:right w:val="single" w:sz="4" w:space="0" w:color="auto"/>
            </w:tcBorders>
            <w:shd w:val="clear" w:color="000000" w:fill="92CDDC"/>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SMM Equity Index B5</w:t>
            </w:r>
          </w:p>
        </w:tc>
        <w:tc>
          <w:tcPr>
            <w:tcW w:w="816"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0.83</w:t>
            </w:r>
          </w:p>
        </w:tc>
        <w:tc>
          <w:tcPr>
            <w:tcW w:w="1140"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9.00</w:t>
            </w:r>
          </w:p>
        </w:tc>
      </w:tr>
      <w:tr w:rsidR="002A33BE" w:rsidRPr="008633D2" w:rsidTr="002934B0">
        <w:trPr>
          <w:cantSplit/>
          <w:trHeight w:val="363"/>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55</w:t>
            </w:r>
          </w:p>
        </w:tc>
        <w:tc>
          <w:tcPr>
            <w:tcW w:w="4677" w:type="dxa"/>
            <w:tcBorders>
              <w:top w:val="nil"/>
              <w:left w:val="nil"/>
              <w:bottom w:val="single" w:sz="4" w:space="0" w:color="auto"/>
              <w:right w:val="single" w:sz="4" w:space="0" w:color="auto"/>
            </w:tcBorders>
            <w:shd w:val="clear" w:color="000000" w:fill="B1A0C7"/>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Truffle MET Money Market A</w:t>
            </w:r>
          </w:p>
        </w:tc>
        <w:tc>
          <w:tcPr>
            <w:tcW w:w="786"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-0.00</w:t>
            </w:r>
          </w:p>
        </w:tc>
        <w:tc>
          <w:tcPr>
            <w:tcW w:w="1370" w:type="dxa"/>
            <w:tcBorders>
              <w:top w:val="nil"/>
              <w:left w:val="nil"/>
              <w:bottom w:val="single" w:sz="4" w:space="0" w:color="auto"/>
              <w:right w:val="single" w:sz="4" w:space="0" w:color="auto"/>
            </w:tcBorders>
            <w:shd w:val="clear" w:color="000000" w:fill="E4DFEC"/>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2.33</w:t>
            </w:r>
          </w:p>
        </w:tc>
        <w:tc>
          <w:tcPr>
            <w:tcW w:w="4340" w:type="dxa"/>
            <w:tcBorders>
              <w:top w:val="nil"/>
              <w:left w:val="nil"/>
              <w:bottom w:val="single" w:sz="4" w:space="0" w:color="auto"/>
              <w:right w:val="single" w:sz="4" w:space="0" w:color="auto"/>
            </w:tcBorders>
            <w:shd w:val="clear" w:color="000000" w:fill="92CDDC"/>
            <w:noWrap/>
            <w:vAlign w:val="center"/>
            <w:hideMark/>
          </w:tcPr>
          <w:p w:rsidR="002A33BE" w:rsidRPr="008633D2" w:rsidRDefault="002A33BE" w:rsidP="0054491B">
            <w:pPr>
              <w:spacing w:before="0" w:after="0" w:line="240" w:lineRule="auto"/>
              <w:jc w:val="left"/>
              <w:rPr>
                <w:rFonts w:ascii="Verdana" w:hAnsi="Verdana" w:cs="Calibri"/>
                <w:color w:val="000000"/>
                <w:sz w:val="20"/>
                <w:szCs w:val="20"/>
                <w:lang w:val="en-ZA" w:eastAsia="en-ZA"/>
              </w:rPr>
            </w:pPr>
            <w:r w:rsidRPr="008633D2">
              <w:rPr>
                <w:rFonts w:ascii="Verdana" w:hAnsi="Verdana" w:cs="Calibri"/>
                <w:color w:val="000000"/>
                <w:sz w:val="20"/>
                <w:szCs w:val="20"/>
                <w:lang w:val="en-ZA" w:eastAsia="en-ZA"/>
              </w:rPr>
              <w:t>PIC MET Money Market A</w:t>
            </w:r>
          </w:p>
        </w:tc>
        <w:tc>
          <w:tcPr>
            <w:tcW w:w="816"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-0.00</w:t>
            </w:r>
          </w:p>
        </w:tc>
        <w:tc>
          <w:tcPr>
            <w:tcW w:w="1140" w:type="dxa"/>
            <w:tcBorders>
              <w:top w:val="nil"/>
              <w:left w:val="nil"/>
              <w:bottom w:val="single" w:sz="4" w:space="0" w:color="auto"/>
              <w:right w:val="single" w:sz="4" w:space="0" w:color="auto"/>
            </w:tcBorders>
            <w:shd w:val="clear" w:color="000000" w:fill="DAEEF3"/>
            <w:noWrap/>
            <w:vAlign w:val="center"/>
            <w:hideMark/>
          </w:tcPr>
          <w:p w:rsidR="002A33BE" w:rsidRPr="008633D2" w:rsidRDefault="002A33BE" w:rsidP="0054491B">
            <w:pPr>
              <w:spacing w:before="0" w:after="0" w:line="240" w:lineRule="auto"/>
              <w:jc w:val="center"/>
              <w:rPr>
                <w:rFonts w:ascii="Calibri" w:hAnsi="Calibri" w:cs="Calibri"/>
                <w:color w:val="000000"/>
                <w:sz w:val="22"/>
                <w:szCs w:val="22"/>
                <w:lang w:val="en-ZA" w:eastAsia="en-ZA"/>
              </w:rPr>
            </w:pPr>
            <w:r w:rsidRPr="008633D2">
              <w:rPr>
                <w:rFonts w:ascii="Calibri" w:hAnsi="Calibri" w:cs="Calibri"/>
                <w:color w:val="000000"/>
                <w:sz w:val="22"/>
                <w:szCs w:val="22"/>
                <w:lang w:val="en-ZA" w:eastAsia="en-ZA"/>
              </w:rPr>
              <w:t>2.58</w:t>
            </w:r>
          </w:p>
        </w:tc>
      </w:tr>
    </w:tbl>
    <w:p w:rsidR="00972DE8" w:rsidRPr="008633D2" w:rsidRDefault="00972DE8" w:rsidP="00780CC2">
      <w:pPr>
        <w:rPr>
          <w:lang w:val="en-ZA"/>
        </w:rPr>
        <w:sectPr w:rsidR="00972DE8" w:rsidRPr="008633D2" w:rsidSect="00E31686">
          <w:footerReference w:type="default" r:id="rId18"/>
          <w:endnotePr>
            <w:numFmt w:val="decimal"/>
          </w:endnotePr>
          <w:pgSz w:w="16840" w:h="11907" w:orient="landscape" w:code="9"/>
          <w:pgMar w:top="1298" w:right="1582" w:bottom="1871" w:left="1729" w:header="720" w:footer="720" w:gutter="0"/>
          <w:cols w:space="720"/>
          <w:docGrid w:linePitch="360"/>
        </w:sectPr>
      </w:pPr>
      <w:r w:rsidRPr="008633D2">
        <w:rPr>
          <w:lang w:val="en-ZA"/>
        </w:rPr>
        <w:fldChar w:fldCharType="end"/>
      </w:r>
      <w:r w:rsidRPr="008633D2">
        <w:rPr>
          <w:lang w:val="en-ZA"/>
        </w:rPr>
        <w:fldChar w:fldCharType="end"/>
      </w:r>
    </w:p>
    <w:p w:rsidR="003D316E" w:rsidRPr="008633D2" w:rsidRDefault="003D316E" w:rsidP="003D316E">
      <w:pPr>
        <w:pStyle w:val="Caption"/>
        <w:keepNext/>
        <w:jc w:val="center"/>
        <w:rPr>
          <w:lang w:val="en-ZA"/>
        </w:rPr>
      </w:pPr>
      <w:bookmarkStart w:id="235" w:name="_Toc458610855"/>
      <w:r w:rsidRPr="008633D2">
        <w:rPr>
          <w:lang w:val="en-ZA"/>
        </w:rPr>
        <w:t xml:space="preserve">Table </w:t>
      </w:r>
      <w:r w:rsidRPr="008633D2">
        <w:rPr>
          <w:lang w:val="en-ZA"/>
        </w:rPr>
        <w:fldChar w:fldCharType="begin"/>
      </w:r>
      <w:r w:rsidRPr="008633D2">
        <w:rPr>
          <w:lang w:val="en-ZA"/>
        </w:rPr>
        <w:instrText xml:space="preserve"> SEQ Table \* ARABIC </w:instrText>
      </w:r>
      <w:r w:rsidRPr="008633D2">
        <w:rPr>
          <w:lang w:val="en-ZA"/>
        </w:rPr>
        <w:fldChar w:fldCharType="separate"/>
      </w:r>
      <w:r w:rsidR="00C456D9">
        <w:rPr>
          <w:noProof/>
          <w:lang w:val="en-ZA"/>
        </w:rPr>
        <w:t>10</w:t>
      </w:r>
      <w:r w:rsidRPr="008633D2">
        <w:rPr>
          <w:lang w:val="en-ZA"/>
        </w:rPr>
        <w:fldChar w:fldCharType="end"/>
      </w:r>
      <w:r w:rsidRPr="008633D2">
        <w:rPr>
          <w:lang w:val="en-ZA"/>
        </w:rPr>
        <w:t xml:space="preserve">: Comparison of female and corresponding male managed </w:t>
      </w:r>
      <w:r w:rsidR="00E26773">
        <w:rPr>
          <w:lang w:val="en-ZA"/>
        </w:rPr>
        <w:t xml:space="preserve">annualised </w:t>
      </w:r>
      <w:r w:rsidRPr="008633D2">
        <w:rPr>
          <w:lang w:val="en-ZA"/>
        </w:rPr>
        <w:t>fund returns</w:t>
      </w:r>
      <w:bookmarkEnd w:id="235"/>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80" w:firstRow="0" w:lastRow="0" w:firstColumn="1" w:lastColumn="0" w:noHBand="0" w:noVBand="1"/>
      </w:tblPr>
      <w:tblGrid>
        <w:gridCol w:w="755"/>
        <w:gridCol w:w="725"/>
        <w:gridCol w:w="730"/>
        <w:gridCol w:w="730"/>
        <w:gridCol w:w="729"/>
        <w:gridCol w:w="884"/>
        <w:gridCol w:w="884"/>
        <w:gridCol w:w="884"/>
        <w:gridCol w:w="889"/>
        <w:gridCol w:w="710"/>
        <w:gridCol w:w="710"/>
        <w:gridCol w:w="645"/>
        <w:gridCol w:w="578"/>
        <w:gridCol w:w="949"/>
        <w:gridCol w:w="843"/>
        <w:gridCol w:w="843"/>
        <w:gridCol w:w="1071"/>
      </w:tblGrid>
      <w:tr w:rsidR="001E29E8" w:rsidRPr="005B0F51" w:rsidTr="004F7551">
        <w:trPr>
          <w:cantSplit/>
          <w:trHeight w:val="351"/>
          <w:tblHeader/>
          <w:jc w:val="center"/>
        </w:trPr>
        <w:tc>
          <w:tcPr>
            <w:tcW w:w="278" w:type="pct"/>
            <w:vMerge w:val="restart"/>
            <w:shd w:val="clear" w:color="000000" w:fill="366092"/>
            <w:tcMar>
              <w:top w:w="15" w:type="dxa"/>
              <w:left w:w="15" w:type="dxa"/>
              <w:bottom w:w="0" w:type="dxa"/>
              <w:right w:w="15" w:type="dxa"/>
            </w:tcMar>
            <w:vAlign w:val="center"/>
            <w:hideMark/>
          </w:tcPr>
          <w:p w:rsidR="00535444" w:rsidRPr="005B0F51" w:rsidRDefault="00535444" w:rsidP="005B0F51">
            <w:pPr>
              <w:spacing w:before="0" w:after="100" w:afterAutospacing="1" w:line="240" w:lineRule="auto"/>
              <w:contextualSpacing/>
              <w:jc w:val="center"/>
              <w:rPr>
                <w:rFonts w:cs="Arial"/>
                <w:b/>
                <w:bCs/>
                <w:color w:val="FFFFFF"/>
                <w:lang w:val="en-ZA"/>
              </w:rPr>
            </w:pPr>
            <w:r w:rsidRPr="005B0F51">
              <w:rPr>
                <w:rFonts w:cs="Arial"/>
                <w:b/>
                <w:bCs/>
                <w:color w:val="FFFFFF"/>
                <w:lang w:val="en-ZA"/>
              </w:rPr>
              <w:t>Data set</w:t>
            </w:r>
          </w:p>
        </w:tc>
        <w:tc>
          <w:tcPr>
            <w:tcW w:w="1074" w:type="pct"/>
            <w:gridSpan w:val="4"/>
            <w:shd w:val="clear" w:color="000000" w:fill="366092"/>
            <w:tcMar>
              <w:top w:w="15" w:type="dxa"/>
              <w:left w:w="15" w:type="dxa"/>
              <w:bottom w:w="0" w:type="dxa"/>
              <w:right w:w="15" w:type="dxa"/>
            </w:tcMar>
            <w:vAlign w:val="center"/>
            <w:hideMark/>
          </w:tcPr>
          <w:p w:rsidR="00535444" w:rsidRPr="005B0F51" w:rsidRDefault="001E29E8" w:rsidP="005B0F51">
            <w:pPr>
              <w:spacing w:before="0" w:after="100" w:afterAutospacing="1" w:line="240" w:lineRule="auto"/>
              <w:contextualSpacing/>
              <w:jc w:val="center"/>
              <w:rPr>
                <w:rFonts w:cs="Arial"/>
                <w:b/>
                <w:bCs/>
                <w:color w:val="FFFFFF"/>
                <w:lang w:val="en-ZA"/>
              </w:rPr>
            </w:pPr>
            <w:r w:rsidRPr="005B0F51">
              <w:rPr>
                <w:rFonts w:cs="Arial"/>
                <w:b/>
                <w:bCs/>
                <w:color w:val="FFFFFF"/>
                <w:lang w:val="en-ZA"/>
              </w:rPr>
              <w:t xml:space="preserve">Female funds         </w:t>
            </w:r>
            <w:r w:rsidR="00535444" w:rsidRPr="005B0F51">
              <w:rPr>
                <w:rFonts w:cs="Arial"/>
                <w:b/>
                <w:bCs/>
                <w:color w:val="FFFFFF"/>
                <w:lang w:val="en-ZA"/>
              </w:rPr>
              <w:t xml:space="preserve">Annualised </w:t>
            </w:r>
            <w:r w:rsidR="007969E2" w:rsidRPr="005B0F51">
              <w:rPr>
                <w:rFonts w:cs="Arial"/>
                <w:b/>
                <w:bCs/>
                <w:color w:val="FFFFFF"/>
                <w:lang w:val="en-ZA"/>
              </w:rPr>
              <w:t>Returns (</w:t>
            </w:r>
            <w:r w:rsidR="00E26773" w:rsidRPr="005B0F51">
              <w:rPr>
                <w:rFonts w:cs="Arial"/>
                <w:b/>
                <w:bCs/>
                <w:color w:val="FFFFFF"/>
                <w:lang w:val="en-ZA"/>
              </w:rPr>
              <w:t>%</w:t>
            </w:r>
            <w:r w:rsidR="00535444" w:rsidRPr="005B0F51">
              <w:rPr>
                <w:rFonts w:cs="Arial"/>
                <w:b/>
                <w:bCs/>
                <w:color w:val="FFFFFF"/>
                <w:lang w:val="en-ZA"/>
              </w:rPr>
              <w:t>)</w:t>
            </w:r>
          </w:p>
        </w:tc>
        <w:tc>
          <w:tcPr>
            <w:tcW w:w="1306" w:type="pct"/>
            <w:gridSpan w:val="4"/>
            <w:shd w:val="clear" w:color="000000" w:fill="366092"/>
            <w:tcMar>
              <w:top w:w="15" w:type="dxa"/>
              <w:left w:w="15" w:type="dxa"/>
              <w:bottom w:w="0" w:type="dxa"/>
              <w:right w:w="15" w:type="dxa"/>
            </w:tcMar>
            <w:vAlign w:val="center"/>
            <w:hideMark/>
          </w:tcPr>
          <w:p w:rsidR="00535444" w:rsidRPr="005B0F51" w:rsidRDefault="001E29E8" w:rsidP="005B0F51">
            <w:pPr>
              <w:spacing w:before="0" w:after="100" w:afterAutospacing="1" w:line="240" w:lineRule="auto"/>
              <w:contextualSpacing/>
              <w:jc w:val="center"/>
              <w:rPr>
                <w:rFonts w:cs="Arial"/>
                <w:b/>
                <w:bCs/>
                <w:color w:val="FFFFFF"/>
                <w:lang w:val="en-ZA"/>
              </w:rPr>
            </w:pPr>
            <w:r w:rsidRPr="005B0F51">
              <w:rPr>
                <w:rFonts w:cs="Arial"/>
                <w:b/>
                <w:bCs/>
                <w:color w:val="FFFFFF"/>
                <w:lang w:val="en-ZA"/>
              </w:rPr>
              <w:t>Corresponding male funds Annualised</w:t>
            </w:r>
            <w:r w:rsidR="00535444" w:rsidRPr="005B0F51">
              <w:rPr>
                <w:rFonts w:cs="Arial"/>
                <w:b/>
                <w:bCs/>
                <w:color w:val="FFFFFF"/>
                <w:lang w:val="en-ZA"/>
              </w:rPr>
              <w:t xml:space="preserve"> </w:t>
            </w:r>
            <w:r w:rsidR="007969E2" w:rsidRPr="005B0F51">
              <w:rPr>
                <w:rFonts w:cs="Arial"/>
                <w:b/>
                <w:bCs/>
                <w:color w:val="FFFFFF"/>
                <w:lang w:val="en-ZA"/>
              </w:rPr>
              <w:t>Returns (</w:t>
            </w:r>
            <w:r w:rsidR="00E26773" w:rsidRPr="005B0F51">
              <w:rPr>
                <w:rFonts w:cs="Arial"/>
                <w:b/>
                <w:bCs/>
                <w:color w:val="FFFFFF"/>
                <w:lang w:val="en-ZA"/>
              </w:rPr>
              <w:t>%</w:t>
            </w:r>
            <w:r w:rsidR="00535444" w:rsidRPr="005B0F51">
              <w:rPr>
                <w:rFonts w:cs="Arial"/>
                <w:b/>
                <w:bCs/>
                <w:color w:val="FFFFFF"/>
                <w:lang w:val="en-ZA"/>
              </w:rPr>
              <w:t>)</w:t>
            </w:r>
          </w:p>
        </w:tc>
        <w:tc>
          <w:tcPr>
            <w:tcW w:w="975" w:type="pct"/>
            <w:gridSpan w:val="4"/>
            <w:shd w:val="clear" w:color="000000" w:fill="366092"/>
            <w:tcMar>
              <w:top w:w="15" w:type="dxa"/>
              <w:left w:w="15" w:type="dxa"/>
              <w:bottom w:w="0" w:type="dxa"/>
              <w:right w:w="15" w:type="dxa"/>
            </w:tcMar>
            <w:vAlign w:val="center"/>
            <w:hideMark/>
          </w:tcPr>
          <w:p w:rsidR="00535444" w:rsidRPr="005B0F51" w:rsidRDefault="007969E2" w:rsidP="005B0F51">
            <w:pPr>
              <w:spacing w:before="0" w:after="100" w:afterAutospacing="1" w:line="240" w:lineRule="auto"/>
              <w:contextualSpacing/>
              <w:jc w:val="center"/>
              <w:rPr>
                <w:rFonts w:cs="Arial"/>
                <w:b/>
                <w:bCs/>
                <w:color w:val="FFFFFF"/>
                <w:lang w:val="en-ZA"/>
              </w:rPr>
            </w:pPr>
            <w:r w:rsidRPr="005B0F51">
              <w:rPr>
                <w:rFonts w:cs="Arial"/>
                <w:b/>
                <w:bCs/>
                <w:color w:val="FFFFFF"/>
                <w:lang w:val="en-ZA"/>
              </w:rPr>
              <w:t>Differences (</w:t>
            </w:r>
            <w:r w:rsidR="00E26773" w:rsidRPr="005B0F51">
              <w:rPr>
                <w:rFonts w:cs="Arial"/>
                <w:b/>
                <w:bCs/>
                <w:color w:val="FFFFFF"/>
                <w:lang w:val="en-ZA"/>
              </w:rPr>
              <w:t>%</w:t>
            </w:r>
            <w:r w:rsidR="001E29E8" w:rsidRPr="005B0F51">
              <w:rPr>
                <w:rFonts w:cs="Arial"/>
                <w:b/>
                <w:bCs/>
                <w:color w:val="FFFFFF"/>
                <w:lang w:val="en-ZA"/>
              </w:rPr>
              <w:t>)</w:t>
            </w:r>
          </w:p>
        </w:tc>
        <w:tc>
          <w:tcPr>
            <w:tcW w:w="1367" w:type="pct"/>
            <w:gridSpan w:val="4"/>
            <w:shd w:val="clear" w:color="000000" w:fill="366092"/>
            <w:tcMar>
              <w:top w:w="15" w:type="dxa"/>
              <w:left w:w="15" w:type="dxa"/>
              <w:bottom w:w="0" w:type="dxa"/>
              <w:right w:w="15" w:type="dxa"/>
            </w:tcMar>
            <w:vAlign w:val="center"/>
            <w:hideMark/>
          </w:tcPr>
          <w:p w:rsidR="00535444" w:rsidRPr="005B0F51" w:rsidRDefault="00535444" w:rsidP="005B0F51">
            <w:pPr>
              <w:spacing w:before="0" w:after="100" w:afterAutospacing="1" w:line="240" w:lineRule="auto"/>
              <w:contextualSpacing/>
              <w:jc w:val="center"/>
              <w:rPr>
                <w:rFonts w:cs="Arial"/>
                <w:b/>
                <w:bCs/>
                <w:color w:val="FFFFFF"/>
                <w:lang w:val="en-ZA"/>
              </w:rPr>
            </w:pPr>
            <w:r w:rsidRPr="005B0F51">
              <w:rPr>
                <w:rFonts w:cs="Arial"/>
                <w:b/>
                <w:bCs/>
                <w:color w:val="FFFFFF"/>
                <w:lang w:val="en-ZA"/>
              </w:rPr>
              <w:t>Female return is greater than male return</w:t>
            </w:r>
          </w:p>
        </w:tc>
      </w:tr>
      <w:tr w:rsidR="00743CC7" w:rsidRPr="005B0F51" w:rsidTr="004F7551">
        <w:trPr>
          <w:cantSplit/>
          <w:trHeight w:val="351"/>
          <w:tblHeader/>
          <w:jc w:val="center"/>
        </w:trPr>
        <w:tc>
          <w:tcPr>
            <w:tcW w:w="278" w:type="pct"/>
            <w:vMerge/>
            <w:vAlign w:val="center"/>
            <w:hideMark/>
          </w:tcPr>
          <w:p w:rsidR="00535444" w:rsidRPr="005B0F51" w:rsidRDefault="00535444" w:rsidP="005B0F51">
            <w:pPr>
              <w:spacing w:before="0" w:after="100" w:afterAutospacing="1" w:line="240" w:lineRule="auto"/>
              <w:contextualSpacing/>
              <w:jc w:val="center"/>
              <w:rPr>
                <w:rFonts w:cs="Arial"/>
                <w:b/>
                <w:bCs/>
                <w:color w:val="FFFFFF"/>
                <w:lang w:val="en-ZA"/>
              </w:rPr>
            </w:pPr>
          </w:p>
        </w:tc>
        <w:tc>
          <w:tcPr>
            <w:tcW w:w="267" w:type="pct"/>
            <w:shd w:val="clear" w:color="000000" w:fill="366092"/>
            <w:tcMar>
              <w:top w:w="15" w:type="dxa"/>
              <w:left w:w="15" w:type="dxa"/>
              <w:bottom w:w="0" w:type="dxa"/>
              <w:right w:w="15" w:type="dxa"/>
            </w:tcMar>
            <w:vAlign w:val="center"/>
            <w:hideMark/>
          </w:tcPr>
          <w:p w:rsidR="00535444" w:rsidRPr="005B0F51" w:rsidRDefault="00535444" w:rsidP="005B0F51">
            <w:pPr>
              <w:spacing w:before="0" w:after="100" w:afterAutospacing="1" w:line="240" w:lineRule="auto"/>
              <w:contextualSpacing/>
              <w:jc w:val="center"/>
              <w:rPr>
                <w:rFonts w:cs="Arial"/>
                <w:b/>
                <w:bCs/>
                <w:color w:val="FFFFFF"/>
                <w:lang w:val="en-ZA"/>
              </w:rPr>
            </w:pPr>
            <w:r w:rsidRPr="005B0F51">
              <w:rPr>
                <w:rFonts w:cs="Arial"/>
                <w:b/>
                <w:bCs/>
                <w:color w:val="FFFFFF"/>
                <w:lang w:val="en-ZA"/>
              </w:rPr>
              <w:t>1yr</w:t>
            </w:r>
          </w:p>
        </w:tc>
        <w:tc>
          <w:tcPr>
            <w:tcW w:w="269" w:type="pct"/>
            <w:shd w:val="clear" w:color="000000" w:fill="366092"/>
            <w:tcMar>
              <w:top w:w="15" w:type="dxa"/>
              <w:left w:w="15" w:type="dxa"/>
              <w:bottom w:w="0" w:type="dxa"/>
              <w:right w:w="15" w:type="dxa"/>
            </w:tcMar>
            <w:vAlign w:val="center"/>
            <w:hideMark/>
          </w:tcPr>
          <w:p w:rsidR="00535444" w:rsidRPr="005B0F51" w:rsidRDefault="00535444" w:rsidP="005B0F51">
            <w:pPr>
              <w:spacing w:before="0" w:after="100" w:afterAutospacing="1" w:line="240" w:lineRule="auto"/>
              <w:contextualSpacing/>
              <w:jc w:val="center"/>
              <w:rPr>
                <w:rFonts w:cs="Arial"/>
                <w:b/>
                <w:bCs/>
                <w:color w:val="FFFFFF"/>
                <w:lang w:val="en-ZA"/>
              </w:rPr>
            </w:pPr>
            <w:r w:rsidRPr="005B0F51">
              <w:rPr>
                <w:rFonts w:cs="Arial"/>
                <w:b/>
                <w:bCs/>
                <w:color w:val="FFFFFF"/>
                <w:lang w:val="en-ZA"/>
              </w:rPr>
              <w:t>3yr</w:t>
            </w:r>
          </w:p>
        </w:tc>
        <w:tc>
          <w:tcPr>
            <w:tcW w:w="269" w:type="pct"/>
            <w:shd w:val="clear" w:color="000000" w:fill="366092"/>
            <w:tcMar>
              <w:top w:w="15" w:type="dxa"/>
              <w:left w:w="15" w:type="dxa"/>
              <w:bottom w:w="0" w:type="dxa"/>
              <w:right w:w="15" w:type="dxa"/>
            </w:tcMar>
            <w:vAlign w:val="center"/>
            <w:hideMark/>
          </w:tcPr>
          <w:p w:rsidR="00535444" w:rsidRPr="005B0F51" w:rsidRDefault="00535444" w:rsidP="005B0F51">
            <w:pPr>
              <w:spacing w:before="0" w:after="100" w:afterAutospacing="1" w:line="240" w:lineRule="auto"/>
              <w:contextualSpacing/>
              <w:jc w:val="center"/>
              <w:rPr>
                <w:rFonts w:cs="Arial"/>
                <w:b/>
                <w:bCs/>
                <w:color w:val="FFFFFF"/>
                <w:lang w:val="en-ZA"/>
              </w:rPr>
            </w:pPr>
            <w:r w:rsidRPr="005B0F51">
              <w:rPr>
                <w:rFonts w:cs="Arial"/>
                <w:b/>
                <w:bCs/>
                <w:color w:val="FFFFFF"/>
                <w:lang w:val="en-ZA"/>
              </w:rPr>
              <w:t>5yr</w:t>
            </w:r>
          </w:p>
        </w:tc>
        <w:tc>
          <w:tcPr>
            <w:tcW w:w="269" w:type="pct"/>
            <w:shd w:val="clear" w:color="000000" w:fill="366092"/>
            <w:tcMar>
              <w:top w:w="15" w:type="dxa"/>
              <w:left w:w="15" w:type="dxa"/>
              <w:bottom w:w="0" w:type="dxa"/>
              <w:right w:w="15" w:type="dxa"/>
            </w:tcMar>
            <w:vAlign w:val="center"/>
            <w:hideMark/>
          </w:tcPr>
          <w:p w:rsidR="00535444" w:rsidRPr="005B0F51" w:rsidRDefault="00535444" w:rsidP="005B0F51">
            <w:pPr>
              <w:spacing w:before="0" w:after="100" w:afterAutospacing="1" w:line="240" w:lineRule="auto"/>
              <w:contextualSpacing/>
              <w:jc w:val="center"/>
              <w:rPr>
                <w:rFonts w:cs="Arial"/>
                <w:b/>
                <w:bCs/>
                <w:color w:val="FFFFFF"/>
                <w:lang w:val="en-ZA"/>
              </w:rPr>
            </w:pPr>
            <w:r w:rsidRPr="005B0F51">
              <w:rPr>
                <w:rFonts w:cs="Arial"/>
                <w:b/>
                <w:bCs/>
                <w:color w:val="FFFFFF"/>
                <w:lang w:val="en-ZA"/>
              </w:rPr>
              <w:t>10yr</w:t>
            </w:r>
          </w:p>
        </w:tc>
        <w:tc>
          <w:tcPr>
            <w:tcW w:w="326" w:type="pct"/>
            <w:shd w:val="clear" w:color="000000" w:fill="366092"/>
            <w:tcMar>
              <w:top w:w="15" w:type="dxa"/>
              <w:left w:w="15" w:type="dxa"/>
              <w:bottom w:w="0" w:type="dxa"/>
              <w:right w:w="15" w:type="dxa"/>
            </w:tcMar>
            <w:vAlign w:val="center"/>
            <w:hideMark/>
          </w:tcPr>
          <w:p w:rsidR="00535444" w:rsidRPr="005B0F51" w:rsidRDefault="00535444" w:rsidP="005B0F51">
            <w:pPr>
              <w:spacing w:before="0" w:after="100" w:afterAutospacing="1" w:line="240" w:lineRule="auto"/>
              <w:contextualSpacing/>
              <w:jc w:val="center"/>
              <w:rPr>
                <w:rFonts w:cs="Arial"/>
                <w:b/>
                <w:bCs/>
                <w:color w:val="FFFFFF"/>
                <w:lang w:val="en-ZA"/>
              </w:rPr>
            </w:pPr>
            <w:r w:rsidRPr="005B0F51">
              <w:rPr>
                <w:rFonts w:cs="Arial"/>
                <w:b/>
                <w:bCs/>
                <w:color w:val="FFFFFF"/>
                <w:lang w:val="en-ZA"/>
              </w:rPr>
              <w:t>1yr</w:t>
            </w:r>
          </w:p>
        </w:tc>
        <w:tc>
          <w:tcPr>
            <w:tcW w:w="326" w:type="pct"/>
            <w:shd w:val="clear" w:color="000000" w:fill="366092"/>
            <w:tcMar>
              <w:top w:w="15" w:type="dxa"/>
              <w:left w:w="15" w:type="dxa"/>
              <w:bottom w:w="0" w:type="dxa"/>
              <w:right w:w="15" w:type="dxa"/>
            </w:tcMar>
            <w:vAlign w:val="center"/>
            <w:hideMark/>
          </w:tcPr>
          <w:p w:rsidR="00535444" w:rsidRPr="005B0F51" w:rsidRDefault="00535444" w:rsidP="005B0F51">
            <w:pPr>
              <w:spacing w:before="0" w:after="100" w:afterAutospacing="1" w:line="240" w:lineRule="auto"/>
              <w:contextualSpacing/>
              <w:jc w:val="center"/>
              <w:rPr>
                <w:rFonts w:cs="Arial"/>
                <w:b/>
                <w:bCs/>
                <w:color w:val="FFFFFF"/>
                <w:lang w:val="en-ZA"/>
              </w:rPr>
            </w:pPr>
            <w:r w:rsidRPr="005B0F51">
              <w:rPr>
                <w:rFonts w:cs="Arial"/>
                <w:b/>
                <w:bCs/>
                <w:color w:val="FFFFFF"/>
                <w:lang w:val="en-ZA"/>
              </w:rPr>
              <w:t>3yr</w:t>
            </w:r>
          </w:p>
        </w:tc>
        <w:tc>
          <w:tcPr>
            <w:tcW w:w="326" w:type="pct"/>
            <w:shd w:val="clear" w:color="000000" w:fill="366092"/>
            <w:tcMar>
              <w:top w:w="15" w:type="dxa"/>
              <w:left w:w="15" w:type="dxa"/>
              <w:bottom w:w="0" w:type="dxa"/>
              <w:right w:w="15" w:type="dxa"/>
            </w:tcMar>
            <w:vAlign w:val="center"/>
            <w:hideMark/>
          </w:tcPr>
          <w:p w:rsidR="00535444" w:rsidRPr="005B0F51" w:rsidRDefault="00535444" w:rsidP="005B0F51">
            <w:pPr>
              <w:spacing w:before="0" w:after="100" w:afterAutospacing="1" w:line="240" w:lineRule="auto"/>
              <w:contextualSpacing/>
              <w:jc w:val="center"/>
              <w:rPr>
                <w:rFonts w:cs="Arial"/>
                <w:b/>
                <w:bCs/>
                <w:color w:val="FFFFFF"/>
                <w:lang w:val="en-ZA"/>
              </w:rPr>
            </w:pPr>
            <w:r w:rsidRPr="005B0F51">
              <w:rPr>
                <w:rFonts w:cs="Arial"/>
                <w:b/>
                <w:bCs/>
                <w:color w:val="FFFFFF"/>
                <w:lang w:val="en-ZA"/>
              </w:rPr>
              <w:t>5yr</w:t>
            </w:r>
          </w:p>
        </w:tc>
        <w:tc>
          <w:tcPr>
            <w:tcW w:w="328" w:type="pct"/>
            <w:shd w:val="clear" w:color="000000" w:fill="366092"/>
            <w:tcMar>
              <w:top w:w="15" w:type="dxa"/>
              <w:left w:w="15" w:type="dxa"/>
              <w:bottom w:w="0" w:type="dxa"/>
              <w:right w:w="15" w:type="dxa"/>
            </w:tcMar>
            <w:vAlign w:val="center"/>
            <w:hideMark/>
          </w:tcPr>
          <w:p w:rsidR="00535444" w:rsidRPr="005B0F51" w:rsidRDefault="00535444" w:rsidP="005B0F51">
            <w:pPr>
              <w:spacing w:before="0" w:after="100" w:afterAutospacing="1" w:line="240" w:lineRule="auto"/>
              <w:contextualSpacing/>
              <w:jc w:val="center"/>
              <w:rPr>
                <w:rFonts w:cs="Arial"/>
                <w:b/>
                <w:bCs/>
                <w:color w:val="FFFFFF"/>
                <w:lang w:val="en-ZA"/>
              </w:rPr>
            </w:pPr>
            <w:r w:rsidRPr="005B0F51">
              <w:rPr>
                <w:rFonts w:cs="Arial"/>
                <w:b/>
                <w:bCs/>
                <w:color w:val="FFFFFF"/>
                <w:lang w:val="en-ZA"/>
              </w:rPr>
              <w:t>10yr</w:t>
            </w:r>
          </w:p>
        </w:tc>
        <w:tc>
          <w:tcPr>
            <w:tcW w:w="262" w:type="pct"/>
            <w:shd w:val="clear" w:color="000000" w:fill="366092"/>
            <w:tcMar>
              <w:top w:w="15" w:type="dxa"/>
              <w:left w:w="15" w:type="dxa"/>
              <w:bottom w:w="0" w:type="dxa"/>
              <w:right w:w="15" w:type="dxa"/>
            </w:tcMar>
            <w:vAlign w:val="center"/>
            <w:hideMark/>
          </w:tcPr>
          <w:p w:rsidR="00535444" w:rsidRPr="005B0F51" w:rsidRDefault="00535444" w:rsidP="005B0F51">
            <w:pPr>
              <w:spacing w:before="0" w:after="100" w:afterAutospacing="1" w:line="240" w:lineRule="auto"/>
              <w:contextualSpacing/>
              <w:jc w:val="center"/>
              <w:rPr>
                <w:rFonts w:cs="Arial"/>
                <w:b/>
                <w:bCs/>
                <w:color w:val="FFFFFF"/>
                <w:lang w:val="en-ZA"/>
              </w:rPr>
            </w:pPr>
            <w:r w:rsidRPr="005B0F51">
              <w:rPr>
                <w:rFonts w:cs="Arial"/>
                <w:b/>
                <w:bCs/>
                <w:color w:val="FFFFFF"/>
                <w:lang w:val="en-ZA"/>
              </w:rPr>
              <w:t>1yr</w:t>
            </w:r>
          </w:p>
        </w:tc>
        <w:tc>
          <w:tcPr>
            <w:tcW w:w="262" w:type="pct"/>
            <w:shd w:val="clear" w:color="000000" w:fill="366092"/>
            <w:tcMar>
              <w:top w:w="15" w:type="dxa"/>
              <w:left w:w="15" w:type="dxa"/>
              <w:bottom w:w="0" w:type="dxa"/>
              <w:right w:w="15" w:type="dxa"/>
            </w:tcMar>
            <w:vAlign w:val="center"/>
            <w:hideMark/>
          </w:tcPr>
          <w:p w:rsidR="00535444" w:rsidRPr="005B0F51" w:rsidRDefault="00535444" w:rsidP="005B0F51">
            <w:pPr>
              <w:spacing w:before="0" w:after="100" w:afterAutospacing="1" w:line="240" w:lineRule="auto"/>
              <w:contextualSpacing/>
              <w:jc w:val="center"/>
              <w:rPr>
                <w:rFonts w:cs="Arial"/>
                <w:b/>
                <w:bCs/>
                <w:color w:val="FFFFFF"/>
                <w:lang w:val="en-ZA"/>
              </w:rPr>
            </w:pPr>
            <w:r w:rsidRPr="005B0F51">
              <w:rPr>
                <w:rFonts w:cs="Arial"/>
                <w:b/>
                <w:bCs/>
                <w:color w:val="FFFFFF"/>
                <w:lang w:val="en-ZA"/>
              </w:rPr>
              <w:t>3yr</w:t>
            </w:r>
          </w:p>
        </w:tc>
        <w:tc>
          <w:tcPr>
            <w:tcW w:w="238" w:type="pct"/>
            <w:shd w:val="clear" w:color="000000" w:fill="366092"/>
            <w:tcMar>
              <w:top w:w="15" w:type="dxa"/>
              <w:left w:w="15" w:type="dxa"/>
              <w:bottom w:w="0" w:type="dxa"/>
              <w:right w:w="15" w:type="dxa"/>
            </w:tcMar>
            <w:vAlign w:val="center"/>
            <w:hideMark/>
          </w:tcPr>
          <w:p w:rsidR="00535444" w:rsidRPr="005B0F51" w:rsidRDefault="00535444" w:rsidP="005B0F51">
            <w:pPr>
              <w:spacing w:before="0" w:after="100" w:afterAutospacing="1" w:line="240" w:lineRule="auto"/>
              <w:contextualSpacing/>
              <w:jc w:val="center"/>
              <w:rPr>
                <w:rFonts w:cs="Arial"/>
                <w:b/>
                <w:bCs/>
                <w:color w:val="FFFFFF"/>
                <w:lang w:val="en-ZA"/>
              </w:rPr>
            </w:pPr>
            <w:r w:rsidRPr="005B0F51">
              <w:rPr>
                <w:rFonts w:cs="Arial"/>
                <w:b/>
                <w:bCs/>
                <w:color w:val="FFFFFF"/>
                <w:lang w:val="en-ZA"/>
              </w:rPr>
              <w:t>5yr</w:t>
            </w:r>
          </w:p>
        </w:tc>
        <w:tc>
          <w:tcPr>
            <w:tcW w:w="213" w:type="pct"/>
            <w:shd w:val="clear" w:color="000000" w:fill="366092"/>
            <w:tcMar>
              <w:top w:w="15" w:type="dxa"/>
              <w:left w:w="15" w:type="dxa"/>
              <w:bottom w:w="0" w:type="dxa"/>
              <w:right w:w="15" w:type="dxa"/>
            </w:tcMar>
            <w:vAlign w:val="center"/>
            <w:hideMark/>
          </w:tcPr>
          <w:p w:rsidR="00535444" w:rsidRPr="005B0F51" w:rsidRDefault="00535444" w:rsidP="005B0F51">
            <w:pPr>
              <w:spacing w:before="0" w:after="100" w:afterAutospacing="1" w:line="240" w:lineRule="auto"/>
              <w:contextualSpacing/>
              <w:jc w:val="center"/>
              <w:rPr>
                <w:rFonts w:cs="Arial"/>
                <w:b/>
                <w:bCs/>
                <w:color w:val="FFFFFF"/>
                <w:lang w:val="en-ZA"/>
              </w:rPr>
            </w:pPr>
            <w:r w:rsidRPr="005B0F51">
              <w:rPr>
                <w:rFonts w:cs="Arial"/>
                <w:b/>
                <w:bCs/>
                <w:color w:val="FFFFFF"/>
                <w:lang w:val="en-ZA"/>
              </w:rPr>
              <w:t>10yr</w:t>
            </w:r>
          </w:p>
        </w:tc>
        <w:tc>
          <w:tcPr>
            <w:tcW w:w="350" w:type="pct"/>
            <w:shd w:val="clear" w:color="000000" w:fill="366092"/>
            <w:tcMar>
              <w:top w:w="15" w:type="dxa"/>
              <w:left w:w="15" w:type="dxa"/>
              <w:bottom w:w="0" w:type="dxa"/>
              <w:right w:w="15" w:type="dxa"/>
            </w:tcMar>
            <w:vAlign w:val="center"/>
            <w:hideMark/>
          </w:tcPr>
          <w:p w:rsidR="00535444" w:rsidRPr="005B0F51" w:rsidRDefault="00535444" w:rsidP="005B0F51">
            <w:pPr>
              <w:spacing w:before="0" w:after="100" w:afterAutospacing="1" w:line="240" w:lineRule="auto"/>
              <w:contextualSpacing/>
              <w:jc w:val="center"/>
              <w:rPr>
                <w:rFonts w:cs="Arial"/>
                <w:b/>
                <w:bCs/>
                <w:color w:val="FFFFFF"/>
                <w:lang w:val="en-ZA"/>
              </w:rPr>
            </w:pPr>
            <w:r w:rsidRPr="005B0F51">
              <w:rPr>
                <w:rFonts w:cs="Arial"/>
                <w:b/>
                <w:bCs/>
                <w:color w:val="FFFFFF"/>
                <w:lang w:val="en-ZA"/>
              </w:rPr>
              <w:t>1yr</w:t>
            </w:r>
          </w:p>
        </w:tc>
        <w:tc>
          <w:tcPr>
            <w:tcW w:w="311" w:type="pct"/>
            <w:shd w:val="clear" w:color="000000" w:fill="366092"/>
            <w:tcMar>
              <w:top w:w="15" w:type="dxa"/>
              <w:left w:w="15" w:type="dxa"/>
              <w:bottom w:w="0" w:type="dxa"/>
              <w:right w:w="15" w:type="dxa"/>
            </w:tcMar>
            <w:vAlign w:val="center"/>
            <w:hideMark/>
          </w:tcPr>
          <w:p w:rsidR="00535444" w:rsidRPr="005B0F51" w:rsidRDefault="00535444" w:rsidP="005B0F51">
            <w:pPr>
              <w:spacing w:before="0" w:after="100" w:afterAutospacing="1" w:line="240" w:lineRule="auto"/>
              <w:contextualSpacing/>
              <w:jc w:val="center"/>
              <w:rPr>
                <w:rFonts w:cs="Arial"/>
                <w:b/>
                <w:bCs/>
                <w:color w:val="FFFFFF"/>
                <w:lang w:val="en-ZA"/>
              </w:rPr>
            </w:pPr>
            <w:r w:rsidRPr="005B0F51">
              <w:rPr>
                <w:rFonts w:cs="Arial"/>
                <w:b/>
                <w:bCs/>
                <w:color w:val="FFFFFF"/>
                <w:lang w:val="en-ZA"/>
              </w:rPr>
              <w:t>3yr</w:t>
            </w:r>
          </w:p>
        </w:tc>
        <w:tc>
          <w:tcPr>
            <w:tcW w:w="311" w:type="pct"/>
            <w:shd w:val="clear" w:color="000000" w:fill="366092"/>
            <w:tcMar>
              <w:top w:w="15" w:type="dxa"/>
              <w:left w:w="15" w:type="dxa"/>
              <w:bottom w:w="0" w:type="dxa"/>
              <w:right w:w="15" w:type="dxa"/>
            </w:tcMar>
            <w:vAlign w:val="center"/>
            <w:hideMark/>
          </w:tcPr>
          <w:p w:rsidR="00535444" w:rsidRPr="005B0F51" w:rsidRDefault="00535444" w:rsidP="005B0F51">
            <w:pPr>
              <w:spacing w:before="0" w:after="100" w:afterAutospacing="1" w:line="240" w:lineRule="auto"/>
              <w:contextualSpacing/>
              <w:jc w:val="center"/>
              <w:rPr>
                <w:rFonts w:cs="Arial"/>
                <w:b/>
                <w:bCs/>
                <w:color w:val="FFFFFF"/>
                <w:lang w:val="en-ZA"/>
              </w:rPr>
            </w:pPr>
            <w:r w:rsidRPr="005B0F51">
              <w:rPr>
                <w:rFonts w:cs="Arial"/>
                <w:b/>
                <w:bCs/>
                <w:color w:val="FFFFFF"/>
                <w:lang w:val="en-ZA"/>
              </w:rPr>
              <w:t>5yr</w:t>
            </w:r>
          </w:p>
        </w:tc>
        <w:tc>
          <w:tcPr>
            <w:tcW w:w="395" w:type="pct"/>
            <w:shd w:val="clear" w:color="000000" w:fill="366092"/>
            <w:tcMar>
              <w:top w:w="15" w:type="dxa"/>
              <w:left w:w="15" w:type="dxa"/>
              <w:bottom w:w="0" w:type="dxa"/>
              <w:right w:w="15" w:type="dxa"/>
            </w:tcMar>
            <w:vAlign w:val="center"/>
            <w:hideMark/>
          </w:tcPr>
          <w:p w:rsidR="00535444" w:rsidRPr="005B0F51" w:rsidRDefault="00535444" w:rsidP="005B0F51">
            <w:pPr>
              <w:spacing w:before="0" w:after="100" w:afterAutospacing="1" w:line="240" w:lineRule="auto"/>
              <w:contextualSpacing/>
              <w:jc w:val="center"/>
              <w:rPr>
                <w:rFonts w:cs="Arial"/>
                <w:b/>
                <w:bCs/>
                <w:color w:val="FFFFFF"/>
                <w:lang w:val="en-ZA"/>
              </w:rPr>
            </w:pPr>
            <w:r w:rsidRPr="005B0F51">
              <w:rPr>
                <w:rFonts w:cs="Arial"/>
                <w:b/>
                <w:bCs/>
                <w:color w:val="FFFFFF"/>
                <w:lang w:val="en-ZA"/>
              </w:rPr>
              <w:t>10yr</w:t>
            </w: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9.61</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16.66</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1.53</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12.13</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8.08</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4.53</w:t>
            </w: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TRUE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TRUE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2</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8.22</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8.55</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-0.33</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3</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13.64</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11.65</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1.99</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TRUE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4</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4.39</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11.26</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11.43</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-7.04</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5</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7.23</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9.55</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-2.32</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6</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5.17</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4.57</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5.54</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0.60</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TRUE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7</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5.88</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8.74</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4.39</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8.36</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8.65</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1.49</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0.38</w:t>
            </w: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TRUE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TRUE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8</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5.76</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5.32</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5.50</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5.77</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5.21</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5.32</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-0.01</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0.11</w:t>
            </w: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0.17</w:t>
            </w: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TRUE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TRUE</w:t>
            </w: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9</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4.03</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11.41</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10.81</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10.81</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-6.78</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10</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3.24</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12.23</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11.38</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6.20</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14.80</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13.35</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-2.96</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-2.57</w:t>
            </w: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-1.97</w:t>
            </w: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11</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4.29</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10.28</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9.82</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13.50</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14.64</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-9.21</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-4.36</w:t>
            </w: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12</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4.49</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8.91</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8.62</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7.91</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11.27</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-3.42</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-2.36</w:t>
            </w: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13</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7.45</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8.75</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10.28</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14</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-2.47</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10.91</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11.36</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4.06</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15.39</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16.79</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-6.52</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-4.47</w:t>
            </w: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-5.43</w:t>
            </w: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15</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6.05</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6.86</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-0.80</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16</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4.42</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-1.09</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11.01</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10.59</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5.51</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TRUE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17</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8.33</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14.98</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10.86</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8.50</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5.02</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-2.53</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6.48</w:t>
            </w: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TRUE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18</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8.17</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7.82</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7.82</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7.31</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7.50</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8.25</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0.86</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0.33</w:t>
            </w: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-0.43</w:t>
            </w: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TRUE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TRUE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19</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4.87</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6.81</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7.89</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6.88</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7.55</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8.18</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-2.01</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-0.73</w:t>
            </w: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-0.29</w:t>
            </w: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20</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6.33</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19.65</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19.21</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11.36</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18.45</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14.52</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-5.03</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1.20</w:t>
            </w: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4.68</w:t>
            </w: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TRUE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TRUE</w:t>
            </w: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21</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18.58</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31.44</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20.57</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9.44</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9.13</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TRUE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22</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3.65</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15.94</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-1.42</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10.69</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5.07</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5.24</w:t>
            </w: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TRUE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TRUE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23</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4.87</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27.17</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19.71</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37.30</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28.89</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-14.85</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-10.13</w:t>
            </w: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24</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-5.14</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8.85</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16.84</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22.98</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-21.98</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-14.13</w:t>
            </w: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25</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7.73</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5.96</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1.76</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TRUE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26</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5.92</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5.44</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5.53</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6.20</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5.59</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5.59</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-0.28</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-0.15</w:t>
            </w: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-0.07</w:t>
            </w: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27</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6.38</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5.67</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5.76</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7.36</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6.</w:t>
            </w:r>
            <w:r w:rsidR="001248F7" w:rsidRPr="005B0F51">
              <w:rPr>
                <w:rFonts w:ascii="Verdana" w:hAnsi="Verdana"/>
                <w:sz w:val="20"/>
                <w:szCs w:val="20"/>
                <w:lang w:val="en-ZA"/>
              </w:rPr>
              <w:t>17</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5.5</w:t>
            </w:r>
            <w:r w:rsidR="001248F7" w:rsidRPr="005B0F51">
              <w:rPr>
                <w:rFonts w:ascii="Verdana" w:hAnsi="Verdana"/>
                <w:sz w:val="20"/>
                <w:szCs w:val="20"/>
                <w:lang w:val="en-ZA"/>
              </w:rPr>
              <w:t>6</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5.</w:t>
            </w:r>
            <w:r w:rsidR="001248F7" w:rsidRPr="005B0F51">
              <w:rPr>
                <w:rFonts w:ascii="Verdana" w:hAnsi="Verdana"/>
                <w:sz w:val="20"/>
                <w:szCs w:val="20"/>
                <w:lang w:val="en-ZA"/>
              </w:rPr>
              <w:t>61</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7.</w:t>
            </w:r>
            <w:r w:rsidR="001248F7" w:rsidRPr="005B0F51">
              <w:rPr>
                <w:rFonts w:ascii="Verdana" w:hAnsi="Verdana"/>
                <w:sz w:val="20"/>
                <w:szCs w:val="20"/>
                <w:lang w:val="en-ZA"/>
              </w:rPr>
              <w:t>20</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0.</w:t>
            </w:r>
            <w:r w:rsidR="001248F7" w:rsidRPr="005B0F51">
              <w:rPr>
                <w:rFonts w:ascii="Verdana" w:hAnsi="Verdana"/>
                <w:sz w:val="20"/>
                <w:szCs w:val="20"/>
                <w:lang w:val="en-ZA"/>
              </w:rPr>
              <w:t>2</w:t>
            </w:r>
            <w:r w:rsidRPr="005B0F51">
              <w:rPr>
                <w:rFonts w:ascii="Verdana" w:hAnsi="Verdana"/>
                <w:sz w:val="20"/>
                <w:szCs w:val="20"/>
                <w:lang w:val="en-ZA"/>
              </w:rPr>
              <w:t>1</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0.1</w:t>
            </w:r>
            <w:r w:rsidR="001248F7" w:rsidRPr="005B0F51">
              <w:rPr>
                <w:rFonts w:ascii="Verdana" w:hAnsi="Verdana"/>
                <w:sz w:val="20"/>
                <w:szCs w:val="20"/>
                <w:lang w:val="en-ZA"/>
              </w:rPr>
              <w:t>1</w:t>
            </w: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0.1</w:t>
            </w:r>
            <w:r w:rsidR="001248F7" w:rsidRPr="005B0F51">
              <w:rPr>
                <w:rFonts w:ascii="Verdana" w:hAnsi="Verdana"/>
                <w:sz w:val="20"/>
                <w:szCs w:val="20"/>
                <w:lang w:val="en-ZA"/>
              </w:rPr>
              <w:t>5</w:t>
            </w: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0.</w:t>
            </w:r>
            <w:r w:rsidR="001248F7" w:rsidRPr="005B0F51">
              <w:rPr>
                <w:rFonts w:ascii="Verdana" w:hAnsi="Verdana"/>
                <w:sz w:val="20"/>
                <w:szCs w:val="20"/>
                <w:lang w:val="en-ZA"/>
              </w:rPr>
              <w:t>16</w:t>
            </w: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TRUE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TRUE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TRUE</w:t>
            </w: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TRUE</w:t>
            </w: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28</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2.08</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-7.56</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13.74</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9.64</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TRUE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29</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6.57</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9.38</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8.42</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11.82</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-1.85</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-2.44</w:t>
            </w: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30</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9.05</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12.64</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9.57</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16.98</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-0.52</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-4.34</w:t>
            </w: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31</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10.33</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18.39</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12.03</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-1.70</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32</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5.76</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18.11</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0.31</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13.96</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5.45</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4.15</w:t>
            </w: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TRUE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TRUE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33</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10.58</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21.40</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13.48</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-2.90</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34</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-3.95</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3.40</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-7.35</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35</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7.40</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6.22</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8.73</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5.96</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1.44</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TRUE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36</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7.34</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6.64</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8.96</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6.37</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7.31</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10.41</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0.97</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-0.67</w:t>
            </w: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-1.45</w:t>
            </w: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TRUE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37</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21.93</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23.92</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19.95</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19.98</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24.21</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1.95</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-0.29</w:t>
            </w: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TRUE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38</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11.55</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11.86</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18.48</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11.15</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-0.31</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39</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-1.68</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13.90</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1.53</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-3.21</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40</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3.12</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18.34</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3.51</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18.85</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-0.39</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-0.51</w:t>
            </w: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41</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8.19</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15.85</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13.26</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11.29</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12.60</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16.95</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-4.41</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-1.10</w:t>
            </w: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42</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6.91</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10.70</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9.50</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8.96</w:t>
            </w:r>
          </w:p>
        </w:tc>
        <w:tc>
          <w:tcPr>
            <w:tcW w:w="326" w:type="pct"/>
            <w:shd w:val="clear" w:color="000000" w:fill="B7DEE8"/>
            <w:noWrap/>
            <w:tcMar>
              <w:top w:w="15" w:type="dxa"/>
              <w:left w:w="15" w:type="dxa"/>
              <w:bottom w:w="0" w:type="dxa"/>
              <w:right w:w="15" w:type="dxa"/>
            </w:tcMar>
            <w:vAlign w:val="center"/>
            <w:hideMark/>
          </w:tcPr>
          <w:p w:rsidR="00743CC7" w:rsidRPr="005B0F51" w:rsidRDefault="001248F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8.69</w:t>
            </w:r>
          </w:p>
        </w:tc>
        <w:tc>
          <w:tcPr>
            <w:tcW w:w="326" w:type="pct"/>
            <w:shd w:val="clear" w:color="000000" w:fill="B7DEE8"/>
            <w:noWrap/>
            <w:tcMar>
              <w:top w:w="15" w:type="dxa"/>
              <w:left w:w="15" w:type="dxa"/>
              <w:bottom w:w="0" w:type="dxa"/>
              <w:right w:w="15" w:type="dxa"/>
            </w:tcMar>
            <w:vAlign w:val="center"/>
            <w:hideMark/>
          </w:tcPr>
          <w:p w:rsidR="00743CC7" w:rsidRPr="005B0F51" w:rsidRDefault="001248F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9.44</w:t>
            </w:r>
          </w:p>
        </w:tc>
        <w:tc>
          <w:tcPr>
            <w:tcW w:w="326" w:type="pct"/>
            <w:shd w:val="clear" w:color="000000" w:fill="B7DEE8"/>
            <w:noWrap/>
            <w:tcMar>
              <w:top w:w="15" w:type="dxa"/>
              <w:left w:w="15" w:type="dxa"/>
              <w:bottom w:w="0" w:type="dxa"/>
              <w:right w:w="15" w:type="dxa"/>
            </w:tcMar>
            <w:vAlign w:val="center"/>
            <w:hideMark/>
          </w:tcPr>
          <w:p w:rsidR="00743CC7" w:rsidRPr="005B0F51" w:rsidRDefault="001248F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9.29</w:t>
            </w:r>
          </w:p>
        </w:tc>
        <w:tc>
          <w:tcPr>
            <w:tcW w:w="328" w:type="pct"/>
            <w:shd w:val="clear" w:color="000000" w:fill="B7DEE8"/>
            <w:noWrap/>
            <w:tcMar>
              <w:top w:w="15" w:type="dxa"/>
              <w:left w:w="15" w:type="dxa"/>
              <w:bottom w:w="0" w:type="dxa"/>
              <w:right w:w="15" w:type="dxa"/>
            </w:tcMar>
            <w:vAlign w:val="center"/>
            <w:hideMark/>
          </w:tcPr>
          <w:p w:rsidR="00743CC7" w:rsidRPr="005B0F51" w:rsidRDefault="001248F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9.65</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1248F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-1.78</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1248F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1.26</w:t>
            </w: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1248F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0.21</w:t>
            </w: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1248F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-0.70</w:t>
            </w: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1248F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1248F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TRUE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1248F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TRUE</w:t>
            </w: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1248F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43</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12.96</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23.81</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15.92</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20.28</w:t>
            </w:r>
          </w:p>
        </w:tc>
        <w:tc>
          <w:tcPr>
            <w:tcW w:w="326" w:type="pct"/>
            <w:shd w:val="clear" w:color="000000" w:fill="B7DEE8"/>
            <w:noWrap/>
            <w:tcMar>
              <w:top w:w="15" w:type="dxa"/>
              <w:left w:w="15" w:type="dxa"/>
              <w:bottom w:w="0" w:type="dxa"/>
              <w:right w:w="15" w:type="dxa"/>
            </w:tcMar>
            <w:vAlign w:val="center"/>
            <w:hideMark/>
          </w:tcPr>
          <w:p w:rsidR="00743CC7" w:rsidRPr="005B0F51" w:rsidRDefault="001248F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4</w:t>
            </w:r>
            <w:r w:rsidR="00743CC7" w:rsidRPr="005B0F51">
              <w:rPr>
                <w:rFonts w:ascii="Verdana" w:hAnsi="Verdana"/>
                <w:sz w:val="20"/>
                <w:szCs w:val="20"/>
                <w:lang w:val="en-ZA"/>
              </w:rPr>
              <w:t>.4</w:t>
            </w:r>
            <w:r w:rsidRPr="005B0F51">
              <w:rPr>
                <w:rFonts w:ascii="Verdana" w:hAnsi="Verdana"/>
                <w:sz w:val="20"/>
                <w:szCs w:val="20"/>
                <w:lang w:val="en-ZA"/>
              </w:rPr>
              <w:t>6</w:t>
            </w:r>
          </w:p>
        </w:tc>
        <w:tc>
          <w:tcPr>
            <w:tcW w:w="326" w:type="pct"/>
            <w:shd w:val="clear" w:color="000000" w:fill="B7DEE8"/>
            <w:noWrap/>
            <w:tcMar>
              <w:top w:w="15" w:type="dxa"/>
              <w:left w:w="15" w:type="dxa"/>
              <w:bottom w:w="0" w:type="dxa"/>
              <w:right w:w="15" w:type="dxa"/>
            </w:tcMar>
            <w:vAlign w:val="center"/>
            <w:hideMark/>
          </w:tcPr>
          <w:p w:rsidR="00743CC7" w:rsidRPr="005B0F51" w:rsidRDefault="001248F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18.36</w:t>
            </w:r>
          </w:p>
        </w:tc>
        <w:tc>
          <w:tcPr>
            <w:tcW w:w="326" w:type="pct"/>
            <w:shd w:val="clear" w:color="000000" w:fill="B7DEE8"/>
            <w:noWrap/>
            <w:tcMar>
              <w:top w:w="15" w:type="dxa"/>
              <w:left w:w="15" w:type="dxa"/>
              <w:bottom w:w="0" w:type="dxa"/>
              <w:right w:w="15" w:type="dxa"/>
            </w:tcMar>
            <w:vAlign w:val="center"/>
            <w:hideMark/>
          </w:tcPr>
          <w:p w:rsidR="00743CC7" w:rsidRPr="005B0F51" w:rsidRDefault="001248F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17.27</w:t>
            </w:r>
          </w:p>
        </w:tc>
        <w:tc>
          <w:tcPr>
            <w:tcW w:w="328" w:type="pct"/>
            <w:shd w:val="clear" w:color="000000" w:fill="B7DEE8"/>
            <w:noWrap/>
            <w:tcMar>
              <w:top w:w="15" w:type="dxa"/>
              <w:left w:w="15" w:type="dxa"/>
              <w:bottom w:w="0" w:type="dxa"/>
              <w:right w:w="15" w:type="dxa"/>
            </w:tcMar>
            <w:vAlign w:val="center"/>
            <w:hideMark/>
          </w:tcPr>
          <w:p w:rsidR="00743CC7" w:rsidRPr="005B0F51" w:rsidRDefault="001248F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15.20</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1248F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8.50</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1248F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5.45</w:t>
            </w: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1248F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-1.35</w:t>
            </w: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1248F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5.08</w:t>
            </w: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1248F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TRUE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1248F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TRUE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1248F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1248F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TRUE</w:t>
            </w: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44</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2.68</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6.83</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3.99</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6.20</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8.55</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-5.87</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45</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2.10</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9.24</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19.36</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18.28</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-7.14</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46</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3.13</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1.05</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16.04</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2.08</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TRUE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47</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26.06</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22.97</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3.09</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TRUE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48</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-3.72</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3.40</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-7.12</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49</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2.14</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1.05</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16.04</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1.09</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TRUE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50</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8.43</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21.17</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15.76</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16.89</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23.14</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18.19</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-8.46</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-1.98</w:t>
            </w: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-2.43</w:t>
            </w: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51</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13.08</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17.98</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9.63</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18.23</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18.47</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3.45</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-0.25</w:t>
            </w: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TRUE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52</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6.43</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5.15</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7.17</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-1.43</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-0.64</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-0.38</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7.86</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5.79</w:t>
            </w: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7.55</w:t>
            </w: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TRUE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TRUE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TRUE</w:t>
            </w: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53</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13.86</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19.24</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10.75</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17.32</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3.12</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1.92</w:t>
            </w: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TRUE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TRUE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54</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13.18</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21.14</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9.92</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13.43</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7.85</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3.27</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7.72</w:t>
            </w: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TRUE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TRUE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r w:rsidR="00743CC7" w:rsidRPr="005B0F51" w:rsidTr="004F7551">
        <w:trPr>
          <w:cantSplit/>
          <w:trHeight w:val="351"/>
          <w:jc w:val="center"/>
        </w:trPr>
        <w:tc>
          <w:tcPr>
            <w:tcW w:w="278" w:type="pct"/>
            <w:shd w:val="clear" w:color="auto" w:fill="auto"/>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55</w:t>
            </w:r>
          </w:p>
        </w:tc>
        <w:tc>
          <w:tcPr>
            <w:tcW w:w="267"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5.98</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9" w:type="pct"/>
            <w:shd w:val="clear" w:color="000000" w:fill="CCC0DA"/>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6.39</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6"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328" w:type="pct"/>
            <w:shd w:val="clear" w:color="000000" w:fill="B7DEE8"/>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r w:rsidRPr="005B0F51">
              <w:rPr>
                <w:rFonts w:ascii="Verdana" w:hAnsi="Verdana"/>
                <w:sz w:val="20"/>
                <w:szCs w:val="20"/>
                <w:lang w:val="en-ZA"/>
              </w:rPr>
              <w:t>-0.41</w:t>
            </w:r>
          </w:p>
        </w:tc>
        <w:tc>
          <w:tcPr>
            <w:tcW w:w="262"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38"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213" w:type="pct"/>
            <w:shd w:val="clear" w:color="auto" w:fill="EAF1DD" w:themeFill="accent3"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center"/>
              <w:rPr>
                <w:rFonts w:ascii="Verdana" w:hAnsi="Verdana"/>
                <w:sz w:val="20"/>
                <w:szCs w:val="20"/>
                <w:lang w:val="en-ZA"/>
              </w:rPr>
            </w:pPr>
          </w:p>
        </w:tc>
        <w:tc>
          <w:tcPr>
            <w:tcW w:w="350"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r w:rsidRPr="005B0F51">
              <w:rPr>
                <w:rFonts w:ascii="Verdana" w:hAnsi="Verdana"/>
                <w:sz w:val="20"/>
                <w:szCs w:val="20"/>
                <w:lang w:val="en-ZA"/>
              </w:rPr>
              <w:t>FALSE</w:t>
            </w: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11"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c>
          <w:tcPr>
            <w:tcW w:w="395" w:type="pct"/>
            <w:shd w:val="clear" w:color="auto" w:fill="F2DBDB" w:themeFill="accent2" w:themeFillTint="33"/>
            <w:noWrap/>
            <w:tcMar>
              <w:top w:w="15" w:type="dxa"/>
              <w:left w:w="15" w:type="dxa"/>
              <w:bottom w:w="0" w:type="dxa"/>
              <w:right w:w="15" w:type="dxa"/>
            </w:tcMar>
            <w:vAlign w:val="center"/>
            <w:hideMark/>
          </w:tcPr>
          <w:p w:rsidR="00743CC7" w:rsidRPr="005B0F51" w:rsidRDefault="00743CC7" w:rsidP="005B0F51">
            <w:pPr>
              <w:spacing w:line="240" w:lineRule="auto"/>
              <w:contextualSpacing/>
              <w:jc w:val="left"/>
              <w:rPr>
                <w:rFonts w:ascii="Verdana" w:hAnsi="Verdana"/>
                <w:sz w:val="20"/>
                <w:szCs w:val="20"/>
                <w:lang w:val="en-ZA"/>
              </w:rPr>
            </w:pPr>
          </w:p>
        </w:tc>
      </w:tr>
    </w:tbl>
    <w:p w:rsidR="00535444" w:rsidRPr="008633D2" w:rsidRDefault="00535444" w:rsidP="00780CC2">
      <w:pPr>
        <w:rPr>
          <w:lang w:val="en-ZA"/>
        </w:rPr>
        <w:sectPr w:rsidR="00535444" w:rsidRPr="008633D2" w:rsidSect="00C95BB9">
          <w:endnotePr>
            <w:numFmt w:val="decimal"/>
          </w:endnotePr>
          <w:pgSz w:w="16840" w:h="11907" w:orient="landscape" w:code="9"/>
          <w:pgMar w:top="1298" w:right="1582" w:bottom="1871" w:left="1729" w:header="720" w:footer="720" w:gutter="0"/>
          <w:cols w:space="720"/>
          <w:docGrid w:linePitch="360"/>
        </w:sectPr>
      </w:pPr>
    </w:p>
    <w:p w:rsidR="00AE1DBB" w:rsidRDefault="00DC395A" w:rsidP="00780CC2">
      <w:pPr>
        <w:rPr>
          <w:lang w:val="en-ZA"/>
        </w:rPr>
      </w:pPr>
      <w:r w:rsidRPr="008633D2">
        <w:rPr>
          <w:lang w:val="en-ZA"/>
        </w:rPr>
        <w:t xml:space="preserve">Table </w:t>
      </w:r>
      <w:r w:rsidR="005F080A">
        <w:rPr>
          <w:lang w:val="en-ZA"/>
        </w:rPr>
        <w:t xml:space="preserve">11 below </w:t>
      </w:r>
      <w:r w:rsidR="00B711A8" w:rsidRPr="008633D2">
        <w:rPr>
          <w:lang w:val="en-ZA"/>
        </w:rPr>
        <w:t xml:space="preserve">provides a summary </w:t>
      </w:r>
      <w:r w:rsidRPr="008633D2">
        <w:rPr>
          <w:lang w:val="en-ZA"/>
        </w:rPr>
        <w:t>of the performance of the female man</w:t>
      </w:r>
      <w:r w:rsidR="00084A6F">
        <w:rPr>
          <w:lang w:val="en-ZA"/>
        </w:rPr>
        <w:t>a</w:t>
      </w:r>
      <w:r w:rsidRPr="008633D2">
        <w:rPr>
          <w:lang w:val="en-ZA"/>
        </w:rPr>
        <w:t xml:space="preserve">ged funds </w:t>
      </w:r>
      <w:r w:rsidR="00B711A8" w:rsidRPr="008633D2">
        <w:rPr>
          <w:lang w:val="en-ZA"/>
        </w:rPr>
        <w:t xml:space="preserve">in comparison to the corresponding </w:t>
      </w:r>
      <w:r w:rsidRPr="008633D2">
        <w:rPr>
          <w:lang w:val="en-ZA"/>
        </w:rPr>
        <w:t xml:space="preserve">male managed funds. </w:t>
      </w:r>
      <w:r w:rsidR="00AE1DBB" w:rsidRPr="008633D2">
        <w:rPr>
          <w:lang w:val="en-ZA"/>
        </w:rPr>
        <w:t xml:space="preserve">It shows the average annualised returns over the various terms for </w:t>
      </w:r>
      <w:r w:rsidR="00F33D79">
        <w:rPr>
          <w:lang w:val="en-ZA"/>
        </w:rPr>
        <w:t>the</w:t>
      </w:r>
      <w:r w:rsidR="00AE1DBB" w:rsidRPr="008633D2">
        <w:rPr>
          <w:lang w:val="en-ZA"/>
        </w:rPr>
        <w:t xml:space="preserve"> selected male a</w:t>
      </w:r>
      <w:r w:rsidR="005F080A">
        <w:rPr>
          <w:lang w:val="en-ZA"/>
        </w:rPr>
        <w:t>nd female funds shown in table 9</w:t>
      </w:r>
      <w:r w:rsidR="00AE1DBB" w:rsidRPr="008633D2">
        <w:rPr>
          <w:lang w:val="en-ZA"/>
        </w:rPr>
        <w:t xml:space="preserve">.  </w:t>
      </w:r>
    </w:p>
    <w:p w:rsidR="005F080A" w:rsidRPr="008633D2" w:rsidRDefault="005F080A" w:rsidP="00780CC2">
      <w:pPr>
        <w:rPr>
          <w:lang w:val="en-ZA"/>
        </w:rPr>
      </w:pPr>
    </w:p>
    <w:p w:rsidR="00DC395A" w:rsidRPr="008633D2" w:rsidRDefault="00AE1DBB" w:rsidP="00780CC2">
      <w:pPr>
        <w:rPr>
          <w:lang w:val="en-ZA"/>
        </w:rPr>
      </w:pPr>
      <w:r w:rsidRPr="008633D2">
        <w:rPr>
          <w:lang w:val="en-ZA"/>
        </w:rPr>
        <w:t xml:space="preserve">The average of the differences between each of the pairs of funds and the sum of these differences provide a quantifiable underperformance or outperformance of the female managed funds when compared to the performance of the male managed funds.  </w:t>
      </w:r>
    </w:p>
    <w:p w:rsidR="005F080A" w:rsidRDefault="005F080A" w:rsidP="00780CC2">
      <w:pPr>
        <w:rPr>
          <w:lang w:val="en-ZA"/>
        </w:rPr>
      </w:pPr>
    </w:p>
    <w:p w:rsidR="00AE1DBB" w:rsidRPr="008633D2" w:rsidRDefault="00AE1DBB" w:rsidP="00780CC2">
      <w:pPr>
        <w:rPr>
          <w:lang w:val="en-ZA"/>
        </w:rPr>
      </w:pPr>
      <w:r w:rsidRPr="008633D2">
        <w:rPr>
          <w:lang w:val="en-ZA"/>
        </w:rPr>
        <w:t>The percentage of female outperformances provides insight into the number of female managed funds that outperform their corresponding identified male managed fund. This result also shows how this number changes from the short term to the long term.</w:t>
      </w:r>
    </w:p>
    <w:p w:rsidR="00E31686" w:rsidRPr="008633D2" w:rsidRDefault="00E31686" w:rsidP="00956FB3">
      <w:pPr>
        <w:pStyle w:val="Caption"/>
        <w:keepNext/>
        <w:jc w:val="center"/>
        <w:rPr>
          <w:rFonts w:ascii="Times New Roman" w:hAnsi="Times New Roman"/>
          <w:sz w:val="20"/>
          <w:szCs w:val="20"/>
          <w:lang w:val="en-ZA" w:eastAsia="en-ZA"/>
        </w:rPr>
      </w:pPr>
      <w:r w:rsidRPr="008633D2">
        <w:rPr>
          <w:lang w:val="en-ZA"/>
        </w:rPr>
        <w:fldChar w:fldCharType="begin"/>
      </w:r>
      <w:r w:rsidRPr="008633D2">
        <w:rPr>
          <w:lang w:val="en-ZA"/>
        </w:rPr>
        <w:instrText xml:space="preserve"> LINK </w:instrText>
      </w:r>
      <w:r w:rsidR="005F2182">
        <w:rPr>
          <w:lang w:val="en-ZA"/>
        </w:rPr>
        <w:instrText xml:space="preserve">Excel.Sheet.12 C:\\Users\\archaryn\\Documents\\MBA\\Research\\Data_v2.xlsx "Summary of results!R306C2:R311C6" </w:instrText>
      </w:r>
      <w:r w:rsidRPr="008633D2">
        <w:rPr>
          <w:lang w:val="en-ZA"/>
        </w:rPr>
        <w:instrText xml:space="preserve">\a \f 4 \h </w:instrText>
      </w:r>
      <w:r w:rsidR="00A703B3" w:rsidRPr="008633D2">
        <w:rPr>
          <w:lang w:val="en-ZA"/>
        </w:rPr>
        <w:instrText xml:space="preserve"> \* MERGEFORMAT </w:instrText>
      </w:r>
      <w:r w:rsidRPr="008633D2">
        <w:rPr>
          <w:lang w:val="en-ZA"/>
        </w:rPr>
        <w:fldChar w:fldCharType="separate"/>
      </w:r>
    </w:p>
    <w:p w:rsidR="003D316E" w:rsidRPr="008633D2" w:rsidRDefault="003D316E" w:rsidP="003D316E">
      <w:pPr>
        <w:pStyle w:val="Caption"/>
        <w:keepNext/>
        <w:jc w:val="center"/>
        <w:rPr>
          <w:lang w:val="en-ZA"/>
        </w:rPr>
      </w:pPr>
      <w:bookmarkStart w:id="236" w:name="_Toc458610856"/>
      <w:r w:rsidRPr="008633D2">
        <w:rPr>
          <w:lang w:val="en-ZA"/>
        </w:rPr>
        <w:t xml:space="preserve">Table </w:t>
      </w:r>
      <w:r w:rsidRPr="008633D2">
        <w:rPr>
          <w:lang w:val="en-ZA"/>
        </w:rPr>
        <w:fldChar w:fldCharType="begin"/>
      </w:r>
      <w:r w:rsidRPr="008633D2">
        <w:rPr>
          <w:lang w:val="en-ZA"/>
        </w:rPr>
        <w:instrText xml:space="preserve"> SEQ Table \* ARABIC </w:instrText>
      </w:r>
      <w:r w:rsidRPr="008633D2">
        <w:rPr>
          <w:lang w:val="en-ZA"/>
        </w:rPr>
        <w:fldChar w:fldCharType="separate"/>
      </w:r>
      <w:r w:rsidR="00C456D9">
        <w:rPr>
          <w:noProof/>
          <w:lang w:val="en-ZA"/>
        </w:rPr>
        <w:t>11</w:t>
      </w:r>
      <w:r w:rsidRPr="008633D2">
        <w:rPr>
          <w:lang w:val="en-ZA"/>
        </w:rPr>
        <w:fldChar w:fldCharType="end"/>
      </w:r>
      <w:r w:rsidRPr="008633D2">
        <w:rPr>
          <w:lang w:val="en-ZA"/>
        </w:rPr>
        <w:t>: Analysis of the performance of female managed funds compared to selected male managed funds</w:t>
      </w:r>
      <w:bookmarkEnd w:id="236"/>
    </w:p>
    <w:tbl>
      <w:tblPr>
        <w:tblW w:w="5000" w:type="pct"/>
        <w:jc w:val="center"/>
        <w:tblLook w:val="04A0" w:firstRow="1" w:lastRow="0" w:firstColumn="1" w:lastColumn="0" w:noHBand="0" w:noVBand="1"/>
      </w:tblPr>
      <w:tblGrid>
        <w:gridCol w:w="4329"/>
        <w:gridCol w:w="1223"/>
        <w:gridCol w:w="1135"/>
        <w:gridCol w:w="1135"/>
        <w:gridCol w:w="1132"/>
      </w:tblGrid>
      <w:tr w:rsidR="00E31686" w:rsidRPr="008633D2" w:rsidTr="004405DA">
        <w:trPr>
          <w:trHeight w:val="340"/>
          <w:jc w:val="center"/>
        </w:trPr>
        <w:tc>
          <w:tcPr>
            <w:tcW w:w="2417" w:type="pct"/>
            <w:tcBorders>
              <w:top w:val="single" w:sz="4" w:space="0" w:color="auto"/>
              <w:left w:val="single" w:sz="4" w:space="0" w:color="auto"/>
              <w:bottom w:val="single" w:sz="4" w:space="0" w:color="auto"/>
              <w:right w:val="single" w:sz="4" w:space="0" w:color="auto"/>
            </w:tcBorders>
            <w:shd w:val="clear" w:color="000000" w:fill="366092"/>
            <w:vAlign w:val="center"/>
            <w:hideMark/>
          </w:tcPr>
          <w:p w:rsidR="00E31686" w:rsidRPr="008633D2" w:rsidRDefault="00E31686" w:rsidP="004405DA">
            <w:pPr>
              <w:spacing w:line="480" w:lineRule="auto"/>
              <w:contextualSpacing/>
              <w:jc w:val="center"/>
              <w:rPr>
                <w:rFonts w:cs="Arial"/>
                <w:b/>
                <w:bCs/>
                <w:color w:val="FFFFFF"/>
                <w:sz w:val="22"/>
                <w:szCs w:val="22"/>
                <w:lang w:val="en-ZA" w:eastAsia="en-ZA"/>
              </w:rPr>
            </w:pPr>
            <w:r w:rsidRPr="008633D2">
              <w:rPr>
                <w:rFonts w:cs="Arial"/>
                <w:b/>
                <w:bCs/>
                <w:color w:val="FFFFFF"/>
                <w:sz w:val="22"/>
                <w:szCs w:val="22"/>
                <w:lang w:val="en-ZA" w:eastAsia="en-ZA"/>
              </w:rPr>
              <w:t>Description</w:t>
            </w:r>
          </w:p>
        </w:tc>
        <w:tc>
          <w:tcPr>
            <w:tcW w:w="683" w:type="pct"/>
            <w:tcBorders>
              <w:top w:val="single" w:sz="4" w:space="0" w:color="auto"/>
              <w:left w:val="nil"/>
              <w:bottom w:val="single" w:sz="4" w:space="0" w:color="auto"/>
              <w:right w:val="single" w:sz="4" w:space="0" w:color="auto"/>
            </w:tcBorders>
            <w:shd w:val="clear" w:color="000000" w:fill="366092"/>
            <w:vAlign w:val="center"/>
            <w:hideMark/>
          </w:tcPr>
          <w:p w:rsidR="00E31686" w:rsidRPr="008633D2" w:rsidRDefault="00E31686" w:rsidP="004405DA">
            <w:pPr>
              <w:spacing w:before="0" w:after="0" w:line="240" w:lineRule="auto"/>
              <w:contextualSpacing/>
              <w:jc w:val="center"/>
              <w:rPr>
                <w:rFonts w:cs="Arial"/>
                <w:b/>
                <w:bCs/>
                <w:color w:val="FFFFFF"/>
                <w:sz w:val="22"/>
                <w:szCs w:val="22"/>
                <w:lang w:val="en-ZA" w:eastAsia="en-ZA"/>
              </w:rPr>
            </w:pPr>
            <w:r w:rsidRPr="008633D2">
              <w:rPr>
                <w:rFonts w:cs="Arial"/>
                <w:b/>
                <w:bCs/>
                <w:color w:val="FFFFFF"/>
                <w:sz w:val="22"/>
                <w:szCs w:val="22"/>
                <w:lang w:val="en-ZA" w:eastAsia="en-ZA"/>
              </w:rPr>
              <w:t>1</w:t>
            </w:r>
            <w:r w:rsidR="004405DA">
              <w:rPr>
                <w:rFonts w:cs="Arial"/>
                <w:b/>
                <w:bCs/>
                <w:color w:val="FFFFFF"/>
                <w:sz w:val="22"/>
                <w:szCs w:val="22"/>
                <w:lang w:val="en-ZA" w:eastAsia="en-ZA"/>
              </w:rPr>
              <w:t xml:space="preserve"> </w:t>
            </w:r>
            <w:r w:rsidRPr="008633D2">
              <w:rPr>
                <w:rFonts w:cs="Arial"/>
                <w:b/>
                <w:bCs/>
                <w:color w:val="FFFFFF"/>
                <w:sz w:val="22"/>
                <w:szCs w:val="22"/>
                <w:lang w:val="en-ZA" w:eastAsia="en-ZA"/>
              </w:rPr>
              <w:t>y</w:t>
            </w:r>
            <w:r w:rsidR="004405DA">
              <w:rPr>
                <w:rFonts w:cs="Arial"/>
                <w:b/>
                <w:bCs/>
                <w:color w:val="FFFFFF"/>
                <w:sz w:val="22"/>
                <w:szCs w:val="22"/>
                <w:lang w:val="en-ZA" w:eastAsia="en-ZA"/>
              </w:rPr>
              <w:t>ear</w:t>
            </w:r>
          </w:p>
        </w:tc>
        <w:tc>
          <w:tcPr>
            <w:tcW w:w="634" w:type="pct"/>
            <w:tcBorders>
              <w:top w:val="single" w:sz="4" w:space="0" w:color="auto"/>
              <w:left w:val="nil"/>
              <w:bottom w:val="single" w:sz="4" w:space="0" w:color="auto"/>
              <w:right w:val="single" w:sz="4" w:space="0" w:color="auto"/>
            </w:tcBorders>
            <w:shd w:val="clear" w:color="000000" w:fill="366092"/>
            <w:vAlign w:val="center"/>
            <w:hideMark/>
          </w:tcPr>
          <w:p w:rsidR="00E31686" w:rsidRPr="008633D2" w:rsidRDefault="00E31686" w:rsidP="004405DA">
            <w:pPr>
              <w:spacing w:before="0" w:after="0" w:line="240" w:lineRule="auto"/>
              <w:contextualSpacing/>
              <w:jc w:val="center"/>
              <w:rPr>
                <w:rFonts w:cs="Arial"/>
                <w:b/>
                <w:bCs/>
                <w:color w:val="FFFFFF"/>
                <w:sz w:val="22"/>
                <w:szCs w:val="22"/>
                <w:lang w:val="en-ZA" w:eastAsia="en-ZA"/>
              </w:rPr>
            </w:pPr>
            <w:r w:rsidRPr="008633D2">
              <w:rPr>
                <w:rFonts w:cs="Arial"/>
                <w:b/>
                <w:bCs/>
                <w:color w:val="FFFFFF"/>
                <w:sz w:val="22"/>
                <w:szCs w:val="22"/>
                <w:lang w:val="en-ZA" w:eastAsia="en-ZA"/>
              </w:rPr>
              <w:t>3</w:t>
            </w:r>
            <w:r w:rsidR="004405DA">
              <w:rPr>
                <w:rFonts w:cs="Arial"/>
                <w:b/>
                <w:bCs/>
                <w:color w:val="FFFFFF"/>
                <w:sz w:val="22"/>
                <w:szCs w:val="22"/>
                <w:lang w:val="en-ZA" w:eastAsia="en-ZA"/>
              </w:rPr>
              <w:t xml:space="preserve"> </w:t>
            </w:r>
            <w:r w:rsidRPr="008633D2">
              <w:rPr>
                <w:rFonts w:cs="Arial"/>
                <w:b/>
                <w:bCs/>
                <w:color w:val="FFFFFF"/>
                <w:sz w:val="22"/>
                <w:szCs w:val="22"/>
                <w:lang w:val="en-ZA" w:eastAsia="en-ZA"/>
              </w:rPr>
              <w:t>y</w:t>
            </w:r>
            <w:r w:rsidR="004405DA">
              <w:rPr>
                <w:rFonts w:cs="Arial"/>
                <w:b/>
                <w:bCs/>
                <w:color w:val="FFFFFF"/>
                <w:sz w:val="22"/>
                <w:szCs w:val="22"/>
                <w:lang w:val="en-ZA" w:eastAsia="en-ZA"/>
              </w:rPr>
              <w:t>ea</w:t>
            </w:r>
            <w:r w:rsidRPr="008633D2">
              <w:rPr>
                <w:rFonts w:cs="Arial"/>
                <w:b/>
                <w:bCs/>
                <w:color w:val="FFFFFF"/>
                <w:sz w:val="22"/>
                <w:szCs w:val="22"/>
                <w:lang w:val="en-ZA" w:eastAsia="en-ZA"/>
              </w:rPr>
              <w:t xml:space="preserve">r </w:t>
            </w:r>
          </w:p>
        </w:tc>
        <w:tc>
          <w:tcPr>
            <w:tcW w:w="634" w:type="pct"/>
            <w:tcBorders>
              <w:top w:val="single" w:sz="4" w:space="0" w:color="auto"/>
              <w:left w:val="nil"/>
              <w:bottom w:val="single" w:sz="4" w:space="0" w:color="auto"/>
              <w:right w:val="single" w:sz="4" w:space="0" w:color="auto"/>
            </w:tcBorders>
            <w:shd w:val="clear" w:color="000000" w:fill="366092"/>
            <w:vAlign w:val="center"/>
            <w:hideMark/>
          </w:tcPr>
          <w:p w:rsidR="00E31686" w:rsidRPr="008633D2" w:rsidRDefault="00E31686" w:rsidP="004405DA">
            <w:pPr>
              <w:spacing w:before="0" w:after="0" w:line="240" w:lineRule="auto"/>
              <w:contextualSpacing/>
              <w:jc w:val="center"/>
              <w:rPr>
                <w:rFonts w:cs="Arial"/>
                <w:b/>
                <w:bCs/>
                <w:color w:val="FFFFFF"/>
                <w:sz w:val="22"/>
                <w:szCs w:val="22"/>
                <w:lang w:val="en-ZA" w:eastAsia="en-ZA"/>
              </w:rPr>
            </w:pPr>
            <w:r w:rsidRPr="008633D2">
              <w:rPr>
                <w:rFonts w:cs="Arial"/>
                <w:b/>
                <w:bCs/>
                <w:color w:val="FFFFFF"/>
                <w:sz w:val="22"/>
                <w:szCs w:val="22"/>
                <w:lang w:val="en-ZA" w:eastAsia="en-ZA"/>
              </w:rPr>
              <w:t>5</w:t>
            </w:r>
            <w:r w:rsidR="004405DA">
              <w:rPr>
                <w:rFonts w:cs="Arial"/>
                <w:b/>
                <w:bCs/>
                <w:color w:val="FFFFFF"/>
                <w:sz w:val="22"/>
                <w:szCs w:val="22"/>
                <w:lang w:val="en-ZA" w:eastAsia="en-ZA"/>
              </w:rPr>
              <w:t xml:space="preserve"> </w:t>
            </w:r>
            <w:r w:rsidRPr="008633D2">
              <w:rPr>
                <w:rFonts w:cs="Arial"/>
                <w:b/>
                <w:bCs/>
                <w:color w:val="FFFFFF"/>
                <w:sz w:val="22"/>
                <w:szCs w:val="22"/>
                <w:lang w:val="en-ZA" w:eastAsia="en-ZA"/>
              </w:rPr>
              <w:t>y</w:t>
            </w:r>
            <w:r w:rsidR="004405DA">
              <w:rPr>
                <w:rFonts w:cs="Arial"/>
                <w:b/>
                <w:bCs/>
                <w:color w:val="FFFFFF"/>
                <w:sz w:val="22"/>
                <w:szCs w:val="22"/>
                <w:lang w:val="en-ZA" w:eastAsia="en-ZA"/>
              </w:rPr>
              <w:t>ea</w:t>
            </w:r>
            <w:r w:rsidRPr="008633D2">
              <w:rPr>
                <w:rFonts w:cs="Arial"/>
                <w:b/>
                <w:bCs/>
                <w:color w:val="FFFFFF"/>
                <w:sz w:val="22"/>
                <w:szCs w:val="22"/>
                <w:lang w:val="en-ZA" w:eastAsia="en-ZA"/>
              </w:rPr>
              <w:t>r</w:t>
            </w:r>
          </w:p>
        </w:tc>
        <w:tc>
          <w:tcPr>
            <w:tcW w:w="632" w:type="pct"/>
            <w:tcBorders>
              <w:top w:val="single" w:sz="4" w:space="0" w:color="auto"/>
              <w:left w:val="nil"/>
              <w:bottom w:val="single" w:sz="4" w:space="0" w:color="auto"/>
              <w:right w:val="single" w:sz="4" w:space="0" w:color="auto"/>
            </w:tcBorders>
            <w:shd w:val="clear" w:color="000000" w:fill="366092"/>
            <w:vAlign w:val="center"/>
            <w:hideMark/>
          </w:tcPr>
          <w:p w:rsidR="00E31686" w:rsidRPr="008633D2" w:rsidRDefault="00E31686" w:rsidP="004405DA">
            <w:pPr>
              <w:spacing w:before="0" w:after="0" w:line="240" w:lineRule="auto"/>
              <w:contextualSpacing/>
              <w:jc w:val="center"/>
              <w:rPr>
                <w:rFonts w:cs="Arial"/>
                <w:b/>
                <w:bCs/>
                <w:color w:val="FFFFFF"/>
                <w:sz w:val="22"/>
                <w:szCs w:val="22"/>
                <w:lang w:val="en-ZA" w:eastAsia="en-ZA"/>
              </w:rPr>
            </w:pPr>
            <w:r w:rsidRPr="008633D2">
              <w:rPr>
                <w:rFonts w:cs="Arial"/>
                <w:b/>
                <w:bCs/>
                <w:color w:val="FFFFFF"/>
                <w:sz w:val="22"/>
                <w:szCs w:val="22"/>
                <w:lang w:val="en-ZA" w:eastAsia="en-ZA"/>
              </w:rPr>
              <w:t>10</w:t>
            </w:r>
            <w:r w:rsidR="004405DA">
              <w:rPr>
                <w:rFonts w:cs="Arial"/>
                <w:b/>
                <w:bCs/>
                <w:color w:val="FFFFFF"/>
                <w:sz w:val="22"/>
                <w:szCs w:val="22"/>
                <w:lang w:val="en-ZA" w:eastAsia="en-ZA"/>
              </w:rPr>
              <w:t xml:space="preserve"> </w:t>
            </w:r>
            <w:r w:rsidRPr="008633D2">
              <w:rPr>
                <w:rFonts w:cs="Arial"/>
                <w:b/>
                <w:bCs/>
                <w:color w:val="FFFFFF"/>
                <w:sz w:val="22"/>
                <w:szCs w:val="22"/>
                <w:lang w:val="en-ZA" w:eastAsia="en-ZA"/>
              </w:rPr>
              <w:t>y</w:t>
            </w:r>
            <w:r w:rsidR="004405DA">
              <w:rPr>
                <w:rFonts w:cs="Arial"/>
                <w:b/>
                <w:bCs/>
                <w:color w:val="FFFFFF"/>
                <w:sz w:val="22"/>
                <w:szCs w:val="22"/>
                <w:lang w:val="en-ZA" w:eastAsia="en-ZA"/>
              </w:rPr>
              <w:t>ea</w:t>
            </w:r>
            <w:r w:rsidRPr="008633D2">
              <w:rPr>
                <w:rFonts w:cs="Arial"/>
                <w:b/>
                <w:bCs/>
                <w:color w:val="FFFFFF"/>
                <w:sz w:val="22"/>
                <w:szCs w:val="22"/>
                <w:lang w:val="en-ZA" w:eastAsia="en-ZA"/>
              </w:rPr>
              <w:t>r</w:t>
            </w:r>
          </w:p>
        </w:tc>
      </w:tr>
      <w:tr w:rsidR="001248F7" w:rsidRPr="008633D2" w:rsidTr="004405DA">
        <w:trPr>
          <w:trHeight w:val="300"/>
          <w:jc w:val="center"/>
        </w:trPr>
        <w:tc>
          <w:tcPr>
            <w:tcW w:w="2417" w:type="pct"/>
            <w:tcBorders>
              <w:top w:val="nil"/>
              <w:left w:val="single" w:sz="4" w:space="0" w:color="auto"/>
              <w:bottom w:val="single" w:sz="4" w:space="0" w:color="auto"/>
              <w:right w:val="single" w:sz="4" w:space="0" w:color="auto"/>
            </w:tcBorders>
            <w:shd w:val="clear" w:color="auto" w:fill="auto"/>
            <w:noWrap/>
            <w:vAlign w:val="center"/>
            <w:hideMark/>
          </w:tcPr>
          <w:p w:rsidR="001248F7" w:rsidRPr="008633D2" w:rsidRDefault="001248F7" w:rsidP="00E31686">
            <w:pPr>
              <w:spacing w:before="0" w:after="0" w:line="240" w:lineRule="auto"/>
              <w:jc w:val="left"/>
              <w:rPr>
                <w:rFonts w:cs="Arial"/>
                <w:color w:val="000000"/>
                <w:sz w:val="22"/>
                <w:szCs w:val="22"/>
                <w:lang w:val="en-ZA" w:eastAsia="en-ZA"/>
              </w:rPr>
            </w:pPr>
            <w:r w:rsidRPr="008633D2">
              <w:rPr>
                <w:rFonts w:cs="Arial"/>
                <w:color w:val="000000"/>
                <w:sz w:val="22"/>
                <w:szCs w:val="22"/>
                <w:lang w:val="en-ZA" w:eastAsia="en-ZA"/>
              </w:rPr>
              <w:t>Average male annualised returns</w:t>
            </w:r>
          </w:p>
        </w:tc>
        <w:tc>
          <w:tcPr>
            <w:tcW w:w="683" w:type="pct"/>
            <w:tcBorders>
              <w:top w:val="nil"/>
              <w:left w:val="nil"/>
              <w:bottom w:val="single" w:sz="4" w:space="0" w:color="auto"/>
              <w:right w:val="single" w:sz="4" w:space="0" w:color="auto"/>
            </w:tcBorders>
            <w:shd w:val="clear" w:color="auto" w:fill="auto"/>
            <w:noWrap/>
            <w:vAlign w:val="bottom"/>
            <w:hideMark/>
          </w:tcPr>
          <w:p w:rsidR="001248F7" w:rsidRPr="008633D2" w:rsidRDefault="001248F7" w:rsidP="001248F7">
            <w:pPr>
              <w:spacing w:line="240" w:lineRule="auto"/>
              <w:contextualSpacing/>
              <w:jc w:val="right"/>
              <w:rPr>
                <w:rFonts w:ascii="Calibri" w:hAnsi="Calibri" w:cs="Calibri"/>
                <w:color w:val="000000"/>
                <w:sz w:val="22"/>
                <w:szCs w:val="22"/>
                <w:lang w:val="en-ZA"/>
              </w:rPr>
            </w:pPr>
            <w:r w:rsidRPr="008633D2">
              <w:rPr>
                <w:rFonts w:ascii="Calibri" w:hAnsi="Calibri" w:cs="Calibri"/>
                <w:color w:val="000000"/>
                <w:sz w:val="22"/>
                <w:szCs w:val="22"/>
                <w:lang w:val="en-ZA"/>
              </w:rPr>
              <w:t>7.74%</w:t>
            </w:r>
          </w:p>
        </w:tc>
        <w:tc>
          <w:tcPr>
            <w:tcW w:w="634" w:type="pct"/>
            <w:tcBorders>
              <w:top w:val="nil"/>
              <w:left w:val="nil"/>
              <w:bottom w:val="single" w:sz="4" w:space="0" w:color="auto"/>
              <w:right w:val="single" w:sz="4" w:space="0" w:color="auto"/>
            </w:tcBorders>
            <w:shd w:val="clear" w:color="auto" w:fill="auto"/>
            <w:noWrap/>
            <w:vAlign w:val="bottom"/>
            <w:hideMark/>
          </w:tcPr>
          <w:p w:rsidR="001248F7" w:rsidRPr="008633D2" w:rsidRDefault="001248F7" w:rsidP="001248F7">
            <w:pPr>
              <w:spacing w:line="240" w:lineRule="auto"/>
              <w:contextualSpacing/>
              <w:jc w:val="right"/>
              <w:rPr>
                <w:rFonts w:ascii="Calibri" w:hAnsi="Calibri" w:cs="Calibri"/>
                <w:color w:val="000000"/>
                <w:sz w:val="22"/>
                <w:szCs w:val="22"/>
                <w:lang w:val="en-ZA"/>
              </w:rPr>
            </w:pPr>
            <w:r w:rsidRPr="008633D2">
              <w:rPr>
                <w:rFonts w:ascii="Calibri" w:hAnsi="Calibri" w:cs="Calibri"/>
                <w:color w:val="000000"/>
                <w:sz w:val="22"/>
                <w:szCs w:val="22"/>
                <w:lang w:val="en-ZA"/>
              </w:rPr>
              <w:t>13.93%</w:t>
            </w:r>
          </w:p>
        </w:tc>
        <w:tc>
          <w:tcPr>
            <w:tcW w:w="634" w:type="pct"/>
            <w:tcBorders>
              <w:top w:val="nil"/>
              <w:left w:val="nil"/>
              <w:bottom w:val="single" w:sz="4" w:space="0" w:color="auto"/>
              <w:right w:val="single" w:sz="4" w:space="0" w:color="auto"/>
            </w:tcBorders>
            <w:shd w:val="clear" w:color="auto" w:fill="auto"/>
            <w:noWrap/>
            <w:vAlign w:val="bottom"/>
            <w:hideMark/>
          </w:tcPr>
          <w:p w:rsidR="001248F7" w:rsidRPr="008633D2" w:rsidRDefault="001248F7" w:rsidP="001248F7">
            <w:pPr>
              <w:spacing w:line="240" w:lineRule="auto"/>
              <w:contextualSpacing/>
              <w:jc w:val="right"/>
              <w:rPr>
                <w:rFonts w:ascii="Calibri" w:hAnsi="Calibri" w:cs="Calibri"/>
                <w:color w:val="000000"/>
                <w:sz w:val="22"/>
                <w:szCs w:val="22"/>
                <w:lang w:val="en-ZA"/>
              </w:rPr>
            </w:pPr>
            <w:r w:rsidRPr="008633D2">
              <w:rPr>
                <w:rFonts w:ascii="Calibri" w:hAnsi="Calibri" w:cs="Calibri"/>
                <w:color w:val="000000"/>
                <w:sz w:val="22"/>
                <w:szCs w:val="22"/>
                <w:lang w:val="en-ZA"/>
              </w:rPr>
              <w:t>11.49%</w:t>
            </w:r>
          </w:p>
        </w:tc>
        <w:tc>
          <w:tcPr>
            <w:tcW w:w="632" w:type="pct"/>
            <w:tcBorders>
              <w:top w:val="nil"/>
              <w:left w:val="nil"/>
              <w:bottom w:val="single" w:sz="4" w:space="0" w:color="auto"/>
              <w:right w:val="single" w:sz="4" w:space="0" w:color="auto"/>
            </w:tcBorders>
            <w:shd w:val="clear" w:color="auto" w:fill="auto"/>
            <w:noWrap/>
            <w:vAlign w:val="bottom"/>
            <w:hideMark/>
          </w:tcPr>
          <w:p w:rsidR="001248F7" w:rsidRPr="008633D2" w:rsidRDefault="001248F7" w:rsidP="001248F7">
            <w:pPr>
              <w:spacing w:line="240" w:lineRule="auto"/>
              <w:contextualSpacing/>
              <w:jc w:val="right"/>
              <w:rPr>
                <w:rFonts w:ascii="Calibri" w:hAnsi="Calibri" w:cs="Calibri"/>
                <w:color w:val="000000"/>
                <w:sz w:val="22"/>
                <w:szCs w:val="22"/>
                <w:lang w:val="en-ZA"/>
              </w:rPr>
            </w:pPr>
            <w:r w:rsidRPr="008633D2">
              <w:rPr>
                <w:rFonts w:ascii="Calibri" w:hAnsi="Calibri" w:cs="Calibri"/>
                <w:color w:val="000000"/>
                <w:sz w:val="22"/>
                <w:szCs w:val="22"/>
                <w:lang w:val="en-ZA"/>
              </w:rPr>
              <w:t>10.68%</w:t>
            </w:r>
          </w:p>
        </w:tc>
      </w:tr>
      <w:tr w:rsidR="001248F7" w:rsidRPr="008633D2" w:rsidTr="004405DA">
        <w:trPr>
          <w:cantSplit/>
          <w:trHeight w:val="300"/>
          <w:jc w:val="center"/>
        </w:trPr>
        <w:tc>
          <w:tcPr>
            <w:tcW w:w="2417" w:type="pct"/>
            <w:tcBorders>
              <w:top w:val="nil"/>
              <w:left w:val="single" w:sz="4" w:space="0" w:color="auto"/>
              <w:bottom w:val="single" w:sz="4" w:space="0" w:color="auto"/>
              <w:right w:val="single" w:sz="4" w:space="0" w:color="auto"/>
            </w:tcBorders>
            <w:shd w:val="clear" w:color="auto" w:fill="auto"/>
            <w:noWrap/>
            <w:vAlign w:val="center"/>
            <w:hideMark/>
          </w:tcPr>
          <w:p w:rsidR="001248F7" w:rsidRPr="008633D2" w:rsidRDefault="001248F7" w:rsidP="00E31686">
            <w:pPr>
              <w:spacing w:before="0" w:after="0" w:line="240" w:lineRule="auto"/>
              <w:jc w:val="left"/>
              <w:rPr>
                <w:rFonts w:cs="Arial"/>
                <w:color w:val="000000"/>
                <w:sz w:val="22"/>
                <w:szCs w:val="22"/>
                <w:lang w:val="en-ZA" w:eastAsia="en-ZA"/>
              </w:rPr>
            </w:pPr>
            <w:r w:rsidRPr="008633D2">
              <w:rPr>
                <w:rFonts w:cs="Arial"/>
                <w:color w:val="000000"/>
                <w:sz w:val="22"/>
                <w:szCs w:val="22"/>
                <w:lang w:val="en-ZA" w:eastAsia="en-ZA"/>
              </w:rPr>
              <w:t>Average female annualised returns</w:t>
            </w:r>
          </w:p>
        </w:tc>
        <w:tc>
          <w:tcPr>
            <w:tcW w:w="683" w:type="pct"/>
            <w:tcBorders>
              <w:top w:val="nil"/>
              <w:left w:val="nil"/>
              <w:bottom w:val="single" w:sz="4" w:space="0" w:color="auto"/>
              <w:right w:val="single" w:sz="4" w:space="0" w:color="auto"/>
            </w:tcBorders>
            <w:shd w:val="clear" w:color="auto" w:fill="auto"/>
            <w:noWrap/>
            <w:vAlign w:val="bottom"/>
            <w:hideMark/>
          </w:tcPr>
          <w:p w:rsidR="001248F7" w:rsidRPr="008633D2" w:rsidRDefault="001248F7" w:rsidP="001248F7">
            <w:pPr>
              <w:spacing w:line="240" w:lineRule="auto"/>
              <w:contextualSpacing/>
              <w:jc w:val="right"/>
              <w:rPr>
                <w:rFonts w:ascii="Calibri" w:hAnsi="Calibri" w:cs="Calibri"/>
                <w:color w:val="000000"/>
                <w:sz w:val="22"/>
                <w:szCs w:val="22"/>
                <w:lang w:val="en-ZA"/>
              </w:rPr>
            </w:pPr>
            <w:r w:rsidRPr="008633D2">
              <w:rPr>
                <w:rFonts w:ascii="Calibri" w:hAnsi="Calibri" w:cs="Calibri"/>
                <w:color w:val="000000"/>
                <w:sz w:val="22"/>
                <w:szCs w:val="22"/>
                <w:lang w:val="en-ZA"/>
              </w:rPr>
              <w:t>6.77%</w:t>
            </w:r>
          </w:p>
        </w:tc>
        <w:tc>
          <w:tcPr>
            <w:tcW w:w="634" w:type="pct"/>
            <w:tcBorders>
              <w:top w:val="nil"/>
              <w:left w:val="nil"/>
              <w:bottom w:val="single" w:sz="4" w:space="0" w:color="auto"/>
              <w:right w:val="single" w:sz="4" w:space="0" w:color="auto"/>
            </w:tcBorders>
            <w:shd w:val="clear" w:color="auto" w:fill="auto"/>
            <w:noWrap/>
            <w:vAlign w:val="bottom"/>
            <w:hideMark/>
          </w:tcPr>
          <w:p w:rsidR="001248F7" w:rsidRPr="008633D2" w:rsidRDefault="001248F7" w:rsidP="001248F7">
            <w:pPr>
              <w:spacing w:line="240" w:lineRule="auto"/>
              <w:contextualSpacing/>
              <w:jc w:val="right"/>
              <w:rPr>
                <w:rFonts w:ascii="Calibri" w:hAnsi="Calibri" w:cs="Calibri"/>
                <w:color w:val="000000"/>
                <w:sz w:val="22"/>
                <w:szCs w:val="22"/>
                <w:lang w:val="en-ZA"/>
              </w:rPr>
            </w:pPr>
            <w:r w:rsidRPr="008633D2">
              <w:rPr>
                <w:rFonts w:ascii="Calibri" w:hAnsi="Calibri" w:cs="Calibri"/>
                <w:color w:val="000000"/>
                <w:sz w:val="22"/>
                <w:szCs w:val="22"/>
                <w:lang w:val="en-ZA"/>
              </w:rPr>
              <w:t>13.82%</w:t>
            </w:r>
          </w:p>
        </w:tc>
        <w:tc>
          <w:tcPr>
            <w:tcW w:w="634" w:type="pct"/>
            <w:tcBorders>
              <w:top w:val="nil"/>
              <w:left w:val="nil"/>
              <w:bottom w:val="single" w:sz="4" w:space="0" w:color="auto"/>
              <w:right w:val="single" w:sz="4" w:space="0" w:color="auto"/>
            </w:tcBorders>
            <w:shd w:val="clear" w:color="auto" w:fill="auto"/>
            <w:noWrap/>
            <w:vAlign w:val="bottom"/>
            <w:hideMark/>
          </w:tcPr>
          <w:p w:rsidR="001248F7" w:rsidRPr="008633D2" w:rsidRDefault="001248F7" w:rsidP="001248F7">
            <w:pPr>
              <w:spacing w:line="240" w:lineRule="auto"/>
              <w:contextualSpacing/>
              <w:jc w:val="right"/>
              <w:rPr>
                <w:rFonts w:ascii="Calibri" w:hAnsi="Calibri" w:cs="Calibri"/>
                <w:color w:val="000000"/>
                <w:sz w:val="22"/>
                <w:szCs w:val="22"/>
                <w:lang w:val="en-ZA"/>
              </w:rPr>
            </w:pPr>
            <w:r w:rsidRPr="008633D2">
              <w:rPr>
                <w:rFonts w:ascii="Calibri" w:hAnsi="Calibri" w:cs="Calibri"/>
                <w:color w:val="000000"/>
                <w:sz w:val="22"/>
                <w:szCs w:val="22"/>
                <w:lang w:val="en-ZA"/>
              </w:rPr>
              <w:t>10.81%</w:t>
            </w:r>
          </w:p>
        </w:tc>
        <w:tc>
          <w:tcPr>
            <w:tcW w:w="632" w:type="pct"/>
            <w:tcBorders>
              <w:top w:val="nil"/>
              <w:left w:val="nil"/>
              <w:bottom w:val="single" w:sz="4" w:space="0" w:color="auto"/>
              <w:right w:val="single" w:sz="4" w:space="0" w:color="auto"/>
            </w:tcBorders>
            <w:shd w:val="clear" w:color="auto" w:fill="auto"/>
            <w:noWrap/>
            <w:vAlign w:val="bottom"/>
            <w:hideMark/>
          </w:tcPr>
          <w:p w:rsidR="001248F7" w:rsidRPr="008633D2" w:rsidRDefault="001248F7" w:rsidP="001248F7">
            <w:pPr>
              <w:spacing w:line="240" w:lineRule="auto"/>
              <w:contextualSpacing/>
              <w:jc w:val="right"/>
              <w:rPr>
                <w:rFonts w:ascii="Calibri" w:hAnsi="Calibri" w:cs="Calibri"/>
                <w:color w:val="000000"/>
                <w:sz w:val="22"/>
                <w:szCs w:val="22"/>
                <w:lang w:val="en-ZA"/>
              </w:rPr>
            </w:pPr>
            <w:r w:rsidRPr="008633D2">
              <w:rPr>
                <w:rFonts w:ascii="Calibri" w:hAnsi="Calibri" w:cs="Calibri"/>
                <w:color w:val="000000"/>
                <w:sz w:val="22"/>
                <w:szCs w:val="22"/>
                <w:lang w:val="en-ZA"/>
              </w:rPr>
              <w:t>10.82%</w:t>
            </w:r>
          </w:p>
        </w:tc>
      </w:tr>
      <w:tr w:rsidR="001248F7" w:rsidRPr="008633D2" w:rsidTr="004405DA">
        <w:trPr>
          <w:cantSplit/>
          <w:trHeight w:val="300"/>
          <w:jc w:val="center"/>
        </w:trPr>
        <w:tc>
          <w:tcPr>
            <w:tcW w:w="2417" w:type="pct"/>
            <w:tcBorders>
              <w:top w:val="nil"/>
              <w:left w:val="single" w:sz="4" w:space="0" w:color="auto"/>
              <w:bottom w:val="single" w:sz="4" w:space="0" w:color="auto"/>
              <w:right w:val="single" w:sz="4" w:space="0" w:color="auto"/>
            </w:tcBorders>
            <w:shd w:val="clear" w:color="auto" w:fill="auto"/>
            <w:noWrap/>
            <w:vAlign w:val="center"/>
            <w:hideMark/>
          </w:tcPr>
          <w:p w:rsidR="001248F7" w:rsidRPr="008633D2" w:rsidRDefault="001248F7" w:rsidP="00E31686">
            <w:pPr>
              <w:spacing w:before="0" w:after="0" w:line="240" w:lineRule="auto"/>
              <w:jc w:val="left"/>
              <w:rPr>
                <w:rFonts w:cs="Arial"/>
                <w:color w:val="000000"/>
                <w:sz w:val="22"/>
                <w:szCs w:val="22"/>
                <w:lang w:val="en-ZA" w:eastAsia="en-ZA"/>
              </w:rPr>
            </w:pPr>
            <w:r w:rsidRPr="008633D2">
              <w:rPr>
                <w:rFonts w:cs="Arial"/>
                <w:color w:val="000000"/>
                <w:sz w:val="22"/>
                <w:szCs w:val="22"/>
                <w:lang w:val="en-ZA" w:eastAsia="en-ZA"/>
              </w:rPr>
              <w:t>Average of differences</w:t>
            </w:r>
          </w:p>
        </w:tc>
        <w:tc>
          <w:tcPr>
            <w:tcW w:w="683" w:type="pct"/>
            <w:tcBorders>
              <w:top w:val="nil"/>
              <w:left w:val="nil"/>
              <w:bottom w:val="single" w:sz="4" w:space="0" w:color="auto"/>
              <w:right w:val="single" w:sz="4" w:space="0" w:color="auto"/>
            </w:tcBorders>
            <w:shd w:val="clear" w:color="auto" w:fill="auto"/>
            <w:noWrap/>
            <w:vAlign w:val="bottom"/>
            <w:hideMark/>
          </w:tcPr>
          <w:p w:rsidR="001248F7" w:rsidRPr="008633D2" w:rsidRDefault="001248F7" w:rsidP="001248F7">
            <w:pPr>
              <w:spacing w:line="240" w:lineRule="auto"/>
              <w:contextualSpacing/>
              <w:jc w:val="right"/>
              <w:rPr>
                <w:rFonts w:ascii="Calibri" w:hAnsi="Calibri" w:cs="Calibri"/>
                <w:color w:val="000000"/>
                <w:sz w:val="22"/>
                <w:szCs w:val="22"/>
                <w:lang w:val="en-ZA"/>
              </w:rPr>
            </w:pPr>
            <w:r w:rsidRPr="008633D2">
              <w:rPr>
                <w:rFonts w:ascii="Calibri" w:hAnsi="Calibri" w:cs="Calibri"/>
                <w:color w:val="000000"/>
                <w:sz w:val="22"/>
                <w:szCs w:val="22"/>
                <w:lang w:val="en-ZA"/>
              </w:rPr>
              <w:t>-0.98%</w:t>
            </w:r>
          </w:p>
        </w:tc>
        <w:tc>
          <w:tcPr>
            <w:tcW w:w="634" w:type="pct"/>
            <w:tcBorders>
              <w:top w:val="nil"/>
              <w:left w:val="nil"/>
              <w:bottom w:val="single" w:sz="4" w:space="0" w:color="auto"/>
              <w:right w:val="single" w:sz="4" w:space="0" w:color="auto"/>
            </w:tcBorders>
            <w:shd w:val="clear" w:color="auto" w:fill="auto"/>
            <w:noWrap/>
            <w:vAlign w:val="bottom"/>
            <w:hideMark/>
          </w:tcPr>
          <w:p w:rsidR="001248F7" w:rsidRPr="008633D2" w:rsidRDefault="001248F7" w:rsidP="001248F7">
            <w:pPr>
              <w:spacing w:line="240" w:lineRule="auto"/>
              <w:contextualSpacing/>
              <w:jc w:val="right"/>
              <w:rPr>
                <w:rFonts w:ascii="Calibri" w:hAnsi="Calibri" w:cs="Calibri"/>
                <w:color w:val="000000"/>
                <w:sz w:val="22"/>
                <w:szCs w:val="22"/>
                <w:lang w:val="en-ZA"/>
              </w:rPr>
            </w:pPr>
            <w:r w:rsidRPr="008633D2">
              <w:rPr>
                <w:rFonts w:ascii="Calibri" w:hAnsi="Calibri" w:cs="Calibri"/>
                <w:color w:val="000000"/>
                <w:sz w:val="22"/>
                <w:szCs w:val="22"/>
                <w:lang w:val="en-ZA"/>
              </w:rPr>
              <w:t>-0.19%</w:t>
            </w:r>
          </w:p>
        </w:tc>
        <w:tc>
          <w:tcPr>
            <w:tcW w:w="634" w:type="pct"/>
            <w:tcBorders>
              <w:top w:val="nil"/>
              <w:left w:val="nil"/>
              <w:bottom w:val="single" w:sz="4" w:space="0" w:color="auto"/>
              <w:right w:val="single" w:sz="4" w:space="0" w:color="auto"/>
            </w:tcBorders>
            <w:shd w:val="clear" w:color="auto" w:fill="auto"/>
            <w:noWrap/>
            <w:vAlign w:val="bottom"/>
            <w:hideMark/>
          </w:tcPr>
          <w:p w:rsidR="001248F7" w:rsidRPr="008633D2" w:rsidRDefault="001248F7" w:rsidP="001248F7">
            <w:pPr>
              <w:spacing w:line="240" w:lineRule="auto"/>
              <w:contextualSpacing/>
              <w:jc w:val="right"/>
              <w:rPr>
                <w:rFonts w:ascii="Calibri" w:hAnsi="Calibri" w:cs="Calibri"/>
                <w:color w:val="000000"/>
                <w:sz w:val="22"/>
                <w:szCs w:val="22"/>
                <w:lang w:val="en-ZA"/>
              </w:rPr>
            </w:pPr>
            <w:r w:rsidRPr="008633D2">
              <w:rPr>
                <w:rFonts w:ascii="Calibri" w:hAnsi="Calibri" w:cs="Calibri"/>
                <w:color w:val="000000"/>
                <w:sz w:val="22"/>
                <w:szCs w:val="22"/>
                <w:lang w:val="en-ZA"/>
              </w:rPr>
              <w:t>-0.05%</w:t>
            </w:r>
          </w:p>
        </w:tc>
        <w:tc>
          <w:tcPr>
            <w:tcW w:w="632" w:type="pct"/>
            <w:tcBorders>
              <w:top w:val="nil"/>
              <w:left w:val="nil"/>
              <w:bottom w:val="single" w:sz="4" w:space="0" w:color="auto"/>
              <w:right w:val="single" w:sz="4" w:space="0" w:color="auto"/>
            </w:tcBorders>
            <w:shd w:val="clear" w:color="auto" w:fill="auto"/>
            <w:noWrap/>
            <w:vAlign w:val="bottom"/>
            <w:hideMark/>
          </w:tcPr>
          <w:p w:rsidR="001248F7" w:rsidRPr="008633D2" w:rsidRDefault="001248F7" w:rsidP="001248F7">
            <w:pPr>
              <w:spacing w:line="240" w:lineRule="auto"/>
              <w:contextualSpacing/>
              <w:jc w:val="right"/>
              <w:rPr>
                <w:rFonts w:ascii="Calibri" w:hAnsi="Calibri" w:cs="Calibri"/>
                <w:color w:val="000000"/>
                <w:sz w:val="22"/>
                <w:szCs w:val="22"/>
                <w:lang w:val="en-ZA"/>
              </w:rPr>
            </w:pPr>
            <w:r w:rsidRPr="008633D2">
              <w:rPr>
                <w:rFonts w:ascii="Calibri" w:hAnsi="Calibri" w:cs="Calibri"/>
                <w:color w:val="000000"/>
                <w:sz w:val="22"/>
                <w:szCs w:val="22"/>
                <w:lang w:val="en-ZA"/>
              </w:rPr>
              <w:t>1.51%</w:t>
            </w:r>
          </w:p>
        </w:tc>
      </w:tr>
      <w:tr w:rsidR="001248F7" w:rsidRPr="008633D2" w:rsidTr="004405DA">
        <w:trPr>
          <w:cantSplit/>
          <w:trHeight w:val="300"/>
          <w:jc w:val="center"/>
        </w:trPr>
        <w:tc>
          <w:tcPr>
            <w:tcW w:w="2417" w:type="pct"/>
            <w:tcBorders>
              <w:top w:val="nil"/>
              <w:left w:val="single" w:sz="4" w:space="0" w:color="auto"/>
              <w:bottom w:val="single" w:sz="4" w:space="0" w:color="auto"/>
              <w:right w:val="single" w:sz="4" w:space="0" w:color="auto"/>
            </w:tcBorders>
            <w:shd w:val="clear" w:color="auto" w:fill="auto"/>
            <w:noWrap/>
            <w:vAlign w:val="center"/>
            <w:hideMark/>
          </w:tcPr>
          <w:p w:rsidR="001248F7" w:rsidRPr="008633D2" w:rsidRDefault="001248F7" w:rsidP="00E31686">
            <w:pPr>
              <w:spacing w:before="0" w:after="0" w:line="240" w:lineRule="auto"/>
              <w:jc w:val="left"/>
              <w:rPr>
                <w:rFonts w:cs="Arial"/>
                <w:color w:val="000000"/>
                <w:sz w:val="22"/>
                <w:szCs w:val="22"/>
                <w:lang w:val="en-ZA" w:eastAsia="en-ZA"/>
              </w:rPr>
            </w:pPr>
            <w:r w:rsidRPr="008633D2">
              <w:rPr>
                <w:rFonts w:cs="Arial"/>
                <w:color w:val="000000"/>
                <w:sz w:val="22"/>
                <w:szCs w:val="22"/>
                <w:lang w:val="en-ZA" w:eastAsia="en-ZA"/>
              </w:rPr>
              <w:t>Sum of differences</w:t>
            </w:r>
          </w:p>
        </w:tc>
        <w:tc>
          <w:tcPr>
            <w:tcW w:w="683" w:type="pct"/>
            <w:tcBorders>
              <w:top w:val="nil"/>
              <w:left w:val="nil"/>
              <w:bottom w:val="single" w:sz="4" w:space="0" w:color="auto"/>
              <w:right w:val="single" w:sz="4" w:space="0" w:color="auto"/>
            </w:tcBorders>
            <w:shd w:val="clear" w:color="auto" w:fill="auto"/>
            <w:noWrap/>
            <w:vAlign w:val="bottom"/>
            <w:hideMark/>
          </w:tcPr>
          <w:p w:rsidR="001248F7" w:rsidRPr="008633D2" w:rsidRDefault="001248F7" w:rsidP="001248F7">
            <w:pPr>
              <w:spacing w:line="240" w:lineRule="auto"/>
              <w:contextualSpacing/>
              <w:jc w:val="right"/>
              <w:rPr>
                <w:rFonts w:ascii="Calibri" w:hAnsi="Calibri" w:cs="Calibri"/>
                <w:color w:val="000000"/>
                <w:sz w:val="22"/>
                <w:szCs w:val="22"/>
                <w:lang w:val="en-ZA"/>
              </w:rPr>
            </w:pPr>
            <w:r w:rsidRPr="008633D2">
              <w:rPr>
                <w:rFonts w:ascii="Calibri" w:hAnsi="Calibri" w:cs="Calibri"/>
                <w:color w:val="000000"/>
                <w:sz w:val="22"/>
                <w:szCs w:val="22"/>
                <w:lang w:val="en-ZA"/>
              </w:rPr>
              <w:t>-52.93%</w:t>
            </w:r>
          </w:p>
        </w:tc>
        <w:tc>
          <w:tcPr>
            <w:tcW w:w="634" w:type="pct"/>
            <w:tcBorders>
              <w:top w:val="nil"/>
              <w:left w:val="nil"/>
              <w:bottom w:val="single" w:sz="4" w:space="0" w:color="auto"/>
              <w:right w:val="single" w:sz="4" w:space="0" w:color="auto"/>
            </w:tcBorders>
            <w:shd w:val="clear" w:color="auto" w:fill="auto"/>
            <w:noWrap/>
            <w:vAlign w:val="bottom"/>
            <w:hideMark/>
          </w:tcPr>
          <w:p w:rsidR="001248F7" w:rsidRPr="008633D2" w:rsidRDefault="001248F7" w:rsidP="001248F7">
            <w:pPr>
              <w:spacing w:line="240" w:lineRule="auto"/>
              <w:contextualSpacing/>
              <w:jc w:val="right"/>
              <w:rPr>
                <w:rFonts w:ascii="Calibri" w:hAnsi="Calibri" w:cs="Calibri"/>
                <w:color w:val="000000"/>
                <w:sz w:val="22"/>
                <w:szCs w:val="22"/>
                <w:lang w:val="en-ZA"/>
              </w:rPr>
            </w:pPr>
            <w:r w:rsidRPr="008633D2">
              <w:rPr>
                <w:rFonts w:ascii="Calibri" w:hAnsi="Calibri" w:cs="Calibri"/>
                <w:color w:val="000000"/>
                <w:sz w:val="22"/>
                <w:szCs w:val="22"/>
                <w:lang w:val="en-ZA"/>
              </w:rPr>
              <w:t>-5.81%</w:t>
            </w:r>
          </w:p>
        </w:tc>
        <w:tc>
          <w:tcPr>
            <w:tcW w:w="634" w:type="pct"/>
            <w:tcBorders>
              <w:top w:val="nil"/>
              <w:left w:val="nil"/>
              <w:bottom w:val="single" w:sz="4" w:space="0" w:color="auto"/>
              <w:right w:val="single" w:sz="4" w:space="0" w:color="auto"/>
            </w:tcBorders>
            <w:shd w:val="clear" w:color="auto" w:fill="auto"/>
            <w:noWrap/>
            <w:vAlign w:val="bottom"/>
            <w:hideMark/>
          </w:tcPr>
          <w:p w:rsidR="001248F7" w:rsidRPr="008633D2" w:rsidRDefault="001248F7" w:rsidP="001248F7">
            <w:pPr>
              <w:spacing w:line="240" w:lineRule="auto"/>
              <w:contextualSpacing/>
              <w:jc w:val="right"/>
              <w:rPr>
                <w:rFonts w:ascii="Calibri" w:hAnsi="Calibri" w:cs="Calibri"/>
                <w:color w:val="000000"/>
                <w:sz w:val="22"/>
                <w:szCs w:val="22"/>
                <w:lang w:val="en-ZA"/>
              </w:rPr>
            </w:pPr>
            <w:r w:rsidRPr="008633D2">
              <w:rPr>
                <w:rFonts w:ascii="Calibri" w:hAnsi="Calibri" w:cs="Calibri"/>
                <w:color w:val="000000"/>
                <w:sz w:val="22"/>
                <w:szCs w:val="22"/>
                <w:lang w:val="en-ZA"/>
              </w:rPr>
              <w:t>-0.64%</w:t>
            </w:r>
          </w:p>
        </w:tc>
        <w:tc>
          <w:tcPr>
            <w:tcW w:w="632" w:type="pct"/>
            <w:tcBorders>
              <w:top w:val="nil"/>
              <w:left w:val="nil"/>
              <w:bottom w:val="single" w:sz="4" w:space="0" w:color="auto"/>
              <w:right w:val="single" w:sz="4" w:space="0" w:color="auto"/>
            </w:tcBorders>
            <w:shd w:val="clear" w:color="auto" w:fill="auto"/>
            <w:noWrap/>
            <w:vAlign w:val="bottom"/>
            <w:hideMark/>
          </w:tcPr>
          <w:p w:rsidR="001248F7" w:rsidRPr="008633D2" w:rsidRDefault="001248F7" w:rsidP="001248F7">
            <w:pPr>
              <w:spacing w:line="240" w:lineRule="auto"/>
              <w:contextualSpacing/>
              <w:jc w:val="right"/>
              <w:rPr>
                <w:rFonts w:ascii="Calibri" w:hAnsi="Calibri" w:cs="Calibri"/>
                <w:color w:val="000000"/>
                <w:sz w:val="22"/>
                <w:szCs w:val="22"/>
                <w:lang w:val="en-ZA"/>
              </w:rPr>
            </w:pPr>
            <w:r w:rsidRPr="008633D2">
              <w:rPr>
                <w:rFonts w:ascii="Calibri" w:hAnsi="Calibri" w:cs="Calibri"/>
                <w:color w:val="000000"/>
                <w:sz w:val="22"/>
                <w:szCs w:val="22"/>
                <w:lang w:val="en-ZA"/>
              </w:rPr>
              <w:t>4.54%</w:t>
            </w:r>
          </w:p>
        </w:tc>
      </w:tr>
      <w:tr w:rsidR="001248F7" w:rsidRPr="008633D2" w:rsidTr="004405DA">
        <w:trPr>
          <w:cantSplit/>
          <w:trHeight w:val="300"/>
          <w:jc w:val="center"/>
        </w:trPr>
        <w:tc>
          <w:tcPr>
            <w:tcW w:w="2417" w:type="pct"/>
            <w:tcBorders>
              <w:top w:val="nil"/>
              <w:left w:val="single" w:sz="4" w:space="0" w:color="auto"/>
              <w:bottom w:val="single" w:sz="4" w:space="0" w:color="auto"/>
              <w:right w:val="single" w:sz="4" w:space="0" w:color="auto"/>
            </w:tcBorders>
            <w:shd w:val="clear" w:color="auto" w:fill="auto"/>
            <w:noWrap/>
            <w:vAlign w:val="center"/>
            <w:hideMark/>
          </w:tcPr>
          <w:p w:rsidR="001248F7" w:rsidRPr="008633D2" w:rsidRDefault="001248F7" w:rsidP="00E31686">
            <w:pPr>
              <w:spacing w:before="0" w:after="0" w:line="240" w:lineRule="auto"/>
              <w:jc w:val="left"/>
              <w:rPr>
                <w:rFonts w:cs="Arial"/>
                <w:color w:val="000000"/>
                <w:sz w:val="22"/>
                <w:szCs w:val="22"/>
                <w:lang w:val="en-ZA" w:eastAsia="en-ZA"/>
              </w:rPr>
            </w:pPr>
            <w:r w:rsidRPr="008633D2">
              <w:rPr>
                <w:rFonts w:cs="Arial"/>
                <w:color w:val="000000"/>
                <w:sz w:val="22"/>
                <w:szCs w:val="22"/>
                <w:lang w:val="en-ZA" w:eastAsia="en-ZA"/>
              </w:rPr>
              <w:t>% of female outperformances</w:t>
            </w:r>
          </w:p>
        </w:tc>
        <w:tc>
          <w:tcPr>
            <w:tcW w:w="683" w:type="pct"/>
            <w:tcBorders>
              <w:top w:val="nil"/>
              <w:left w:val="nil"/>
              <w:bottom w:val="single" w:sz="4" w:space="0" w:color="auto"/>
              <w:right w:val="single" w:sz="4" w:space="0" w:color="auto"/>
            </w:tcBorders>
            <w:shd w:val="clear" w:color="auto" w:fill="auto"/>
            <w:noWrap/>
            <w:vAlign w:val="bottom"/>
            <w:hideMark/>
          </w:tcPr>
          <w:p w:rsidR="001248F7" w:rsidRPr="008633D2" w:rsidRDefault="001248F7" w:rsidP="001248F7">
            <w:pPr>
              <w:spacing w:line="240" w:lineRule="auto"/>
              <w:contextualSpacing/>
              <w:jc w:val="right"/>
              <w:rPr>
                <w:rFonts w:ascii="Calibri" w:hAnsi="Calibri" w:cs="Calibri"/>
                <w:color w:val="000000"/>
                <w:sz w:val="22"/>
                <w:szCs w:val="22"/>
                <w:lang w:val="en-ZA"/>
              </w:rPr>
            </w:pPr>
            <w:r w:rsidRPr="008633D2">
              <w:rPr>
                <w:rFonts w:ascii="Calibri" w:hAnsi="Calibri" w:cs="Calibri"/>
                <w:color w:val="000000"/>
                <w:sz w:val="22"/>
                <w:szCs w:val="22"/>
                <w:lang w:val="en-ZA"/>
              </w:rPr>
              <w:t>42.59%</w:t>
            </w:r>
          </w:p>
        </w:tc>
        <w:tc>
          <w:tcPr>
            <w:tcW w:w="634" w:type="pct"/>
            <w:tcBorders>
              <w:top w:val="nil"/>
              <w:left w:val="nil"/>
              <w:bottom w:val="single" w:sz="4" w:space="0" w:color="auto"/>
              <w:right w:val="single" w:sz="4" w:space="0" w:color="auto"/>
            </w:tcBorders>
            <w:shd w:val="clear" w:color="auto" w:fill="auto"/>
            <w:noWrap/>
            <w:vAlign w:val="bottom"/>
            <w:hideMark/>
          </w:tcPr>
          <w:p w:rsidR="001248F7" w:rsidRPr="008633D2" w:rsidRDefault="001248F7" w:rsidP="001248F7">
            <w:pPr>
              <w:spacing w:line="240" w:lineRule="auto"/>
              <w:contextualSpacing/>
              <w:jc w:val="right"/>
              <w:rPr>
                <w:rFonts w:ascii="Calibri" w:hAnsi="Calibri" w:cs="Calibri"/>
                <w:color w:val="000000"/>
                <w:sz w:val="22"/>
                <w:szCs w:val="22"/>
                <w:lang w:val="en-ZA"/>
              </w:rPr>
            </w:pPr>
            <w:r w:rsidRPr="008633D2">
              <w:rPr>
                <w:rFonts w:ascii="Calibri" w:hAnsi="Calibri" w:cs="Calibri"/>
                <w:color w:val="000000"/>
                <w:sz w:val="22"/>
                <w:szCs w:val="22"/>
                <w:lang w:val="en-ZA"/>
              </w:rPr>
              <w:t>46.67%</w:t>
            </w:r>
          </w:p>
        </w:tc>
        <w:tc>
          <w:tcPr>
            <w:tcW w:w="634" w:type="pct"/>
            <w:tcBorders>
              <w:top w:val="nil"/>
              <w:left w:val="nil"/>
              <w:bottom w:val="single" w:sz="4" w:space="0" w:color="auto"/>
              <w:right w:val="single" w:sz="4" w:space="0" w:color="auto"/>
            </w:tcBorders>
            <w:shd w:val="clear" w:color="auto" w:fill="auto"/>
            <w:noWrap/>
            <w:vAlign w:val="bottom"/>
            <w:hideMark/>
          </w:tcPr>
          <w:p w:rsidR="001248F7" w:rsidRPr="008633D2" w:rsidRDefault="001248F7" w:rsidP="001248F7">
            <w:pPr>
              <w:spacing w:line="240" w:lineRule="auto"/>
              <w:contextualSpacing/>
              <w:jc w:val="right"/>
              <w:rPr>
                <w:rFonts w:ascii="Calibri" w:hAnsi="Calibri" w:cs="Calibri"/>
                <w:color w:val="000000"/>
                <w:sz w:val="22"/>
                <w:szCs w:val="22"/>
                <w:lang w:val="en-ZA"/>
              </w:rPr>
            </w:pPr>
            <w:r w:rsidRPr="008633D2">
              <w:rPr>
                <w:rFonts w:ascii="Calibri" w:hAnsi="Calibri" w:cs="Calibri"/>
                <w:color w:val="000000"/>
                <w:sz w:val="22"/>
                <w:szCs w:val="22"/>
                <w:lang w:val="en-ZA"/>
              </w:rPr>
              <w:t>38.46%</w:t>
            </w:r>
          </w:p>
        </w:tc>
        <w:tc>
          <w:tcPr>
            <w:tcW w:w="632" w:type="pct"/>
            <w:tcBorders>
              <w:top w:val="nil"/>
              <w:left w:val="nil"/>
              <w:bottom w:val="single" w:sz="4" w:space="0" w:color="auto"/>
              <w:right w:val="single" w:sz="4" w:space="0" w:color="auto"/>
            </w:tcBorders>
            <w:shd w:val="clear" w:color="auto" w:fill="auto"/>
            <w:noWrap/>
            <w:vAlign w:val="bottom"/>
            <w:hideMark/>
          </w:tcPr>
          <w:p w:rsidR="001248F7" w:rsidRPr="008633D2" w:rsidRDefault="001248F7" w:rsidP="001248F7">
            <w:pPr>
              <w:spacing w:line="240" w:lineRule="auto"/>
              <w:contextualSpacing/>
              <w:jc w:val="right"/>
              <w:rPr>
                <w:rFonts w:ascii="Calibri" w:hAnsi="Calibri" w:cs="Calibri"/>
                <w:color w:val="000000"/>
                <w:sz w:val="22"/>
                <w:szCs w:val="22"/>
                <w:lang w:val="en-ZA"/>
              </w:rPr>
            </w:pPr>
            <w:r w:rsidRPr="008633D2">
              <w:rPr>
                <w:rFonts w:ascii="Calibri" w:hAnsi="Calibri" w:cs="Calibri"/>
                <w:color w:val="000000"/>
                <w:sz w:val="22"/>
                <w:szCs w:val="22"/>
                <w:lang w:val="en-ZA"/>
              </w:rPr>
              <w:t>66.67%</w:t>
            </w:r>
          </w:p>
        </w:tc>
      </w:tr>
    </w:tbl>
    <w:p w:rsidR="00DC395A" w:rsidRPr="008633D2" w:rsidRDefault="00E31686" w:rsidP="00DC395A">
      <w:pPr>
        <w:rPr>
          <w:lang w:val="en-ZA"/>
        </w:rPr>
      </w:pPr>
      <w:r w:rsidRPr="008633D2">
        <w:rPr>
          <w:lang w:val="en-ZA"/>
        </w:rPr>
        <w:fldChar w:fldCharType="end"/>
      </w:r>
    </w:p>
    <w:p w:rsidR="00141A37" w:rsidRPr="008633D2" w:rsidRDefault="00141A37" w:rsidP="00DC395A">
      <w:pPr>
        <w:rPr>
          <w:lang w:val="en-ZA"/>
        </w:rPr>
      </w:pPr>
    </w:p>
    <w:p w:rsidR="00141A37" w:rsidRPr="008633D2" w:rsidRDefault="00141A37" w:rsidP="00DC395A">
      <w:pPr>
        <w:rPr>
          <w:lang w:val="en-ZA"/>
        </w:rPr>
      </w:pPr>
    </w:p>
    <w:p w:rsidR="00F924EE" w:rsidRPr="008633D2" w:rsidRDefault="00F924EE" w:rsidP="00F924EE">
      <w:pPr>
        <w:rPr>
          <w:lang w:val="en-ZA"/>
        </w:rPr>
      </w:pPr>
      <w:r w:rsidRPr="008633D2">
        <w:rPr>
          <w:lang w:val="en-ZA"/>
        </w:rPr>
        <w:t xml:space="preserve">Table </w:t>
      </w:r>
      <w:r>
        <w:rPr>
          <w:lang w:val="en-ZA"/>
        </w:rPr>
        <w:t>12</w:t>
      </w:r>
      <w:r w:rsidRPr="008633D2">
        <w:rPr>
          <w:lang w:val="en-ZA"/>
        </w:rPr>
        <w:t xml:space="preserve"> </w:t>
      </w:r>
      <w:r>
        <w:rPr>
          <w:lang w:val="en-ZA"/>
        </w:rPr>
        <w:t>below</w:t>
      </w:r>
      <w:r w:rsidRPr="008633D2">
        <w:rPr>
          <w:lang w:val="en-ZA"/>
        </w:rPr>
        <w:t xml:space="preserve"> </w:t>
      </w:r>
      <w:r>
        <w:rPr>
          <w:lang w:val="en-ZA"/>
        </w:rPr>
        <w:t>presents</w:t>
      </w:r>
      <w:r w:rsidRPr="008633D2">
        <w:rPr>
          <w:lang w:val="en-ZA"/>
        </w:rPr>
        <w:t xml:space="preserve"> the results of the t-test and the resulting p-values</w:t>
      </w:r>
      <w:r>
        <w:rPr>
          <w:lang w:val="en-ZA"/>
        </w:rPr>
        <w:t xml:space="preserve"> for the comparison of the annualised returns for the selected male and female funds as presented in table 9 and table 10 </w:t>
      </w:r>
      <w:r w:rsidRPr="008633D2">
        <w:rPr>
          <w:lang w:val="en-ZA"/>
        </w:rPr>
        <w:t xml:space="preserve">. </w:t>
      </w:r>
      <w:r>
        <w:rPr>
          <w:lang w:val="en-ZA"/>
        </w:rPr>
        <w:t xml:space="preserve">The results </w:t>
      </w:r>
      <w:r w:rsidRPr="008633D2">
        <w:rPr>
          <w:lang w:val="en-ZA"/>
        </w:rPr>
        <w:t>in</w:t>
      </w:r>
      <w:r>
        <w:rPr>
          <w:lang w:val="en-ZA"/>
        </w:rPr>
        <w:t xml:space="preserve">dicate that the results presented in table 11 are not significant over the any of the considered periods </w:t>
      </w:r>
      <w:r w:rsidRPr="008633D2">
        <w:rPr>
          <w:lang w:val="en-ZA"/>
        </w:rPr>
        <w:t>as the p-values are greater than 0.</w:t>
      </w:r>
      <w:r>
        <w:rPr>
          <w:lang w:val="en-ZA"/>
        </w:rPr>
        <w:t>0</w:t>
      </w:r>
      <w:r w:rsidRPr="008633D2">
        <w:rPr>
          <w:lang w:val="en-ZA"/>
        </w:rPr>
        <w:t xml:space="preserve">5. </w:t>
      </w:r>
    </w:p>
    <w:p w:rsidR="00F924EE" w:rsidRDefault="00F924EE" w:rsidP="003D316E">
      <w:pPr>
        <w:pStyle w:val="Caption"/>
        <w:keepNext/>
        <w:jc w:val="center"/>
        <w:rPr>
          <w:lang w:val="en-ZA"/>
        </w:rPr>
      </w:pPr>
    </w:p>
    <w:p w:rsidR="003D316E" w:rsidRPr="008633D2" w:rsidRDefault="003D316E" w:rsidP="003D316E">
      <w:pPr>
        <w:pStyle w:val="Caption"/>
        <w:keepNext/>
        <w:jc w:val="center"/>
        <w:rPr>
          <w:lang w:val="en-ZA"/>
        </w:rPr>
      </w:pPr>
      <w:bookmarkStart w:id="237" w:name="_Toc458610857"/>
      <w:r w:rsidRPr="008633D2">
        <w:rPr>
          <w:lang w:val="en-ZA"/>
        </w:rPr>
        <w:t xml:space="preserve">Table </w:t>
      </w:r>
      <w:r w:rsidRPr="008633D2">
        <w:rPr>
          <w:lang w:val="en-ZA"/>
        </w:rPr>
        <w:fldChar w:fldCharType="begin"/>
      </w:r>
      <w:r w:rsidRPr="008633D2">
        <w:rPr>
          <w:lang w:val="en-ZA"/>
        </w:rPr>
        <w:instrText xml:space="preserve"> SEQ Table \* ARABIC </w:instrText>
      </w:r>
      <w:r w:rsidRPr="008633D2">
        <w:rPr>
          <w:lang w:val="en-ZA"/>
        </w:rPr>
        <w:fldChar w:fldCharType="separate"/>
      </w:r>
      <w:r w:rsidR="00C456D9">
        <w:rPr>
          <w:noProof/>
          <w:lang w:val="en-ZA"/>
        </w:rPr>
        <w:t>12</w:t>
      </w:r>
      <w:r w:rsidRPr="008633D2">
        <w:rPr>
          <w:lang w:val="en-ZA"/>
        </w:rPr>
        <w:fldChar w:fldCharType="end"/>
      </w:r>
      <w:r w:rsidRPr="008633D2">
        <w:rPr>
          <w:lang w:val="en-ZA"/>
        </w:rPr>
        <w:t xml:space="preserve">: Results from statistical tests for the comparison of single managed funds identified in table </w:t>
      </w:r>
      <w:r w:rsidR="005F080A">
        <w:rPr>
          <w:lang w:val="en-ZA"/>
        </w:rPr>
        <w:t>9</w:t>
      </w:r>
      <w:bookmarkEnd w:id="2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09"/>
        <w:gridCol w:w="2127"/>
        <w:gridCol w:w="1408"/>
        <w:gridCol w:w="1408"/>
        <w:gridCol w:w="1408"/>
        <w:gridCol w:w="1408"/>
      </w:tblGrid>
      <w:tr w:rsidR="00141A37" w:rsidRPr="008633D2" w:rsidTr="004F7551">
        <w:trPr>
          <w:trHeight w:val="300"/>
        </w:trPr>
        <w:tc>
          <w:tcPr>
            <w:tcW w:w="1788" w:type="pct"/>
            <w:gridSpan w:val="2"/>
            <w:shd w:val="clear" w:color="000000" w:fill="366092"/>
            <w:tcMar>
              <w:top w:w="15" w:type="dxa"/>
              <w:left w:w="15" w:type="dxa"/>
              <w:bottom w:w="0" w:type="dxa"/>
              <w:right w:w="15" w:type="dxa"/>
            </w:tcMar>
            <w:vAlign w:val="center"/>
            <w:hideMark/>
          </w:tcPr>
          <w:p w:rsidR="00141A37" w:rsidRPr="008633D2" w:rsidRDefault="00141A37" w:rsidP="004405DA">
            <w:pPr>
              <w:spacing w:line="480" w:lineRule="auto"/>
              <w:contextualSpacing/>
              <w:jc w:val="center"/>
              <w:rPr>
                <w:rFonts w:cs="Arial"/>
                <w:b/>
                <w:bCs/>
                <w:color w:val="FFFFFF"/>
                <w:sz w:val="22"/>
                <w:szCs w:val="22"/>
                <w:lang w:val="en-ZA"/>
              </w:rPr>
            </w:pPr>
            <w:r w:rsidRPr="008633D2">
              <w:rPr>
                <w:rFonts w:cs="Arial"/>
                <w:b/>
                <w:bCs/>
                <w:color w:val="FFFFFF"/>
                <w:sz w:val="22"/>
                <w:szCs w:val="22"/>
                <w:lang w:val="en-ZA"/>
              </w:rPr>
              <w:t>Description</w:t>
            </w:r>
          </w:p>
        </w:tc>
        <w:tc>
          <w:tcPr>
            <w:tcW w:w="803" w:type="pct"/>
            <w:shd w:val="clear" w:color="000000" w:fill="366092"/>
            <w:tcMar>
              <w:top w:w="15" w:type="dxa"/>
              <w:left w:w="15" w:type="dxa"/>
              <w:bottom w:w="0" w:type="dxa"/>
              <w:right w:w="15" w:type="dxa"/>
            </w:tcMar>
            <w:vAlign w:val="center"/>
            <w:hideMark/>
          </w:tcPr>
          <w:p w:rsidR="00141A37" w:rsidRPr="008633D2" w:rsidRDefault="00141A37" w:rsidP="00141A37">
            <w:pPr>
              <w:spacing w:line="240" w:lineRule="auto"/>
              <w:contextualSpacing/>
              <w:jc w:val="center"/>
              <w:rPr>
                <w:rFonts w:cs="Arial"/>
                <w:b/>
                <w:bCs/>
                <w:color w:val="FFFFFF"/>
                <w:sz w:val="22"/>
                <w:szCs w:val="22"/>
                <w:lang w:val="en-ZA"/>
              </w:rPr>
            </w:pPr>
            <w:r w:rsidRPr="008633D2">
              <w:rPr>
                <w:rFonts w:cs="Arial"/>
                <w:b/>
                <w:bCs/>
                <w:color w:val="FFFFFF"/>
                <w:sz w:val="22"/>
                <w:szCs w:val="22"/>
                <w:lang w:val="en-ZA"/>
              </w:rPr>
              <w:t>1 year</w:t>
            </w:r>
          </w:p>
        </w:tc>
        <w:tc>
          <w:tcPr>
            <w:tcW w:w="803" w:type="pct"/>
            <w:shd w:val="clear" w:color="000000" w:fill="366092"/>
            <w:tcMar>
              <w:top w:w="15" w:type="dxa"/>
              <w:left w:w="15" w:type="dxa"/>
              <w:bottom w:w="0" w:type="dxa"/>
              <w:right w:w="15" w:type="dxa"/>
            </w:tcMar>
            <w:vAlign w:val="center"/>
            <w:hideMark/>
          </w:tcPr>
          <w:p w:rsidR="00141A37" w:rsidRPr="008633D2" w:rsidRDefault="00141A37" w:rsidP="00141A37">
            <w:pPr>
              <w:spacing w:line="240" w:lineRule="auto"/>
              <w:contextualSpacing/>
              <w:jc w:val="center"/>
              <w:rPr>
                <w:rFonts w:cs="Arial"/>
                <w:b/>
                <w:bCs/>
                <w:color w:val="FFFFFF"/>
                <w:sz w:val="22"/>
                <w:szCs w:val="22"/>
                <w:lang w:val="en-ZA"/>
              </w:rPr>
            </w:pPr>
            <w:r w:rsidRPr="008633D2">
              <w:rPr>
                <w:rFonts w:cs="Arial"/>
                <w:b/>
                <w:bCs/>
                <w:color w:val="FFFFFF"/>
                <w:sz w:val="22"/>
                <w:szCs w:val="22"/>
                <w:lang w:val="en-ZA"/>
              </w:rPr>
              <w:t>3 year</w:t>
            </w:r>
          </w:p>
        </w:tc>
        <w:tc>
          <w:tcPr>
            <w:tcW w:w="803" w:type="pct"/>
            <w:shd w:val="clear" w:color="000000" w:fill="366092"/>
            <w:tcMar>
              <w:top w:w="15" w:type="dxa"/>
              <w:left w:w="15" w:type="dxa"/>
              <w:bottom w:w="0" w:type="dxa"/>
              <w:right w:w="15" w:type="dxa"/>
            </w:tcMar>
            <w:vAlign w:val="center"/>
            <w:hideMark/>
          </w:tcPr>
          <w:p w:rsidR="00141A37" w:rsidRPr="008633D2" w:rsidRDefault="00141A37" w:rsidP="00141A37">
            <w:pPr>
              <w:spacing w:line="240" w:lineRule="auto"/>
              <w:contextualSpacing/>
              <w:jc w:val="center"/>
              <w:rPr>
                <w:rFonts w:cs="Arial"/>
                <w:b/>
                <w:bCs/>
                <w:color w:val="FFFFFF"/>
                <w:sz w:val="22"/>
                <w:szCs w:val="22"/>
                <w:lang w:val="en-ZA"/>
              </w:rPr>
            </w:pPr>
            <w:r w:rsidRPr="008633D2">
              <w:rPr>
                <w:rFonts w:cs="Arial"/>
                <w:b/>
                <w:bCs/>
                <w:color w:val="FFFFFF"/>
                <w:sz w:val="22"/>
                <w:szCs w:val="22"/>
                <w:lang w:val="en-ZA"/>
              </w:rPr>
              <w:t>5 year</w:t>
            </w:r>
          </w:p>
        </w:tc>
        <w:tc>
          <w:tcPr>
            <w:tcW w:w="803" w:type="pct"/>
            <w:shd w:val="clear" w:color="000000" w:fill="366092"/>
            <w:tcMar>
              <w:top w:w="15" w:type="dxa"/>
              <w:left w:w="15" w:type="dxa"/>
              <w:bottom w:w="0" w:type="dxa"/>
              <w:right w:w="15" w:type="dxa"/>
            </w:tcMar>
            <w:vAlign w:val="center"/>
            <w:hideMark/>
          </w:tcPr>
          <w:p w:rsidR="00141A37" w:rsidRPr="008633D2" w:rsidRDefault="00141A37" w:rsidP="00141A37">
            <w:pPr>
              <w:spacing w:line="240" w:lineRule="auto"/>
              <w:contextualSpacing/>
              <w:jc w:val="center"/>
              <w:rPr>
                <w:rFonts w:cs="Arial"/>
                <w:b/>
                <w:bCs/>
                <w:color w:val="FFFFFF"/>
                <w:sz w:val="22"/>
                <w:szCs w:val="22"/>
                <w:lang w:val="en-ZA"/>
              </w:rPr>
            </w:pPr>
            <w:r w:rsidRPr="008633D2">
              <w:rPr>
                <w:rFonts w:cs="Arial"/>
                <w:b/>
                <w:bCs/>
                <w:color w:val="FFFFFF"/>
                <w:sz w:val="22"/>
                <w:szCs w:val="22"/>
                <w:lang w:val="en-ZA"/>
              </w:rPr>
              <w:t>10 year</w:t>
            </w:r>
          </w:p>
        </w:tc>
      </w:tr>
      <w:tr w:rsidR="00141A37" w:rsidRPr="008633D2" w:rsidTr="004F7551">
        <w:trPr>
          <w:trHeight w:val="300"/>
        </w:trPr>
        <w:tc>
          <w:tcPr>
            <w:tcW w:w="575" w:type="pct"/>
            <w:vMerge w:val="restart"/>
            <w:shd w:val="clear" w:color="000000" w:fill="95B3D7"/>
            <w:noWrap/>
            <w:tcMar>
              <w:top w:w="15" w:type="dxa"/>
              <w:left w:w="15" w:type="dxa"/>
              <w:bottom w:w="0" w:type="dxa"/>
              <w:right w:w="15" w:type="dxa"/>
            </w:tcMar>
            <w:vAlign w:val="center"/>
            <w:hideMark/>
          </w:tcPr>
          <w:p w:rsidR="00141A37" w:rsidRPr="008633D2" w:rsidRDefault="00141A37" w:rsidP="00141A37">
            <w:pPr>
              <w:spacing w:line="240" w:lineRule="auto"/>
              <w:contextualSpacing/>
              <w:rPr>
                <w:rFonts w:cs="Arial"/>
                <w:b/>
                <w:bCs/>
                <w:color w:val="000000"/>
                <w:sz w:val="22"/>
                <w:szCs w:val="22"/>
                <w:lang w:val="en-ZA"/>
              </w:rPr>
            </w:pPr>
            <w:r w:rsidRPr="008633D2">
              <w:rPr>
                <w:rFonts w:cs="Arial"/>
                <w:b/>
                <w:bCs/>
                <w:color w:val="000000"/>
                <w:sz w:val="22"/>
                <w:szCs w:val="22"/>
                <w:lang w:val="en-ZA"/>
              </w:rPr>
              <w:t>Females</w:t>
            </w:r>
          </w:p>
        </w:tc>
        <w:tc>
          <w:tcPr>
            <w:tcW w:w="1213" w:type="pct"/>
            <w:shd w:val="clear" w:color="000000" w:fill="B8CCE4"/>
            <w:noWrap/>
            <w:tcMar>
              <w:top w:w="15" w:type="dxa"/>
              <w:left w:w="15" w:type="dxa"/>
              <w:bottom w:w="0" w:type="dxa"/>
              <w:right w:w="15" w:type="dxa"/>
            </w:tcMar>
            <w:vAlign w:val="bottom"/>
            <w:hideMark/>
          </w:tcPr>
          <w:p w:rsidR="00141A37" w:rsidRPr="008633D2" w:rsidRDefault="00141A37" w:rsidP="00141A37">
            <w:pPr>
              <w:spacing w:line="240" w:lineRule="auto"/>
              <w:contextualSpacing/>
              <w:rPr>
                <w:rFonts w:cs="Arial"/>
                <w:color w:val="000000"/>
                <w:sz w:val="22"/>
                <w:szCs w:val="22"/>
                <w:lang w:val="en-ZA"/>
              </w:rPr>
            </w:pPr>
            <w:r w:rsidRPr="008633D2">
              <w:rPr>
                <w:rFonts w:cs="Arial"/>
                <w:color w:val="000000"/>
                <w:sz w:val="22"/>
                <w:szCs w:val="22"/>
                <w:lang w:val="en-ZA"/>
              </w:rPr>
              <w:t>Mean</w:t>
            </w:r>
          </w:p>
        </w:tc>
        <w:tc>
          <w:tcPr>
            <w:tcW w:w="803" w:type="pct"/>
            <w:shd w:val="clear" w:color="auto" w:fill="auto"/>
            <w:noWrap/>
            <w:tcMar>
              <w:top w:w="15" w:type="dxa"/>
              <w:left w:w="15" w:type="dxa"/>
              <w:bottom w:w="0" w:type="dxa"/>
              <w:right w:w="15" w:type="dxa"/>
            </w:tcMar>
            <w:hideMark/>
          </w:tcPr>
          <w:p w:rsidR="00141A37" w:rsidRPr="008633D2" w:rsidRDefault="00141A37" w:rsidP="00141A37">
            <w:pPr>
              <w:spacing w:line="240" w:lineRule="auto"/>
              <w:contextualSpacing/>
              <w:jc w:val="right"/>
              <w:rPr>
                <w:rFonts w:cs="Arial"/>
                <w:color w:val="000000"/>
                <w:sz w:val="22"/>
                <w:szCs w:val="22"/>
                <w:lang w:val="en-ZA"/>
              </w:rPr>
            </w:pPr>
            <w:r w:rsidRPr="008633D2">
              <w:rPr>
                <w:rFonts w:cs="Arial"/>
                <w:color w:val="000000"/>
                <w:sz w:val="22"/>
                <w:szCs w:val="22"/>
                <w:lang w:val="en-ZA"/>
              </w:rPr>
              <w:t>6.77%</w:t>
            </w:r>
          </w:p>
        </w:tc>
        <w:tc>
          <w:tcPr>
            <w:tcW w:w="803" w:type="pct"/>
            <w:shd w:val="clear" w:color="auto" w:fill="auto"/>
            <w:noWrap/>
            <w:tcMar>
              <w:top w:w="15" w:type="dxa"/>
              <w:left w:w="15" w:type="dxa"/>
              <w:bottom w:w="0" w:type="dxa"/>
              <w:right w:w="15" w:type="dxa"/>
            </w:tcMar>
            <w:hideMark/>
          </w:tcPr>
          <w:p w:rsidR="00141A37" w:rsidRPr="008633D2" w:rsidRDefault="00141A37" w:rsidP="00141A37">
            <w:pPr>
              <w:spacing w:line="240" w:lineRule="auto"/>
              <w:contextualSpacing/>
              <w:jc w:val="right"/>
              <w:rPr>
                <w:rFonts w:cs="Arial"/>
                <w:color w:val="000000"/>
                <w:sz w:val="22"/>
                <w:szCs w:val="22"/>
                <w:lang w:val="en-ZA"/>
              </w:rPr>
            </w:pPr>
            <w:r w:rsidRPr="008633D2">
              <w:rPr>
                <w:rFonts w:cs="Arial"/>
                <w:color w:val="000000"/>
                <w:sz w:val="22"/>
                <w:szCs w:val="22"/>
                <w:lang w:val="en-ZA"/>
              </w:rPr>
              <w:t>13.82%</w:t>
            </w:r>
          </w:p>
        </w:tc>
        <w:tc>
          <w:tcPr>
            <w:tcW w:w="803" w:type="pct"/>
            <w:shd w:val="clear" w:color="auto" w:fill="auto"/>
            <w:noWrap/>
            <w:tcMar>
              <w:top w:w="15" w:type="dxa"/>
              <w:left w:w="15" w:type="dxa"/>
              <w:bottom w:w="0" w:type="dxa"/>
              <w:right w:w="15" w:type="dxa"/>
            </w:tcMar>
            <w:hideMark/>
          </w:tcPr>
          <w:p w:rsidR="00141A37" w:rsidRPr="008633D2" w:rsidRDefault="00141A37" w:rsidP="00141A37">
            <w:pPr>
              <w:spacing w:line="240" w:lineRule="auto"/>
              <w:contextualSpacing/>
              <w:jc w:val="right"/>
              <w:rPr>
                <w:rFonts w:cs="Arial"/>
                <w:color w:val="000000"/>
                <w:sz w:val="22"/>
                <w:szCs w:val="22"/>
                <w:lang w:val="en-ZA"/>
              </w:rPr>
            </w:pPr>
            <w:r w:rsidRPr="008633D2">
              <w:rPr>
                <w:rFonts w:cs="Arial"/>
                <w:color w:val="000000"/>
                <w:sz w:val="22"/>
                <w:szCs w:val="22"/>
                <w:lang w:val="en-ZA"/>
              </w:rPr>
              <w:t>10.81%</w:t>
            </w:r>
          </w:p>
        </w:tc>
        <w:tc>
          <w:tcPr>
            <w:tcW w:w="803" w:type="pct"/>
            <w:shd w:val="clear" w:color="auto" w:fill="auto"/>
            <w:noWrap/>
            <w:tcMar>
              <w:top w:w="15" w:type="dxa"/>
              <w:left w:w="15" w:type="dxa"/>
              <w:bottom w:w="0" w:type="dxa"/>
              <w:right w:w="15" w:type="dxa"/>
            </w:tcMar>
            <w:hideMark/>
          </w:tcPr>
          <w:p w:rsidR="00141A37" w:rsidRPr="008633D2" w:rsidRDefault="00141A37" w:rsidP="00141A37">
            <w:pPr>
              <w:spacing w:line="240" w:lineRule="auto"/>
              <w:contextualSpacing/>
              <w:jc w:val="right"/>
              <w:rPr>
                <w:rFonts w:cs="Arial"/>
                <w:color w:val="000000"/>
                <w:sz w:val="22"/>
                <w:szCs w:val="22"/>
                <w:lang w:val="en-ZA"/>
              </w:rPr>
            </w:pPr>
            <w:r w:rsidRPr="008633D2">
              <w:rPr>
                <w:rFonts w:cs="Arial"/>
                <w:color w:val="000000"/>
                <w:sz w:val="22"/>
                <w:szCs w:val="22"/>
                <w:lang w:val="en-ZA"/>
              </w:rPr>
              <w:t>10.82%</w:t>
            </w:r>
          </w:p>
        </w:tc>
      </w:tr>
      <w:tr w:rsidR="00141A37" w:rsidRPr="008633D2" w:rsidTr="004F7551">
        <w:trPr>
          <w:trHeight w:val="300"/>
        </w:trPr>
        <w:tc>
          <w:tcPr>
            <w:tcW w:w="575" w:type="pct"/>
            <w:vMerge/>
            <w:vAlign w:val="center"/>
            <w:hideMark/>
          </w:tcPr>
          <w:p w:rsidR="00141A37" w:rsidRPr="008633D2" w:rsidRDefault="00141A37" w:rsidP="00141A37">
            <w:pPr>
              <w:spacing w:line="240" w:lineRule="auto"/>
              <w:contextualSpacing/>
              <w:rPr>
                <w:rFonts w:cs="Arial"/>
                <w:b/>
                <w:bCs/>
                <w:color w:val="000000"/>
                <w:sz w:val="22"/>
                <w:szCs w:val="22"/>
                <w:lang w:val="en-ZA"/>
              </w:rPr>
            </w:pPr>
          </w:p>
        </w:tc>
        <w:tc>
          <w:tcPr>
            <w:tcW w:w="1213" w:type="pct"/>
            <w:shd w:val="clear" w:color="000000" w:fill="B8CCE4"/>
            <w:noWrap/>
            <w:tcMar>
              <w:top w:w="15" w:type="dxa"/>
              <w:left w:w="15" w:type="dxa"/>
              <w:bottom w:w="0" w:type="dxa"/>
              <w:right w:w="15" w:type="dxa"/>
            </w:tcMar>
            <w:vAlign w:val="bottom"/>
            <w:hideMark/>
          </w:tcPr>
          <w:p w:rsidR="00141A37" w:rsidRPr="008633D2" w:rsidRDefault="00141A37" w:rsidP="00E26773">
            <w:pPr>
              <w:spacing w:line="240" w:lineRule="auto"/>
              <w:contextualSpacing/>
              <w:rPr>
                <w:rFonts w:cs="Arial"/>
                <w:color w:val="000000"/>
                <w:sz w:val="22"/>
                <w:szCs w:val="22"/>
                <w:lang w:val="en-ZA"/>
              </w:rPr>
            </w:pPr>
            <w:r w:rsidRPr="008633D2">
              <w:rPr>
                <w:rFonts w:cs="Arial"/>
                <w:color w:val="000000"/>
                <w:sz w:val="22"/>
                <w:szCs w:val="22"/>
                <w:lang w:val="en-ZA"/>
              </w:rPr>
              <w:t>St</w:t>
            </w:r>
            <w:r w:rsidR="00E26773">
              <w:rPr>
                <w:rFonts w:cs="Arial"/>
                <w:color w:val="000000"/>
                <w:sz w:val="22"/>
                <w:szCs w:val="22"/>
                <w:lang w:val="en-ZA"/>
              </w:rPr>
              <w:t>andard  deviation</w:t>
            </w:r>
          </w:p>
        </w:tc>
        <w:tc>
          <w:tcPr>
            <w:tcW w:w="803" w:type="pct"/>
            <w:shd w:val="clear" w:color="auto" w:fill="auto"/>
            <w:noWrap/>
            <w:tcMar>
              <w:top w:w="15" w:type="dxa"/>
              <w:left w:w="15" w:type="dxa"/>
              <w:bottom w:w="0" w:type="dxa"/>
              <w:right w:w="15" w:type="dxa"/>
            </w:tcMar>
            <w:hideMark/>
          </w:tcPr>
          <w:p w:rsidR="00141A37" w:rsidRPr="008633D2" w:rsidRDefault="00141A37" w:rsidP="00141A37">
            <w:pPr>
              <w:spacing w:line="240" w:lineRule="auto"/>
              <w:contextualSpacing/>
              <w:jc w:val="right"/>
              <w:rPr>
                <w:rFonts w:cs="Arial"/>
                <w:color w:val="000000"/>
                <w:sz w:val="22"/>
                <w:szCs w:val="22"/>
                <w:lang w:val="en-ZA"/>
              </w:rPr>
            </w:pPr>
            <w:r w:rsidRPr="008633D2">
              <w:rPr>
                <w:rFonts w:cs="Arial"/>
                <w:color w:val="000000"/>
                <w:sz w:val="22"/>
                <w:szCs w:val="22"/>
                <w:lang w:val="en-ZA"/>
              </w:rPr>
              <w:t>5.67%</w:t>
            </w:r>
          </w:p>
        </w:tc>
        <w:tc>
          <w:tcPr>
            <w:tcW w:w="803" w:type="pct"/>
            <w:shd w:val="clear" w:color="auto" w:fill="auto"/>
            <w:noWrap/>
            <w:tcMar>
              <w:top w:w="15" w:type="dxa"/>
              <w:left w:w="15" w:type="dxa"/>
              <w:bottom w:w="0" w:type="dxa"/>
              <w:right w:w="15" w:type="dxa"/>
            </w:tcMar>
            <w:hideMark/>
          </w:tcPr>
          <w:p w:rsidR="00141A37" w:rsidRPr="008633D2" w:rsidRDefault="00141A37" w:rsidP="00141A37">
            <w:pPr>
              <w:spacing w:line="240" w:lineRule="auto"/>
              <w:contextualSpacing/>
              <w:jc w:val="right"/>
              <w:rPr>
                <w:rFonts w:cs="Arial"/>
                <w:color w:val="000000"/>
                <w:sz w:val="22"/>
                <w:szCs w:val="22"/>
                <w:lang w:val="en-ZA"/>
              </w:rPr>
            </w:pPr>
            <w:r w:rsidRPr="008633D2">
              <w:rPr>
                <w:rFonts w:cs="Arial"/>
                <w:color w:val="000000"/>
                <w:sz w:val="22"/>
                <w:szCs w:val="22"/>
                <w:lang w:val="en-ZA"/>
              </w:rPr>
              <w:t>6.70%</w:t>
            </w:r>
          </w:p>
        </w:tc>
        <w:tc>
          <w:tcPr>
            <w:tcW w:w="803" w:type="pct"/>
            <w:shd w:val="clear" w:color="auto" w:fill="auto"/>
            <w:noWrap/>
            <w:tcMar>
              <w:top w:w="15" w:type="dxa"/>
              <w:left w:w="15" w:type="dxa"/>
              <w:bottom w:w="0" w:type="dxa"/>
              <w:right w:w="15" w:type="dxa"/>
            </w:tcMar>
            <w:hideMark/>
          </w:tcPr>
          <w:p w:rsidR="00141A37" w:rsidRPr="008633D2" w:rsidRDefault="00141A37" w:rsidP="00141A37">
            <w:pPr>
              <w:spacing w:line="240" w:lineRule="auto"/>
              <w:contextualSpacing/>
              <w:jc w:val="right"/>
              <w:rPr>
                <w:rFonts w:cs="Arial"/>
                <w:color w:val="000000"/>
                <w:sz w:val="22"/>
                <w:szCs w:val="22"/>
                <w:lang w:val="en-ZA"/>
              </w:rPr>
            </w:pPr>
            <w:r w:rsidRPr="008633D2">
              <w:rPr>
                <w:rFonts w:cs="Arial"/>
                <w:color w:val="000000"/>
                <w:sz w:val="22"/>
                <w:szCs w:val="22"/>
                <w:lang w:val="en-ZA"/>
              </w:rPr>
              <w:t>4.79%</w:t>
            </w:r>
          </w:p>
        </w:tc>
        <w:tc>
          <w:tcPr>
            <w:tcW w:w="803" w:type="pct"/>
            <w:shd w:val="clear" w:color="auto" w:fill="auto"/>
            <w:noWrap/>
            <w:tcMar>
              <w:top w:w="15" w:type="dxa"/>
              <w:left w:w="15" w:type="dxa"/>
              <w:bottom w:w="0" w:type="dxa"/>
              <w:right w:w="15" w:type="dxa"/>
            </w:tcMar>
            <w:hideMark/>
          </w:tcPr>
          <w:p w:rsidR="00141A37" w:rsidRPr="008633D2" w:rsidRDefault="00141A37" w:rsidP="00141A37">
            <w:pPr>
              <w:spacing w:line="240" w:lineRule="auto"/>
              <w:contextualSpacing/>
              <w:jc w:val="right"/>
              <w:rPr>
                <w:rFonts w:cs="Arial"/>
                <w:color w:val="000000"/>
                <w:sz w:val="22"/>
                <w:szCs w:val="22"/>
                <w:lang w:val="en-ZA"/>
              </w:rPr>
            </w:pPr>
            <w:r w:rsidRPr="008633D2">
              <w:rPr>
                <w:rFonts w:cs="Arial"/>
                <w:color w:val="000000"/>
                <w:sz w:val="22"/>
                <w:szCs w:val="22"/>
                <w:lang w:val="en-ZA"/>
              </w:rPr>
              <w:t>5.62%</w:t>
            </w:r>
          </w:p>
        </w:tc>
      </w:tr>
      <w:tr w:rsidR="00141A37" w:rsidRPr="008633D2" w:rsidTr="004F7551">
        <w:trPr>
          <w:trHeight w:val="300"/>
        </w:trPr>
        <w:tc>
          <w:tcPr>
            <w:tcW w:w="575" w:type="pct"/>
            <w:vMerge/>
            <w:vAlign w:val="center"/>
            <w:hideMark/>
          </w:tcPr>
          <w:p w:rsidR="00141A37" w:rsidRPr="008633D2" w:rsidRDefault="00141A37" w:rsidP="00141A37">
            <w:pPr>
              <w:spacing w:line="240" w:lineRule="auto"/>
              <w:contextualSpacing/>
              <w:rPr>
                <w:rFonts w:cs="Arial"/>
                <w:b/>
                <w:bCs/>
                <w:color w:val="000000"/>
                <w:sz w:val="22"/>
                <w:szCs w:val="22"/>
                <w:lang w:val="en-ZA"/>
              </w:rPr>
            </w:pPr>
          </w:p>
        </w:tc>
        <w:tc>
          <w:tcPr>
            <w:tcW w:w="1213" w:type="pct"/>
            <w:shd w:val="clear" w:color="000000" w:fill="B8CCE4"/>
            <w:noWrap/>
            <w:tcMar>
              <w:top w:w="15" w:type="dxa"/>
              <w:left w:w="15" w:type="dxa"/>
              <w:bottom w:w="0" w:type="dxa"/>
              <w:right w:w="15" w:type="dxa"/>
            </w:tcMar>
            <w:vAlign w:val="bottom"/>
            <w:hideMark/>
          </w:tcPr>
          <w:p w:rsidR="00141A37" w:rsidRPr="008633D2" w:rsidRDefault="00141A37" w:rsidP="00141A37">
            <w:pPr>
              <w:spacing w:line="240" w:lineRule="auto"/>
              <w:contextualSpacing/>
              <w:rPr>
                <w:rFonts w:cs="Arial"/>
                <w:color w:val="000000"/>
                <w:sz w:val="22"/>
                <w:szCs w:val="22"/>
                <w:lang w:val="en-ZA"/>
              </w:rPr>
            </w:pPr>
            <w:r w:rsidRPr="008633D2">
              <w:rPr>
                <w:rFonts w:cs="Arial"/>
                <w:color w:val="000000"/>
                <w:sz w:val="22"/>
                <w:szCs w:val="22"/>
                <w:lang w:val="en-ZA"/>
              </w:rPr>
              <w:t>Count</w:t>
            </w:r>
          </w:p>
        </w:tc>
        <w:tc>
          <w:tcPr>
            <w:tcW w:w="803" w:type="pct"/>
            <w:shd w:val="clear" w:color="auto" w:fill="auto"/>
            <w:noWrap/>
            <w:tcMar>
              <w:top w:w="15" w:type="dxa"/>
              <w:left w:w="15" w:type="dxa"/>
              <w:bottom w:w="0" w:type="dxa"/>
              <w:right w:w="15" w:type="dxa"/>
            </w:tcMar>
            <w:hideMark/>
          </w:tcPr>
          <w:p w:rsidR="00141A37" w:rsidRPr="008633D2" w:rsidRDefault="00141A37" w:rsidP="00141A37">
            <w:pPr>
              <w:spacing w:line="240" w:lineRule="auto"/>
              <w:contextualSpacing/>
              <w:jc w:val="right"/>
              <w:rPr>
                <w:rFonts w:cs="Arial"/>
                <w:color w:val="000000"/>
                <w:sz w:val="22"/>
                <w:szCs w:val="22"/>
                <w:lang w:val="en-ZA"/>
              </w:rPr>
            </w:pPr>
            <w:r w:rsidRPr="008633D2">
              <w:rPr>
                <w:rFonts w:cs="Arial"/>
                <w:color w:val="000000"/>
                <w:sz w:val="22"/>
                <w:szCs w:val="22"/>
                <w:lang w:val="en-ZA"/>
              </w:rPr>
              <w:t>55</w:t>
            </w:r>
          </w:p>
        </w:tc>
        <w:tc>
          <w:tcPr>
            <w:tcW w:w="803" w:type="pct"/>
            <w:shd w:val="clear" w:color="auto" w:fill="auto"/>
            <w:noWrap/>
            <w:tcMar>
              <w:top w:w="15" w:type="dxa"/>
              <w:left w:w="15" w:type="dxa"/>
              <w:bottom w:w="0" w:type="dxa"/>
              <w:right w:w="15" w:type="dxa"/>
            </w:tcMar>
            <w:hideMark/>
          </w:tcPr>
          <w:p w:rsidR="00141A37" w:rsidRPr="008633D2" w:rsidRDefault="00141A37" w:rsidP="00141A37">
            <w:pPr>
              <w:spacing w:line="240" w:lineRule="auto"/>
              <w:contextualSpacing/>
              <w:jc w:val="right"/>
              <w:rPr>
                <w:rFonts w:cs="Arial"/>
                <w:color w:val="000000"/>
                <w:sz w:val="22"/>
                <w:szCs w:val="22"/>
                <w:lang w:val="en-ZA"/>
              </w:rPr>
            </w:pPr>
            <w:r w:rsidRPr="008633D2">
              <w:rPr>
                <w:rFonts w:cs="Arial"/>
                <w:color w:val="000000"/>
                <w:sz w:val="22"/>
                <w:szCs w:val="22"/>
                <w:lang w:val="en-ZA"/>
              </w:rPr>
              <w:t>39</w:t>
            </w:r>
          </w:p>
        </w:tc>
        <w:tc>
          <w:tcPr>
            <w:tcW w:w="803" w:type="pct"/>
            <w:shd w:val="clear" w:color="auto" w:fill="auto"/>
            <w:noWrap/>
            <w:tcMar>
              <w:top w:w="15" w:type="dxa"/>
              <w:left w:w="15" w:type="dxa"/>
              <w:bottom w:w="0" w:type="dxa"/>
              <w:right w:w="15" w:type="dxa"/>
            </w:tcMar>
            <w:hideMark/>
          </w:tcPr>
          <w:p w:rsidR="00141A37" w:rsidRPr="008633D2" w:rsidRDefault="00141A37" w:rsidP="00141A37">
            <w:pPr>
              <w:spacing w:line="240" w:lineRule="auto"/>
              <w:contextualSpacing/>
              <w:jc w:val="right"/>
              <w:rPr>
                <w:rFonts w:cs="Arial"/>
                <w:color w:val="000000"/>
                <w:sz w:val="22"/>
                <w:szCs w:val="22"/>
                <w:lang w:val="en-ZA"/>
              </w:rPr>
            </w:pPr>
            <w:r w:rsidRPr="008633D2">
              <w:rPr>
                <w:rFonts w:cs="Arial"/>
                <w:color w:val="000000"/>
                <w:sz w:val="22"/>
                <w:szCs w:val="22"/>
                <w:lang w:val="en-ZA"/>
              </w:rPr>
              <w:t>22</w:t>
            </w:r>
          </w:p>
        </w:tc>
        <w:tc>
          <w:tcPr>
            <w:tcW w:w="803" w:type="pct"/>
            <w:shd w:val="clear" w:color="auto" w:fill="auto"/>
            <w:noWrap/>
            <w:tcMar>
              <w:top w:w="15" w:type="dxa"/>
              <w:left w:w="15" w:type="dxa"/>
              <w:bottom w:w="0" w:type="dxa"/>
              <w:right w:w="15" w:type="dxa"/>
            </w:tcMar>
            <w:hideMark/>
          </w:tcPr>
          <w:p w:rsidR="00141A37" w:rsidRPr="008633D2" w:rsidRDefault="00141A37" w:rsidP="00141A37">
            <w:pPr>
              <w:spacing w:line="240" w:lineRule="auto"/>
              <w:contextualSpacing/>
              <w:jc w:val="right"/>
              <w:rPr>
                <w:rFonts w:cs="Arial"/>
                <w:color w:val="000000"/>
                <w:sz w:val="22"/>
                <w:szCs w:val="22"/>
                <w:lang w:val="en-ZA"/>
              </w:rPr>
            </w:pPr>
            <w:r w:rsidRPr="008633D2">
              <w:rPr>
                <w:rFonts w:cs="Arial"/>
                <w:color w:val="000000"/>
                <w:sz w:val="22"/>
                <w:szCs w:val="22"/>
                <w:lang w:val="en-ZA"/>
              </w:rPr>
              <w:t>5</w:t>
            </w:r>
          </w:p>
        </w:tc>
      </w:tr>
      <w:tr w:rsidR="00141A37" w:rsidRPr="008633D2" w:rsidTr="004F7551">
        <w:trPr>
          <w:trHeight w:val="300"/>
        </w:trPr>
        <w:tc>
          <w:tcPr>
            <w:tcW w:w="575" w:type="pct"/>
            <w:vMerge w:val="restart"/>
            <w:shd w:val="clear" w:color="000000" w:fill="95B3D7"/>
            <w:noWrap/>
            <w:tcMar>
              <w:top w:w="15" w:type="dxa"/>
              <w:left w:w="15" w:type="dxa"/>
              <w:bottom w:w="0" w:type="dxa"/>
              <w:right w:w="15" w:type="dxa"/>
            </w:tcMar>
            <w:vAlign w:val="center"/>
            <w:hideMark/>
          </w:tcPr>
          <w:p w:rsidR="00141A37" w:rsidRPr="008633D2" w:rsidRDefault="00141A37" w:rsidP="00141A37">
            <w:pPr>
              <w:spacing w:line="240" w:lineRule="auto"/>
              <w:contextualSpacing/>
              <w:rPr>
                <w:rFonts w:cs="Arial"/>
                <w:b/>
                <w:bCs/>
                <w:color w:val="000000"/>
                <w:sz w:val="22"/>
                <w:szCs w:val="22"/>
                <w:lang w:val="en-ZA"/>
              </w:rPr>
            </w:pPr>
            <w:r w:rsidRPr="008633D2">
              <w:rPr>
                <w:rFonts w:cs="Arial"/>
                <w:b/>
                <w:bCs/>
                <w:color w:val="000000"/>
                <w:sz w:val="22"/>
                <w:szCs w:val="22"/>
                <w:lang w:val="en-ZA"/>
              </w:rPr>
              <w:t>Male</w:t>
            </w:r>
          </w:p>
        </w:tc>
        <w:tc>
          <w:tcPr>
            <w:tcW w:w="1213" w:type="pct"/>
            <w:shd w:val="clear" w:color="000000" w:fill="B8CCE4"/>
            <w:noWrap/>
            <w:tcMar>
              <w:top w:w="15" w:type="dxa"/>
              <w:left w:w="15" w:type="dxa"/>
              <w:bottom w:w="0" w:type="dxa"/>
              <w:right w:w="15" w:type="dxa"/>
            </w:tcMar>
            <w:vAlign w:val="bottom"/>
            <w:hideMark/>
          </w:tcPr>
          <w:p w:rsidR="00141A37" w:rsidRPr="008633D2" w:rsidRDefault="00141A37" w:rsidP="00141A37">
            <w:pPr>
              <w:spacing w:line="240" w:lineRule="auto"/>
              <w:contextualSpacing/>
              <w:rPr>
                <w:rFonts w:cs="Arial"/>
                <w:color w:val="000000"/>
                <w:sz w:val="22"/>
                <w:szCs w:val="22"/>
                <w:lang w:val="en-ZA"/>
              </w:rPr>
            </w:pPr>
            <w:r w:rsidRPr="008633D2">
              <w:rPr>
                <w:rFonts w:cs="Arial"/>
                <w:color w:val="000000"/>
                <w:sz w:val="22"/>
                <w:szCs w:val="22"/>
                <w:lang w:val="en-ZA"/>
              </w:rPr>
              <w:t>Mean</w:t>
            </w:r>
          </w:p>
        </w:tc>
        <w:tc>
          <w:tcPr>
            <w:tcW w:w="803" w:type="pct"/>
            <w:shd w:val="clear" w:color="auto" w:fill="auto"/>
            <w:noWrap/>
            <w:tcMar>
              <w:top w:w="15" w:type="dxa"/>
              <w:left w:w="15" w:type="dxa"/>
              <w:bottom w:w="0" w:type="dxa"/>
              <w:right w:w="15" w:type="dxa"/>
            </w:tcMar>
            <w:hideMark/>
          </w:tcPr>
          <w:p w:rsidR="00141A37" w:rsidRPr="008633D2" w:rsidRDefault="00141A37" w:rsidP="00141A37">
            <w:pPr>
              <w:spacing w:line="240" w:lineRule="auto"/>
              <w:contextualSpacing/>
              <w:jc w:val="right"/>
              <w:rPr>
                <w:rFonts w:cs="Arial"/>
                <w:color w:val="000000"/>
                <w:sz w:val="22"/>
                <w:szCs w:val="22"/>
                <w:lang w:val="en-ZA"/>
              </w:rPr>
            </w:pPr>
            <w:r w:rsidRPr="008633D2">
              <w:rPr>
                <w:rFonts w:cs="Arial"/>
                <w:color w:val="000000"/>
                <w:sz w:val="22"/>
                <w:szCs w:val="22"/>
                <w:lang w:val="en-ZA"/>
              </w:rPr>
              <w:t>7.74%</w:t>
            </w:r>
          </w:p>
        </w:tc>
        <w:tc>
          <w:tcPr>
            <w:tcW w:w="803" w:type="pct"/>
            <w:shd w:val="clear" w:color="auto" w:fill="auto"/>
            <w:noWrap/>
            <w:tcMar>
              <w:top w:w="15" w:type="dxa"/>
              <w:left w:w="15" w:type="dxa"/>
              <w:bottom w:w="0" w:type="dxa"/>
              <w:right w:w="15" w:type="dxa"/>
            </w:tcMar>
            <w:hideMark/>
          </w:tcPr>
          <w:p w:rsidR="00141A37" w:rsidRPr="008633D2" w:rsidRDefault="00141A37" w:rsidP="00141A37">
            <w:pPr>
              <w:spacing w:line="240" w:lineRule="auto"/>
              <w:contextualSpacing/>
              <w:jc w:val="right"/>
              <w:rPr>
                <w:rFonts w:cs="Arial"/>
                <w:color w:val="000000"/>
                <w:sz w:val="22"/>
                <w:szCs w:val="22"/>
                <w:lang w:val="en-ZA"/>
              </w:rPr>
            </w:pPr>
            <w:r w:rsidRPr="008633D2">
              <w:rPr>
                <w:rFonts w:cs="Arial"/>
                <w:color w:val="000000"/>
                <w:sz w:val="22"/>
                <w:szCs w:val="22"/>
                <w:lang w:val="en-ZA"/>
              </w:rPr>
              <w:t>13.93%</w:t>
            </w:r>
          </w:p>
        </w:tc>
        <w:tc>
          <w:tcPr>
            <w:tcW w:w="803" w:type="pct"/>
            <w:shd w:val="clear" w:color="auto" w:fill="auto"/>
            <w:noWrap/>
            <w:tcMar>
              <w:top w:w="15" w:type="dxa"/>
              <w:left w:w="15" w:type="dxa"/>
              <w:bottom w:w="0" w:type="dxa"/>
              <w:right w:w="15" w:type="dxa"/>
            </w:tcMar>
            <w:hideMark/>
          </w:tcPr>
          <w:p w:rsidR="00141A37" w:rsidRPr="008633D2" w:rsidRDefault="00141A37" w:rsidP="00141A37">
            <w:pPr>
              <w:spacing w:line="240" w:lineRule="auto"/>
              <w:contextualSpacing/>
              <w:jc w:val="right"/>
              <w:rPr>
                <w:rFonts w:cs="Arial"/>
                <w:color w:val="000000"/>
                <w:sz w:val="22"/>
                <w:szCs w:val="22"/>
                <w:lang w:val="en-ZA"/>
              </w:rPr>
            </w:pPr>
            <w:r w:rsidRPr="008633D2">
              <w:rPr>
                <w:rFonts w:cs="Arial"/>
                <w:color w:val="000000"/>
                <w:sz w:val="22"/>
                <w:szCs w:val="22"/>
                <w:lang w:val="en-ZA"/>
              </w:rPr>
              <w:t>11.49%</w:t>
            </w:r>
          </w:p>
        </w:tc>
        <w:tc>
          <w:tcPr>
            <w:tcW w:w="803" w:type="pct"/>
            <w:shd w:val="clear" w:color="auto" w:fill="auto"/>
            <w:noWrap/>
            <w:tcMar>
              <w:top w:w="15" w:type="dxa"/>
              <w:left w:w="15" w:type="dxa"/>
              <w:bottom w:w="0" w:type="dxa"/>
              <w:right w:w="15" w:type="dxa"/>
            </w:tcMar>
            <w:hideMark/>
          </w:tcPr>
          <w:p w:rsidR="00141A37" w:rsidRPr="008633D2" w:rsidRDefault="00141A37" w:rsidP="00141A37">
            <w:pPr>
              <w:spacing w:line="240" w:lineRule="auto"/>
              <w:contextualSpacing/>
              <w:jc w:val="right"/>
              <w:rPr>
                <w:rFonts w:cs="Arial"/>
                <w:color w:val="000000"/>
                <w:sz w:val="22"/>
                <w:szCs w:val="22"/>
                <w:lang w:val="en-ZA"/>
              </w:rPr>
            </w:pPr>
            <w:r w:rsidRPr="008633D2">
              <w:rPr>
                <w:rFonts w:cs="Arial"/>
                <w:color w:val="000000"/>
                <w:sz w:val="22"/>
                <w:szCs w:val="22"/>
                <w:lang w:val="en-ZA"/>
              </w:rPr>
              <w:t>10.68%</w:t>
            </w:r>
          </w:p>
        </w:tc>
      </w:tr>
      <w:tr w:rsidR="00141A37" w:rsidRPr="008633D2" w:rsidTr="004F7551">
        <w:trPr>
          <w:trHeight w:val="300"/>
        </w:trPr>
        <w:tc>
          <w:tcPr>
            <w:tcW w:w="575" w:type="pct"/>
            <w:vMerge/>
            <w:vAlign w:val="center"/>
            <w:hideMark/>
          </w:tcPr>
          <w:p w:rsidR="00141A37" w:rsidRPr="008633D2" w:rsidRDefault="00141A37" w:rsidP="00141A37">
            <w:pPr>
              <w:spacing w:line="240" w:lineRule="auto"/>
              <w:contextualSpacing/>
              <w:rPr>
                <w:rFonts w:cs="Arial"/>
                <w:b/>
                <w:bCs/>
                <w:color w:val="000000"/>
                <w:sz w:val="22"/>
                <w:szCs w:val="22"/>
                <w:lang w:val="en-ZA"/>
              </w:rPr>
            </w:pPr>
          </w:p>
        </w:tc>
        <w:tc>
          <w:tcPr>
            <w:tcW w:w="1213" w:type="pct"/>
            <w:shd w:val="clear" w:color="000000" w:fill="B8CCE4"/>
            <w:noWrap/>
            <w:tcMar>
              <w:top w:w="15" w:type="dxa"/>
              <w:left w:w="15" w:type="dxa"/>
              <w:bottom w:w="0" w:type="dxa"/>
              <w:right w:w="15" w:type="dxa"/>
            </w:tcMar>
            <w:vAlign w:val="bottom"/>
            <w:hideMark/>
          </w:tcPr>
          <w:p w:rsidR="00141A37" w:rsidRPr="008633D2" w:rsidRDefault="00E26773" w:rsidP="00141A37">
            <w:pPr>
              <w:spacing w:line="240" w:lineRule="auto"/>
              <w:contextualSpacing/>
              <w:rPr>
                <w:rFonts w:cs="Arial"/>
                <w:color w:val="000000"/>
                <w:sz w:val="22"/>
                <w:szCs w:val="22"/>
                <w:lang w:val="en-ZA"/>
              </w:rPr>
            </w:pPr>
            <w:r w:rsidRPr="008633D2">
              <w:rPr>
                <w:rFonts w:cs="Arial"/>
                <w:color w:val="000000"/>
                <w:sz w:val="22"/>
                <w:szCs w:val="22"/>
                <w:lang w:val="en-ZA"/>
              </w:rPr>
              <w:t>St</w:t>
            </w:r>
            <w:r>
              <w:rPr>
                <w:rFonts w:cs="Arial"/>
                <w:color w:val="000000"/>
                <w:sz w:val="22"/>
                <w:szCs w:val="22"/>
                <w:lang w:val="en-ZA"/>
              </w:rPr>
              <w:t>andard  deviation</w:t>
            </w:r>
          </w:p>
        </w:tc>
        <w:tc>
          <w:tcPr>
            <w:tcW w:w="803" w:type="pct"/>
            <w:shd w:val="clear" w:color="auto" w:fill="auto"/>
            <w:noWrap/>
            <w:tcMar>
              <w:top w:w="15" w:type="dxa"/>
              <w:left w:w="15" w:type="dxa"/>
              <w:bottom w:w="0" w:type="dxa"/>
              <w:right w:w="15" w:type="dxa"/>
            </w:tcMar>
            <w:hideMark/>
          </w:tcPr>
          <w:p w:rsidR="00141A37" w:rsidRPr="008633D2" w:rsidRDefault="00141A37" w:rsidP="00141A37">
            <w:pPr>
              <w:spacing w:line="240" w:lineRule="auto"/>
              <w:contextualSpacing/>
              <w:jc w:val="right"/>
              <w:rPr>
                <w:rFonts w:cs="Arial"/>
                <w:color w:val="000000"/>
                <w:sz w:val="22"/>
                <w:szCs w:val="22"/>
                <w:lang w:val="en-ZA"/>
              </w:rPr>
            </w:pPr>
            <w:r w:rsidRPr="008633D2">
              <w:rPr>
                <w:rFonts w:cs="Arial"/>
                <w:color w:val="000000"/>
                <w:sz w:val="22"/>
                <w:szCs w:val="22"/>
                <w:lang w:val="en-ZA"/>
              </w:rPr>
              <w:t>5.72%</w:t>
            </w:r>
          </w:p>
        </w:tc>
        <w:tc>
          <w:tcPr>
            <w:tcW w:w="803" w:type="pct"/>
            <w:shd w:val="clear" w:color="auto" w:fill="auto"/>
            <w:noWrap/>
            <w:tcMar>
              <w:top w:w="15" w:type="dxa"/>
              <w:left w:w="15" w:type="dxa"/>
              <w:bottom w:w="0" w:type="dxa"/>
              <w:right w:w="15" w:type="dxa"/>
            </w:tcMar>
            <w:hideMark/>
          </w:tcPr>
          <w:p w:rsidR="00141A37" w:rsidRPr="008633D2" w:rsidRDefault="00141A37" w:rsidP="00141A37">
            <w:pPr>
              <w:spacing w:line="240" w:lineRule="auto"/>
              <w:contextualSpacing/>
              <w:jc w:val="right"/>
              <w:rPr>
                <w:rFonts w:cs="Arial"/>
                <w:color w:val="000000"/>
                <w:sz w:val="22"/>
                <w:szCs w:val="22"/>
                <w:lang w:val="en-ZA"/>
              </w:rPr>
            </w:pPr>
            <w:r w:rsidRPr="008633D2">
              <w:rPr>
                <w:rFonts w:cs="Arial"/>
                <w:color w:val="000000"/>
                <w:sz w:val="22"/>
                <w:szCs w:val="22"/>
                <w:lang w:val="en-ZA"/>
              </w:rPr>
              <w:t>6.94%</w:t>
            </w:r>
          </w:p>
        </w:tc>
        <w:tc>
          <w:tcPr>
            <w:tcW w:w="803" w:type="pct"/>
            <w:shd w:val="clear" w:color="auto" w:fill="auto"/>
            <w:noWrap/>
            <w:tcMar>
              <w:top w:w="15" w:type="dxa"/>
              <w:left w:w="15" w:type="dxa"/>
              <w:bottom w:w="0" w:type="dxa"/>
              <w:right w:w="15" w:type="dxa"/>
            </w:tcMar>
            <w:hideMark/>
          </w:tcPr>
          <w:p w:rsidR="00141A37" w:rsidRPr="008633D2" w:rsidRDefault="00141A37" w:rsidP="00141A37">
            <w:pPr>
              <w:spacing w:line="240" w:lineRule="auto"/>
              <w:contextualSpacing/>
              <w:jc w:val="right"/>
              <w:rPr>
                <w:rFonts w:cs="Arial"/>
                <w:color w:val="000000"/>
                <w:sz w:val="22"/>
                <w:szCs w:val="22"/>
                <w:lang w:val="en-ZA"/>
              </w:rPr>
            </w:pPr>
            <w:r w:rsidRPr="008633D2">
              <w:rPr>
                <w:rFonts w:cs="Arial"/>
                <w:color w:val="000000"/>
                <w:sz w:val="22"/>
                <w:szCs w:val="22"/>
                <w:lang w:val="en-ZA"/>
              </w:rPr>
              <w:t>6.54%</w:t>
            </w:r>
          </w:p>
        </w:tc>
        <w:tc>
          <w:tcPr>
            <w:tcW w:w="803" w:type="pct"/>
            <w:shd w:val="clear" w:color="auto" w:fill="auto"/>
            <w:noWrap/>
            <w:tcMar>
              <w:top w:w="15" w:type="dxa"/>
              <w:left w:w="15" w:type="dxa"/>
              <w:bottom w:w="0" w:type="dxa"/>
              <w:right w:w="15" w:type="dxa"/>
            </w:tcMar>
            <w:hideMark/>
          </w:tcPr>
          <w:p w:rsidR="00141A37" w:rsidRPr="008633D2" w:rsidRDefault="00141A37" w:rsidP="00141A37">
            <w:pPr>
              <w:spacing w:line="240" w:lineRule="auto"/>
              <w:contextualSpacing/>
              <w:jc w:val="right"/>
              <w:rPr>
                <w:rFonts w:cs="Arial"/>
                <w:color w:val="000000"/>
                <w:sz w:val="22"/>
                <w:szCs w:val="22"/>
                <w:lang w:val="en-ZA"/>
              </w:rPr>
            </w:pPr>
            <w:r w:rsidRPr="008633D2">
              <w:rPr>
                <w:rFonts w:cs="Arial"/>
                <w:color w:val="000000"/>
                <w:sz w:val="22"/>
                <w:szCs w:val="22"/>
                <w:lang w:val="en-ZA"/>
              </w:rPr>
              <w:t>4.10%</w:t>
            </w:r>
          </w:p>
        </w:tc>
      </w:tr>
      <w:tr w:rsidR="00141A37" w:rsidRPr="008633D2" w:rsidTr="004F7551">
        <w:trPr>
          <w:trHeight w:val="300"/>
        </w:trPr>
        <w:tc>
          <w:tcPr>
            <w:tcW w:w="575" w:type="pct"/>
            <w:vMerge/>
            <w:vAlign w:val="center"/>
            <w:hideMark/>
          </w:tcPr>
          <w:p w:rsidR="00141A37" w:rsidRPr="008633D2" w:rsidRDefault="00141A37" w:rsidP="00141A37">
            <w:pPr>
              <w:spacing w:line="240" w:lineRule="auto"/>
              <w:contextualSpacing/>
              <w:rPr>
                <w:rFonts w:cs="Arial"/>
                <w:b/>
                <w:bCs/>
                <w:color w:val="000000"/>
                <w:sz w:val="22"/>
                <w:szCs w:val="22"/>
                <w:lang w:val="en-ZA"/>
              </w:rPr>
            </w:pPr>
          </w:p>
        </w:tc>
        <w:tc>
          <w:tcPr>
            <w:tcW w:w="1213" w:type="pct"/>
            <w:shd w:val="clear" w:color="000000" w:fill="B8CCE4"/>
            <w:noWrap/>
            <w:tcMar>
              <w:top w:w="15" w:type="dxa"/>
              <w:left w:w="15" w:type="dxa"/>
              <w:bottom w:w="0" w:type="dxa"/>
              <w:right w:w="15" w:type="dxa"/>
            </w:tcMar>
            <w:vAlign w:val="bottom"/>
            <w:hideMark/>
          </w:tcPr>
          <w:p w:rsidR="00141A37" w:rsidRPr="008633D2" w:rsidRDefault="00141A37" w:rsidP="00141A37">
            <w:pPr>
              <w:spacing w:line="240" w:lineRule="auto"/>
              <w:contextualSpacing/>
              <w:rPr>
                <w:rFonts w:cs="Arial"/>
                <w:color w:val="000000"/>
                <w:sz w:val="22"/>
                <w:szCs w:val="22"/>
                <w:lang w:val="en-ZA"/>
              </w:rPr>
            </w:pPr>
            <w:r w:rsidRPr="008633D2">
              <w:rPr>
                <w:rFonts w:cs="Arial"/>
                <w:color w:val="000000"/>
                <w:sz w:val="22"/>
                <w:szCs w:val="22"/>
                <w:lang w:val="en-ZA"/>
              </w:rPr>
              <w:t>Count</w:t>
            </w:r>
          </w:p>
        </w:tc>
        <w:tc>
          <w:tcPr>
            <w:tcW w:w="803" w:type="pct"/>
            <w:shd w:val="clear" w:color="auto" w:fill="auto"/>
            <w:noWrap/>
            <w:tcMar>
              <w:top w:w="15" w:type="dxa"/>
              <w:left w:w="15" w:type="dxa"/>
              <w:bottom w:w="0" w:type="dxa"/>
              <w:right w:w="15" w:type="dxa"/>
            </w:tcMar>
            <w:hideMark/>
          </w:tcPr>
          <w:p w:rsidR="00141A37" w:rsidRPr="008633D2" w:rsidRDefault="00141A37" w:rsidP="00141A37">
            <w:pPr>
              <w:spacing w:line="240" w:lineRule="auto"/>
              <w:contextualSpacing/>
              <w:jc w:val="right"/>
              <w:rPr>
                <w:rFonts w:cs="Arial"/>
                <w:color w:val="000000"/>
                <w:sz w:val="22"/>
                <w:szCs w:val="22"/>
                <w:lang w:val="en-ZA"/>
              </w:rPr>
            </w:pPr>
            <w:r w:rsidRPr="008633D2">
              <w:rPr>
                <w:rFonts w:cs="Arial"/>
                <w:color w:val="000000"/>
                <w:sz w:val="22"/>
                <w:szCs w:val="22"/>
                <w:lang w:val="en-ZA"/>
              </w:rPr>
              <w:t>54</w:t>
            </w:r>
          </w:p>
        </w:tc>
        <w:tc>
          <w:tcPr>
            <w:tcW w:w="803" w:type="pct"/>
            <w:shd w:val="clear" w:color="auto" w:fill="auto"/>
            <w:noWrap/>
            <w:tcMar>
              <w:top w:w="15" w:type="dxa"/>
              <w:left w:w="15" w:type="dxa"/>
              <w:bottom w:w="0" w:type="dxa"/>
              <w:right w:w="15" w:type="dxa"/>
            </w:tcMar>
            <w:hideMark/>
          </w:tcPr>
          <w:p w:rsidR="00141A37" w:rsidRPr="008633D2" w:rsidRDefault="00141A37" w:rsidP="00141A37">
            <w:pPr>
              <w:spacing w:line="240" w:lineRule="auto"/>
              <w:contextualSpacing/>
              <w:jc w:val="right"/>
              <w:rPr>
                <w:rFonts w:cs="Arial"/>
                <w:color w:val="000000"/>
                <w:sz w:val="22"/>
                <w:szCs w:val="22"/>
                <w:lang w:val="en-ZA"/>
              </w:rPr>
            </w:pPr>
            <w:r w:rsidRPr="008633D2">
              <w:rPr>
                <w:rFonts w:cs="Arial"/>
                <w:color w:val="000000"/>
                <w:sz w:val="22"/>
                <w:szCs w:val="22"/>
                <w:lang w:val="en-ZA"/>
              </w:rPr>
              <w:t>37</w:t>
            </w:r>
          </w:p>
        </w:tc>
        <w:tc>
          <w:tcPr>
            <w:tcW w:w="803" w:type="pct"/>
            <w:shd w:val="clear" w:color="auto" w:fill="auto"/>
            <w:noWrap/>
            <w:tcMar>
              <w:top w:w="15" w:type="dxa"/>
              <w:left w:w="15" w:type="dxa"/>
              <w:bottom w:w="0" w:type="dxa"/>
              <w:right w:w="15" w:type="dxa"/>
            </w:tcMar>
            <w:hideMark/>
          </w:tcPr>
          <w:p w:rsidR="00141A37" w:rsidRPr="008633D2" w:rsidRDefault="00141A37" w:rsidP="00141A37">
            <w:pPr>
              <w:spacing w:line="240" w:lineRule="auto"/>
              <w:contextualSpacing/>
              <w:jc w:val="right"/>
              <w:rPr>
                <w:rFonts w:cs="Arial"/>
                <w:color w:val="000000"/>
                <w:sz w:val="22"/>
                <w:szCs w:val="22"/>
                <w:lang w:val="en-ZA"/>
              </w:rPr>
            </w:pPr>
            <w:r w:rsidRPr="008633D2">
              <w:rPr>
                <w:rFonts w:cs="Arial"/>
                <w:color w:val="000000"/>
                <w:sz w:val="22"/>
                <w:szCs w:val="22"/>
                <w:lang w:val="en-ZA"/>
              </w:rPr>
              <w:t>21</w:t>
            </w:r>
          </w:p>
        </w:tc>
        <w:tc>
          <w:tcPr>
            <w:tcW w:w="803" w:type="pct"/>
            <w:shd w:val="clear" w:color="auto" w:fill="auto"/>
            <w:noWrap/>
            <w:tcMar>
              <w:top w:w="15" w:type="dxa"/>
              <w:left w:w="15" w:type="dxa"/>
              <w:bottom w:w="0" w:type="dxa"/>
              <w:right w:w="15" w:type="dxa"/>
            </w:tcMar>
            <w:hideMark/>
          </w:tcPr>
          <w:p w:rsidR="00141A37" w:rsidRPr="008633D2" w:rsidRDefault="00141A37" w:rsidP="00141A37">
            <w:pPr>
              <w:spacing w:line="240" w:lineRule="auto"/>
              <w:contextualSpacing/>
              <w:jc w:val="right"/>
              <w:rPr>
                <w:rFonts w:cs="Arial"/>
                <w:color w:val="000000"/>
                <w:sz w:val="22"/>
                <w:szCs w:val="22"/>
                <w:lang w:val="en-ZA"/>
              </w:rPr>
            </w:pPr>
            <w:r w:rsidRPr="008633D2">
              <w:rPr>
                <w:rFonts w:cs="Arial"/>
                <w:color w:val="000000"/>
                <w:sz w:val="22"/>
                <w:szCs w:val="22"/>
                <w:lang w:val="en-ZA"/>
              </w:rPr>
              <w:t>3</w:t>
            </w:r>
          </w:p>
        </w:tc>
      </w:tr>
      <w:tr w:rsidR="00141A37" w:rsidRPr="008633D2" w:rsidTr="004F7551">
        <w:trPr>
          <w:trHeight w:val="300"/>
        </w:trPr>
        <w:tc>
          <w:tcPr>
            <w:tcW w:w="1788" w:type="pct"/>
            <w:gridSpan w:val="2"/>
            <w:shd w:val="clear" w:color="000000" w:fill="95B3D7"/>
            <w:noWrap/>
            <w:tcMar>
              <w:top w:w="15" w:type="dxa"/>
              <w:left w:w="15" w:type="dxa"/>
              <w:bottom w:w="0" w:type="dxa"/>
              <w:right w:w="15" w:type="dxa"/>
            </w:tcMar>
            <w:vAlign w:val="bottom"/>
            <w:hideMark/>
          </w:tcPr>
          <w:p w:rsidR="00141A37" w:rsidRPr="008633D2" w:rsidRDefault="00E26773" w:rsidP="00141A37">
            <w:pPr>
              <w:spacing w:line="240" w:lineRule="auto"/>
              <w:contextualSpacing/>
              <w:rPr>
                <w:rFonts w:cs="Arial"/>
                <w:b/>
                <w:bCs/>
                <w:color w:val="000000"/>
                <w:sz w:val="22"/>
                <w:szCs w:val="22"/>
                <w:lang w:val="en-ZA"/>
              </w:rPr>
            </w:pPr>
            <w:r>
              <w:rPr>
                <w:rFonts w:cs="Arial"/>
                <w:b/>
                <w:bCs/>
                <w:color w:val="000000"/>
                <w:sz w:val="22"/>
                <w:szCs w:val="22"/>
                <w:lang w:val="en-ZA"/>
              </w:rPr>
              <w:t>t-test result</w:t>
            </w:r>
          </w:p>
        </w:tc>
        <w:tc>
          <w:tcPr>
            <w:tcW w:w="803" w:type="pct"/>
            <w:shd w:val="clear" w:color="000000" w:fill="95B3D7"/>
            <w:noWrap/>
            <w:tcMar>
              <w:top w:w="15" w:type="dxa"/>
              <w:left w:w="15" w:type="dxa"/>
              <w:bottom w:w="0" w:type="dxa"/>
              <w:right w:w="15" w:type="dxa"/>
            </w:tcMar>
            <w:hideMark/>
          </w:tcPr>
          <w:p w:rsidR="00141A37" w:rsidRPr="008633D2" w:rsidRDefault="00141A37" w:rsidP="00141A37">
            <w:pPr>
              <w:spacing w:line="240" w:lineRule="auto"/>
              <w:contextualSpacing/>
              <w:jc w:val="right"/>
              <w:rPr>
                <w:rFonts w:cs="Arial"/>
                <w:color w:val="000000"/>
                <w:sz w:val="22"/>
                <w:szCs w:val="22"/>
                <w:lang w:val="en-ZA"/>
              </w:rPr>
            </w:pPr>
            <w:r w:rsidRPr="008633D2">
              <w:rPr>
                <w:rFonts w:cs="Arial"/>
                <w:color w:val="000000"/>
                <w:sz w:val="22"/>
                <w:szCs w:val="22"/>
                <w:lang w:val="en-ZA"/>
              </w:rPr>
              <w:t>0.8869</w:t>
            </w:r>
          </w:p>
        </w:tc>
        <w:tc>
          <w:tcPr>
            <w:tcW w:w="803" w:type="pct"/>
            <w:shd w:val="clear" w:color="000000" w:fill="95B3D7"/>
            <w:noWrap/>
            <w:tcMar>
              <w:top w:w="15" w:type="dxa"/>
              <w:left w:w="15" w:type="dxa"/>
              <w:bottom w:w="0" w:type="dxa"/>
              <w:right w:w="15" w:type="dxa"/>
            </w:tcMar>
            <w:hideMark/>
          </w:tcPr>
          <w:p w:rsidR="00141A37" w:rsidRPr="008633D2" w:rsidRDefault="00141A37" w:rsidP="00141A37">
            <w:pPr>
              <w:spacing w:line="240" w:lineRule="auto"/>
              <w:contextualSpacing/>
              <w:jc w:val="right"/>
              <w:rPr>
                <w:rFonts w:cs="Arial"/>
                <w:color w:val="000000"/>
                <w:sz w:val="22"/>
                <w:szCs w:val="22"/>
                <w:lang w:val="en-ZA"/>
              </w:rPr>
            </w:pPr>
            <w:r w:rsidRPr="008633D2">
              <w:rPr>
                <w:rFonts w:cs="Arial"/>
                <w:color w:val="000000"/>
                <w:sz w:val="22"/>
                <w:szCs w:val="22"/>
                <w:lang w:val="en-ZA"/>
              </w:rPr>
              <w:t>0.0704</w:t>
            </w:r>
          </w:p>
        </w:tc>
        <w:tc>
          <w:tcPr>
            <w:tcW w:w="803" w:type="pct"/>
            <w:shd w:val="clear" w:color="000000" w:fill="95B3D7"/>
            <w:noWrap/>
            <w:tcMar>
              <w:top w:w="15" w:type="dxa"/>
              <w:left w:w="15" w:type="dxa"/>
              <w:bottom w:w="0" w:type="dxa"/>
              <w:right w:w="15" w:type="dxa"/>
            </w:tcMar>
            <w:hideMark/>
          </w:tcPr>
          <w:p w:rsidR="00141A37" w:rsidRPr="008633D2" w:rsidRDefault="00141A37" w:rsidP="00141A37">
            <w:pPr>
              <w:spacing w:line="240" w:lineRule="auto"/>
              <w:contextualSpacing/>
              <w:jc w:val="right"/>
              <w:rPr>
                <w:rFonts w:cs="Arial"/>
                <w:color w:val="000000"/>
                <w:sz w:val="22"/>
                <w:szCs w:val="22"/>
                <w:lang w:val="en-ZA"/>
              </w:rPr>
            </w:pPr>
            <w:r w:rsidRPr="008633D2">
              <w:rPr>
                <w:rFonts w:cs="Arial"/>
                <w:color w:val="000000"/>
                <w:sz w:val="22"/>
                <w:szCs w:val="22"/>
                <w:lang w:val="en-ZA"/>
              </w:rPr>
              <w:t>0.3885</w:t>
            </w:r>
          </w:p>
        </w:tc>
        <w:tc>
          <w:tcPr>
            <w:tcW w:w="803" w:type="pct"/>
            <w:shd w:val="clear" w:color="000000" w:fill="95B3D7"/>
            <w:noWrap/>
            <w:tcMar>
              <w:top w:w="15" w:type="dxa"/>
              <w:left w:w="15" w:type="dxa"/>
              <w:bottom w:w="0" w:type="dxa"/>
              <w:right w:w="15" w:type="dxa"/>
            </w:tcMar>
            <w:hideMark/>
          </w:tcPr>
          <w:p w:rsidR="00141A37" w:rsidRPr="008633D2" w:rsidRDefault="00141A37" w:rsidP="00141A37">
            <w:pPr>
              <w:spacing w:line="240" w:lineRule="auto"/>
              <w:contextualSpacing/>
              <w:jc w:val="right"/>
              <w:rPr>
                <w:rFonts w:cs="Arial"/>
                <w:color w:val="000000"/>
                <w:sz w:val="22"/>
                <w:szCs w:val="22"/>
                <w:lang w:val="en-ZA"/>
              </w:rPr>
            </w:pPr>
            <w:r w:rsidRPr="008633D2">
              <w:rPr>
                <w:rFonts w:cs="Arial"/>
                <w:color w:val="000000"/>
                <w:sz w:val="22"/>
                <w:szCs w:val="22"/>
                <w:lang w:val="en-ZA"/>
              </w:rPr>
              <w:t>-0.0386</w:t>
            </w:r>
          </w:p>
        </w:tc>
      </w:tr>
      <w:tr w:rsidR="00141A37" w:rsidRPr="008633D2" w:rsidTr="004F7551">
        <w:trPr>
          <w:trHeight w:val="300"/>
        </w:trPr>
        <w:tc>
          <w:tcPr>
            <w:tcW w:w="1788" w:type="pct"/>
            <w:gridSpan w:val="2"/>
            <w:shd w:val="clear" w:color="000000" w:fill="95B3D7"/>
            <w:noWrap/>
            <w:tcMar>
              <w:top w:w="15" w:type="dxa"/>
              <w:left w:w="15" w:type="dxa"/>
              <w:bottom w:w="0" w:type="dxa"/>
              <w:right w:w="15" w:type="dxa"/>
            </w:tcMar>
            <w:vAlign w:val="bottom"/>
            <w:hideMark/>
          </w:tcPr>
          <w:p w:rsidR="00141A37" w:rsidRPr="008633D2" w:rsidRDefault="00141A37" w:rsidP="00141A37">
            <w:pPr>
              <w:spacing w:line="240" w:lineRule="auto"/>
              <w:contextualSpacing/>
              <w:rPr>
                <w:rFonts w:cs="Arial"/>
                <w:b/>
                <w:bCs/>
                <w:color w:val="000000"/>
                <w:sz w:val="22"/>
                <w:szCs w:val="22"/>
                <w:lang w:val="en-ZA"/>
              </w:rPr>
            </w:pPr>
            <w:r w:rsidRPr="008633D2">
              <w:rPr>
                <w:rFonts w:cs="Arial"/>
                <w:b/>
                <w:bCs/>
                <w:color w:val="000000"/>
                <w:sz w:val="22"/>
                <w:szCs w:val="22"/>
                <w:lang w:val="en-ZA"/>
              </w:rPr>
              <w:t>p-value</w:t>
            </w:r>
          </w:p>
        </w:tc>
        <w:tc>
          <w:tcPr>
            <w:tcW w:w="803" w:type="pct"/>
            <w:shd w:val="clear" w:color="000000" w:fill="95B3D7"/>
            <w:noWrap/>
            <w:tcMar>
              <w:top w:w="15" w:type="dxa"/>
              <w:left w:w="15" w:type="dxa"/>
              <w:bottom w:w="0" w:type="dxa"/>
              <w:right w:w="15" w:type="dxa"/>
            </w:tcMar>
            <w:hideMark/>
          </w:tcPr>
          <w:p w:rsidR="00141A37" w:rsidRPr="008633D2" w:rsidRDefault="00141A37" w:rsidP="00141A37">
            <w:pPr>
              <w:spacing w:line="240" w:lineRule="auto"/>
              <w:contextualSpacing/>
              <w:jc w:val="right"/>
              <w:rPr>
                <w:rFonts w:cs="Arial"/>
                <w:color w:val="000000"/>
                <w:sz w:val="22"/>
                <w:szCs w:val="22"/>
                <w:lang w:val="en-ZA"/>
              </w:rPr>
            </w:pPr>
            <w:r w:rsidRPr="008633D2">
              <w:rPr>
                <w:rFonts w:cs="Arial"/>
                <w:color w:val="000000"/>
                <w:sz w:val="22"/>
                <w:szCs w:val="22"/>
                <w:lang w:val="en-ZA"/>
              </w:rPr>
              <w:t>0.3751</w:t>
            </w:r>
          </w:p>
        </w:tc>
        <w:tc>
          <w:tcPr>
            <w:tcW w:w="803" w:type="pct"/>
            <w:shd w:val="clear" w:color="000000" w:fill="95B3D7"/>
            <w:noWrap/>
            <w:tcMar>
              <w:top w:w="15" w:type="dxa"/>
              <w:left w:w="15" w:type="dxa"/>
              <w:bottom w:w="0" w:type="dxa"/>
              <w:right w:w="15" w:type="dxa"/>
            </w:tcMar>
            <w:hideMark/>
          </w:tcPr>
          <w:p w:rsidR="00141A37" w:rsidRPr="008633D2" w:rsidRDefault="00141A37" w:rsidP="00141A37">
            <w:pPr>
              <w:spacing w:line="240" w:lineRule="auto"/>
              <w:contextualSpacing/>
              <w:jc w:val="right"/>
              <w:rPr>
                <w:rFonts w:cs="Arial"/>
                <w:color w:val="000000"/>
                <w:sz w:val="22"/>
                <w:szCs w:val="22"/>
                <w:lang w:val="en-ZA"/>
              </w:rPr>
            </w:pPr>
            <w:r w:rsidRPr="008633D2">
              <w:rPr>
                <w:rFonts w:cs="Arial"/>
                <w:color w:val="000000"/>
                <w:sz w:val="22"/>
                <w:szCs w:val="22"/>
                <w:lang w:val="en-ZA"/>
              </w:rPr>
              <w:t>0.9439</w:t>
            </w:r>
          </w:p>
        </w:tc>
        <w:tc>
          <w:tcPr>
            <w:tcW w:w="803" w:type="pct"/>
            <w:shd w:val="clear" w:color="000000" w:fill="95B3D7"/>
            <w:noWrap/>
            <w:tcMar>
              <w:top w:w="15" w:type="dxa"/>
              <w:left w:w="15" w:type="dxa"/>
              <w:bottom w:w="0" w:type="dxa"/>
              <w:right w:w="15" w:type="dxa"/>
            </w:tcMar>
            <w:hideMark/>
          </w:tcPr>
          <w:p w:rsidR="00141A37" w:rsidRPr="008633D2" w:rsidRDefault="00141A37" w:rsidP="00141A37">
            <w:pPr>
              <w:spacing w:line="240" w:lineRule="auto"/>
              <w:contextualSpacing/>
              <w:jc w:val="right"/>
              <w:rPr>
                <w:rFonts w:cs="Arial"/>
                <w:color w:val="000000"/>
                <w:sz w:val="22"/>
                <w:szCs w:val="22"/>
                <w:lang w:val="en-ZA"/>
              </w:rPr>
            </w:pPr>
            <w:r w:rsidRPr="008633D2">
              <w:rPr>
                <w:rFonts w:cs="Arial"/>
                <w:color w:val="000000"/>
                <w:sz w:val="22"/>
                <w:szCs w:val="22"/>
                <w:lang w:val="en-ZA"/>
              </w:rPr>
              <w:t>0.6976</w:t>
            </w:r>
          </w:p>
        </w:tc>
        <w:tc>
          <w:tcPr>
            <w:tcW w:w="803" w:type="pct"/>
            <w:shd w:val="clear" w:color="000000" w:fill="95B3D7"/>
            <w:noWrap/>
            <w:tcMar>
              <w:top w:w="15" w:type="dxa"/>
              <w:left w:w="15" w:type="dxa"/>
              <w:bottom w:w="0" w:type="dxa"/>
              <w:right w:w="15" w:type="dxa"/>
            </w:tcMar>
            <w:hideMark/>
          </w:tcPr>
          <w:p w:rsidR="00141A37" w:rsidRPr="008633D2" w:rsidRDefault="00141A37" w:rsidP="00141A37">
            <w:pPr>
              <w:spacing w:line="240" w:lineRule="auto"/>
              <w:contextualSpacing/>
              <w:jc w:val="right"/>
              <w:rPr>
                <w:rFonts w:cs="Arial"/>
                <w:color w:val="000000"/>
                <w:sz w:val="22"/>
                <w:szCs w:val="22"/>
                <w:lang w:val="en-ZA"/>
              </w:rPr>
            </w:pPr>
            <w:r w:rsidRPr="008633D2">
              <w:rPr>
                <w:rFonts w:cs="Arial"/>
                <w:color w:val="000000"/>
                <w:sz w:val="22"/>
                <w:szCs w:val="22"/>
                <w:lang w:val="en-ZA"/>
              </w:rPr>
              <w:t>1.0308</w:t>
            </w:r>
          </w:p>
        </w:tc>
      </w:tr>
    </w:tbl>
    <w:p w:rsidR="00AE1DBB" w:rsidRPr="008633D2" w:rsidRDefault="00AE1DBB" w:rsidP="00DC395A">
      <w:pPr>
        <w:rPr>
          <w:lang w:val="en-ZA"/>
        </w:rPr>
      </w:pPr>
    </w:p>
    <w:p w:rsidR="00CF6C27" w:rsidRDefault="00F924EE" w:rsidP="00DC395A">
      <w:pPr>
        <w:rPr>
          <w:lang w:val="en-ZA"/>
        </w:rPr>
      </w:pPr>
      <w:r>
        <w:rPr>
          <w:lang w:val="en-ZA"/>
        </w:rPr>
        <w:t>This section presented information on the female managed funds and corresponding male managed funds for which the performance</w:t>
      </w:r>
      <w:r w:rsidR="00527456">
        <w:rPr>
          <w:lang w:val="en-ZA"/>
        </w:rPr>
        <w:t xml:space="preserve"> is compared. The results of </w:t>
      </w:r>
      <w:r>
        <w:rPr>
          <w:lang w:val="en-ZA"/>
        </w:rPr>
        <w:t xml:space="preserve">a direct comparison of the annualised returns between corresponding funds were also presented. The results were shown to be statistically insignificant. </w:t>
      </w:r>
    </w:p>
    <w:p w:rsidR="00F924EE" w:rsidRDefault="00F924EE" w:rsidP="00DC395A">
      <w:pPr>
        <w:rPr>
          <w:lang w:val="en-ZA"/>
        </w:rPr>
      </w:pPr>
    </w:p>
    <w:p w:rsidR="00F924EE" w:rsidRDefault="00F924EE" w:rsidP="00DC395A">
      <w:pPr>
        <w:rPr>
          <w:lang w:val="en-ZA"/>
        </w:rPr>
      </w:pPr>
    </w:p>
    <w:p w:rsidR="00765326" w:rsidRPr="008633D2" w:rsidRDefault="00765326" w:rsidP="00765326">
      <w:pPr>
        <w:pStyle w:val="Heading3"/>
        <w:rPr>
          <w:lang w:val="en-ZA"/>
        </w:rPr>
      </w:pPr>
      <w:bookmarkStart w:id="238" w:name="_Toc458610820"/>
      <w:r w:rsidRPr="008633D2">
        <w:rPr>
          <w:lang w:val="en-ZA"/>
        </w:rPr>
        <w:t xml:space="preserve">Results pertaining to the performance of </w:t>
      </w:r>
      <w:r w:rsidR="00783A56">
        <w:rPr>
          <w:lang w:val="en-ZA"/>
        </w:rPr>
        <w:t xml:space="preserve">all </w:t>
      </w:r>
      <w:r w:rsidRPr="008633D2">
        <w:rPr>
          <w:lang w:val="en-ZA"/>
        </w:rPr>
        <w:t xml:space="preserve">funds in South Africa </w:t>
      </w:r>
      <w:r w:rsidR="00783A56">
        <w:rPr>
          <w:lang w:val="en-ZA"/>
        </w:rPr>
        <w:t>by gender against each other and the benchmark</w:t>
      </w:r>
      <w:bookmarkEnd w:id="238"/>
    </w:p>
    <w:p w:rsidR="00591A26" w:rsidRDefault="00ED0783" w:rsidP="00765326">
      <w:pPr>
        <w:rPr>
          <w:lang w:val="en-ZA"/>
        </w:rPr>
      </w:pPr>
      <w:r w:rsidRPr="008633D2">
        <w:rPr>
          <w:lang w:val="en-ZA"/>
        </w:rPr>
        <w:t>As previously indicated</w:t>
      </w:r>
      <w:r w:rsidR="00084A6F">
        <w:rPr>
          <w:lang w:val="en-ZA"/>
        </w:rPr>
        <w:t>,</w:t>
      </w:r>
      <w:r w:rsidRPr="008633D2">
        <w:rPr>
          <w:lang w:val="en-ZA"/>
        </w:rPr>
        <w:t xml:space="preserve"> the benchmark used </w:t>
      </w:r>
      <w:r w:rsidR="00D6197B">
        <w:rPr>
          <w:lang w:val="en-ZA"/>
        </w:rPr>
        <w:t>for this research is the FTSE/JSE a</w:t>
      </w:r>
      <w:r w:rsidRPr="008633D2">
        <w:rPr>
          <w:lang w:val="en-ZA"/>
        </w:rPr>
        <w:t xml:space="preserve">ll </w:t>
      </w:r>
      <w:r w:rsidR="00D6197B">
        <w:rPr>
          <w:lang w:val="en-ZA"/>
        </w:rPr>
        <w:t>share i</w:t>
      </w:r>
      <w:r w:rsidRPr="008633D2">
        <w:rPr>
          <w:lang w:val="en-ZA"/>
        </w:rPr>
        <w:t xml:space="preserve">ndex. This index </w:t>
      </w:r>
      <w:r w:rsidR="00591A26">
        <w:rPr>
          <w:lang w:val="en-ZA"/>
        </w:rPr>
        <w:t>is</w:t>
      </w:r>
      <w:r w:rsidRPr="008633D2">
        <w:rPr>
          <w:lang w:val="en-ZA"/>
        </w:rPr>
        <w:t xml:space="preserve"> </w:t>
      </w:r>
      <w:r w:rsidR="00D6197B">
        <w:rPr>
          <w:lang w:val="en-ZA"/>
        </w:rPr>
        <w:t xml:space="preserve">assumed </w:t>
      </w:r>
      <w:r w:rsidR="00591A26">
        <w:rPr>
          <w:lang w:val="en-ZA"/>
        </w:rPr>
        <w:t xml:space="preserve">to be </w:t>
      </w:r>
      <w:r w:rsidR="007969E2">
        <w:rPr>
          <w:lang w:val="en-ZA"/>
        </w:rPr>
        <w:t>an</w:t>
      </w:r>
      <w:r w:rsidR="00D6197B">
        <w:rPr>
          <w:lang w:val="en-ZA"/>
        </w:rPr>
        <w:t xml:space="preserve"> adequate proxy for the </w:t>
      </w:r>
      <w:r w:rsidRPr="008633D2">
        <w:rPr>
          <w:lang w:val="en-ZA"/>
        </w:rPr>
        <w:t>performance of the South African financial market.</w:t>
      </w:r>
    </w:p>
    <w:p w:rsidR="00591A26" w:rsidRDefault="00591A26" w:rsidP="00765326">
      <w:pPr>
        <w:rPr>
          <w:lang w:val="en-ZA"/>
        </w:rPr>
      </w:pPr>
    </w:p>
    <w:p w:rsidR="00D6197B" w:rsidRDefault="00591A26" w:rsidP="00765326">
      <w:pPr>
        <w:rPr>
          <w:lang w:val="en-ZA"/>
        </w:rPr>
      </w:pPr>
      <w:r>
        <w:rPr>
          <w:lang w:val="en-ZA"/>
        </w:rPr>
        <w:t>T</w:t>
      </w:r>
      <w:r w:rsidR="005F080A">
        <w:rPr>
          <w:lang w:val="en-ZA"/>
        </w:rPr>
        <w:t>able 13</w:t>
      </w:r>
      <w:r w:rsidR="00ED0783" w:rsidRPr="008633D2">
        <w:rPr>
          <w:lang w:val="en-ZA"/>
        </w:rPr>
        <w:t xml:space="preserve"> provides </w:t>
      </w:r>
      <w:r>
        <w:rPr>
          <w:lang w:val="en-ZA"/>
        </w:rPr>
        <w:t xml:space="preserve">the average </w:t>
      </w:r>
      <w:r w:rsidR="00ED0783" w:rsidRPr="008633D2">
        <w:rPr>
          <w:lang w:val="en-ZA"/>
        </w:rPr>
        <w:t>annual</w:t>
      </w:r>
      <w:r>
        <w:rPr>
          <w:lang w:val="en-ZA"/>
        </w:rPr>
        <w:t xml:space="preserve">ised returns for all female managed funds and the average annualised returns of </w:t>
      </w:r>
      <w:r w:rsidR="00ED0783" w:rsidRPr="008633D2">
        <w:rPr>
          <w:lang w:val="en-ZA"/>
        </w:rPr>
        <w:t>mal</w:t>
      </w:r>
      <w:r>
        <w:rPr>
          <w:lang w:val="en-ZA"/>
        </w:rPr>
        <w:t xml:space="preserve">e managed funds in South Africa. Note that these results include funds </w:t>
      </w:r>
      <w:r w:rsidR="00ED0783" w:rsidRPr="008633D2">
        <w:rPr>
          <w:lang w:val="en-ZA"/>
        </w:rPr>
        <w:t xml:space="preserve">managed by more than one fund manager </w:t>
      </w:r>
      <w:r>
        <w:rPr>
          <w:lang w:val="en-ZA"/>
        </w:rPr>
        <w:t xml:space="preserve">provided the managers are </w:t>
      </w:r>
      <w:r w:rsidR="00527456">
        <w:rPr>
          <w:lang w:val="en-ZA"/>
        </w:rPr>
        <w:t>having</w:t>
      </w:r>
      <w:r>
        <w:rPr>
          <w:lang w:val="en-ZA"/>
        </w:rPr>
        <w:t xml:space="preserve"> the </w:t>
      </w:r>
      <w:r w:rsidR="00ED0783" w:rsidRPr="008633D2">
        <w:rPr>
          <w:lang w:val="en-ZA"/>
        </w:rPr>
        <w:t xml:space="preserve">same gender. </w:t>
      </w:r>
      <w:r>
        <w:rPr>
          <w:lang w:val="en-ZA"/>
        </w:rPr>
        <w:t xml:space="preserve">The </w:t>
      </w:r>
      <w:r w:rsidR="00ED0783" w:rsidRPr="008633D2">
        <w:rPr>
          <w:lang w:val="en-ZA"/>
        </w:rPr>
        <w:t>annualised returns of the benchmark</w:t>
      </w:r>
      <w:r w:rsidR="00D6197B">
        <w:rPr>
          <w:lang w:val="en-ZA"/>
        </w:rPr>
        <w:t xml:space="preserve"> index</w:t>
      </w:r>
      <w:r>
        <w:rPr>
          <w:lang w:val="en-ZA"/>
        </w:rPr>
        <w:t xml:space="preserve"> and the difference between it and the returns of the funds is presented by gender.</w:t>
      </w:r>
    </w:p>
    <w:p w:rsidR="00A703B3" w:rsidRPr="008633D2" w:rsidRDefault="00ED0783" w:rsidP="00765326">
      <w:pPr>
        <w:rPr>
          <w:rFonts w:ascii="Times New Roman" w:hAnsi="Times New Roman"/>
          <w:sz w:val="20"/>
          <w:szCs w:val="20"/>
          <w:lang w:val="en-ZA" w:eastAsia="en-ZA"/>
        </w:rPr>
      </w:pPr>
      <w:r w:rsidRPr="008633D2">
        <w:rPr>
          <w:lang w:val="en-ZA"/>
        </w:rPr>
        <w:t xml:space="preserve"> </w:t>
      </w:r>
      <w:r w:rsidR="00A703B3" w:rsidRPr="008633D2">
        <w:rPr>
          <w:lang w:val="en-ZA"/>
        </w:rPr>
        <w:fldChar w:fldCharType="begin"/>
      </w:r>
      <w:r w:rsidR="00A703B3" w:rsidRPr="008633D2">
        <w:rPr>
          <w:lang w:val="en-ZA"/>
        </w:rPr>
        <w:instrText xml:space="preserve"> LINK </w:instrText>
      </w:r>
      <w:r w:rsidR="005F2182">
        <w:rPr>
          <w:lang w:val="en-ZA"/>
        </w:rPr>
        <w:instrText xml:space="preserve">Excel.Sheet.12 C:\\Users\\archaryn\\Documents\\MBA\\Research\\Data_v2.xlsx "Summary of results!R313C2:R318C6" </w:instrText>
      </w:r>
      <w:r w:rsidR="00A703B3" w:rsidRPr="008633D2">
        <w:rPr>
          <w:lang w:val="en-ZA"/>
        </w:rPr>
        <w:instrText xml:space="preserve">\a \f 4 \h  \* MERGEFORMAT </w:instrText>
      </w:r>
      <w:r w:rsidR="00A703B3" w:rsidRPr="008633D2">
        <w:rPr>
          <w:lang w:val="en-ZA"/>
        </w:rPr>
        <w:fldChar w:fldCharType="separate"/>
      </w:r>
    </w:p>
    <w:p w:rsidR="003D316E" w:rsidRPr="008633D2" w:rsidRDefault="003D316E" w:rsidP="003D316E">
      <w:pPr>
        <w:pStyle w:val="Caption"/>
        <w:keepNext/>
        <w:jc w:val="center"/>
        <w:rPr>
          <w:lang w:val="en-ZA"/>
        </w:rPr>
      </w:pPr>
      <w:bookmarkStart w:id="239" w:name="_Toc458610858"/>
      <w:r w:rsidRPr="008633D2">
        <w:rPr>
          <w:lang w:val="en-ZA"/>
        </w:rPr>
        <w:t xml:space="preserve">Table </w:t>
      </w:r>
      <w:r w:rsidRPr="008633D2">
        <w:rPr>
          <w:lang w:val="en-ZA"/>
        </w:rPr>
        <w:fldChar w:fldCharType="begin"/>
      </w:r>
      <w:r w:rsidRPr="008633D2">
        <w:rPr>
          <w:lang w:val="en-ZA"/>
        </w:rPr>
        <w:instrText xml:space="preserve"> SEQ Table \* ARABIC </w:instrText>
      </w:r>
      <w:r w:rsidRPr="008633D2">
        <w:rPr>
          <w:lang w:val="en-ZA"/>
        </w:rPr>
        <w:fldChar w:fldCharType="separate"/>
      </w:r>
      <w:r w:rsidR="00C456D9">
        <w:rPr>
          <w:noProof/>
          <w:lang w:val="en-ZA"/>
        </w:rPr>
        <w:t>13</w:t>
      </w:r>
      <w:r w:rsidRPr="008633D2">
        <w:rPr>
          <w:lang w:val="en-ZA"/>
        </w:rPr>
        <w:fldChar w:fldCharType="end"/>
      </w:r>
      <w:r w:rsidRPr="008633D2">
        <w:rPr>
          <w:lang w:val="en-ZA"/>
        </w:rPr>
        <w:t xml:space="preserve">: </w:t>
      </w:r>
      <w:r w:rsidR="00591A26">
        <w:rPr>
          <w:lang w:val="en-ZA"/>
        </w:rPr>
        <w:t>The</w:t>
      </w:r>
      <w:r w:rsidRPr="008633D2">
        <w:rPr>
          <w:lang w:val="en-ZA"/>
        </w:rPr>
        <w:t xml:space="preserve"> performance of all South African funds </w:t>
      </w:r>
      <w:r w:rsidR="00591A26">
        <w:rPr>
          <w:lang w:val="en-ZA"/>
        </w:rPr>
        <w:t>compared to</w:t>
      </w:r>
      <w:r w:rsidRPr="008633D2">
        <w:rPr>
          <w:lang w:val="en-ZA"/>
        </w:rPr>
        <w:t xml:space="preserve"> the benchmark by gender</w:t>
      </w:r>
      <w:bookmarkEnd w:id="239"/>
    </w:p>
    <w:tbl>
      <w:tblPr>
        <w:tblW w:w="5126" w:type="pct"/>
        <w:tblLook w:val="04A0" w:firstRow="1" w:lastRow="0" w:firstColumn="1" w:lastColumn="0" w:noHBand="0" w:noVBand="1"/>
      </w:tblPr>
      <w:tblGrid>
        <w:gridCol w:w="5391"/>
        <w:gridCol w:w="948"/>
        <w:gridCol w:w="947"/>
        <w:gridCol w:w="947"/>
        <w:gridCol w:w="947"/>
      </w:tblGrid>
      <w:tr w:rsidR="00F422B9" w:rsidRPr="008633D2" w:rsidTr="00E83B87">
        <w:trPr>
          <w:trHeight w:val="397"/>
        </w:trPr>
        <w:tc>
          <w:tcPr>
            <w:tcW w:w="2936" w:type="pct"/>
            <w:tcBorders>
              <w:top w:val="single" w:sz="4" w:space="0" w:color="auto"/>
              <w:left w:val="single" w:sz="4" w:space="0" w:color="auto"/>
              <w:bottom w:val="single" w:sz="4" w:space="0" w:color="auto"/>
              <w:right w:val="single" w:sz="4" w:space="0" w:color="auto"/>
            </w:tcBorders>
            <w:shd w:val="clear" w:color="000000" w:fill="366092"/>
            <w:vAlign w:val="center"/>
            <w:hideMark/>
          </w:tcPr>
          <w:p w:rsidR="00A703B3" w:rsidRPr="008633D2" w:rsidRDefault="00A703B3" w:rsidP="00A703B3">
            <w:pPr>
              <w:spacing w:before="0" w:after="0" w:line="240" w:lineRule="auto"/>
              <w:jc w:val="center"/>
              <w:rPr>
                <w:rFonts w:cs="Arial"/>
                <w:b/>
                <w:bCs/>
                <w:color w:val="FFFFFF"/>
                <w:sz w:val="22"/>
                <w:szCs w:val="22"/>
                <w:lang w:val="en-ZA" w:eastAsia="en-ZA"/>
              </w:rPr>
            </w:pPr>
            <w:r w:rsidRPr="008633D2">
              <w:rPr>
                <w:rFonts w:cs="Arial"/>
                <w:b/>
                <w:bCs/>
                <w:color w:val="FFFFFF"/>
                <w:sz w:val="22"/>
                <w:szCs w:val="22"/>
                <w:lang w:val="en-ZA" w:eastAsia="en-ZA"/>
              </w:rPr>
              <w:t>Description</w:t>
            </w:r>
          </w:p>
        </w:tc>
        <w:tc>
          <w:tcPr>
            <w:tcW w:w="516" w:type="pct"/>
            <w:tcBorders>
              <w:top w:val="single" w:sz="4" w:space="0" w:color="auto"/>
              <w:left w:val="nil"/>
              <w:bottom w:val="single" w:sz="4" w:space="0" w:color="auto"/>
              <w:right w:val="single" w:sz="4" w:space="0" w:color="auto"/>
            </w:tcBorders>
            <w:shd w:val="clear" w:color="000000" w:fill="366092"/>
            <w:vAlign w:val="center"/>
            <w:hideMark/>
          </w:tcPr>
          <w:p w:rsidR="00A703B3" w:rsidRPr="008633D2" w:rsidRDefault="00A703B3" w:rsidP="00A703B3">
            <w:pPr>
              <w:spacing w:before="0" w:after="0" w:line="240" w:lineRule="auto"/>
              <w:jc w:val="center"/>
              <w:rPr>
                <w:rFonts w:cs="Arial"/>
                <w:b/>
                <w:bCs/>
                <w:color w:val="FFFFFF"/>
                <w:sz w:val="22"/>
                <w:szCs w:val="22"/>
                <w:lang w:val="en-ZA" w:eastAsia="en-ZA"/>
              </w:rPr>
            </w:pPr>
            <w:r w:rsidRPr="008633D2">
              <w:rPr>
                <w:rFonts w:cs="Arial"/>
                <w:b/>
                <w:bCs/>
                <w:color w:val="FFFFFF"/>
                <w:sz w:val="22"/>
                <w:szCs w:val="22"/>
                <w:lang w:val="en-ZA" w:eastAsia="en-ZA"/>
              </w:rPr>
              <w:t>1yr</w:t>
            </w:r>
          </w:p>
        </w:tc>
        <w:tc>
          <w:tcPr>
            <w:tcW w:w="516" w:type="pct"/>
            <w:tcBorders>
              <w:top w:val="single" w:sz="4" w:space="0" w:color="auto"/>
              <w:left w:val="nil"/>
              <w:bottom w:val="single" w:sz="4" w:space="0" w:color="auto"/>
              <w:right w:val="single" w:sz="4" w:space="0" w:color="auto"/>
            </w:tcBorders>
            <w:shd w:val="clear" w:color="000000" w:fill="366092"/>
            <w:vAlign w:val="center"/>
            <w:hideMark/>
          </w:tcPr>
          <w:p w:rsidR="00A703B3" w:rsidRPr="008633D2" w:rsidRDefault="00A703B3" w:rsidP="00A703B3">
            <w:pPr>
              <w:spacing w:before="0" w:after="0" w:line="240" w:lineRule="auto"/>
              <w:jc w:val="center"/>
              <w:rPr>
                <w:rFonts w:cs="Arial"/>
                <w:b/>
                <w:bCs/>
                <w:color w:val="FFFFFF"/>
                <w:sz w:val="22"/>
                <w:szCs w:val="22"/>
                <w:lang w:val="en-ZA" w:eastAsia="en-ZA"/>
              </w:rPr>
            </w:pPr>
            <w:r w:rsidRPr="008633D2">
              <w:rPr>
                <w:rFonts w:cs="Arial"/>
                <w:b/>
                <w:bCs/>
                <w:color w:val="FFFFFF"/>
                <w:sz w:val="22"/>
                <w:szCs w:val="22"/>
                <w:lang w:val="en-ZA" w:eastAsia="en-ZA"/>
              </w:rPr>
              <w:t>3yr</w:t>
            </w:r>
          </w:p>
        </w:tc>
        <w:tc>
          <w:tcPr>
            <w:tcW w:w="516" w:type="pct"/>
            <w:tcBorders>
              <w:top w:val="single" w:sz="4" w:space="0" w:color="auto"/>
              <w:left w:val="nil"/>
              <w:bottom w:val="single" w:sz="4" w:space="0" w:color="auto"/>
              <w:right w:val="single" w:sz="4" w:space="0" w:color="auto"/>
            </w:tcBorders>
            <w:shd w:val="clear" w:color="000000" w:fill="366092"/>
            <w:vAlign w:val="center"/>
            <w:hideMark/>
          </w:tcPr>
          <w:p w:rsidR="00A703B3" w:rsidRPr="008633D2" w:rsidRDefault="00A703B3" w:rsidP="00A703B3">
            <w:pPr>
              <w:spacing w:before="0" w:after="0" w:line="240" w:lineRule="auto"/>
              <w:jc w:val="center"/>
              <w:rPr>
                <w:rFonts w:cs="Arial"/>
                <w:b/>
                <w:bCs/>
                <w:color w:val="FFFFFF"/>
                <w:sz w:val="22"/>
                <w:szCs w:val="22"/>
                <w:lang w:val="en-ZA" w:eastAsia="en-ZA"/>
              </w:rPr>
            </w:pPr>
            <w:r w:rsidRPr="008633D2">
              <w:rPr>
                <w:rFonts w:cs="Arial"/>
                <w:b/>
                <w:bCs/>
                <w:color w:val="FFFFFF"/>
                <w:sz w:val="22"/>
                <w:szCs w:val="22"/>
                <w:lang w:val="en-ZA" w:eastAsia="en-ZA"/>
              </w:rPr>
              <w:t>5yr</w:t>
            </w:r>
          </w:p>
        </w:tc>
        <w:tc>
          <w:tcPr>
            <w:tcW w:w="516" w:type="pct"/>
            <w:tcBorders>
              <w:top w:val="single" w:sz="4" w:space="0" w:color="auto"/>
              <w:left w:val="nil"/>
              <w:bottom w:val="single" w:sz="4" w:space="0" w:color="auto"/>
              <w:right w:val="single" w:sz="4" w:space="0" w:color="auto"/>
            </w:tcBorders>
            <w:shd w:val="clear" w:color="000000" w:fill="366092"/>
            <w:vAlign w:val="center"/>
            <w:hideMark/>
          </w:tcPr>
          <w:p w:rsidR="00A703B3" w:rsidRPr="008633D2" w:rsidRDefault="00A703B3" w:rsidP="00A703B3">
            <w:pPr>
              <w:spacing w:before="0" w:after="0" w:line="240" w:lineRule="auto"/>
              <w:jc w:val="center"/>
              <w:rPr>
                <w:rFonts w:cs="Arial"/>
                <w:b/>
                <w:bCs/>
                <w:color w:val="FFFFFF"/>
                <w:sz w:val="22"/>
                <w:szCs w:val="22"/>
                <w:lang w:val="en-ZA" w:eastAsia="en-ZA"/>
              </w:rPr>
            </w:pPr>
            <w:r w:rsidRPr="008633D2">
              <w:rPr>
                <w:rFonts w:cs="Arial"/>
                <w:b/>
                <w:bCs/>
                <w:color w:val="FFFFFF"/>
                <w:sz w:val="22"/>
                <w:szCs w:val="22"/>
                <w:lang w:val="en-ZA" w:eastAsia="en-ZA"/>
              </w:rPr>
              <w:t>10yr</w:t>
            </w:r>
          </w:p>
        </w:tc>
      </w:tr>
      <w:tr w:rsidR="00192DD0" w:rsidRPr="008633D2" w:rsidTr="00E83B87">
        <w:trPr>
          <w:trHeight w:val="397"/>
        </w:trPr>
        <w:tc>
          <w:tcPr>
            <w:tcW w:w="2936" w:type="pct"/>
            <w:tcBorders>
              <w:top w:val="nil"/>
              <w:left w:val="single" w:sz="4" w:space="0" w:color="auto"/>
              <w:bottom w:val="single" w:sz="4" w:space="0" w:color="auto"/>
              <w:right w:val="single" w:sz="4" w:space="0" w:color="auto"/>
            </w:tcBorders>
            <w:shd w:val="clear" w:color="auto" w:fill="auto"/>
            <w:noWrap/>
            <w:vAlign w:val="center"/>
            <w:hideMark/>
          </w:tcPr>
          <w:p w:rsidR="00192DD0" w:rsidRPr="008633D2" w:rsidRDefault="00192DD0" w:rsidP="00A703B3">
            <w:pPr>
              <w:spacing w:before="0" w:after="0" w:line="240" w:lineRule="auto"/>
              <w:jc w:val="left"/>
              <w:rPr>
                <w:rFonts w:cs="Arial"/>
                <w:color w:val="000000"/>
                <w:sz w:val="22"/>
                <w:szCs w:val="22"/>
                <w:lang w:val="en-ZA" w:eastAsia="en-ZA"/>
              </w:rPr>
            </w:pPr>
            <w:r w:rsidRPr="008633D2">
              <w:rPr>
                <w:rFonts w:cs="Arial"/>
                <w:color w:val="000000"/>
                <w:sz w:val="22"/>
                <w:szCs w:val="22"/>
                <w:lang w:val="en-ZA" w:eastAsia="en-ZA"/>
              </w:rPr>
              <w:t>Average male annualised returns</w:t>
            </w:r>
          </w:p>
        </w:tc>
        <w:tc>
          <w:tcPr>
            <w:tcW w:w="516" w:type="pct"/>
            <w:tcBorders>
              <w:top w:val="nil"/>
              <w:left w:val="nil"/>
              <w:bottom w:val="single" w:sz="4" w:space="0" w:color="auto"/>
              <w:right w:val="single" w:sz="4" w:space="0" w:color="auto"/>
            </w:tcBorders>
            <w:shd w:val="clear" w:color="auto" w:fill="auto"/>
            <w:noWrap/>
            <w:vAlign w:val="center"/>
          </w:tcPr>
          <w:p w:rsidR="00192DD0" w:rsidRPr="008633D2" w:rsidRDefault="00192DD0" w:rsidP="00192DD0">
            <w:pPr>
              <w:spacing w:line="240" w:lineRule="auto"/>
              <w:contextualSpacing/>
              <w:jc w:val="right"/>
              <w:rPr>
                <w:rFonts w:ascii="Calibri" w:hAnsi="Calibri" w:cs="Calibri"/>
                <w:color w:val="000000"/>
                <w:sz w:val="22"/>
                <w:szCs w:val="22"/>
                <w:lang w:val="en-ZA"/>
              </w:rPr>
            </w:pPr>
            <w:r w:rsidRPr="008633D2">
              <w:rPr>
                <w:rFonts w:ascii="Calibri" w:hAnsi="Calibri" w:cs="Calibri"/>
                <w:color w:val="000000"/>
                <w:sz w:val="22"/>
                <w:szCs w:val="22"/>
                <w:lang w:val="en-ZA"/>
              </w:rPr>
              <w:t>7.80%</w:t>
            </w:r>
          </w:p>
        </w:tc>
        <w:tc>
          <w:tcPr>
            <w:tcW w:w="516" w:type="pct"/>
            <w:tcBorders>
              <w:top w:val="nil"/>
              <w:left w:val="nil"/>
              <w:bottom w:val="single" w:sz="4" w:space="0" w:color="auto"/>
              <w:right w:val="single" w:sz="4" w:space="0" w:color="auto"/>
            </w:tcBorders>
            <w:shd w:val="clear" w:color="auto" w:fill="auto"/>
            <w:noWrap/>
            <w:vAlign w:val="center"/>
          </w:tcPr>
          <w:p w:rsidR="00192DD0" w:rsidRPr="008633D2" w:rsidRDefault="00192DD0" w:rsidP="00192DD0">
            <w:pPr>
              <w:spacing w:line="240" w:lineRule="auto"/>
              <w:contextualSpacing/>
              <w:jc w:val="right"/>
              <w:rPr>
                <w:rFonts w:ascii="Calibri" w:hAnsi="Calibri" w:cs="Calibri"/>
                <w:color w:val="000000"/>
                <w:sz w:val="22"/>
                <w:szCs w:val="22"/>
                <w:lang w:val="en-ZA"/>
              </w:rPr>
            </w:pPr>
            <w:r w:rsidRPr="008633D2">
              <w:rPr>
                <w:rFonts w:ascii="Calibri" w:hAnsi="Calibri" w:cs="Calibri"/>
                <w:color w:val="000000"/>
                <w:sz w:val="22"/>
                <w:szCs w:val="22"/>
                <w:lang w:val="en-ZA"/>
              </w:rPr>
              <w:t>13.65%</w:t>
            </w:r>
          </w:p>
        </w:tc>
        <w:tc>
          <w:tcPr>
            <w:tcW w:w="516" w:type="pct"/>
            <w:tcBorders>
              <w:top w:val="nil"/>
              <w:left w:val="nil"/>
              <w:bottom w:val="single" w:sz="4" w:space="0" w:color="auto"/>
              <w:right w:val="single" w:sz="4" w:space="0" w:color="auto"/>
            </w:tcBorders>
            <w:shd w:val="clear" w:color="auto" w:fill="auto"/>
            <w:noWrap/>
            <w:vAlign w:val="center"/>
          </w:tcPr>
          <w:p w:rsidR="00192DD0" w:rsidRPr="008633D2" w:rsidRDefault="00192DD0" w:rsidP="00192DD0">
            <w:pPr>
              <w:spacing w:line="240" w:lineRule="auto"/>
              <w:contextualSpacing/>
              <w:jc w:val="right"/>
              <w:rPr>
                <w:rFonts w:ascii="Calibri" w:hAnsi="Calibri" w:cs="Calibri"/>
                <w:color w:val="000000"/>
                <w:sz w:val="22"/>
                <w:szCs w:val="22"/>
                <w:lang w:val="en-ZA"/>
              </w:rPr>
            </w:pPr>
            <w:r w:rsidRPr="008633D2">
              <w:rPr>
                <w:rFonts w:ascii="Calibri" w:hAnsi="Calibri" w:cs="Calibri"/>
                <w:color w:val="000000"/>
                <w:sz w:val="22"/>
                <w:szCs w:val="22"/>
                <w:lang w:val="en-ZA"/>
              </w:rPr>
              <w:t>12.48%</w:t>
            </w:r>
          </w:p>
        </w:tc>
        <w:tc>
          <w:tcPr>
            <w:tcW w:w="516" w:type="pct"/>
            <w:tcBorders>
              <w:top w:val="nil"/>
              <w:left w:val="nil"/>
              <w:bottom w:val="single" w:sz="4" w:space="0" w:color="auto"/>
              <w:right w:val="single" w:sz="4" w:space="0" w:color="auto"/>
            </w:tcBorders>
            <w:shd w:val="clear" w:color="auto" w:fill="auto"/>
            <w:noWrap/>
            <w:vAlign w:val="center"/>
          </w:tcPr>
          <w:p w:rsidR="00192DD0" w:rsidRPr="008633D2" w:rsidRDefault="00192DD0" w:rsidP="00192DD0">
            <w:pPr>
              <w:spacing w:line="240" w:lineRule="auto"/>
              <w:contextualSpacing/>
              <w:jc w:val="right"/>
              <w:rPr>
                <w:rFonts w:ascii="Calibri" w:hAnsi="Calibri" w:cs="Calibri"/>
                <w:color w:val="000000"/>
                <w:sz w:val="22"/>
                <w:szCs w:val="22"/>
                <w:lang w:val="en-ZA"/>
              </w:rPr>
            </w:pPr>
            <w:r w:rsidRPr="008633D2">
              <w:rPr>
                <w:rFonts w:ascii="Calibri" w:hAnsi="Calibri" w:cs="Calibri"/>
                <w:color w:val="000000"/>
                <w:sz w:val="22"/>
                <w:szCs w:val="22"/>
                <w:lang w:val="en-ZA"/>
              </w:rPr>
              <w:t>12.25%</w:t>
            </w:r>
          </w:p>
        </w:tc>
      </w:tr>
      <w:tr w:rsidR="00192DD0" w:rsidRPr="008633D2" w:rsidTr="00E83B87">
        <w:trPr>
          <w:trHeight w:val="397"/>
        </w:trPr>
        <w:tc>
          <w:tcPr>
            <w:tcW w:w="2936" w:type="pct"/>
            <w:tcBorders>
              <w:top w:val="nil"/>
              <w:left w:val="single" w:sz="4" w:space="0" w:color="auto"/>
              <w:bottom w:val="single" w:sz="4" w:space="0" w:color="auto"/>
              <w:right w:val="single" w:sz="4" w:space="0" w:color="auto"/>
            </w:tcBorders>
            <w:shd w:val="clear" w:color="auto" w:fill="auto"/>
            <w:noWrap/>
            <w:vAlign w:val="center"/>
            <w:hideMark/>
          </w:tcPr>
          <w:p w:rsidR="00192DD0" w:rsidRPr="008633D2" w:rsidRDefault="00192DD0" w:rsidP="00A703B3">
            <w:pPr>
              <w:spacing w:before="0" w:after="0" w:line="240" w:lineRule="auto"/>
              <w:jc w:val="left"/>
              <w:rPr>
                <w:rFonts w:cs="Arial"/>
                <w:color w:val="000000"/>
                <w:sz w:val="22"/>
                <w:szCs w:val="22"/>
                <w:lang w:val="en-ZA" w:eastAsia="en-ZA"/>
              </w:rPr>
            </w:pPr>
            <w:r w:rsidRPr="008633D2">
              <w:rPr>
                <w:rFonts w:cs="Arial"/>
                <w:color w:val="000000"/>
                <w:sz w:val="22"/>
                <w:szCs w:val="22"/>
                <w:lang w:val="en-ZA" w:eastAsia="en-ZA"/>
              </w:rPr>
              <w:t>Average female annualised returns</w:t>
            </w:r>
          </w:p>
        </w:tc>
        <w:tc>
          <w:tcPr>
            <w:tcW w:w="516" w:type="pct"/>
            <w:tcBorders>
              <w:top w:val="nil"/>
              <w:left w:val="nil"/>
              <w:bottom w:val="single" w:sz="4" w:space="0" w:color="auto"/>
              <w:right w:val="single" w:sz="4" w:space="0" w:color="auto"/>
            </w:tcBorders>
            <w:shd w:val="clear" w:color="auto" w:fill="auto"/>
            <w:noWrap/>
            <w:vAlign w:val="center"/>
          </w:tcPr>
          <w:p w:rsidR="00192DD0" w:rsidRPr="008633D2" w:rsidRDefault="00192DD0" w:rsidP="00192DD0">
            <w:pPr>
              <w:spacing w:line="240" w:lineRule="auto"/>
              <w:contextualSpacing/>
              <w:jc w:val="right"/>
              <w:rPr>
                <w:rFonts w:ascii="Calibri" w:hAnsi="Calibri" w:cs="Calibri"/>
                <w:color w:val="000000"/>
                <w:sz w:val="22"/>
                <w:szCs w:val="22"/>
                <w:lang w:val="en-ZA"/>
              </w:rPr>
            </w:pPr>
            <w:r w:rsidRPr="008633D2">
              <w:rPr>
                <w:rFonts w:ascii="Calibri" w:hAnsi="Calibri" w:cs="Calibri"/>
                <w:color w:val="000000"/>
                <w:sz w:val="22"/>
                <w:szCs w:val="22"/>
                <w:lang w:val="en-ZA"/>
              </w:rPr>
              <w:t>6.55%</w:t>
            </w:r>
          </w:p>
        </w:tc>
        <w:tc>
          <w:tcPr>
            <w:tcW w:w="516" w:type="pct"/>
            <w:tcBorders>
              <w:top w:val="nil"/>
              <w:left w:val="nil"/>
              <w:bottom w:val="single" w:sz="4" w:space="0" w:color="auto"/>
              <w:right w:val="single" w:sz="4" w:space="0" w:color="auto"/>
            </w:tcBorders>
            <w:shd w:val="clear" w:color="auto" w:fill="auto"/>
            <w:noWrap/>
            <w:vAlign w:val="center"/>
          </w:tcPr>
          <w:p w:rsidR="00192DD0" w:rsidRPr="008633D2" w:rsidRDefault="00192DD0" w:rsidP="00192DD0">
            <w:pPr>
              <w:spacing w:line="240" w:lineRule="auto"/>
              <w:contextualSpacing/>
              <w:jc w:val="right"/>
              <w:rPr>
                <w:rFonts w:ascii="Calibri" w:hAnsi="Calibri" w:cs="Calibri"/>
                <w:color w:val="000000"/>
                <w:sz w:val="22"/>
                <w:szCs w:val="22"/>
                <w:lang w:val="en-ZA"/>
              </w:rPr>
            </w:pPr>
            <w:r w:rsidRPr="008633D2">
              <w:rPr>
                <w:rFonts w:ascii="Calibri" w:hAnsi="Calibri" w:cs="Calibri"/>
                <w:color w:val="000000"/>
                <w:sz w:val="22"/>
                <w:szCs w:val="22"/>
                <w:lang w:val="en-ZA"/>
              </w:rPr>
              <w:t>13.01%</w:t>
            </w:r>
          </w:p>
        </w:tc>
        <w:tc>
          <w:tcPr>
            <w:tcW w:w="516" w:type="pct"/>
            <w:tcBorders>
              <w:top w:val="nil"/>
              <w:left w:val="nil"/>
              <w:bottom w:val="single" w:sz="4" w:space="0" w:color="auto"/>
              <w:right w:val="single" w:sz="4" w:space="0" w:color="auto"/>
            </w:tcBorders>
            <w:shd w:val="clear" w:color="auto" w:fill="auto"/>
            <w:noWrap/>
            <w:vAlign w:val="center"/>
          </w:tcPr>
          <w:p w:rsidR="00192DD0" w:rsidRPr="008633D2" w:rsidRDefault="00192DD0" w:rsidP="00192DD0">
            <w:pPr>
              <w:spacing w:line="240" w:lineRule="auto"/>
              <w:contextualSpacing/>
              <w:jc w:val="right"/>
              <w:rPr>
                <w:rFonts w:ascii="Calibri" w:hAnsi="Calibri" w:cs="Calibri"/>
                <w:color w:val="000000"/>
                <w:sz w:val="22"/>
                <w:szCs w:val="22"/>
                <w:lang w:val="en-ZA"/>
              </w:rPr>
            </w:pPr>
            <w:r w:rsidRPr="008633D2">
              <w:rPr>
                <w:rFonts w:ascii="Calibri" w:hAnsi="Calibri" w:cs="Calibri"/>
                <w:color w:val="000000"/>
                <w:sz w:val="22"/>
                <w:szCs w:val="22"/>
                <w:lang w:val="en-ZA"/>
              </w:rPr>
              <w:t>9.95%</w:t>
            </w:r>
          </w:p>
        </w:tc>
        <w:tc>
          <w:tcPr>
            <w:tcW w:w="516" w:type="pct"/>
            <w:tcBorders>
              <w:top w:val="nil"/>
              <w:left w:val="nil"/>
              <w:bottom w:val="single" w:sz="4" w:space="0" w:color="auto"/>
              <w:right w:val="single" w:sz="4" w:space="0" w:color="auto"/>
            </w:tcBorders>
            <w:shd w:val="clear" w:color="auto" w:fill="auto"/>
            <w:noWrap/>
            <w:vAlign w:val="center"/>
          </w:tcPr>
          <w:p w:rsidR="00192DD0" w:rsidRPr="008633D2" w:rsidRDefault="00192DD0" w:rsidP="00192DD0">
            <w:pPr>
              <w:spacing w:line="240" w:lineRule="auto"/>
              <w:contextualSpacing/>
              <w:jc w:val="right"/>
              <w:rPr>
                <w:rFonts w:ascii="Calibri" w:hAnsi="Calibri" w:cs="Calibri"/>
                <w:color w:val="000000"/>
                <w:sz w:val="22"/>
                <w:szCs w:val="22"/>
                <w:lang w:val="en-ZA"/>
              </w:rPr>
            </w:pPr>
            <w:r w:rsidRPr="008633D2">
              <w:rPr>
                <w:rFonts w:ascii="Calibri" w:hAnsi="Calibri" w:cs="Calibri"/>
                <w:color w:val="000000"/>
                <w:sz w:val="22"/>
                <w:szCs w:val="22"/>
                <w:lang w:val="en-ZA"/>
              </w:rPr>
              <w:t>9.97%</w:t>
            </w:r>
          </w:p>
        </w:tc>
      </w:tr>
      <w:tr w:rsidR="00192DD0" w:rsidRPr="008633D2" w:rsidTr="00E83B87">
        <w:trPr>
          <w:cantSplit/>
          <w:trHeight w:val="397"/>
        </w:trPr>
        <w:tc>
          <w:tcPr>
            <w:tcW w:w="2936" w:type="pct"/>
            <w:tcBorders>
              <w:top w:val="nil"/>
              <w:left w:val="single" w:sz="4" w:space="0" w:color="auto"/>
              <w:bottom w:val="single" w:sz="4" w:space="0" w:color="auto"/>
              <w:right w:val="single" w:sz="4" w:space="0" w:color="auto"/>
            </w:tcBorders>
            <w:shd w:val="clear" w:color="auto" w:fill="auto"/>
            <w:noWrap/>
            <w:vAlign w:val="center"/>
            <w:hideMark/>
          </w:tcPr>
          <w:p w:rsidR="00192DD0" w:rsidRPr="008633D2" w:rsidRDefault="00192DD0" w:rsidP="00D6197B">
            <w:pPr>
              <w:spacing w:before="0" w:after="0" w:line="240" w:lineRule="auto"/>
              <w:jc w:val="left"/>
              <w:rPr>
                <w:rFonts w:cs="Arial"/>
                <w:color w:val="000000"/>
                <w:sz w:val="22"/>
                <w:szCs w:val="22"/>
                <w:lang w:val="en-ZA" w:eastAsia="en-ZA"/>
              </w:rPr>
            </w:pPr>
            <w:r w:rsidRPr="008633D2">
              <w:rPr>
                <w:rFonts w:cs="Arial"/>
                <w:color w:val="000000"/>
                <w:sz w:val="22"/>
                <w:szCs w:val="22"/>
                <w:lang w:val="en-ZA" w:eastAsia="en-ZA"/>
              </w:rPr>
              <w:t xml:space="preserve">FTSE/JSE  </w:t>
            </w:r>
            <w:r w:rsidR="00D6197B">
              <w:rPr>
                <w:rFonts w:cs="Arial"/>
                <w:color w:val="000000"/>
                <w:sz w:val="22"/>
                <w:szCs w:val="22"/>
                <w:lang w:val="en-ZA" w:eastAsia="en-ZA"/>
              </w:rPr>
              <w:t>a</w:t>
            </w:r>
            <w:r w:rsidRPr="008633D2">
              <w:rPr>
                <w:rFonts w:cs="Arial"/>
                <w:color w:val="000000"/>
                <w:sz w:val="22"/>
                <w:szCs w:val="22"/>
                <w:lang w:val="en-ZA" w:eastAsia="en-ZA"/>
              </w:rPr>
              <w:t xml:space="preserve">ll </w:t>
            </w:r>
            <w:r w:rsidR="00D6197B">
              <w:rPr>
                <w:rFonts w:cs="Arial"/>
                <w:color w:val="000000"/>
                <w:sz w:val="22"/>
                <w:szCs w:val="22"/>
                <w:lang w:val="en-ZA" w:eastAsia="en-ZA"/>
              </w:rPr>
              <w:t>s</w:t>
            </w:r>
            <w:r w:rsidRPr="008633D2">
              <w:rPr>
                <w:rFonts w:cs="Arial"/>
                <w:color w:val="000000"/>
                <w:sz w:val="22"/>
                <w:szCs w:val="22"/>
                <w:lang w:val="en-ZA" w:eastAsia="en-ZA"/>
              </w:rPr>
              <w:t>hare</w:t>
            </w:r>
            <w:r w:rsidR="00D6197B">
              <w:rPr>
                <w:rFonts w:cs="Arial"/>
                <w:color w:val="000000"/>
                <w:sz w:val="22"/>
                <w:szCs w:val="22"/>
                <w:lang w:val="en-ZA" w:eastAsia="en-ZA"/>
              </w:rPr>
              <w:t xml:space="preserve"> index </w:t>
            </w:r>
            <w:r w:rsidRPr="008633D2">
              <w:rPr>
                <w:rFonts w:cs="Arial"/>
                <w:color w:val="000000"/>
                <w:sz w:val="22"/>
                <w:szCs w:val="22"/>
                <w:lang w:val="en-ZA" w:eastAsia="en-ZA"/>
              </w:rPr>
              <w:t xml:space="preserve"> annualised return</w:t>
            </w:r>
          </w:p>
        </w:tc>
        <w:tc>
          <w:tcPr>
            <w:tcW w:w="516" w:type="pct"/>
            <w:tcBorders>
              <w:top w:val="nil"/>
              <w:left w:val="nil"/>
              <w:bottom w:val="single" w:sz="4" w:space="0" w:color="auto"/>
              <w:right w:val="single" w:sz="4" w:space="0" w:color="auto"/>
            </w:tcBorders>
            <w:shd w:val="clear" w:color="auto" w:fill="auto"/>
            <w:noWrap/>
            <w:vAlign w:val="center"/>
          </w:tcPr>
          <w:p w:rsidR="00192DD0" w:rsidRPr="008633D2" w:rsidRDefault="00192DD0" w:rsidP="00192DD0">
            <w:pPr>
              <w:spacing w:line="240" w:lineRule="auto"/>
              <w:contextualSpacing/>
              <w:jc w:val="right"/>
              <w:rPr>
                <w:rFonts w:ascii="Calibri" w:hAnsi="Calibri" w:cs="Calibri"/>
                <w:color w:val="000000"/>
                <w:sz w:val="22"/>
                <w:szCs w:val="22"/>
                <w:lang w:val="en-ZA"/>
              </w:rPr>
            </w:pPr>
            <w:r w:rsidRPr="008633D2">
              <w:rPr>
                <w:rFonts w:ascii="Calibri" w:hAnsi="Calibri" w:cs="Calibri"/>
                <w:color w:val="000000"/>
                <w:sz w:val="22"/>
                <w:szCs w:val="22"/>
                <w:lang w:val="en-ZA"/>
              </w:rPr>
              <w:t>4.79%</w:t>
            </w:r>
          </w:p>
        </w:tc>
        <w:tc>
          <w:tcPr>
            <w:tcW w:w="516" w:type="pct"/>
            <w:tcBorders>
              <w:top w:val="nil"/>
              <w:left w:val="nil"/>
              <w:bottom w:val="single" w:sz="4" w:space="0" w:color="auto"/>
              <w:right w:val="single" w:sz="4" w:space="0" w:color="auto"/>
            </w:tcBorders>
            <w:shd w:val="clear" w:color="auto" w:fill="auto"/>
            <w:noWrap/>
            <w:vAlign w:val="center"/>
          </w:tcPr>
          <w:p w:rsidR="00192DD0" w:rsidRPr="008633D2" w:rsidRDefault="00192DD0" w:rsidP="00192DD0">
            <w:pPr>
              <w:spacing w:line="240" w:lineRule="auto"/>
              <w:contextualSpacing/>
              <w:jc w:val="right"/>
              <w:rPr>
                <w:rFonts w:ascii="Calibri" w:hAnsi="Calibri" w:cs="Calibri"/>
                <w:color w:val="000000"/>
                <w:sz w:val="22"/>
                <w:szCs w:val="22"/>
                <w:lang w:val="en-ZA"/>
              </w:rPr>
            </w:pPr>
            <w:r w:rsidRPr="008633D2">
              <w:rPr>
                <w:rFonts w:ascii="Calibri" w:hAnsi="Calibri" w:cs="Calibri"/>
                <w:color w:val="000000"/>
                <w:sz w:val="22"/>
                <w:szCs w:val="22"/>
                <w:lang w:val="en-ZA"/>
              </w:rPr>
              <w:t>18.95%</w:t>
            </w:r>
          </w:p>
        </w:tc>
        <w:tc>
          <w:tcPr>
            <w:tcW w:w="516" w:type="pct"/>
            <w:tcBorders>
              <w:top w:val="nil"/>
              <w:left w:val="nil"/>
              <w:bottom w:val="single" w:sz="4" w:space="0" w:color="auto"/>
              <w:right w:val="single" w:sz="4" w:space="0" w:color="auto"/>
            </w:tcBorders>
            <w:shd w:val="clear" w:color="auto" w:fill="auto"/>
            <w:noWrap/>
            <w:vAlign w:val="center"/>
          </w:tcPr>
          <w:p w:rsidR="00192DD0" w:rsidRPr="008633D2" w:rsidRDefault="00192DD0" w:rsidP="00192DD0">
            <w:pPr>
              <w:spacing w:line="240" w:lineRule="auto"/>
              <w:contextualSpacing/>
              <w:jc w:val="right"/>
              <w:rPr>
                <w:rFonts w:ascii="Calibri" w:hAnsi="Calibri" w:cs="Calibri"/>
                <w:color w:val="000000"/>
                <w:sz w:val="22"/>
                <w:szCs w:val="22"/>
                <w:lang w:val="en-ZA"/>
              </w:rPr>
            </w:pPr>
            <w:r w:rsidRPr="008633D2">
              <w:rPr>
                <w:rFonts w:ascii="Calibri" w:hAnsi="Calibri" w:cs="Calibri"/>
                <w:color w:val="000000"/>
                <w:sz w:val="22"/>
                <w:szCs w:val="22"/>
                <w:lang w:val="en-ZA"/>
              </w:rPr>
              <w:t>18.04%</w:t>
            </w:r>
          </w:p>
        </w:tc>
        <w:tc>
          <w:tcPr>
            <w:tcW w:w="516" w:type="pct"/>
            <w:tcBorders>
              <w:top w:val="nil"/>
              <w:left w:val="nil"/>
              <w:bottom w:val="single" w:sz="4" w:space="0" w:color="auto"/>
              <w:right w:val="single" w:sz="4" w:space="0" w:color="auto"/>
            </w:tcBorders>
            <w:shd w:val="clear" w:color="auto" w:fill="auto"/>
            <w:noWrap/>
            <w:vAlign w:val="center"/>
          </w:tcPr>
          <w:p w:rsidR="00192DD0" w:rsidRPr="008633D2" w:rsidRDefault="0093055D" w:rsidP="0093055D">
            <w:pPr>
              <w:spacing w:line="240" w:lineRule="auto"/>
              <w:contextualSpacing/>
              <w:jc w:val="right"/>
              <w:rPr>
                <w:rFonts w:ascii="Calibri" w:hAnsi="Calibri" w:cs="Calibri"/>
                <w:color w:val="000000"/>
                <w:sz w:val="22"/>
                <w:szCs w:val="22"/>
                <w:lang w:val="en-ZA"/>
              </w:rPr>
            </w:pPr>
            <w:r>
              <w:rPr>
                <w:rFonts w:ascii="Calibri" w:hAnsi="Calibri" w:cs="Calibri"/>
                <w:color w:val="000000"/>
                <w:sz w:val="22"/>
                <w:szCs w:val="22"/>
                <w:lang w:val="en-ZA"/>
              </w:rPr>
              <w:t>15.74</w:t>
            </w:r>
            <w:r w:rsidR="00192DD0" w:rsidRPr="008633D2">
              <w:rPr>
                <w:rFonts w:ascii="Calibri" w:hAnsi="Calibri" w:cs="Calibri"/>
                <w:color w:val="000000"/>
                <w:sz w:val="22"/>
                <w:szCs w:val="22"/>
                <w:lang w:val="en-ZA"/>
              </w:rPr>
              <w:t>%</w:t>
            </w:r>
          </w:p>
        </w:tc>
      </w:tr>
      <w:tr w:rsidR="00192DD0" w:rsidRPr="008633D2" w:rsidTr="00E83B87">
        <w:trPr>
          <w:trHeight w:val="397"/>
        </w:trPr>
        <w:tc>
          <w:tcPr>
            <w:tcW w:w="2936" w:type="pct"/>
            <w:tcBorders>
              <w:top w:val="nil"/>
              <w:left w:val="single" w:sz="4" w:space="0" w:color="auto"/>
              <w:bottom w:val="single" w:sz="4" w:space="0" w:color="auto"/>
              <w:right w:val="single" w:sz="4" w:space="0" w:color="auto"/>
            </w:tcBorders>
            <w:shd w:val="clear" w:color="auto" w:fill="auto"/>
            <w:noWrap/>
            <w:vAlign w:val="center"/>
            <w:hideMark/>
          </w:tcPr>
          <w:p w:rsidR="00192DD0" w:rsidRPr="008633D2" w:rsidRDefault="00192DD0" w:rsidP="00ED0783">
            <w:pPr>
              <w:spacing w:before="0" w:after="0" w:line="240" w:lineRule="auto"/>
              <w:jc w:val="left"/>
              <w:rPr>
                <w:rFonts w:cs="Arial"/>
                <w:color w:val="000000"/>
                <w:sz w:val="22"/>
                <w:szCs w:val="22"/>
                <w:lang w:val="en-ZA" w:eastAsia="en-ZA"/>
              </w:rPr>
            </w:pPr>
            <w:r w:rsidRPr="008633D2">
              <w:rPr>
                <w:rFonts w:cs="Arial"/>
                <w:color w:val="000000"/>
                <w:sz w:val="22"/>
                <w:szCs w:val="22"/>
                <w:lang w:val="en-ZA" w:eastAsia="en-ZA"/>
              </w:rPr>
              <w:t>Difference between male managed and benchmark</w:t>
            </w:r>
          </w:p>
        </w:tc>
        <w:tc>
          <w:tcPr>
            <w:tcW w:w="516" w:type="pct"/>
            <w:tcBorders>
              <w:top w:val="nil"/>
              <w:left w:val="nil"/>
              <w:bottom w:val="single" w:sz="4" w:space="0" w:color="auto"/>
              <w:right w:val="single" w:sz="4" w:space="0" w:color="auto"/>
            </w:tcBorders>
            <w:shd w:val="clear" w:color="auto" w:fill="auto"/>
            <w:noWrap/>
            <w:vAlign w:val="center"/>
          </w:tcPr>
          <w:p w:rsidR="00192DD0" w:rsidRPr="008633D2" w:rsidRDefault="00192DD0" w:rsidP="00192DD0">
            <w:pPr>
              <w:spacing w:line="240" w:lineRule="auto"/>
              <w:contextualSpacing/>
              <w:jc w:val="right"/>
              <w:rPr>
                <w:rFonts w:ascii="Calibri" w:hAnsi="Calibri" w:cs="Calibri"/>
                <w:color w:val="000000"/>
                <w:sz w:val="22"/>
                <w:szCs w:val="22"/>
                <w:lang w:val="en-ZA"/>
              </w:rPr>
            </w:pPr>
            <w:r w:rsidRPr="008633D2">
              <w:rPr>
                <w:rFonts w:ascii="Calibri" w:hAnsi="Calibri" w:cs="Calibri"/>
                <w:color w:val="000000"/>
                <w:sz w:val="22"/>
                <w:szCs w:val="22"/>
                <w:lang w:val="en-ZA"/>
              </w:rPr>
              <w:t>3.01%</w:t>
            </w:r>
          </w:p>
        </w:tc>
        <w:tc>
          <w:tcPr>
            <w:tcW w:w="516" w:type="pct"/>
            <w:tcBorders>
              <w:top w:val="nil"/>
              <w:left w:val="nil"/>
              <w:bottom w:val="single" w:sz="4" w:space="0" w:color="auto"/>
              <w:right w:val="single" w:sz="4" w:space="0" w:color="auto"/>
            </w:tcBorders>
            <w:shd w:val="clear" w:color="auto" w:fill="auto"/>
            <w:noWrap/>
            <w:vAlign w:val="center"/>
          </w:tcPr>
          <w:p w:rsidR="00192DD0" w:rsidRPr="008633D2" w:rsidRDefault="00192DD0" w:rsidP="00192DD0">
            <w:pPr>
              <w:spacing w:line="240" w:lineRule="auto"/>
              <w:contextualSpacing/>
              <w:jc w:val="right"/>
              <w:rPr>
                <w:rFonts w:ascii="Calibri" w:hAnsi="Calibri" w:cs="Calibri"/>
                <w:color w:val="000000"/>
                <w:sz w:val="22"/>
                <w:szCs w:val="22"/>
                <w:lang w:val="en-ZA"/>
              </w:rPr>
            </w:pPr>
            <w:r w:rsidRPr="008633D2">
              <w:rPr>
                <w:rFonts w:ascii="Calibri" w:hAnsi="Calibri" w:cs="Calibri"/>
                <w:color w:val="000000"/>
                <w:sz w:val="22"/>
                <w:szCs w:val="22"/>
                <w:lang w:val="en-ZA"/>
              </w:rPr>
              <w:t>-5.30%</w:t>
            </w:r>
          </w:p>
        </w:tc>
        <w:tc>
          <w:tcPr>
            <w:tcW w:w="516" w:type="pct"/>
            <w:tcBorders>
              <w:top w:val="nil"/>
              <w:left w:val="nil"/>
              <w:bottom w:val="single" w:sz="4" w:space="0" w:color="auto"/>
              <w:right w:val="single" w:sz="4" w:space="0" w:color="auto"/>
            </w:tcBorders>
            <w:shd w:val="clear" w:color="auto" w:fill="auto"/>
            <w:noWrap/>
            <w:vAlign w:val="center"/>
          </w:tcPr>
          <w:p w:rsidR="00192DD0" w:rsidRPr="008633D2" w:rsidRDefault="00192DD0" w:rsidP="00192DD0">
            <w:pPr>
              <w:spacing w:line="240" w:lineRule="auto"/>
              <w:contextualSpacing/>
              <w:jc w:val="right"/>
              <w:rPr>
                <w:rFonts w:ascii="Calibri" w:hAnsi="Calibri" w:cs="Calibri"/>
                <w:color w:val="000000"/>
                <w:sz w:val="22"/>
                <w:szCs w:val="22"/>
                <w:lang w:val="en-ZA"/>
              </w:rPr>
            </w:pPr>
            <w:r w:rsidRPr="008633D2">
              <w:rPr>
                <w:rFonts w:ascii="Calibri" w:hAnsi="Calibri" w:cs="Calibri"/>
                <w:color w:val="000000"/>
                <w:sz w:val="22"/>
                <w:szCs w:val="22"/>
                <w:lang w:val="en-ZA"/>
              </w:rPr>
              <w:t>-5.56%</w:t>
            </w:r>
          </w:p>
        </w:tc>
        <w:tc>
          <w:tcPr>
            <w:tcW w:w="516" w:type="pct"/>
            <w:tcBorders>
              <w:top w:val="nil"/>
              <w:left w:val="nil"/>
              <w:bottom w:val="single" w:sz="4" w:space="0" w:color="auto"/>
              <w:right w:val="single" w:sz="4" w:space="0" w:color="auto"/>
            </w:tcBorders>
            <w:shd w:val="clear" w:color="auto" w:fill="auto"/>
            <w:noWrap/>
            <w:vAlign w:val="center"/>
          </w:tcPr>
          <w:p w:rsidR="00192DD0" w:rsidRPr="008633D2" w:rsidRDefault="00192DD0" w:rsidP="0093055D">
            <w:pPr>
              <w:spacing w:line="240" w:lineRule="auto"/>
              <w:contextualSpacing/>
              <w:jc w:val="right"/>
              <w:rPr>
                <w:rFonts w:ascii="Calibri" w:hAnsi="Calibri" w:cs="Calibri"/>
                <w:color w:val="000000"/>
                <w:sz w:val="22"/>
                <w:szCs w:val="22"/>
                <w:lang w:val="en-ZA"/>
              </w:rPr>
            </w:pPr>
            <w:r w:rsidRPr="008633D2">
              <w:rPr>
                <w:rFonts w:ascii="Calibri" w:hAnsi="Calibri" w:cs="Calibri"/>
                <w:color w:val="000000"/>
                <w:sz w:val="22"/>
                <w:szCs w:val="22"/>
                <w:lang w:val="en-ZA"/>
              </w:rPr>
              <w:t>-</w:t>
            </w:r>
            <w:r w:rsidR="0093055D">
              <w:rPr>
                <w:rFonts w:ascii="Calibri" w:hAnsi="Calibri" w:cs="Calibri"/>
                <w:color w:val="000000"/>
                <w:sz w:val="22"/>
                <w:szCs w:val="22"/>
                <w:lang w:val="en-ZA"/>
              </w:rPr>
              <w:t>3</w:t>
            </w:r>
            <w:r w:rsidRPr="008633D2">
              <w:rPr>
                <w:rFonts w:ascii="Calibri" w:hAnsi="Calibri" w:cs="Calibri"/>
                <w:color w:val="000000"/>
                <w:sz w:val="22"/>
                <w:szCs w:val="22"/>
                <w:lang w:val="en-ZA"/>
              </w:rPr>
              <w:t>.</w:t>
            </w:r>
            <w:r w:rsidR="0093055D">
              <w:rPr>
                <w:rFonts w:ascii="Calibri" w:hAnsi="Calibri" w:cs="Calibri"/>
                <w:color w:val="000000"/>
                <w:sz w:val="22"/>
                <w:szCs w:val="22"/>
                <w:lang w:val="en-ZA"/>
              </w:rPr>
              <w:t>49</w:t>
            </w:r>
            <w:r w:rsidRPr="008633D2">
              <w:rPr>
                <w:rFonts w:ascii="Calibri" w:hAnsi="Calibri" w:cs="Calibri"/>
                <w:color w:val="000000"/>
                <w:sz w:val="22"/>
                <w:szCs w:val="22"/>
                <w:lang w:val="en-ZA"/>
              </w:rPr>
              <w:t>%</w:t>
            </w:r>
          </w:p>
        </w:tc>
      </w:tr>
      <w:tr w:rsidR="00192DD0" w:rsidRPr="008633D2" w:rsidTr="00E83B87">
        <w:trPr>
          <w:trHeight w:val="397"/>
        </w:trPr>
        <w:tc>
          <w:tcPr>
            <w:tcW w:w="2936" w:type="pct"/>
            <w:tcBorders>
              <w:top w:val="nil"/>
              <w:left w:val="single" w:sz="4" w:space="0" w:color="auto"/>
              <w:bottom w:val="single" w:sz="4" w:space="0" w:color="auto"/>
              <w:right w:val="single" w:sz="4" w:space="0" w:color="auto"/>
            </w:tcBorders>
            <w:shd w:val="clear" w:color="auto" w:fill="auto"/>
            <w:noWrap/>
            <w:vAlign w:val="center"/>
            <w:hideMark/>
          </w:tcPr>
          <w:p w:rsidR="00192DD0" w:rsidRPr="008633D2" w:rsidRDefault="00192DD0" w:rsidP="00A703B3">
            <w:pPr>
              <w:spacing w:before="0" w:after="0" w:line="240" w:lineRule="auto"/>
              <w:jc w:val="left"/>
              <w:rPr>
                <w:rFonts w:cs="Arial"/>
                <w:color w:val="000000"/>
                <w:sz w:val="22"/>
                <w:szCs w:val="22"/>
                <w:lang w:val="en-ZA" w:eastAsia="en-ZA"/>
              </w:rPr>
            </w:pPr>
            <w:r w:rsidRPr="008633D2">
              <w:rPr>
                <w:rFonts w:cs="Arial"/>
                <w:color w:val="000000"/>
                <w:sz w:val="22"/>
                <w:szCs w:val="22"/>
                <w:lang w:val="en-ZA" w:eastAsia="en-ZA"/>
              </w:rPr>
              <w:t>Difference between female managed and benchmark</w:t>
            </w:r>
          </w:p>
        </w:tc>
        <w:tc>
          <w:tcPr>
            <w:tcW w:w="516" w:type="pct"/>
            <w:tcBorders>
              <w:top w:val="nil"/>
              <w:left w:val="nil"/>
              <w:bottom w:val="single" w:sz="4" w:space="0" w:color="auto"/>
              <w:right w:val="single" w:sz="4" w:space="0" w:color="auto"/>
            </w:tcBorders>
            <w:shd w:val="clear" w:color="auto" w:fill="auto"/>
            <w:noWrap/>
            <w:vAlign w:val="center"/>
          </w:tcPr>
          <w:p w:rsidR="00192DD0" w:rsidRPr="008633D2" w:rsidRDefault="00192DD0" w:rsidP="00192DD0">
            <w:pPr>
              <w:spacing w:line="240" w:lineRule="auto"/>
              <w:contextualSpacing/>
              <w:jc w:val="right"/>
              <w:rPr>
                <w:rFonts w:ascii="Calibri" w:hAnsi="Calibri" w:cs="Calibri"/>
                <w:color w:val="000000"/>
                <w:sz w:val="22"/>
                <w:szCs w:val="22"/>
                <w:lang w:val="en-ZA"/>
              </w:rPr>
            </w:pPr>
            <w:r w:rsidRPr="008633D2">
              <w:rPr>
                <w:rFonts w:ascii="Calibri" w:hAnsi="Calibri" w:cs="Calibri"/>
                <w:color w:val="000000"/>
                <w:sz w:val="22"/>
                <w:szCs w:val="22"/>
                <w:lang w:val="en-ZA"/>
              </w:rPr>
              <w:t>1.76%</w:t>
            </w:r>
          </w:p>
        </w:tc>
        <w:tc>
          <w:tcPr>
            <w:tcW w:w="516" w:type="pct"/>
            <w:tcBorders>
              <w:top w:val="nil"/>
              <w:left w:val="nil"/>
              <w:bottom w:val="single" w:sz="4" w:space="0" w:color="auto"/>
              <w:right w:val="single" w:sz="4" w:space="0" w:color="auto"/>
            </w:tcBorders>
            <w:shd w:val="clear" w:color="auto" w:fill="auto"/>
            <w:noWrap/>
            <w:vAlign w:val="center"/>
          </w:tcPr>
          <w:p w:rsidR="00192DD0" w:rsidRPr="008633D2" w:rsidRDefault="00192DD0" w:rsidP="00192DD0">
            <w:pPr>
              <w:spacing w:line="240" w:lineRule="auto"/>
              <w:contextualSpacing/>
              <w:jc w:val="right"/>
              <w:rPr>
                <w:rFonts w:ascii="Calibri" w:hAnsi="Calibri" w:cs="Calibri"/>
                <w:color w:val="000000"/>
                <w:sz w:val="22"/>
                <w:szCs w:val="22"/>
                <w:lang w:val="en-ZA"/>
              </w:rPr>
            </w:pPr>
            <w:r w:rsidRPr="008633D2">
              <w:rPr>
                <w:rFonts w:ascii="Calibri" w:hAnsi="Calibri" w:cs="Calibri"/>
                <w:color w:val="000000"/>
                <w:sz w:val="22"/>
                <w:szCs w:val="22"/>
                <w:lang w:val="en-ZA"/>
              </w:rPr>
              <w:t>-5.94%</w:t>
            </w:r>
          </w:p>
        </w:tc>
        <w:tc>
          <w:tcPr>
            <w:tcW w:w="516" w:type="pct"/>
            <w:tcBorders>
              <w:top w:val="nil"/>
              <w:left w:val="nil"/>
              <w:bottom w:val="single" w:sz="4" w:space="0" w:color="auto"/>
              <w:right w:val="single" w:sz="4" w:space="0" w:color="auto"/>
            </w:tcBorders>
            <w:shd w:val="clear" w:color="auto" w:fill="auto"/>
            <w:noWrap/>
            <w:vAlign w:val="center"/>
          </w:tcPr>
          <w:p w:rsidR="00192DD0" w:rsidRPr="008633D2" w:rsidRDefault="00192DD0" w:rsidP="00192DD0">
            <w:pPr>
              <w:spacing w:line="240" w:lineRule="auto"/>
              <w:contextualSpacing/>
              <w:jc w:val="right"/>
              <w:rPr>
                <w:rFonts w:ascii="Calibri" w:hAnsi="Calibri" w:cs="Calibri"/>
                <w:color w:val="000000"/>
                <w:sz w:val="22"/>
                <w:szCs w:val="22"/>
                <w:lang w:val="en-ZA"/>
              </w:rPr>
            </w:pPr>
            <w:r w:rsidRPr="008633D2">
              <w:rPr>
                <w:rFonts w:ascii="Calibri" w:hAnsi="Calibri" w:cs="Calibri"/>
                <w:color w:val="000000"/>
                <w:sz w:val="22"/>
                <w:szCs w:val="22"/>
                <w:lang w:val="en-ZA"/>
              </w:rPr>
              <w:t>-8.09%</w:t>
            </w:r>
          </w:p>
        </w:tc>
        <w:tc>
          <w:tcPr>
            <w:tcW w:w="516" w:type="pct"/>
            <w:tcBorders>
              <w:top w:val="nil"/>
              <w:left w:val="nil"/>
              <w:bottom w:val="single" w:sz="4" w:space="0" w:color="auto"/>
              <w:right w:val="single" w:sz="4" w:space="0" w:color="auto"/>
            </w:tcBorders>
            <w:shd w:val="clear" w:color="auto" w:fill="auto"/>
            <w:noWrap/>
            <w:vAlign w:val="center"/>
          </w:tcPr>
          <w:p w:rsidR="00192DD0" w:rsidRPr="008633D2" w:rsidRDefault="0093055D" w:rsidP="00192DD0">
            <w:pPr>
              <w:spacing w:line="240" w:lineRule="auto"/>
              <w:contextualSpacing/>
              <w:jc w:val="right"/>
              <w:rPr>
                <w:rFonts w:ascii="Calibri" w:hAnsi="Calibri" w:cs="Calibri"/>
                <w:color w:val="000000"/>
                <w:sz w:val="22"/>
                <w:szCs w:val="22"/>
                <w:lang w:val="en-ZA"/>
              </w:rPr>
            </w:pPr>
            <w:r>
              <w:rPr>
                <w:rFonts w:ascii="Calibri" w:hAnsi="Calibri" w:cs="Calibri"/>
                <w:color w:val="000000"/>
                <w:sz w:val="22"/>
                <w:szCs w:val="22"/>
                <w:lang w:val="en-ZA"/>
              </w:rPr>
              <w:t>-5.77</w:t>
            </w:r>
            <w:r w:rsidR="00192DD0" w:rsidRPr="008633D2">
              <w:rPr>
                <w:rFonts w:ascii="Calibri" w:hAnsi="Calibri" w:cs="Calibri"/>
                <w:color w:val="000000"/>
                <w:sz w:val="22"/>
                <w:szCs w:val="22"/>
                <w:lang w:val="en-ZA"/>
              </w:rPr>
              <w:t>%</w:t>
            </w:r>
          </w:p>
        </w:tc>
      </w:tr>
    </w:tbl>
    <w:p w:rsidR="00A703B3" w:rsidRPr="008633D2" w:rsidRDefault="00A703B3" w:rsidP="00765326">
      <w:pPr>
        <w:rPr>
          <w:lang w:val="en-ZA"/>
        </w:rPr>
      </w:pPr>
      <w:r w:rsidRPr="008633D2">
        <w:rPr>
          <w:lang w:val="en-ZA"/>
        </w:rPr>
        <w:fldChar w:fldCharType="end"/>
      </w:r>
    </w:p>
    <w:p w:rsidR="00765326" w:rsidRPr="008633D2" w:rsidRDefault="00AE2C26" w:rsidP="00765326">
      <w:pPr>
        <w:rPr>
          <w:lang w:val="en-ZA"/>
        </w:rPr>
      </w:pPr>
      <w:r w:rsidRPr="008633D2">
        <w:rPr>
          <w:lang w:val="en-ZA"/>
        </w:rPr>
        <w:t xml:space="preserve">The results presented in this section </w:t>
      </w:r>
      <w:r w:rsidR="00591A26">
        <w:rPr>
          <w:lang w:val="en-ZA"/>
        </w:rPr>
        <w:t>indicate</w:t>
      </w:r>
      <w:r w:rsidRPr="008633D2">
        <w:rPr>
          <w:lang w:val="en-ZA"/>
        </w:rPr>
        <w:t xml:space="preserve"> that there are scenarios in which funds outperform </w:t>
      </w:r>
      <w:r w:rsidR="00192DD0" w:rsidRPr="008633D2">
        <w:rPr>
          <w:lang w:val="en-ZA"/>
        </w:rPr>
        <w:t xml:space="preserve">the benchmark. However, it also shows that male </w:t>
      </w:r>
      <w:r w:rsidRPr="008633D2">
        <w:rPr>
          <w:lang w:val="en-ZA"/>
        </w:rPr>
        <w:t>managed funds</w:t>
      </w:r>
      <w:r w:rsidR="00192DD0" w:rsidRPr="008633D2">
        <w:rPr>
          <w:lang w:val="en-ZA"/>
        </w:rPr>
        <w:t xml:space="preserve"> produce higher returns than female managed across all terms when all funds across the industry are taken into consideration</w:t>
      </w:r>
      <w:r w:rsidRPr="008633D2">
        <w:rPr>
          <w:lang w:val="en-ZA"/>
        </w:rPr>
        <w:t xml:space="preserve">. </w:t>
      </w:r>
    </w:p>
    <w:p w:rsidR="00CB6094" w:rsidRPr="008633D2" w:rsidRDefault="00CB6094" w:rsidP="00BA6522">
      <w:pPr>
        <w:rPr>
          <w:color w:val="333399"/>
          <w:lang w:val="en-ZA"/>
        </w:rPr>
      </w:pPr>
    </w:p>
    <w:p w:rsidR="003D316E" w:rsidRDefault="003D316E" w:rsidP="003D316E">
      <w:pPr>
        <w:pStyle w:val="Caption"/>
        <w:keepNext/>
        <w:jc w:val="center"/>
        <w:rPr>
          <w:lang w:val="en-ZA"/>
        </w:rPr>
      </w:pPr>
      <w:bookmarkStart w:id="240" w:name="_Toc458610859"/>
      <w:r w:rsidRPr="008633D2">
        <w:rPr>
          <w:lang w:val="en-ZA"/>
        </w:rPr>
        <w:t xml:space="preserve">Table </w:t>
      </w:r>
      <w:r w:rsidRPr="008633D2">
        <w:rPr>
          <w:lang w:val="en-ZA"/>
        </w:rPr>
        <w:fldChar w:fldCharType="begin"/>
      </w:r>
      <w:r w:rsidRPr="008633D2">
        <w:rPr>
          <w:lang w:val="en-ZA"/>
        </w:rPr>
        <w:instrText xml:space="preserve"> SEQ Table \* ARABIC </w:instrText>
      </w:r>
      <w:r w:rsidRPr="008633D2">
        <w:rPr>
          <w:lang w:val="en-ZA"/>
        </w:rPr>
        <w:fldChar w:fldCharType="separate"/>
      </w:r>
      <w:r w:rsidR="00C456D9">
        <w:rPr>
          <w:noProof/>
          <w:lang w:val="en-ZA"/>
        </w:rPr>
        <w:t>14</w:t>
      </w:r>
      <w:r w:rsidRPr="008633D2">
        <w:rPr>
          <w:lang w:val="en-ZA"/>
        </w:rPr>
        <w:fldChar w:fldCharType="end"/>
      </w:r>
      <w:r w:rsidRPr="008633D2">
        <w:rPr>
          <w:lang w:val="en-ZA"/>
        </w:rPr>
        <w:t>: Results from statistical tests for the comparison of all funds in South Africa by gender</w:t>
      </w:r>
      <w:r w:rsidR="0093055D">
        <w:rPr>
          <w:lang w:val="en-ZA"/>
        </w:rPr>
        <w:t xml:space="preserve"> to the benchmark</w:t>
      </w:r>
      <w:bookmarkEnd w:id="240"/>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851"/>
        <w:gridCol w:w="2129"/>
        <w:gridCol w:w="947"/>
        <w:gridCol w:w="947"/>
        <w:gridCol w:w="947"/>
        <w:gridCol w:w="949"/>
      </w:tblGrid>
      <w:tr w:rsidR="0093055D" w:rsidTr="004F7551">
        <w:trPr>
          <w:trHeight w:val="300"/>
        </w:trPr>
        <w:tc>
          <w:tcPr>
            <w:tcW w:w="2839" w:type="pct"/>
            <w:gridSpan w:val="2"/>
            <w:shd w:val="clear" w:color="000000" w:fill="366092"/>
            <w:tcMar>
              <w:top w:w="15" w:type="dxa"/>
              <w:left w:w="15" w:type="dxa"/>
              <w:bottom w:w="0" w:type="dxa"/>
              <w:right w:w="15" w:type="dxa"/>
            </w:tcMar>
            <w:hideMark/>
          </w:tcPr>
          <w:p w:rsidR="0093055D" w:rsidRDefault="0093055D" w:rsidP="0093055D">
            <w:pPr>
              <w:spacing w:line="240" w:lineRule="auto"/>
              <w:contextualSpacing/>
              <w:jc w:val="center"/>
              <w:rPr>
                <w:rFonts w:cs="Arial"/>
                <w:b/>
                <w:bCs/>
                <w:color w:val="FFFFFF"/>
                <w:sz w:val="22"/>
                <w:szCs w:val="22"/>
              </w:rPr>
            </w:pPr>
            <w:r>
              <w:rPr>
                <w:rFonts w:cs="Arial"/>
                <w:b/>
                <w:bCs/>
                <w:color w:val="FFFFFF"/>
                <w:sz w:val="22"/>
                <w:szCs w:val="22"/>
              </w:rPr>
              <w:t>Description</w:t>
            </w:r>
          </w:p>
        </w:tc>
        <w:tc>
          <w:tcPr>
            <w:tcW w:w="540" w:type="pct"/>
            <w:shd w:val="clear" w:color="000000" w:fill="366092"/>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b/>
                <w:bCs/>
                <w:color w:val="FFFFFF"/>
                <w:sz w:val="22"/>
                <w:szCs w:val="22"/>
              </w:rPr>
            </w:pPr>
            <w:r>
              <w:rPr>
                <w:rFonts w:cs="Arial"/>
                <w:b/>
                <w:bCs/>
                <w:color w:val="FFFFFF"/>
                <w:sz w:val="22"/>
                <w:szCs w:val="22"/>
              </w:rPr>
              <w:t>1 year</w:t>
            </w:r>
          </w:p>
        </w:tc>
        <w:tc>
          <w:tcPr>
            <w:tcW w:w="540" w:type="pct"/>
            <w:shd w:val="clear" w:color="000000" w:fill="366092"/>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b/>
                <w:bCs/>
                <w:color w:val="FFFFFF"/>
                <w:sz w:val="22"/>
                <w:szCs w:val="22"/>
              </w:rPr>
            </w:pPr>
            <w:r>
              <w:rPr>
                <w:rFonts w:cs="Arial"/>
                <w:b/>
                <w:bCs/>
                <w:color w:val="FFFFFF"/>
                <w:sz w:val="22"/>
                <w:szCs w:val="22"/>
              </w:rPr>
              <w:t>3 year</w:t>
            </w:r>
          </w:p>
        </w:tc>
        <w:tc>
          <w:tcPr>
            <w:tcW w:w="540" w:type="pct"/>
            <w:shd w:val="clear" w:color="000000" w:fill="366092"/>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b/>
                <w:bCs/>
                <w:color w:val="FFFFFF"/>
                <w:sz w:val="22"/>
                <w:szCs w:val="22"/>
              </w:rPr>
            </w:pPr>
            <w:r>
              <w:rPr>
                <w:rFonts w:cs="Arial"/>
                <w:b/>
                <w:bCs/>
                <w:color w:val="FFFFFF"/>
                <w:sz w:val="22"/>
                <w:szCs w:val="22"/>
              </w:rPr>
              <w:t>5 year</w:t>
            </w:r>
          </w:p>
        </w:tc>
        <w:tc>
          <w:tcPr>
            <w:tcW w:w="541" w:type="pct"/>
            <w:shd w:val="clear" w:color="000000" w:fill="366092"/>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b/>
                <w:bCs/>
                <w:color w:val="FFFFFF"/>
                <w:sz w:val="22"/>
                <w:szCs w:val="22"/>
              </w:rPr>
            </w:pPr>
            <w:r>
              <w:rPr>
                <w:rFonts w:cs="Arial"/>
                <w:b/>
                <w:bCs/>
                <w:color w:val="FFFFFF"/>
                <w:sz w:val="22"/>
                <w:szCs w:val="22"/>
              </w:rPr>
              <w:t>10 year</w:t>
            </w:r>
          </w:p>
        </w:tc>
      </w:tr>
      <w:tr w:rsidR="0093055D" w:rsidTr="004F7551">
        <w:trPr>
          <w:trHeight w:val="300"/>
        </w:trPr>
        <w:tc>
          <w:tcPr>
            <w:tcW w:w="1625" w:type="pct"/>
            <w:vMerge w:val="restart"/>
            <w:shd w:val="clear" w:color="000000" w:fill="95B3D7"/>
            <w:noWrap/>
            <w:tcMar>
              <w:top w:w="15" w:type="dxa"/>
              <w:left w:w="15" w:type="dxa"/>
              <w:bottom w:w="0" w:type="dxa"/>
              <w:right w:w="15" w:type="dxa"/>
            </w:tcMar>
            <w:vAlign w:val="center"/>
            <w:hideMark/>
          </w:tcPr>
          <w:p w:rsidR="0093055D" w:rsidRDefault="0093055D" w:rsidP="0093055D">
            <w:pPr>
              <w:spacing w:line="240" w:lineRule="auto"/>
              <w:contextualSpacing/>
              <w:jc w:val="left"/>
              <w:rPr>
                <w:rFonts w:cs="Arial"/>
                <w:b/>
                <w:bCs/>
                <w:color w:val="000000"/>
                <w:sz w:val="22"/>
                <w:szCs w:val="22"/>
              </w:rPr>
            </w:pPr>
            <w:r>
              <w:rPr>
                <w:rFonts w:cs="Arial"/>
                <w:b/>
                <w:bCs/>
                <w:color w:val="000000"/>
                <w:sz w:val="22"/>
                <w:szCs w:val="22"/>
              </w:rPr>
              <w:t>Females</w:t>
            </w:r>
          </w:p>
        </w:tc>
        <w:tc>
          <w:tcPr>
            <w:tcW w:w="1214" w:type="pct"/>
            <w:shd w:val="clear" w:color="000000" w:fill="B8CCE4"/>
            <w:noWrap/>
            <w:tcMar>
              <w:top w:w="15" w:type="dxa"/>
              <w:left w:w="15" w:type="dxa"/>
              <w:bottom w:w="0" w:type="dxa"/>
              <w:right w:w="15" w:type="dxa"/>
            </w:tcMar>
            <w:vAlign w:val="center"/>
            <w:hideMark/>
          </w:tcPr>
          <w:p w:rsidR="0093055D" w:rsidRDefault="0093055D" w:rsidP="0093055D">
            <w:pPr>
              <w:spacing w:line="240" w:lineRule="auto"/>
              <w:contextualSpacing/>
              <w:jc w:val="left"/>
              <w:rPr>
                <w:rFonts w:cs="Arial"/>
                <w:color w:val="000000"/>
                <w:sz w:val="22"/>
                <w:szCs w:val="22"/>
              </w:rPr>
            </w:pPr>
            <w:r>
              <w:rPr>
                <w:rFonts w:cs="Arial"/>
                <w:color w:val="000000"/>
                <w:sz w:val="22"/>
                <w:szCs w:val="22"/>
              </w:rPr>
              <w:t>Mean</w:t>
            </w:r>
          </w:p>
        </w:tc>
        <w:tc>
          <w:tcPr>
            <w:tcW w:w="540" w:type="pct"/>
            <w:shd w:val="clear" w:color="auto" w:fill="auto"/>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6.55%</w:t>
            </w:r>
          </w:p>
        </w:tc>
        <w:tc>
          <w:tcPr>
            <w:tcW w:w="540" w:type="pct"/>
            <w:shd w:val="clear" w:color="auto" w:fill="auto"/>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13.01%</w:t>
            </w:r>
          </w:p>
        </w:tc>
        <w:tc>
          <w:tcPr>
            <w:tcW w:w="540" w:type="pct"/>
            <w:shd w:val="clear" w:color="auto" w:fill="auto"/>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9.95%</w:t>
            </w:r>
          </w:p>
        </w:tc>
        <w:tc>
          <w:tcPr>
            <w:tcW w:w="541" w:type="pct"/>
            <w:shd w:val="clear" w:color="auto" w:fill="auto"/>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9.97%</w:t>
            </w:r>
          </w:p>
        </w:tc>
      </w:tr>
      <w:tr w:rsidR="0093055D" w:rsidTr="004F7551">
        <w:trPr>
          <w:trHeight w:val="300"/>
        </w:trPr>
        <w:tc>
          <w:tcPr>
            <w:tcW w:w="1625" w:type="pct"/>
            <w:vMerge/>
            <w:vAlign w:val="center"/>
            <w:hideMark/>
          </w:tcPr>
          <w:p w:rsidR="0093055D" w:rsidRDefault="0093055D" w:rsidP="0093055D">
            <w:pPr>
              <w:spacing w:line="240" w:lineRule="auto"/>
              <w:contextualSpacing/>
              <w:jc w:val="left"/>
              <w:rPr>
                <w:rFonts w:cs="Arial"/>
                <w:b/>
                <w:bCs/>
                <w:color w:val="000000"/>
                <w:sz w:val="22"/>
                <w:szCs w:val="22"/>
              </w:rPr>
            </w:pPr>
          </w:p>
        </w:tc>
        <w:tc>
          <w:tcPr>
            <w:tcW w:w="1214" w:type="pct"/>
            <w:shd w:val="clear" w:color="000000" w:fill="B8CCE4"/>
            <w:noWrap/>
            <w:tcMar>
              <w:top w:w="15" w:type="dxa"/>
              <w:left w:w="15" w:type="dxa"/>
              <w:bottom w:w="0" w:type="dxa"/>
              <w:right w:w="15" w:type="dxa"/>
            </w:tcMar>
            <w:vAlign w:val="bottom"/>
            <w:hideMark/>
          </w:tcPr>
          <w:p w:rsidR="0093055D" w:rsidRPr="008633D2" w:rsidRDefault="0093055D" w:rsidP="0093055D">
            <w:pPr>
              <w:spacing w:line="240" w:lineRule="auto"/>
              <w:contextualSpacing/>
              <w:jc w:val="left"/>
              <w:rPr>
                <w:rFonts w:cs="Arial"/>
                <w:color w:val="000000"/>
                <w:sz w:val="22"/>
                <w:szCs w:val="22"/>
                <w:lang w:val="en-ZA"/>
              </w:rPr>
            </w:pPr>
            <w:r w:rsidRPr="008633D2">
              <w:rPr>
                <w:rFonts w:cs="Arial"/>
                <w:color w:val="000000"/>
                <w:sz w:val="22"/>
                <w:szCs w:val="22"/>
                <w:lang w:val="en-ZA"/>
              </w:rPr>
              <w:t>St</w:t>
            </w:r>
            <w:r>
              <w:rPr>
                <w:rFonts w:cs="Arial"/>
                <w:color w:val="000000"/>
                <w:sz w:val="22"/>
                <w:szCs w:val="22"/>
                <w:lang w:val="en-ZA"/>
              </w:rPr>
              <w:t>andard  deviation</w:t>
            </w:r>
          </w:p>
        </w:tc>
        <w:tc>
          <w:tcPr>
            <w:tcW w:w="540" w:type="pct"/>
            <w:shd w:val="clear" w:color="auto" w:fill="auto"/>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5.56%</w:t>
            </w:r>
          </w:p>
        </w:tc>
        <w:tc>
          <w:tcPr>
            <w:tcW w:w="540" w:type="pct"/>
            <w:shd w:val="clear" w:color="auto" w:fill="auto"/>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6.87%</w:t>
            </w:r>
          </w:p>
        </w:tc>
        <w:tc>
          <w:tcPr>
            <w:tcW w:w="540" w:type="pct"/>
            <w:shd w:val="clear" w:color="auto" w:fill="auto"/>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4.85%</w:t>
            </w:r>
          </w:p>
        </w:tc>
        <w:tc>
          <w:tcPr>
            <w:tcW w:w="541" w:type="pct"/>
            <w:shd w:val="clear" w:color="auto" w:fill="auto"/>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5.44%</w:t>
            </w:r>
          </w:p>
        </w:tc>
      </w:tr>
      <w:tr w:rsidR="0093055D" w:rsidTr="004F7551">
        <w:trPr>
          <w:trHeight w:val="300"/>
        </w:trPr>
        <w:tc>
          <w:tcPr>
            <w:tcW w:w="1625" w:type="pct"/>
            <w:vMerge/>
            <w:vAlign w:val="center"/>
            <w:hideMark/>
          </w:tcPr>
          <w:p w:rsidR="0093055D" w:rsidRDefault="0093055D" w:rsidP="0093055D">
            <w:pPr>
              <w:spacing w:line="240" w:lineRule="auto"/>
              <w:contextualSpacing/>
              <w:jc w:val="left"/>
              <w:rPr>
                <w:rFonts w:cs="Arial"/>
                <w:b/>
                <w:bCs/>
                <w:color w:val="000000"/>
                <w:sz w:val="22"/>
                <w:szCs w:val="22"/>
              </w:rPr>
            </w:pPr>
          </w:p>
        </w:tc>
        <w:tc>
          <w:tcPr>
            <w:tcW w:w="1214" w:type="pct"/>
            <w:shd w:val="clear" w:color="000000" w:fill="B8CCE4"/>
            <w:noWrap/>
            <w:tcMar>
              <w:top w:w="15" w:type="dxa"/>
              <w:left w:w="15" w:type="dxa"/>
              <w:bottom w:w="0" w:type="dxa"/>
              <w:right w:w="15" w:type="dxa"/>
            </w:tcMar>
            <w:vAlign w:val="center"/>
            <w:hideMark/>
          </w:tcPr>
          <w:p w:rsidR="0093055D" w:rsidRDefault="0093055D" w:rsidP="0093055D">
            <w:pPr>
              <w:spacing w:line="240" w:lineRule="auto"/>
              <w:contextualSpacing/>
              <w:jc w:val="left"/>
              <w:rPr>
                <w:rFonts w:cs="Arial"/>
                <w:color w:val="000000"/>
                <w:sz w:val="22"/>
                <w:szCs w:val="22"/>
              </w:rPr>
            </w:pPr>
            <w:r>
              <w:rPr>
                <w:rFonts w:cs="Arial"/>
                <w:color w:val="000000"/>
                <w:sz w:val="22"/>
                <w:szCs w:val="22"/>
              </w:rPr>
              <w:t>Count</w:t>
            </w:r>
          </w:p>
        </w:tc>
        <w:tc>
          <w:tcPr>
            <w:tcW w:w="540" w:type="pct"/>
            <w:shd w:val="clear" w:color="auto" w:fill="auto"/>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61</w:t>
            </w:r>
          </w:p>
        </w:tc>
        <w:tc>
          <w:tcPr>
            <w:tcW w:w="540" w:type="pct"/>
            <w:shd w:val="clear" w:color="auto" w:fill="auto"/>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43</w:t>
            </w:r>
          </w:p>
        </w:tc>
        <w:tc>
          <w:tcPr>
            <w:tcW w:w="540" w:type="pct"/>
            <w:shd w:val="clear" w:color="auto" w:fill="auto"/>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26</w:t>
            </w:r>
          </w:p>
        </w:tc>
        <w:tc>
          <w:tcPr>
            <w:tcW w:w="541" w:type="pct"/>
            <w:shd w:val="clear" w:color="auto" w:fill="auto"/>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6</w:t>
            </w:r>
          </w:p>
        </w:tc>
      </w:tr>
      <w:tr w:rsidR="0093055D" w:rsidTr="004F7551">
        <w:trPr>
          <w:trHeight w:val="300"/>
        </w:trPr>
        <w:tc>
          <w:tcPr>
            <w:tcW w:w="1625" w:type="pct"/>
            <w:vMerge w:val="restart"/>
            <w:shd w:val="clear" w:color="000000" w:fill="95B3D7"/>
            <w:noWrap/>
            <w:tcMar>
              <w:top w:w="15" w:type="dxa"/>
              <w:left w:w="15" w:type="dxa"/>
              <w:bottom w:w="0" w:type="dxa"/>
              <w:right w:w="15" w:type="dxa"/>
            </w:tcMar>
            <w:vAlign w:val="center"/>
            <w:hideMark/>
          </w:tcPr>
          <w:p w:rsidR="0093055D" w:rsidRDefault="0093055D" w:rsidP="0093055D">
            <w:pPr>
              <w:spacing w:line="240" w:lineRule="auto"/>
              <w:contextualSpacing/>
              <w:jc w:val="left"/>
              <w:rPr>
                <w:rFonts w:cs="Arial"/>
                <w:b/>
                <w:bCs/>
                <w:color w:val="000000"/>
                <w:sz w:val="22"/>
                <w:szCs w:val="22"/>
              </w:rPr>
            </w:pPr>
            <w:r>
              <w:rPr>
                <w:rFonts w:cs="Arial"/>
                <w:b/>
                <w:bCs/>
                <w:color w:val="000000"/>
                <w:sz w:val="22"/>
                <w:szCs w:val="22"/>
              </w:rPr>
              <w:t>Male</w:t>
            </w:r>
          </w:p>
        </w:tc>
        <w:tc>
          <w:tcPr>
            <w:tcW w:w="1214" w:type="pct"/>
            <w:shd w:val="clear" w:color="000000" w:fill="B8CCE4"/>
            <w:noWrap/>
            <w:tcMar>
              <w:top w:w="15" w:type="dxa"/>
              <w:left w:w="15" w:type="dxa"/>
              <w:bottom w:w="0" w:type="dxa"/>
              <w:right w:w="15" w:type="dxa"/>
            </w:tcMar>
            <w:vAlign w:val="center"/>
            <w:hideMark/>
          </w:tcPr>
          <w:p w:rsidR="0093055D" w:rsidRDefault="0093055D" w:rsidP="0093055D">
            <w:pPr>
              <w:spacing w:line="240" w:lineRule="auto"/>
              <w:contextualSpacing/>
              <w:jc w:val="left"/>
              <w:rPr>
                <w:rFonts w:cs="Arial"/>
                <w:color w:val="000000"/>
                <w:sz w:val="22"/>
                <w:szCs w:val="22"/>
              </w:rPr>
            </w:pPr>
            <w:r>
              <w:rPr>
                <w:rFonts w:cs="Arial"/>
                <w:color w:val="000000"/>
                <w:sz w:val="22"/>
                <w:szCs w:val="22"/>
              </w:rPr>
              <w:t>Mean</w:t>
            </w:r>
          </w:p>
        </w:tc>
        <w:tc>
          <w:tcPr>
            <w:tcW w:w="540" w:type="pct"/>
            <w:shd w:val="clear" w:color="auto" w:fill="auto"/>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7.79%</w:t>
            </w:r>
          </w:p>
        </w:tc>
        <w:tc>
          <w:tcPr>
            <w:tcW w:w="540" w:type="pct"/>
            <w:shd w:val="clear" w:color="auto" w:fill="auto"/>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13.64%</w:t>
            </w:r>
          </w:p>
        </w:tc>
        <w:tc>
          <w:tcPr>
            <w:tcW w:w="540" w:type="pct"/>
            <w:shd w:val="clear" w:color="auto" w:fill="auto"/>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12.48%</w:t>
            </w:r>
          </w:p>
        </w:tc>
        <w:tc>
          <w:tcPr>
            <w:tcW w:w="541" w:type="pct"/>
            <w:shd w:val="clear" w:color="auto" w:fill="auto"/>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12.25%</w:t>
            </w:r>
          </w:p>
        </w:tc>
      </w:tr>
      <w:tr w:rsidR="0093055D" w:rsidTr="004F7551">
        <w:trPr>
          <w:trHeight w:val="300"/>
        </w:trPr>
        <w:tc>
          <w:tcPr>
            <w:tcW w:w="1625" w:type="pct"/>
            <w:vMerge/>
            <w:vAlign w:val="center"/>
            <w:hideMark/>
          </w:tcPr>
          <w:p w:rsidR="0093055D" w:rsidRDefault="0093055D" w:rsidP="0093055D">
            <w:pPr>
              <w:spacing w:line="240" w:lineRule="auto"/>
              <w:contextualSpacing/>
              <w:jc w:val="left"/>
              <w:rPr>
                <w:rFonts w:cs="Arial"/>
                <w:b/>
                <w:bCs/>
                <w:color w:val="000000"/>
                <w:sz w:val="22"/>
                <w:szCs w:val="22"/>
              </w:rPr>
            </w:pPr>
          </w:p>
        </w:tc>
        <w:tc>
          <w:tcPr>
            <w:tcW w:w="1214" w:type="pct"/>
            <w:shd w:val="clear" w:color="000000" w:fill="B8CCE4"/>
            <w:noWrap/>
            <w:tcMar>
              <w:top w:w="15" w:type="dxa"/>
              <w:left w:w="15" w:type="dxa"/>
              <w:bottom w:w="0" w:type="dxa"/>
              <w:right w:w="15" w:type="dxa"/>
            </w:tcMar>
            <w:vAlign w:val="bottom"/>
            <w:hideMark/>
          </w:tcPr>
          <w:p w:rsidR="0093055D" w:rsidRPr="008633D2" w:rsidRDefault="0093055D" w:rsidP="0093055D">
            <w:pPr>
              <w:spacing w:line="240" w:lineRule="auto"/>
              <w:contextualSpacing/>
              <w:jc w:val="left"/>
              <w:rPr>
                <w:rFonts w:cs="Arial"/>
                <w:color w:val="000000"/>
                <w:sz w:val="22"/>
                <w:szCs w:val="22"/>
                <w:lang w:val="en-ZA"/>
              </w:rPr>
            </w:pPr>
            <w:r w:rsidRPr="008633D2">
              <w:rPr>
                <w:rFonts w:cs="Arial"/>
                <w:color w:val="000000"/>
                <w:sz w:val="22"/>
                <w:szCs w:val="22"/>
                <w:lang w:val="en-ZA"/>
              </w:rPr>
              <w:t>St</w:t>
            </w:r>
            <w:r>
              <w:rPr>
                <w:rFonts w:cs="Arial"/>
                <w:color w:val="000000"/>
                <w:sz w:val="22"/>
                <w:szCs w:val="22"/>
                <w:lang w:val="en-ZA"/>
              </w:rPr>
              <w:t>andard  deviation</w:t>
            </w:r>
          </w:p>
        </w:tc>
        <w:tc>
          <w:tcPr>
            <w:tcW w:w="540" w:type="pct"/>
            <w:shd w:val="clear" w:color="auto" w:fill="auto"/>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8.64%</w:t>
            </w:r>
          </w:p>
        </w:tc>
        <w:tc>
          <w:tcPr>
            <w:tcW w:w="540" w:type="pct"/>
            <w:shd w:val="clear" w:color="auto" w:fill="auto"/>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6.90%</w:t>
            </w:r>
          </w:p>
        </w:tc>
        <w:tc>
          <w:tcPr>
            <w:tcW w:w="540" w:type="pct"/>
            <w:shd w:val="clear" w:color="auto" w:fill="auto"/>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5.60%</w:t>
            </w:r>
          </w:p>
        </w:tc>
        <w:tc>
          <w:tcPr>
            <w:tcW w:w="541" w:type="pct"/>
            <w:shd w:val="clear" w:color="auto" w:fill="auto"/>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3.99%</w:t>
            </w:r>
          </w:p>
        </w:tc>
      </w:tr>
      <w:tr w:rsidR="0093055D" w:rsidTr="004F7551">
        <w:trPr>
          <w:trHeight w:val="300"/>
        </w:trPr>
        <w:tc>
          <w:tcPr>
            <w:tcW w:w="1625" w:type="pct"/>
            <w:vMerge/>
            <w:vAlign w:val="center"/>
            <w:hideMark/>
          </w:tcPr>
          <w:p w:rsidR="0093055D" w:rsidRDefault="0093055D" w:rsidP="0093055D">
            <w:pPr>
              <w:spacing w:line="240" w:lineRule="auto"/>
              <w:contextualSpacing/>
              <w:jc w:val="left"/>
              <w:rPr>
                <w:rFonts w:cs="Arial"/>
                <w:b/>
                <w:bCs/>
                <w:color w:val="000000"/>
                <w:sz w:val="22"/>
                <w:szCs w:val="22"/>
              </w:rPr>
            </w:pPr>
          </w:p>
        </w:tc>
        <w:tc>
          <w:tcPr>
            <w:tcW w:w="1214" w:type="pct"/>
            <w:shd w:val="clear" w:color="000000" w:fill="B8CCE4"/>
            <w:noWrap/>
            <w:tcMar>
              <w:top w:w="15" w:type="dxa"/>
              <w:left w:w="15" w:type="dxa"/>
              <w:bottom w:w="0" w:type="dxa"/>
              <w:right w:w="15" w:type="dxa"/>
            </w:tcMar>
            <w:vAlign w:val="center"/>
            <w:hideMark/>
          </w:tcPr>
          <w:p w:rsidR="0093055D" w:rsidRDefault="0093055D" w:rsidP="0093055D">
            <w:pPr>
              <w:spacing w:line="240" w:lineRule="auto"/>
              <w:contextualSpacing/>
              <w:jc w:val="left"/>
              <w:rPr>
                <w:rFonts w:cs="Arial"/>
                <w:color w:val="000000"/>
                <w:sz w:val="22"/>
                <w:szCs w:val="22"/>
              </w:rPr>
            </w:pPr>
            <w:r>
              <w:rPr>
                <w:rFonts w:cs="Arial"/>
                <w:color w:val="000000"/>
                <w:sz w:val="22"/>
                <w:szCs w:val="22"/>
              </w:rPr>
              <w:t>Count</w:t>
            </w:r>
          </w:p>
        </w:tc>
        <w:tc>
          <w:tcPr>
            <w:tcW w:w="540" w:type="pct"/>
            <w:shd w:val="clear" w:color="auto" w:fill="auto"/>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730</w:t>
            </w:r>
          </w:p>
        </w:tc>
        <w:tc>
          <w:tcPr>
            <w:tcW w:w="540" w:type="pct"/>
            <w:shd w:val="clear" w:color="auto" w:fill="auto"/>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516</w:t>
            </w:r>
          </w:p>
        </w:tc>
        <w:tc>
          <w:tcPr>
            <w:tcW w:w="540" w:type="pct"/>
            <w:shd w:val="clear" w:color="auto" w:fill="auto"/>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329</w:t>
            </w:r>
          </w:p>
        </w:tc>
        <w:tc>
          <w:tcPr>
            <w:tcW w:w="541" w:type="pct"/>
            <w:shd w:val="clear" w:color="auto" w:fill="auto"/>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95</w:t>
            </w:r>
          </w:p>
        </w:tc>
      </w:tr>
      <w:tr w:rsidR="0093055D" w:rsidTr="004F7551">
        <w:trPr>
          <w:trHeight w:val="300"/>
        </w:trPr>
        <w:tc>
          <w:tcPr>
            <w:tcW w:w="1625" w:type="pct"/>
            <w:shd w:val="clear" w:color="000000" w:fill="95B3D7"/>
            <w:noWrap/>
            <w:tcMar>
              <w:top w:w="15" w:type="dxa"/>
              <w:left w:w="15" w:type="dxa"/>
              <w:bottom w:w="0" w:type="dxa"/>
              <w:right w:w="15" w:type="dxa"/>
            </w:tcMar>
            <w:vAlign w:val="center"/>
            <w:hideMark/>
          </w:tcPr>
          <w:p w:rsidR="0093055D" w:rsidRDefault="0093055D" w:rsidP="0093055D">
            <w:pPr>
              <w:spacing w:line="240" w:lineRule="auto"/>
              <w:contextualSpacing/>
              <w:jc w:val="left"/>
              <w:rPr>
                <w:rFonts w:cs="Arial"/>
                <w:b/>
                <w:bCs/>
                <w:color w:val="000000"/>
                <w:sz w:val="22"/>
                <w:szCs w:val="22"/>
              </w:rPr>
            </w:pPr>
            <w:r>
              <w:rPr>
                <w:rFonts w:cs="Arial"/>
                <w:b/>
                <w:bCs/>
                <w:color w:val="000000"/>
                <w:sz w:val="22"/>
                <w:szCs w:val="22"/>
              </w:rPr>
              <w:t>FTSE/JSE all share index</w:t>
            </w:r>
          </w:p>
        </w:tc>
        <w:tc>
          <w:tcPr>
            <w:tcW w:w="1214" w:type="pct"/>
            <w:shd w:val="clear" w:color="000000" w:fill="B8CCE4"/>
            <w:noWrap/>
            <w:tcMar>
              <w:top w:w="15" w:type="dxa"/>
              <w:left w:w="15" w:type="dxa"/>
              <w:bottom w:w="0" w:type="dxa"/>
              <w:right w:w="15" w:type="dxa"/>
            </w:tcMar>
            <w:vAlign w:val="center"/>
            <w:hideMark/>
          </w:tcPr>
          <w:p w:rsidR="0093055D" w:rsidRDefault="0093055D" w:rsidP="0093055D">
            <w:pPr>
              <w:spacing w:line="240" w:lineRule="auto"/>
              <w:contextualSpacing/>
              <w:jc w:val="left"/>
              <w:rPr>
                <w:rFonts w:cs="Arial"/>
                <w:color w:val="000000"/>
                <w:sz w:val="22"/>
                <w:szCs w:val="22"/>
              </w:rPr>
            </w:pPr>
            <w:r>
              <w:rPr>
                <w:rFonts w:cs="Arial"/>
                <w:color w:val="000000"/>
                <w:sz w:val="22"/>
                <w:szCs w:val="22"/>
              </w:rPr>
              <w:t>Annualised returns</w:t>
            </w:r>
          </w:p>
        </w:tc>
        <w:tc>
          <w:tcPr>
            <w:tcW w:w="540" w:type="pct"/>
            <w:shd w:val="clear" w:color="auto" w:fill="auto"/>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4.79</w:t>
            </w:r>
          </w:p>
        </w:tc>
        <w:tc>
          <w:tcPr>
            <w:tcW w:w="540" w:type="pct"/>
            <w:shd w:val="clear" w:color="auto" w:fill="auto"/>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18.95</w:t>
            </w:r>
          </w:p>
        </w:tc>
        <w:tc>
          <w:tcPr>
            <w:tcW w:w="540" w:type="pct"/>
            <w:shd w:val="clear" w:color="auto" w:fill="auto"/>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18.04</w:t>
            </w:r>
          </w:p>
        </w:tc>
        <w:tc>
          <w:tcPr>
            <w:tcW w:w="541" w:type="pct"/>
            <w:shd w:val="clear" w:color="auto" w:fill="auto"/>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15.74</w:t>
            </w:r>
          </w:p>
        </w:tc>
      </w:tr>
      <w:tr w:rsidR="0093055D" w:rsidTr="004F7551">
        <w:trPr>
          <w:trHeight w:val="300"/>
        </w:trPr>
        <w:tc>
          <w:tcPr>
            <w:tcW w:w="2839" w:type="pct"/>
            <w:gridSpan w:val="2"/>
            <w:shd w:val="clear" w:color="000000" w:fill="95B3D7"/>
            <w:noWrap/>
            <w:tcMar>
              <w:top w:w="15" w:type="dxa"/>
              <w:left w:w="15" w:type="dxa"/>
              <w:bottom w:w="0" w:type="dxa"/>
              <w:right w:w="15" w:type="dxa"/>
            </w:tcMar>
            <w:vAlign w:val="center"/>
            <w:hideMark/>
          </w:tcPr>
          <w:p w:rsidR="0093055D" w:rsidRDefault="0093055D" w:rsidP="0093055D">
            <w:pPr>
              <w:spacing w:line="240" w:lineRule="auto"/>
              <w:contextualSpacing/>
              <w:jc w:val="left"/>
              <w:rPr>
                <w:rFonts w:cs="Arial"/>
                <w:b/>
                <w:bCs/>
                <w:color w:val="000000"/>
                <w:sz w:val="22"/>
                <w:szCs w:val="22"/>
              </w:rPr>
            </w:pPr>
            <w:r>
              <w:rPr>
                <w:rFonts w:cs="Arial"/>
                <w:b/>
                <w:bCs/>
                <w:color w:val="000000"/>
                <w:sz w:val="22"/>
                <w:szCs w:val="22"/>
              </w:rPr>
              <w:t>t-test : males compared to females</w:t>
            </w:r>
          </w:p>
        </w:tc>
        <w:tc>
          <w:tcPr>
            <w:tcW w:w="540" w:type="pct"/>
            <w:shd w:val="clear" w:color="000000" w:fill="95B3D7"/>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1.5939</w:t>
            </w:r>
          </w:p>
        </w:tc>
        <w:tc>
          <w:tcPr>
            <w:tcW w:w="540" w:type="pct"/>
            <w:shd w:val="clear" w:color="000000" w:fill="95B3D7"/>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0.5774</w:t>
            </w:r>
          </w:p>
        </w:tc>
        <w:tc>
          <w:tcPr>
            <w:tcW w:w="540" w:type="pct"/>
            <w:shd w:val="clear" w:color="000000" w:fill="95B3D7"/>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2.5263</w:t>
            </w:r>
          </w:p>
        </w:tc>
        <w:tc>
          <w:tcPr>
            <w:tcW w:w="541" w:type="pct"/>
            <w:shd w:val="clear" w:color="000000" w:fill="95B3D7"/>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1.0088</w:t>
            </w:r>
          </w:p>
        </w:tc>
      </w:tr>
      <w:tr w:rsidR="0093055D" w:rsidTr="004F7551">
        <w:trPr>
          <w:trHeight w:val="300"/>
        </w:trPr>
        <w:tc>
          <w:tcPr>
            <w:tcW w:w="2839" w:type="pct"/>
            <w:gridSpan w:val="2"/>
            <w:shd w:val="clear" w:color="000000" w:fill="95B3D7"/>
            <w:noWrap/>
            <w:tcMar>
              <w:top w:w="15" w:type="dxa"/>
              <w:left w:w="15" w:type="dxa"/>
              <w:bottom w:w="0" w:type="dxa"/>
              <w:right w:w="15" w:type="dxa"/>
            </w:tcMar>
            <w:vAlign w:val="center"/>
            <w:hideMark/>
          </w:tcPr>
          <w:p w:rsidR="0093055D" w:rsidRDefault="0093055D" w:rsidP="0093055D">
            <w:pPr>
              <w:spacing w:line="240" w:lineRule="auto"/>
              <w:contextualSpacing/>
              <w:jc w:val="left"/>
              <w:rPr>
                <w:rFonts w:cs="Arial"/>
                <w:b/>
                <w:bCs/>
                <w:color w:val="000000"/>
                <w:sz w:val="22"/>
                <w:szCs w:val="22"/>
              </w:rPr>
            </w:pPr>
            <w:r>
              <w:rPr>
                <w:rFonts w:cs="Arial"/>
                <w:b/>
                <w:bCs/>
                <w:color w:val="000000"/>
                <w:sz w:val="22"/>
                <w:szCs w:val="22"/>
              </w:rPr>
              <w:t>p-value: males compared to females</w:t>
            </w:r>
          </w:p>
        </w:tc>
        <w:tc>
          <w:tcPr>
            <w:tcW w:w="540" w:type="pct"/>
            <w:shd w:val="clear" w:color="000000" w:fill="95B3D7"/>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0.1110</w:t>
            </w:r>
          </w:p>
        </w:tc>
        <w:tc>
          <w:tcPr>
            <w:tcW w:w="540" w:type="pct"/>
            <w:shd w:val="clear" w:color="000000" w:fill="95B3D7"/>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0.5637</w:t>
            </w:r>
          </w:p>
        </w:tc>
        <w:tc>
          <w:tcPr>
            <w:tcW w:w="540" w:type="pct"/>
            <w:shd w:val="clear" w:color="000000" w:fill="95B3D7"/>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0.0115</w:t>
            </w:r>
          </w:p>
        </w:tc>
        <w:tc>
          <w:tcPr>
            <w:tcW w:w="541" w:type="pct"/>
            <w:shd w:val="clear" w:color="000000" w:fill="95B3D7"/>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0.3131</w:t>
            </w:r>
          </w:p>
        </w:tc>
      </w:tr>
      <w:tr w:rsidR="0093055D" w:rsidTr="004F7551">
        <w:trPr>
          <w:trHeight w:val="300"/>
        </w:trPr>
        <w:tc>
          <w:tcPr>
            <w:tcW w:w="2839" w:type="pct"/>
            <w:gridSpan w:val="2"/>
            <w:shd w:val="clear" w:color="000000" w:fill="95B3D7"/>
            <w:noWrap/>
            <w:tcMar>
              <w:top w:w="15" w:type="dxa"/>
              <w:left w:w="15" w:type="dxa"/>
              <w:bottom w:w="0" w:type="dxa"/>
              <w:right w:w="15" w:type="dxa"/>
            </w:tcMar>
            <w:vAlign w:val="center"/>
            <w:hideMark/>
          </w:tcPr>
          <w:p w:rsidR="0093055D" w:rsidRDefault="0093055D" w:rsidP="0093055D">
            <w:pPr>
              <w:spacing w:line="240" w:lineRule="auto"/>
              <w:contextualSpacing/>
              <w:jc w:val="left"/>
              <w:rPr>
                <w:rFonts w:cs="Arial"/>
                <w:b/>
                <w:bCs/>
                <w:color w:val="000000"/>
                <w:sz w:val="22"/>
                <w:szCs w:val="22"/>
              </w:rPr>
            </w:pPr>
            <w:r>
              <w:rPr>
                <w:rFonts w:cs="Arial"/>
                <w:b/>
                <w:bCs/>
                <w:color w:val="000000"/>
                <w:sz w:val="22"/>
                <w:szCs w:val="22"/>
              </w:rPr>
              <w:t>t-test : males compared to benchmark</w:t>
            </w:r>
          </w:p>
        </w:tc>
        <w:tc>
          <w:tcPr>
            <w:tcW w:w="540" w:type="pct"/>
            <w:shd w:val="clear" w:color="000000" w:fill="95B3D7"/>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9.4008</w:t>
            </w:r>
          </w:p>
        </w:tc>
        <w:tc>
          <w:tcPr>
            <w:tcW w:w="540" w:type="pct"/>
            <w:shd w:val="clear" w:color="000000" w:fill="95B3D7"/>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-17.4925</w:t>
            </w:r>
          </w:p>
        </w:tc>
        <w:tc>
          <w:tcPr>
            <w:tcW w:w="540" w:type="pct"/>
            <w:shd w:val="clear" w:color="000000" w:fill="95B3D7"/>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-18.0108</w:t>
            </w:r>
          </w:p>
        </w:tc>
        <w:tc>
          <w:tcPr>
            <w:tcW w:w="541" w:type="pct"/>
            <w:shd w:val="clear" w:color="000000" w:fill="95B3D7"/>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-8.5246</w:t>
            </w:r>
          </w:p>
        </w:tc>
      </w:tr>
      <w:tr w:rsidR="0093055D" w:rsidTr="004F7551">
        <w:trPr>
          <w:trHeight w:val="300"/>
        </w:trPr>
        <w:tc>
          <w:tcPr>
            <w:tcW w:w="2839" w:type="pct"/>
            <w:gridSpan w:val="2"/>
            <w:shd w:val="clear" w:color="000000" w:fill="95B3D7"/>
            <w:noWrap/>
            <w:tcMar>
              <w:top w:w="15" w:type="dxa"/>
              <w:left w:w="15" w:type="dxa"/>
              <w:bottom w:w="0" w:type="dxa"/>
              <w:right w:w="15" w:type="dxa"/>
            </w:tcMar>
            <w:vAlign w:val="center"/>
            <w:hideMark/>
          </w:tcPr>
          <w:p w:rsidR="0093055D" w:rsidRDefault="0093055D" w:rsidP="0093055D">
            <w:pPr>
              <w:spacing w:line="240" w:lineRule="auto"/>
              <w:contextualSpacing/>
              <w:jc w:val="left"/>
              <w:rPr>
                <w:rFonts w:cs="Arial"/>
                <w:b/>
                <w:bCs/>
                <w:color w:val="000000"/>
                <w:sz w:val="22"/>
                <w:szCs w:val="22"/>
              </w:rPr>
            </w:pPr>
            <w:r>
              <w:rPr>
                <w:rFonts w:cs="Arial"/>
                <w:b/>
                <w:bCs/>
                <w:color w:val="000000"/>
                <w:sz w:val="22"/>
                <w:szCs w:val="22"/>
              </w:rPr>
              <w:t>p-value : males compared to benchmark</w:t>
            </w:r>
          </w:p>
        </w:tc>
        <w:tc>
          <w:tcPr>
            <w:tcW w:w="540" w:type="pct"/>
            <w:shd w:val="clear" w:color="000000" w:fill="95B3D7"/>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w:t>
            </w:r>
          </w:p>
        </w:tc>
        <w:tc>
          <w:tcPr>
            <w:tcW w:w="540" w:type="pct"/>
            <w:shd w:val="clear" w:color="000000" w:fill="95B3D7"/>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2.0000</w:t>
            </w:r>
          </w:p>
        </w:tc>
        <w:tc>
          <w:tcPr>
            <w:tcW w:w="540" w:type="pct"/>
            <w:shd w:val="clear" w:color="000000" w:fill="95B3D7"/>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2.0000</w:t>
            </w:r>
          </w:p>
        </w:tc>
        <w:tc>
          <w:tcPr>
            <w:tcW w:w="541" w:type="pct"/>
            <w:shd w:val="clear" w:color="000000" w:fill="95B3D7"/>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2.0000</w:t>
            </w:r>
          </w:p>
        </w:tc>
      </w:tr>
      <w:tr w:rsidR="0093055D" w:rsidTr="004F7551">
        <w:trPr>
          <w:trHeight w:val="300"/>
        </w:trPr>
        <w:tc>
          <w:tcPr>
            <w:tcW w:w="2839" w:type="pct"/>
            <w:gridSpan w:val="2"/>
            <w:shd w:val="clear" w:color="000000" w:fill="95B3D7"/>
            <w:noWrap/>
            <w:tcMar>
              <w:top w:w="15" w:type="dxa"/>
              <w:left w:w="15" w:type="dxa"/>
              <w:bottom w:w="0" w:type="dxa"/>
              <w:right w:w="15" w:type="dxa"/>
            </w:tcMar>
            <w:vAlign w:val="center"/>
            <w:hideMark/>
          </w:tcPr>
          <w:p w:rsidR="0093055D" w:rsidRDefault="0093055D" w:rsidP="0093055D">
            <w:pPr>
              <w:spacing w:line="240" w:lineRule="auto"/>
              <w:contextualSpacing/>
              <w:jc w:val="left"/>
              <w:rPr>
                <w:rFonts w:cs="Arial"/>
                <w:b/>
                <w:bCs/>
                <w:color w:val="000000"/>
                <w:sz w:val="22"/>
                <w:szCs w:val="22"/>
              </w:rPr>
            </w:pPr>
            <w:r>
              <w:rPr>
                <w:rFonts w:cs="Arial"/>
                <w:b/>
                <w:bCs/>
                <w:color w:val="000000"/>
                <w:sz w:val="22"/>
                <w:szCs w:val="22"/>
              </w:rPr>
              <w:t xml:space="preserve">t-test : </w:t>
            </w:r>
            <w:r w:rsidR="00DE174E">
              <w:rPr>
                <w:rFonts w:cs="Arial"/>
                <w:b/>
                <w:bCs/>
                <w:color w:val="000000"/>
                <w:sz w:val="22"/>
                <w:szCs w:val="22"/>
              </w:rPr>
              <w:t>fe</w:t>
            </w:r>
            <w:r>
              <w:rPr>
                <w:rFonts w:cs="Arial"/>
                <w:b/>
                <w:bCs/>
                <w:color w:val="000000"/>
                <w:sz w:val="22"/>
                <w:szCs w:val="22"/>
              </w:rPr>
              <w:t>males compared to benchmark</w:t>
            </w:r>
          </w:p>
        </w:tc>
        <w:tc>
          <w:tcPr>
            <w:tcW w:w="540" w:type="pct"/>
            <w:shd w:val="clear" w:color="000000" w:fill="95B3D7"/>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2.4738</w:t>
            </w:r>
          </w:p>
        </w:tc>
        <w:tc>
          <w:tcPr>
            <w:tcW w:w="540" w:type="pct"/>
            <w:shd w:val="clear" w:color="000000" w:fill="95B3D7"/>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-5.6671</w:t>
            </w:r>
          </w:p>
        </w:tc>
        <w:tc>
          <w:tcPr>
            <w:tcW w:w="540" w:type="pct"/>
            <w:shd w:val="clear" w:color="000000" w:fill="95B3D7"/>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-8.5098</w:t>
            </w:r>
          </w:p>
        </w:tc>
        <w:tc>
          <w:tcPr>
            <w:tcW w:w="541" w:type="pct"/>
            <w:shd w:val="clear" w:color="000000" w:fill="95B3D7"/>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-2.5973</w:t>
            </w:r>
          </w:p>
        </w:tc>
      </w:tr>
      <w:tr w:rsidR="0093055D" w:rsidTr="004F7551">
        <w:trPr>
          <w:trHeight w:val="300"/>
        </w:trPr>
        <w:tc>
          <w:tcPr>
            <w:tcW w:w="2839" w:type="pct"/>
            <w:gridSpan w:val="2"/>
            <w:shd w:val="clear" w:color="000000" w:fill="95B3D7"/>
            <w:noWrap/>
            <w:tcMar>
              <w:top w:w="15" w:type="dxa"/>
              <w:left w:w="15" w:type="dxa"/>
              <w:bottom w:w="0" w:type="dxa"/>
              <w:right w:w="15" w:type="dxa"/>
            </w:tcMar>
            <w:vAlign w:val="center"/>
            <w:hideMark/>
          </w:tcPr>
          <w:p w:rsidR="0093055D" w:rsidRDefault="0093055D" w:rsidP="0093055D">
            <w:pPr>
              <w:spacing w:line="240" w:lineRule="auto"/>
              <w:contextualSpacing/>
              <w:jc w:val="left"/>
              <w:rPr>
                <w:rFonts w:cs="Arial"/>
                <w:b/>
                <w:bCs/>
                <w:color w:val="000000"/>
                <w:sz w:val="22"/>
                <w:szCs w:val="22"/>
              </w:rPr>
            </w:pPr>
            <w:r>
              <w:rPr>
                <w:rFonts w:cs="Arial"/>
                <w:b/>
                <w:bCs/>
                <w:color w:val="000000"/>
                <w:sz w:val="22"/>
                <w:szCs w:val="22"/>
              </w:rPr>
              <w:t xml:space="preserve">p-value : </w:t>
            </w:r>
            <w:r w:rsidR="00DE174E">
              <w:rPr>
                <w:rFonts w:cs="Arial"/>
                <w:b/>
                <w:bCs/>
                <w:color w:val="000000"/>
                <w:sz w:val="22"/>
                <w:szCs w:val="22"/>
              </w:rPr>
              <w:t>fe</w:t>
            </w:r>
            <w:r>
              <w:rPr>
                <w:rFonts w:cs="Arial"/>
                <w:b/>
                <w:bCs/>
                <w:color w:val="000000"/>
                <w:sz w:val="22"/>
                <w:szCs w:val="22"/>
              </w:rPr>
              <w:t>males compared to benchmark</w:t>
            </w:r>
          </w:p>
        </w:tc>
        <w:tc>
          <w:tcPr>
            <w:tcW w:w="540" w:type="pct"/>
            <w:shd w:val="clear" w:color="000000" w:fill="95B3D7"/>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0.0134</w:t>
            </w:r>
          </w:p>
        </w:tc>
        <w:tc>
          <w:tcPr>
            <w:tcW w:w="540" w:type="pct"/>
            <w:shd w:val="clear" w:color="000000" w:fill="95B3D7"/>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2.0000</w:t>
            </w:r>
          </w:p>
        </w:tc>
        <w:tc>
          <w:tcPr>
            <w:tcW w:w="540" w:type="pct"/>
            <w:shd w:val="clear" w:color="000000" w:fill="95B3D7"/>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2.0000</w:t>
            </w:r>
          </w:p>
        </w:tc>
        <w:tc>
          <w:tcPr>
            <w:tcW w:w="541" w:type="pct"/>
            <w:shd w:val="clear" w:color="000000" w:fill="95B3D7"/>
            <w:noWrap/>
            <w:tcMar>
              <w:top w:w="15" w:type="dxa"/>
              <w:left w:w="15" w:type="dxa"/>
              <w:bottom w:w="0" w:type="dxa"/>
              <w:right w:w="15" w:type="dxa"/>
            </w:tcMar>
            <w:vAlign w:val="center"/>
            <w:hideMark/>
          </w:tcPr>
          <w:p w:rsidR="0093055D" w:rsidRDefault="0093055D" w:rsidP="0093055D">
            <w:pPr>
              <w:spacing w:line="240" w:lineRule="auto"/>
              <w:contextualSpacing/>
              <w:jc w:val="center"/>
              <w:rPr>
                <w:rFonts w:cs="Arial"/>
                <w:color w:val="000000"/>
                <w:sz w:val="22"/>
                <w:szCs w:val="22"/>
              </w:rPr>
            </w:pPr>
            <w:r>
              <w:rPr>
                <w:rFonts w:cs="Arial"/>
                <w:color w:val="000000"/>
                <w:sz w:val="22"/>
                <w:szCs w:val="22"/>
              </w:rPr>
              <w:t>1.9906</w:t>
            </w:r>
          </w:p>
        </w:tc>
      </w:tr>
    </w:tbl>
    <w:p w:rsidR="0093055D" w:rsidRPr="0093055D" w:rsidRDefault="0093055D" w:rsidP="0093055D">
      <w:pPr>
        <w:rPr>
          <w:lang w:val="en-ZA"/>
        </w:rPr>
      </w:pPr>
    </w:p>
    <w:p w:rsidR="00DE174E" w:rsidRDefault="00591A26" w:rsidP="00BA6522">
      <w:pPr>
        <w:rPr>
          <w:lang w:val="en-ZA"/>
        </w:rPr>
      </w:pPr>
      <w:r>
        <w:rPr>
          <w:lang w:val="en-ZA"/>
        </w:rPr>
        <w:t xml:space="preserve">The results of various </w:t>
      </w:r>
      <w:r w:rsidR="00CF6C27" w:rsidRPr="008633D2">
        <w:rPr>
          <w:lang w:val="en-ZA"/>
        </w:rPr>
        <w:t>t-test</w:t>
      </w:r>
      <w:r>
        <w:rPr>
          <w:lang w:val="en-ZA"/>
        </w:rPr>
        <w:t>’s</w:t>
      </w:r>
      <w:r w:rsidR="00CF6C27" w:rsidRPr="008633D2">
        <w:rPr>
          <w:lang w:val="en-ZA"/>
        </w:rPr>
        <w:t xml:space="preserve"> and the resulting p-values </w:t>
      </w:r>
      <w:r>
        <w:rPr>
          <w:lang w:val="en-ZA"/>
        </w:rPr>
        <w:t xml:space="preserve">are presented in table 14. The table includes the significance test outcomes for the results of comparing </w:t>
      </w:r>
      <w:r w:rsidR="00CF6C27" w:rsidRPr="008633D2">
        <w:rPr>
          <w:lang w:val="en-ZA"/>
        </w:rPr>
        <w:t xml:space="preserve">all funds in </w:t>
      </w:r>
      <w:r w:rsidR="00DE174E">
        <w:rPr>
          <w:lang w:val="en-ZA"/>
        </w:rPr>
        <w:t>S</w:t>
      </w:r>
      <w:r w:rsidR="00E83B87">
        <w:rPr>
          <w:lang w:val="en-ZA"/>
        </w:rPr>
        <w:t>A</w:t>
      </w:r>
      <w:r>
        <w:rPr>
          <w:lang w:val="en-ZA"/>
        </w:rPr>
        <w:t xml:space="preserve"> based on the gender of the fund manager as well as </w:t>
      </w:r>
      <w:r w:rsidR="00527456">
        <w:rPr>
          <w:lang w:val="en-ZA"/>
        </w:rPr>
        <w:t>the results</w:t>
      </w:r>
      <w:r>
        <w:rPr>
          <w:lang w:val="en-ZA"/>
        </w:rPr>
        <w:t xml:space="preserve"> of comparing the fund performance based on gender </w:t>
      </w:r>
      <w:r w:rsidR="00DE174E">
        <w:rPr>
          <w:lang w:val="en-ZA"/>
        </w:rPr>
        <w:t>to the annualised return of the FTSE/JSE all share index</w:t>
      </w:r>
      <w:r w:rsidR="00CF6C27" w:rsidRPr="008633D2">
        <w:rPr>
          <w:lang w:val="en-ZA"/>
        </w:rPr>
        <w:t>.</w:t>
      </w:r>
    </w:p>
    <w:p w:rsidR="00591A26" w:rsidRDefault="00591A26" w:rsidP="00BA6522">
      <w:pPr>
        <w:rPr>
          <w:lang w:val="en-ZA"/>
        </w:rPr>
      </w:pPr>
    </w:p>
    <w:p w:rsidR="00591A26" w:rsidRDefault="00591A26" w:rsidP="00BA6522">
      <w:pPr>
        <w:rPr>
          <w:lang w:val="en-ZA"/>
        </w:rPr>
      </w:pPr>
      <w:r>
        <w:rPr>
          <w:lang w:val="en-ZA"/>
        </w:rPr>
        <w:t xml:space="preserve">Table 14 highlights just two </w:t>
      </w:r>
      <w:r w:rsidR="00527456">
        <w:rPr>
          <w:lang w:val="en-ZA"/>
        </w:rPr>
        <w:t>scenarios’</w:t>
      </w:r>
      <w:r>
        <w:rPr>
          <w:lang w:val="en-ZA"/>
        </w:rPr>
        <w:t xml:space="preserve"> where the results are significant. The p-value is greater</w:t>
      </w:r>
      <w:r w:rsidRPr="008633D2">
        <w:rPr>
          <w:lang w:val="en-ZA"/>
        </w:rPr>
        <w:t xml:space="preserve"> than </w:t>
      </w:r>
      <w:r>
        <w:rPr>
          <w:lang w:val="en-ZA"/>
        </w:rPr>
        <w:t xml:space="preserve">the significance level </w:t>
      </w:r>
      <w:r w:rsidRPr="008633D2">
        <w:rPr>
          <w:lang w:val="en-ZA"/>
        </w:rPr>
        <w:t>0.</w:t>
      </w:r>
      <w:r>
        <w:rPr>
          <w:lang w:val="en-ZA"/>
        </w:rPr>
        <w:t>0</w:t>
      </w:r>
      <w:r w:rsidRPr="008633D2">
        <w:rPr>
          <w:lang w:val="en-ZA"/>
        </w:rPr>
        <w:t xml:space="preserve">5 for all cases </w:t>
      </w:r>
      <w:r>
        <w:rPr>
          <w:lang w:val="en-ZA"/>
        </w:rPr>
        <w:t>other than the five</w:t>
      </w:r>
      <w:r w:rsidRPr="008633D2">
        <w:rPr>
          <w:lang w:val="en-ZA"/>
        </w:rPr>
        <w:t>-year analysis</w:t>
      </w:r>
      <w:r>
        <w:rPr>
          <w:lang w:val="en-ZA"/>
        </w:rPr>
        <w:t xml:space="preserve"> for the test of the results for the comparison of all male managed funds to female managed funds. This implies </w:t>
      </w:r>
      <w:r w:rsidR="00CF6C27" w:rsidRPr="008633D2">
        <w:rPr>
          <w:lang w:val="en-ZA"/>
        </w:rPr>
        <w:t>that the results</w:t>
      </w:r>
      <w:r w:rsidR="00DE174E">
        <w:rPr>
          <w:lang w:val="en-ZA"/>
        </w:rPr>
        <w:t xml:space="preserve"> presented in table 13, for all female managed funds in SA compared to all male </w:t>
      </w:r>
      <w:r w:rsidR="007969E2">
        <w:rPr>
          <w:lang w:val="en-ZA"/>
        </w:rPr>
        <w:t>managed are</w:t>
      </w:r>
      <w:r w:rsidR="00CF6C27" w:rsidRPr="008633D2">
        <w:rPr>
          <w:lang w:val="en-ZA"/>
        </w:rPr>
        <w:t xml:space="preserve"> significant </w:t>
      </w:r>
      <w:r>
        <w:rPr>
          <w:lang w:val="en-ZA"/>
        </w:rPr>
        <w:t xml:space="preserve">for </w:t>
      </w:r>
      <w:r w:rsidR="00E83B87">
        <w:rPr>
          <w:lang w:val="en-ZA"/>
        </w:rPr>
        <w:t xml:space="preserve">the </w:t>
      </w:r>
      <w:r w:rsidR="007969E2">
        <w:rPr>
          <w:lang w:val="en-ZA"/>
        </w:rPr>
        <w:t>five-year</w:t>
      </w:r>
      <w:r>
        <w:rPr>
          <w:lang w:val="en-ZA"/>
        </w:rPr>
        <w:t xml:space="preserve"> period. T</w:t>
      </w:r>
      <w:r w:rsidR="00CF6C27" w:rsidRPr="008633D2">
        <w:rPr>
          <w:lang w:val="en-ZA"/>
        </w:rPr>
        <w:t xml:space="preserve">he results are </w:t>
      </w:r>
      <w:r>
        <w:rPr>
          <w:lang w:val="en-ZA"/>
        </w:rPr>
        <w:t>in</w:t>
      </w:r>
      <w:r w:rsidR="00CF6C27" w:rsidRPr="008633D2">
        <w:rPr>
          <w:lang w:val="en-ZA"/>
        </w:rPr>
        <w:t xml:space="preserve">significant for the short </w:t>
      </w:r>
      <w:r w:rsidR="00E83B87">
        <w:rPr>
          <w:lang w:val="en-ZA"/>
        </w:rPr>
        <w:t xml:space="preserve">term and the long term. </w:t>
      </w:r>
    </w:p>
    <w:p w:rsidR="00DE174E" w:rsidRPr="008633D2" w:rsidRDefault="00591A26" w:rsidP="00BA6522">
      <w:pPr>
        <w:rPr>
          <w:lang w:val="en-ZA"/>
        </w:rPr>
      </w:pPr>
      <w:r>
        <w:rPr>
          <w:lang w:val="en-ZA"/>
        </w:rPr>
        <w:t xml:space="preserve">The p-value is also within the significance level for the test of the results comparing the performance of the funds to the performance of the benchmark in the short term This implies that at a </w:t>
      </w:r>
      <w:r w:rsidR="007969E2">
        <w:rPr>
          <w:lang w:val="en-ZA"/>
        </w:rPr>
        <w:t>significance</w:t>
      </w:r>
      <w:r w:rsidR="00DE174E">
        <w:rPr>
          <w:lang w:val="en-ZA"/>
        </w:rPr>
        <w:t xml:space="preserve"> level of 0.05 i</w:t>
      </w:r>
      <w:r w:rsidR="00084A6F">
        <w:rPr>
          <w:lang w:val="en-ZA"/>
        </w:rPr>
        <w:t>t</w:t>
      </w:r>
      <w:r w:rsidR="00DE174E">
        <w:rPr>
          <w:lang w:val="en-ZA"/>
        </w:rPr>
        <w:t xml:space="preserve"> can be seen both female managed funds and male managed funds significantly outperform the benchmark index</w:t>
      </w:r>
      <w:r>
        <w:rPr>
          <w:lang w:val="en-ZA"/>
        </w:rPr>
        <w:t xml:space="preserve"> in the short term</w:t>
      </w:r>
      <w:r w:rsidR="00DE174E">
        <w:rPr>
          <w:lang w:val="en-ZA"/>
        </w:rPr>
        <w:t xml:space="preserve">. </w:t>
      </w:r>
      <w:r>
        <w:rPr>
          <w:lang w:val="en-ZA"/>
        </w:rPr>
        <w:t>T</w:t>
      </w:r>
      <w:r w:rsidRPr="008633D2">
        <w:rPr>
          <w:lang w:val="en-ZA"/>
        </w:rPr>
        <w:t xml:space="preserve">he results are </w:t>
      </w:r>
      <w:r>
        <w:rPr>
          <w:lang w:val="en-ZA"/>
        </w:rPr>
        <w:t>in</w:t>
      </w:r>
      <w:r w:rsidRPr="008633D2">
        <w:rPr>
          <w:lang w:val="en-ZA"/>
        </w:rPr>
        <w:t xml:space="preserve">significant for the </w:t>
      </w:r>
      <w:r>
        <w:rPr>
          <w:lang w:val="en-ZA"/>
        </w:rPr>
        <w:t>medium</w:t>
      </w:r>
      <w:r w:rsidRPr="008633D2">
        <w:rPr>
          <w:lang w:val="en-ZA"/>
        </w:rPr>
        <w:t xml:space="preserve"> </w:t>
      </w:r>
      <w:r>
        <w:rPr>
          <w:lang w:val="en-ZA"/>
        </w:rPr>
        <w:t>term and the long term.</w:t>
      </w:r>
    </w:p>
    <w:p w:rsidR="00CF6C27" w:rsidRDefault="00CF6C27" w:rsidP="00BA6522">
      <w:pPr>
        <w:rPr>
          <w:color w:val="333399"/>
          <w:lang w:val="en-ZA"/>
        </w:rPr>
      </w:pPr>
    </w:p>
    <w:p w:rsidR="005652E1" w:rsidRPr="008633D2" w:rsidRDefault="005652E1" w:rsidP="005652E1">
      <w:pPr>
        <w:pStyle w:val="Heading3"/>
        <w:rPr>
          <w:lang w:val="en-ZA"/>
        </w:rPr>
      </w:pPr>
      <w:bookmarkStart w:id="241" w:name="_Toc458610821"/>
      <w:r w:rsidRPr="008633D2">
        <w:rPr>
          <w:lang w:val="en-ZA"/>
        </w:rPr>
        <w:t xml:space="preserve">Results pertaining to the performance of funds in South Africa compared by gender </w:t>
      </w:r>
      <w:r w:rsidR="00515E0B" w:rsidRPr="008633D2">
        <w:rPr>
          <w:lang w:val="en-ZA"/>
        </w:rPr>
        <w:t>per a sector</w:t>
      </w:r>
      <w:bookmarkEnd w:id="241"/>
    </w:p>
    <w:p w:rsidR="00444611" w:rsidRPr="008633D2" w:rsidRDefault="00D7049B" w:rsidP="005652E1">
      <w:pPr>
        <w:rPr>
          <w:lang w:val="en-ZA"/>
        </w:rPr>
      </w:pPr>
      <w:r w:rsidRPr="008633D2">
        <w:rPr>
          <w:lang w:val="en-ZA"/>
        </w:rPr>
        <w:t>When looking into the possible reasons for excess performance by one gender over the other, this section</w:t>
      </w:r>
      <w:r w:rsidR="00CE7A48">
        <w:rPr>
          <w:lang w:val="en-ZA"/>
        </w:rPr>
        <w:t xml:space="preserve"> could be of assistance. It</w:t>
      </w:r>
      <w:r w:rsidR="00591A26">
        <w:rPr>
          <w:lang w:val="en-ZA"/>
        </w:rPr>
        <w:t xml:space="preserve"> is </w:t>
      </w:r>
      <w:r w:rsidRPr="008633D2">
        <w:rPr>
          <w:lang w:val="en-ZA"/>
        </w:rPr>
        <w:t>designed to assist in analysing the results</w:t>
      </w:r>
      <w:r w:rsidR="00CE7A48">
        <w:rPr>
          <w:lang w:val="en-ZA"/>
        </w:rPr>
        <w:t xml:space="preserve"> per </w:t>
      </w:r>
      <w:r w:rsidR="00591A26">
        <w:rPr>
          <w:lang w:val="en-ZA"/>
        </w:rPr>
        <w:t xml:space="preserve">ASISA </w:t>
      </w:r>
      <w:r w:rsidR="00CE7A48">
        <w:rPr>
          <w:lang w:val="en-ZA"/>
        </w:rPr>
        <w:t>sector</w:t>
      </w:r>
      <w:r w:rsidR="00591A26">
        <w:rPr>
          <w:lang w:val="en-ZA"/>
        </w:rPr>
        <w:t xml:space="preserve"> as shown in appendix A. This section p</w:t>
      </w:r>
      <w:r w:rsidRPr="008633D2">
        <w:rPr>
          <w:lang w:val="en-ZA"/>
        </w:rPr>
        <w:t>rovides insight into the sectors that provide</w:t>
      </w:r>
      <w:r w:rsidR="00CE7A48">
        <w:rPr>
          <w:lang w:val="en-ZA"/>
        </w:rPr>
        <w:t xml:space="preserve"> excess performance and</w:t>
      </w:r>
      <w:r w:rsidRPr="008633D2">
        <w:rPr>
          <w:lang w:val="en-ZA"/>
        </w:rPr>
        <w:t xml:space="preserve"> the sectors female fund managers prefer.</w:t>
      </w:r>
    </w:p>
    <w:p w:rsidR="00444611" w:rsidRPr="008633D2" w:rsidRDefault="00444611" w:rsidP="005652E1">
      <w:pPr>
        <w:rPr>
          <w:lang w:val="en-ZA"/>
        </w:rPr>
      </w:pPr>
    </w:p>
    <w:p w:rsidR="005652E1" w:rsidRPr="008633D2" w:rsidRDefault="005652E1" w:rsidP="005652E1">
      <w:pPr>
        <w:rPr>
          <w:lang w:val="en-ZA"/>
        </w:rPr>
      </w:pPr>
      <w:r w:rsidRPr="008633D2">
        <w:rPr>
          <w:lang w:val="en-ZA"/>
        </w:rPr>
        <w:t xml:space="preserve">Figure </w:t>
      </w:r>
      <w:r w:rsidR="005F080A">
        <w:rPr>
          <w:lang w:val="en-ZA"/>
        </w:rPr>
        <w:t>7</w:t>
      </w:r>
      <w:r w:rsidRPr="008633D2">
        <w:rPr>
          <w:lang w:val="en-ZA"/>
        </w:rPr>
        <w:t xml:space="preserve"> shows the breakdown of funds by gender in South Africa per sector. This will assist in understanding whether female</w:t>
      </w:r>
      <w:r w:rsidR="00D7049B" w:rsidRPr="008633D2">
        <w:rPr>
          <w:lang w:val="en-ZA"/>
        </w:rPr>
        <w:t xml:space="preserve"> fund managers</w:t>
      </w:r>
      <w:r w:rsidRPr="008633D2">
        <w:rPr>
          <w:lang w:val="en-ZA"/>
        </w:rPr>
        <w:t xml:space="preserve"> have a preference to a specific sector</w:t>
      </w:r>
      <w:r w:rsidR="00D7049B" w:rsidRPr="008633D2">
        <w:rPr>
          <w:lang w:val="en-ZA"/>
        </w:rPr>
        <w:t>s and whether they do produce access returns in this sector</w:t>
      </w:r>
      <w:r w:rsidRPr="008633D2">
        <w:rPr>
          <w:lang w:val="en-ZA"/>
        </w:rPr>
        <w:t xml:space="preserve">. </w:t>
      </w:r>
      <w:r w:rsidR="00093481" w:rsidRPr="008633D2">
        <w:rPr>
          <w:lang w:val="en-ZA"/>
        </w:rPr>
        <w:t>The graph indicates that there are higher amounts of female funds managers in certain sectors.</w:t>
      </w:r>
    </w:p>
    <w:p w:rsidR="005652E1" w:rsidRPr="008633D2" w:rsidRDefault="005652E1" w:rsidP="005652E1">
      <w:pPr>
        <w:rPr>
          <w:lang w:val="en-ZA"/>
        </w:rPr>
      </w:pPr>
      <w:r w:rsidRPr="008633D2">
        <w:rPr>
          <w:noProof/>
          <w:lang w:val="en-ZA" w:eastAsia="en-ZA"/>
        </w:rPr>
        <w:drawing>
          <wp:inline distT="0" distB="0" distL="0" distR="0" wp14:anchorId="243F3E55" wp14:editId="15B44E80">
            <wp:extent cx="5693134" cy="3617843"/>
            <wp:effectExtent l="38100" t="38100" r="41275" b="4000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4F7551" w:rsidRPr="008633D2" w:rsidRDefault="004F7551" w:rsidP="004F7551">
      <w:pPr>
        <w:pStyle w:val="Caption"/>
        <w:keepNext/>
        <w:jc w:val="center"/>
        <w:rPr>
          <w:lang w:val="en-ZA"/>
        </w:rPr>
      </w:pPr>
      <w:bookmarkStart w:id="242" w:name="_Toc458610891"/>
      <w:r w:rsidRPr="008633D2">
        <w:rPr>
          <w:lang w:val="en-ZA"/>
        </w:rPr>
        <w:t xml:space="preserve">Figure </w:t>
      </w:r>
      <w:r>
        <w:rPr>
          <w:lang w:val="en-ZA"/>
        </w:rPr>
        <w:fldChar w:fldCharType="begin"/>
      </w:r>
      <w:r>
        <w:rPr>
          <w:lang w:val="en-ZA"/>
        </w:rPr>
        <w:instrText xml:space="preserve"> SEQ Figure \* ARABIC </w:instrText>
      </w:r>
      <w:r>
        <w:rPr>
          <w:lang w:val="en-ZA"/>
        </w:rPr>
        <w:fldChar w:fldCharType="separate"/>
      </w:r>
      <w:r>
        <w:rPr>
          <w:noProof/>
          <w:lang w:val="en-ZA"/>
        </w:rPr>
        <w:t>7</w:t>
      </w:r>
      <w:r>
        <w:rPr>
          <w:lang w:val="en-ZA"/>
        </w:rPr>
        <w:fldChar w:fldCharType="end"/>
      </w:r>
      <w:r w:rsidRPr="008633D2">
        <w:rPr>
          <w:lang w:val="en-ZA"/>
        </w:rPr>
        <w:t>: Breakdown of the unit trust sectors by gender</w:t>
      </w:r>
      <w:bookmarkEnd w:id="242"/>
    </w:p>
    <w:p w:rsidR="00D16BC3" w:rsidRPr="008633D2" w:rsidRDefault="00D16BC3" w:rsidP="005652E1">
      <w:pPr>
        <w:rPr>
          <w:lang w:val="en-ZA"/>
        </w:rPr>
      </w:pPr>
    </w:p>
    <w:p w:rsidR="00D21D55" w:rsidRDefault="00CF6C27" w:rsidP="005652E1">
      <w:pPr>
        <w:rPr>
          <w:lang w:val="en-ZA"/>
        </w:rPr>
      </w:pPr>
      <w:r w:rsidRPr="008633D2">
        <w:rPr>
          <w:lang w:val="en-ZA"/>
        </w:rPr>
        <w:t>Table 1</w:t>
      </w:r>
      <w:r w:rsidR="005F080A">
        <w:rPr>
          <w:lang w:val="en-ZA"/>
        </w:rPr>
        <w:t>5</w:t>
      </w:r>
      <w:r w:rsidRPr="008633D2">
        <w:rPr>
          <w:lang w:val="en-ZA"/>
        </w:rPr>
        <w:t xml:space="preserve"> shows the average annualised returns per sector</w:t>
      </w:r>
      <w:r w:rsidR="00331D3B">
        <w:rPr>
          <w:lang w:val="en-ZA"/>
        </w:rPr>
        <w:t xml:space="preserve"> and the annualised returns</w:t>
      </w:r>
      <w:r w:rsidRPr="008633D2">
        <w:rPr>
          <w:lang w:val="en-ZA"/>
        </w:rPr>
        <w:t xml:space="preserve"> for male and female </w:t>
      </w:r>
      <w:r w:rsidR="00331D3B">
        <w:rPr>
          <w:lang w:val="en-ZA"/>
        </w:rPr>
        <w:t xml:space="preserve">individually </w:t>
      </w:r>
      <w:r w:rsidRPr="008633D2">
        <w:rPr>
          <w:lang w:val="en-ZA"/>
        </w:rPr>
        <w:t>managed funds</w:t>
      </w:r>
      <w:r w:rsidR="00D016A4">
        <w:rPr>
          <w:lang w:val="en-ZA"/>
        </w:rPr>
        <w:t>. This table is aimed at assisting with identifying sectors for which fund managers may exhibit preference too and if outperformance can found significantly when looking deeper into the industry</w:t>
      </w:r>
      <w:r w:rsidR="007969E2">
        <w:rPr>
          <w:lang w:val="en-ZA"/>
        </w:rPr>
        <w:t xml:space="preserve">. </w:t>
      </w:r>
      <w:r w:rsidR="00331D3B">
        <w:rPr>
          <w:lang w:val="en-ZA"/>
        </w:rPr>
        <w:t>Only sectors that have both male managed and female managed funds are shown in the table.</w:t>
      </w:r>
    </w:p>
    <w:p w:rsidR="00D016A4" w:rsidRDefault="00D016A4" w:rsidP="005652E1">
      <w:pPr>
        <w:rPr>
          <w:lang w:val="en-ZA"/>
        </w:rPr>
      </w:pPr>
    </w:p>
    <w:p w:rsidR="00D016A4" w:rsidRDefault="00331D3B" w:rsidP="005652E1">
      <w:pPr>
        <w:rPr>
          <w:lang w:val="en-ZA"/>
        </w:rPr>
      </w:pPr>
      <w:r>
        <w:rPr>
          <w:lang w:val="en-ZA"/>
        </w:rPr>
        <w:t>The table highlights that there are sectors that include higher percentages of female fund man</w:t>
      </w:r>
      <w:r w:rsidR="0046753E">
        <w:rPr>
          <w:lang w:val="en-ZA"/>
        </w:rPr>
        <w:t>a</w:t>
      </w:r>
      <w:r>
        <w:rPr>
          <w:lang w:val="en-ZA"/>
        </w:rPr>
        <w:t>gers than the industry average. For some of these sectors</w:t>
      </w:r>
      <w:r w:rsidR="00084A6F">
        <w:rPr>
          <w:lang w:val="en-ZA"/>
        </w:rPr>
        <w:t>,</w:t>
      </w:r>
      <w:r>
        <w:rPr>
          <w:lang w:val="en-ZA"/>
        </w:rPr>
        <w:t xml:space="preserve"> the funds managed by females produce higher returns than funds managed by males in the same sector.</w:t>
      </w:r>
    </w:p>
    <w:p w:rsidR="004F7551" w:rsidRPr="008633D2" w:rsidRDefault="004F7551" w:rsidP="005652E1">
      <w:pPr>
        <w:rPr>
          <w:lang w:val="en-ZA"/>
        </w:rPr>
      </w:pPr>
    </w:p>
    <w:p w:rsidR="003D316E" w:rsidRDefault="003D316E" w:rsidP="003D316E">
      <w:pPr>
        <w:pStyle w:val="Caption"/>
        <w:keepNext/>
        <w:jc w:val="center"/>
        <w:rPr>
          <w:lang w:val="en-ZA"/>
        </w:rPr>
      </w:pPr>
      <w:bookmarkStart w:id="243" w:name="_Toc458610860"/>
      <w:r w:rsidRPr="008633D2">
        <w:rPr>
          <w:lang w:val="en-ZA"/>
        </w:rPr>
        <w:t xml:space="preserve">Table </w:t>
      </w:r>
      <w:r w:rsidRPr="008633D2">
        <w:rPr>
          <w:lang w:val="en-ZA"/>
        </w:rPr>
        <w:fldChar w:fldCharType="begin"/>
      </w:r>
      <w:r w:rsidRPr="008633D2">
        <w:rPr>
          <w:lang w:val="en-ZA"/>
        </w:rPr>
        <w:instrText xml:space="preserve"> SEQ Table \* ARABIC </w:instrText>
      </w:r>
      <w:r w:rsidRPr="008633D2">
        <w:rPr>
          <w:lang w:val="en-ZA"/>
        </w:rPr>
        <w:fldChar w:fldCharType="separate"/>
      </w:r>
      <w:r w:rsidR="00C456D9">
        <w:rPr>
          <w:noProof/>
          <w:lang w:val="en-ZA"/>
        </w:rPr>
        <w:t>15</w:t>
      </w:r>
      <w:r w:rsidRPr="008633D2">
        <w:rPr>
          <w:lang w:val="en-ZA"/>
        </w:rPr>
        <w:fldChar w:fldCharType="end"/>
      </w:r>
      <w:r w:rsidRPr="008633D2">
        <w:rPr>
          <w:lang w:val="en-ZA"/>
        </w:rPr>
        <w:t>: Average annualised returns based on gender per a sector</w:t>
      </w:r>
      <w:bookmarkEnd w:id="243"/>
    </w:p>
    <w:tbl>
      <w:tblPr>
        <w:tblW w:w="5000" w:type="pct"/>
        <w:tblLayout w:type="fixed"/>
        <w:tblCellMar>
          <w:left w:w="0" w:type="dxa"/>
          <w:right w:w="0" w:type="dxa"/>
        </w:tblCellMar>
        <w:tblLook w:val="04A0" w:firstRow="1" w:lastRow="0" w:firstColumn="1" w:lastColumn="0" w:noHBand="0" w:noVBand="1"/>
      </w:tblPr>
      <w:tblGrid>
        <w:gridCol w:w="3419"/>
        <w:gridCol w:w="848"/>
        <w:gridCol w:w="1133"/>
        <w:gridCol w:w="842"/>
        <w:gridCol w:w="842"/>
        <w:gridCol w:w="842"/>
        <w:gridCol w:w="842"/>
      </w:tblGrid>
      <w:tr w:rsidR="00331D3B" w:rsidTr="00591A26">
        <w:trPr>
          <w:trHeight w:val="300"/>
          <w:tblHeader/>
        </w:trPr>
        <w:tc>
          <w:tcPr>
            <w:tcW w:w="1950" w:type="pct"/>
            <w:vMerge w:val="restart"/>
            <w:tcBorders>
              <w:top w:val="single" w:sz="4" w:space="0" w:color="auto"/>
              <w:left w:val="single" w:sz="4" w:space="0" w:color="auto"/>
              <w:bottom w:val="single" w:sz="4" w:space="0" w:color="auto"/>
              <w:right w:val="single" w:sz="4" w:space="0" w:color="auto"/>
            </w:tcBorders>
            <w:shd w:val="clear" w:color="000000" w:fill="366092"/>
            <w:noWrap/>
            <w:tcMar>
              <w:top w:w="15" w:type="dxa"/>
              <w:left w:w="15" w:type="dxa"/>
              <w:bottom w:w="0" w:type="dxa"/>
              <w:right w:w="15" w:type="dxa"/>
            </w:tcMar>
            <w:vAlign w:val="center"/>
            <w:hideMark/>
          </w:tcPr>
          <w:p w:rsidR="00331D3B" w:rsidRDefault="00331D3B" w:rsidP="00331D3B">
            <w:pPr>
              <w:spacing w:line="480" w:lineRule="auto"/>
              <w:contextualSpacing/>
              <w:jc w:val="left"/>
              <w:rPr>
                <w:rFonts w:cs="Arial"/>
                <w:b/>
                <w:bCs/>
                <w:color w:val="FFFFFF"/>
                <w:sz w:val="22"/>
                <w:szCs w:val="22"/>
              </w:rPr>
            </w:pPr>
            <w:r>
              <w:rPr>
                <w:rFonts w:cs="Arial"/>
                <w:b/>
                <w:bCs/>
                <w:color w:val="FFFFFF"/>
                <w:sz w:val="22"/>
                <w:szCs w:val="22"/>
              </w:rPr>
              <w:t>Sector/Gender</w:t>
            </w:r>
          </w:p>
        </w:tc>
        <w:tc>
          <w:tcPr>
            <w:tcW w:w="484" w:type="pct"/>
            <w:vMerge w:val="restart"/>
            <w:tcBorders>
              <w:top w:val="single" w:sz="4" w:space="0" w:color="auto"/>
              <w:left w:val="single" w:sz="4" w:space="0" w:color="auto"/>
              <w:bottom w:val="single" w:sz="4" w:space="0" w:color="auto"/>
              <w:right w:val="single" w:sz="4" w:space="0" w:color="auto"/>
            </w:tcBorders>
            <w:shd w:val="clear" w:color="000000" w:fill="366092"/>
            <w:noWrap/>
            <w:tcMar>
              <w:top w:w="15" w:type="dxa"/>
              <w:left w:w="15" w:type="dxa"/>
              <w:bottom w:w="0" w:type="dxa"/>
              <w:right w:w="15" w:type="dxa"/>
            </w:tcMar>
            <w:vAlign w:val="center"/>
            <w:hideMark/>
          </w:tcPr>
          <w:p w:rsidR="00331D3B" w:rsidRDefault="00331D3B" w:rsidP="00331D3B">
            <w:pPr>
              <w:spacing w:line="240" w:lineRule="auto"/>
              <w:contextualSpacing/>
              <w:jc w:val="center"/>
              <w:rPr>
                <w:rFonts w:cs="Arial"/>
                <w:b/>
                <w:bCs/>
                <w:color w:val="FFFFFF"/>
                <w:sz w:val="22"/>
                <w:szCs w:val="22"/>
              </w:rPr>
            </w:pPr>
            <w:r>
              <w:rPr>
                <w:rFonts w:cs="Arial"/>
                <w:b/>
                <w:bCs/>
                <w:color w:val="FFFFFF"/>
                <w:sz w:val="22"/>
                <w:szCs w:val="22"/>
              </w:rPr>
              <w:t>Num of Funds</w:t>
            </w:r>
          </w:p>
        </w:tc>
        <w:tc>
          <w:tcPr>
            <w:tcW w:w="646" w:type="pct"/>
            <w:vMerge w:val="restart"/>
            <w:tcBorders>
              <w:top w:val="single" w:sz="4" w:space="0" w:color="auto"/>
              <w:left w:val="single" w:sz="4" w:space="0" w:color="auto"/>
              <w:bottom w:val="single" w:sz="4" w:space="0" w:color="auto"/>
              <w:right w:val="single" w:sz="4" w:space="0" w:color="auto"/>
            </w:tcBorders>
            <w:shd w:val="clear" w:color="000000" w:fill="366092"/>
            <w:noWrap/>
            <w:tcMar>
              <w:top w:w="15" w:type="dxa"/>
              <w:left w:w="15" w:type="dxa"/>
              <w:bottom w:w="0" w:type="dxa"/>
              <w:right w:w="15" w:type="dxa"/>
            </w:tcMar>
            <w:vAlign w:val="center"/>
            <w:hideMark/>
          </w:tcPr>
          <w:p w:rsidR="00331D3B" w:rsidRDefault="00331D3B" w:rsidP="00331D3B">
            <w:pPr>
              <w:spacing w:line="240" w:lineRule="auto"/>
              <w:contextualSpacing/>
              <w:jc w:val="center"/>
              <w:rPr>
                <w:rFonts w:cs="Arial"/>
                <w:b/>
                <w:bCs/>
                <w:color w:val="FFFFFF"/>
                <w:sz w:val="22"/>
                <w:szCs w:val="22"/>
              </w:rPr>
            </w:pPr>
            <w:r>
              <w:rPr>
                <w:rFonts w:cs="Arial"/>
                <w:b/>
                <w:bCs/>
                <w:color w:val="FFFFFF"/>
                <w:sz w:val="22"/>
                <w:szCs w:val="22"/>
              </w:rPr>
              <w:t>% of funds</w:t>
            </w:r>
          </w:p>
        </w:tc>
        <w:tc>
          <w:tcPr>
            <w:tcW w:w="1921" w:type="pct"/>
            <w:gridSpan w:val="4"/>
            <w:tcBorders>
              <w:top w:val="single" w:sz="4" w:space="0" w:color="auto"/>
              <w:left w:val="nil"/>
              <w:bottom w:val="single" w:sz="4" w:space="0" w:color="auto"/>
              <w:right w:val="single" w:sz="4" w:space="0" w:color="auto"/>
            </w:tcBorders>
            <w:shd w:val="clear" w:color="auto" w:fill="365F91" w:themeFill="accent1" w:themeFillShade="BF"/>
            <w:noWrap/>
            <w:tcMar>
              <w:top w:w="15" w:type="dxa"/>
              <w:left w:w="15" w:type="dxa"/>
              <w:bottom w:w="0" w:type="dxa"/>
              <w:right w:w="15" w:type="dxa"/>
            </w:tcMar>
            <w:vAlign w:val="center"/>
            <w:hideMark/>
          </w:tcPr>
          <w:p w:rsidR="00331D3B" w:rsidRPr="00331D3B" w:rsidRDefault="00331D3B" w:rsidP="00331D3B">
            <w:pPr>
              <w:spacing w:line="240" w:lineRule="auto"/>
              <w:contextualSpacing/>
              <w:jc w:val="center"/>
              <w:rPr>
                <w:rFonts w:cs="Arial"/>
                <w:b/>
                <w:bCs/>
                <w:color w:val="FFFFFF"/>
                <w:sz w:val="22"/>
                <w:szCs w:val="22"/>
              </w:rPr>
            </w:pPr>
            <w:r w:rsidRPr="00331D3B">
              <w:rPr>
                <w:rFonts w:cs="Arial"/>
                <w:b/>
                <w:bCs/>
                <w:color w:val="FFFFFF"/>
                <w:sz w:val="22"/>
                <w:szCs w:val="22"/>
              </w:rPr>
              <w:t xml:space="preserve">Annualised </w:t>
            </w:r>
            <w:r w:rsidR="007969E2" w:rsidRPr="00331D3B">
              <w:rPr>
                <w:rFonts w:cs="Arial"/>
                <w:b/>
                <w:bCs/>
                <w:color w:val="FFFFFF"/>
                <w:sz w:val="22"/>
                <w:szCs w:val="22"/>
              </w:rPr>
              <w:t>Return (</w:t>
            </w:r>
            <w:r w:rsidRPr="00331D3B">
              <w:rPr>
                <w:rFonts w:cs="Arial"/>
                <w:b/>
                <w:bCs/>
                <w:color w:val="FFFFFF"/>
                <w:sz w:val="22"/>
                <w:szCs w:val="22"/>
              </w:rPr>
              <w:t>%)</w:t>
            </w:r>
          </w:p>
        </w:tc>
      </w:tr>
      <w:tr w:rsidR="00331D3B" w:rsidTr="00331D3B">
        <w:trPr>
          <w:trHeight w:val="300"/>
          <w:tblHeader/>
        </w:trPr>
        <w:tc>
          <w:tcPr>
            <w:tcW w:w="1950" w:type="pct"/>
            <w:vMerge/>
            <w:tcBorders>
              <w:top w:val="single" w:sz="4" w:space="0" w:color="auto"/>
              <w:left w:val="single" w:sz="4" w:space="0" w:color="auto"/>
              <w:bottom w:val="single" w:sz="4" w:space="0" w:color="auto"/>
              <w:right w:val="single" w:sz="4" w:space="0" w:color="auto"/>
            </w:tcBorders>
            <w:vAlign w:val="center"/>
            <w:hideMark/>
          </w:tcPr>
          <w:p w:rsidR="00331D3B" w:rsidRDefault="00331D3B" w:rsidP="00331D3B">
            <w:pPr>
              <w:spacing w:line="240" w:lineRule="auto"/>
              <w:contextualSpacing/>
              <w:jc w:val="left"/>
              <w:rPr>
                <w:rFonts w:cs="Arial"/>
                <w:b/>
                <w:bCs/>
                <w:color w:val="FFFFFF"/>
                <w:sz w:val="22"/>
                <w:szCs w:val="22"/>
              </w:rPr>
            </w:pPr>
          </w:p>
        </w:tc>
        <w:tc>
          <w:tcPr>
            <w:tcW w:w="484" w:type="pct"/>
            <w:vMerge/>
            <w:tcBorders>
              <w:top w:val="single" w:sz="4" w:space="0" w:color="auto"/>
              <w:left w:val="single" w:sz="4" w:space="0" w:color="auto"/>
              <w:bottom w:val="single" w:sz="4" w:space="0" w:color="auto"/>
              <w:right w:val="single" w:sz="4" w:space="0" w:color="auto"/>
            </w:tcBorders>
            <w:vAlign w:val="center"/>
            <w:hideMark/>
          </w:tcPr>
          <w:p w:rsidR="00331D3B" w:rsidRDefault="00331D3B" w:rsidP="00331D3B">
            <w:pPr>
              <w:spacing w:line="240" w:lineRule="auto"/>
              <w:contextualSpacing/>
              <w:jc w:val="center"/>
              <w:rPr>
                <w:rFonts w:cs="Arial"/>
                <w:b/>
                <w:bCs/>
                <w:color w:val="FFFFFF"/>
                <w:sz w:val="22"/>
                <w:szCs w:val="22"/>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rsidR="00331D3B" w:rsidRDefault="00331D3B" w:rsidP="00331D3B">
            <w:pPr>
              <w:spacing w:line="240" w:lineRule="auto"/>
              <w:contextualSpacing/>
              <w:jc w:val="center"/>
              <w:rPr>
                <w:rFonts w:cs="Arial"/>
                <w:b/>
                <w:bCs/>
                <w:color w:val="FFFFFF"/>
                <w:sz w:val="22"/>
                <w:szCs w:val="22"/>
              </w:rPr>
            </w:pPr>
          </w:p>
        </w:tc>
        <w:tc>
          <w:tcPr>
            <w:tcW w:w="480" w:type="pct"/>
            <w:tcBorders>
              <w:top w:val="nil"/>
              <w:left w:val="nil"/>
              <w:bottom w:val="single" w:sz="4" w:space="0" w:color="auto"/>
              <w:right w:val="single" w:sz="4" w:space="0" w:color="auto"/>
            </w:tcBorders>
            <w:shd w:val="clear" w:color="000000" w:fill="366092"/>
            <w:noWrap/>
            <w:tcMar>
              <w:top w:w="15" w:type="dxa"/>
              <w:left w:w="15" w:type="dxa"/>
              <w:bottom w:w="0" w:type="dxa"/>
              <w:right w:w="15" w:type="dxa"/>
            </w:tcMar>
            <w:vAlign w:val="center"/>
            <w:hideMark/>
          </w:tcPr>
          <w:p w:rsidR="00331D3B" w:rsidRDefault="00331D3B" w:rsidP="00331D3B">
            <w:pPr>
              <w:spacing w:line="240" w:lineRule="auto"/>
              <w:contextualSpacing/>
              <w:jc w:val="center"/>
              <w:rPr>
                <w:rFonts w:cs="Arial"/>
                <w:b/>
                <w:bCs/>
                <w:color w:val="FFFFFF"/>
                <w:sz w:val="22"/>
                <w:szCs w:val="22"/>
              </w:rPr>
            </w:pPr>
            <w:r>
              <w:rPr>
                <w:rFonts w:cs="Arial"/>
                <w:b/>
                <w:bCs/>
                <w:color w:val="FFFFFF"/>
                <w:sz w:val="22"/>
                <w:szCs w:val="22"/>
              </w:rPr>
              <w:t>1 year</w:t>
            </w:r>
          </w:p>
        </w:tc>
        <w:tc>
          <w:tcPr>
            <w:tcW w:w="480" w:type="pct"/>
            <w:tcBorders>
              <w:top w:val="nil"/>
              <w:left w:val="nil"/>
              <w:bottom w:val="single" w:sz="4" w:space="0" w:color="auto"/>
              <w:right w:val="single" w:sz="4" w:space="0" w:color="auto"/>
            </w:tcBorders>
            <w:shd w:val="clear" w:color="000000" w:fill="366092"/>
            <w:noWrap/>
            <w:tcMar>
              <w:top w:w="15" w:type="dxa"/>
              <w:left w:w="15" w:type="dxa"/>
              <w:bottom w:w="0" w:type="dxa"/>
              <w:right w:w="15" w:type="dxa"/>
            </w:tcMar>
            <w:vAlign w:val="center"/>
            <w:hideMark/>
          </w:tcPr>
          <w:p w:rsidR="00331D3B" w:rsidRDefault="00331D3B" w:rsidP="00331D3B">
            <w:pPr>
              <w:spacing w:line="240" w:lineRule="auto"/>
              <w:contextualSpacing/>
              <w:jc w:val="center"/>
              <w:rPr>
                <w:rFonts w:cs="Arial"/>
                <w:b/>
                <w:bCs/>
                <w:color w:val="FFFFFF"/>
                <w:sz w:val="22"/>
                <w:szCs w:val="22"/>
              </w:rPr>
            </w:pPr>
            <w:r>
              <w:rPr>
                <w:rFonts w:cs="Arial"/>
                <w:b/>
                <w:bCs/>
                <w:color w:val="FFFFFF"/>
                <w:sz w:val="22"/>
                <w:szCs w:val="22"/>
              </w:rPr>
              <w:t>3 year</w:t>
            </w:r>
          </w:p>
        </w:tc>
        <w:tc>
          <w:tcPr>
            <w:tcW w:w="480" w:type="pct"/>
            <w:tcBorders>
              <w:top w:val="nil"/>
              <w:left w:val="nil"/>
              <w:bottom w:val="single" w:sz="4" w:space="0" w:color="auto"/>
              <w:right w:val="single" w:sz="4" w:space="0" w:color="auto"/>
            </w:tcBorders>
            <w:shd w:val="clear" w:color="000000" w:fill="366092"/>
            <w:noWrap/>
            <w:tcMar>
              <w:top w:w="15" w:type="dxa"/>
              <w:left w:w="15" w:type="dxa"/>
              <w:bottom w:w="0" w:type="dxa"/>
              <w:right w:w="15" w:type="dxa"/>
            </w:tcMar>
            <w:vAlign w:val="center"/>
            <w:hideMark/>
          </w:tcPr>
          <w:p w:rsidR="00331D3B" w:rsidRDefault="00331D3B" w:rsidP="00331D3B">
            <w:pPr>
              <w:spacing w:line="240" w:lineRule="auto"/>
              <w:contextualSpacing/>
              <w:jc w:val="center"/>
              <w:rPr>
                <w:rFonts w:cs="Arial"/>
                <w:b/>
                <w:bCs/>
                <w:color w:val="FFFFFF"/>
                <w:sz w:val="22"/>
                <w:szCs w:val="22"/>
              </w:rPr>
            </w:pPr>
            <w:r>
              <w:rPr>
                <w:rFonts w:cs="Arial"/>
                <w:b/>
                <w:bCs/>
                <w:color w:val="FFFFFF"/>
                <w:sz w:val="22"/>
                <w:szCs w:val="22"/>
              </w:rPr>
              <w:t>5 year</w:t>
            </w:r>
          </w:p>
        </w:tc>
        <w:tc>
          <w:tcPr>
            <w:tcW w:w="480" w:type="pct"/>
            <w:tcBorders>
              <w:top w:val="nil"/>
              <w:left w:val="nil"/>
              <w:bottom w:val="single" w:sz="4" w:space="0" w:color="auto"/>
              <w:right w:val="single" w:sz="4" w:space="0" w:color="auto"/>
            </w:tcBorders>
            <w:shd w:val="clear" w:color="000000" w:fill="366092"/>
            <w:noWrap/>
            <w:tcMar>
              <w:top w:w="15" w:type="dxa"/>
              <w:left w:w="15" w:type="dxa"/>
              <w:bottom w:w="0" w:type="dxa"/>
              <w:right w:w="15" w:type="dxa"/>
            </w:tcMar>
            <w:vAlign w:val="center"/>
            <w:hideMark/>
          </w:tcPr>
          <w:p w:rsidR="00331D3B" w:rsidRDefault="00331D3B" w:rsidP="00331D3B">
            <w:pPr>
              <w:spacing w:line="240" w:lineRule="auto"/>
              <w:contextualSpacing/>
              <w:jc w:val="center"/>
              <w:rPr>
                <w:rFonts w:cs="Arial"/>
                <w:b/>
                <w:bCs/>
                <w:color w:val="FFFFFF"/>
                <w:sz w:val="22"/>
                <w:szCs w:val="22"/>
              </w:rPr>
            </w:pPr>
            <w:r>
              <w:rPr>
                <w:rFonts w:cs="Arial"/>
                <w:b/>
                <w:bCs/>
                <w:color w:val="FFFFFF"/>
                <w:sz w:val="22"/>
                <w:szCs w:val="22"/>
              </w:rPr>
              <w:t>10 year</w:t>
            </w:r>
          </w:p>
        </w:tc>
      </w:tr>
      <w:tr w:rsidR="00331D3B" w:rsidTr="00331D3B">
        <w:trPr>
          <w:trHeight w:val="300"/>
        </w:trPr>
        <w:tc>
          <w:tcPr>
            <w:tcW w:w="1950" w:type="pct"/>
            <w:tcBorders>
              <w:top w:val="nil"/>
              <w:left w:val="single" w:sz="4" w:space="0" w:color="auto"/>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left"/>
              <w:rPr>
                <w:rFonts w:ascii="Calibri" w:hAnsi="Calibri" w:cs="Calibri"/>
                <w:b/>
                <w:bCs/>
                <w:color w:val="000000"/>
                <w:sz w:val="22"/>
                <w:szCs w:val="22"/>
              </w:rPr>
            </w:pPr>
            <w:r>
              <w:rPr>
                <w:rFonts w:ascii="Calibri" w:hAnsi="Calibri" w:cs="Calibri"/>
                <w:b/>
                <w:bCs/>
                <w:color w:val="000000"/>
                <w:sz w:val="22"/>
                <w:szCs w:val="22"/>
              </w:rPr>
              <w:t>South African EQ Large Cap</w:t>
            </w:r>
          </w:p>
        </w:tc>
        <w:tc>
          <w:tcPr>
            <w:tcW w:w="484"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8</w:t>
            </w:r>
          </w:p>
        </w:tc>
        <w:tc>
          <w:tcPr>
            <w:tcW w:w="646"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3.58%</w:t>
            </w: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16.95%</w:t>
            </w: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16.98%</w:t>
            </w: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11.19%</w:t>
            </w:r>
          </w:p>
        </w:tc>
      </w:tr>
      <w:tr w:rsidR="00331D3B" w:rsidTr="00331D3B">
        <w:trPr>
          <w:trHeight w:val="300"/>
        </w:trPr>
        <w:tc>
          <w:tcPr>
            <w:tcW w:w="1950" w:type="pct"/>
            <w:tcBorders>
              <w:top w:val="nil"/>
              <w:left w:val="single" w:sz="4" w:space="0" w:color="auto"/>
              <w:bottom w:val="single" w:sz="4" w:space="0" w:color="auto"/>
              <w:right w:val="single" w:sz="4" w:space="0" w:color="auto"/>
            </w:tcBorders>
            <w:shd w:val="clear" w:color="auto" w:fill="auto"/>
            <w:noWrap/>
            <w:tcMar>
              <w:top w:w="15" w:type="dxa"/>
              <w:left w:w="405" w:type="dxa"/>
              <w:bottom w:w="0" w:type="dxa"/>
              <w:right w:w="15" w:type="dxa"/>
            </w:tcMar>
            <w:vAlign w:val="center"/>
            <w:hideMark/>
          </w:tcPr>
          <w:p w:rsidR="00331D3B" w:rsidRDefault="00331D3B" w:rsidP="00331D3B">
            <w:pPr>
              <w:spacing w:line="240" w:lineRule="auto"/>
              <w:ind w:firstLineChars="300" w:firstLine="660"/>
              <w:contextualSpacing/>
              <w:jc w:val="left"/>
              <w:rPr>
                <w:rFonts w:ascii="Calibri" w:hAnsi="Calibri" w:cs="Calibri"/>
                <w:color w:val="000000"/>
                <w:sz w:val="22"/>
                <w:szCs w:val="22"/>
              </w:rPr>
            </w:pPr>
            <w:r>
              <w:rPr>
                <w:rFonts w:ascii="Calibri" w:hAnsi="Calibri" w:cs="Calibri"/>
                <w:color w:val="000000"/>
                <w:sz w:val="22"/>
                <w:szCs w:val="22"/>
              </w:rPr>
              <w:t>Female</w:t>
            </w:r>
          </w:p>
        </w:tc>
        <w:tc>
          <w:tcPr>
            <w:tcW w:w="48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3</w:t>
            </w:r>
          </w:p>
        </w:tc>
        <w:tc>
          <w:tcPr>
            <w:tcW w:w="64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37.50%</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2.80%</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18.34%</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p>
        </w:tc>
      </w:tr>
      <w:tr w:rsidR="00331D3B" w:rsidTr="00331D3B">
        <w:trPr>
          <w:trHeight w:val="300"/>
        </w:trPr>
        <w:tc>
          <w:tcPr>
            <w:tcW w:w="1950" w:type="pct"/>
            <w:tcBorders>
              <w:top w:val="nil"/>
              <w:left w:val="single" w:sz="4" w:space="0" w:color="auto"/>
              <w:bottom w:val="single" w:sz="4" w:space="0" w:color="auto"/>
              <w:right w:val="single" w:sz="4" w:space="0" w:color="auto"/>
            </w:tcBorders>
            <w:shd w:val="clear" w:color="auto" w:fill="auto"/>
            <w:noWrap/>
            <w:tcMar>
              <w:top w:w="15" w:type="dxa"/>
              <w:left w:w="405" w:type="dxa"/>
              <w:bottom w:w="0" w:type="dxa"/>
              <w:right w:w="15" w:type="dxa"/>
            </w:tcMar>
            <w:vAlign w:val="center"/>
            <w:hideMark/>
          </w:tcPr>
          <w:p w:rsidR="00331D3B" w:rsidRDefault="00331D3B" w:rsidP="00331D3B">
            <w:pPr>
              <w:spacing w:line="240" w:lineRule="auto"/>
              <w:ind w:firstLineChars="300" w:firstLine="660"/>
              <w:contextualSpacing/>
              <w:jc w:val="left"/>
              <w:rPr>
                <w:rFonts w:ascii="Calibri" w:hAnsi="Calibri" w:cs="Calibri"/>
                <w:color w:val="000000"/>
                <w:sz w:val="22"/>
                <w:szCs w:val="22"/>
              </w:rPr>
            </w:pPr>
            <w:r>
              <w:rPr>
                <w:rFonts w:ascii="Calibri" w:hAnsi="Calibri" w:cs="Calibri"/>
                <w:color w:val="000000"/>
                <w:sz w:val="22"/>
                <w:szCs w:val="22"/>
              </w:rPr>
              <w:t>Male</w:t>
            </w:r>
          </w:p>
        </w:tc>
        <w:tc>
          <w:tcPr>
            <w:tcW w:w="48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5</w:t>
            </w:r>
          </w:p>
        </w:tc>
        <w:tc>
          <w:tcPr>
            <w:tcW w:w="64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62.50%</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4.05%</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16.67%</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16.98%</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11.19%</w:t>
            </w:r>
          </w:p>
        </w:tc>
      </w:tr>
      <w:tr w:rsidR="00331D3B" w:rsidTr="00331D3B">
        <w:trPr>
          <w:trHeight w:val="300"/>
        </w:trPr>
        <w:tc>
          <w:tcPr>
            <w:tcW w:w="1950" w:type="pct"/>
            <w:tcBorders>
              <w:top w:val="nil"/>
              <w:left w:val="single" w:sz="4" w:space="0" w:color="auto"/>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left"/>
              <w:rPr>
                <w:rFonts w:ascii="Calibri" w:hAnsi="Calibri" w:cs="Calibri"/>
                <w:b/>
                <w:bCs/>
                <w:color w:val="000000"/>
                <w:sz w:val="22"/>
                <w:szCs w:val="22"/>
              </w:rPr>
            </w:pPr>
            <w:r>
              <w:rPr>
                <w:rFonts w:ascii="Calibri" w:hAnsi="Calibri" w:cs="Calibri"/>
                <w:b/>
                <w:bCs/>
                <w:color w:val="000000"/>
                <w:sz w:val="22"/>
                <w:szCs w:val="22"/>
              </w:rPr>
              <w:t>South African EQ Financial</w:t>
            </w:r>
          </w:p>
        </w:tc>
        <w:tc>
          <w:tcPr>
            <w:tcW w:w="484"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4</w:t>
            </w:r>
          </w:p>
        </w:tc>
        <w:tc>
          <w:tcPr>
            <w:tcW w:w="646"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20.72%</w:t>
            </w: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24.76%</w:t>
            </w: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21.87%</w:t>
            </w: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18.17%</w:t>
            </w:r>
          </w:p>
        </w:tc>
      </w:tr>
      <w:tr w:rsidR="00331D3B" w:rsidTr="00331D3B">
        <w:trPr>
          <w:trHeight w:val="300"/>
        </w:trPr>
        <w:tc>
          <w:tcPr>
            <w:tcW w:w="1950" w:type="pct"/>
            <w:tcBorders>
              <w:top w:val="nil"/>
              <w:left w:val="single" w:sz="4" w:space="0" w:color="auto"/>
              <w:bottom w:val="single" w:sz="4" w:space="0" w:color="auto"/>
              <w:right w:val="single" w:sz="4" w:space="0" w:color="auto"/>
            </w:tcBorders>
            <w:shd w:val="clear" w:color="auto" w:fill="auto"/>
            <w:noWrap/>
            <w:tcMar>
              <w:top w:w="15" w:type="dxa"/>
              <w:left w:w="405" w:type="dxa"/>
              <w:bottom w:w="0" w:type="dxa"/>
              <w:right w:w="15" w:type="dxa"/>
            </w:tcMar>
            <w:vAlign w:val="center"/>
            <w:hideMark/>
          </w:tcPr>
          <w:p w:rsidR="00331D3B" w:rsidRDefault="00331D3B" w:rsidP="00331D3B">
            <w:pPr>
              <w:spacing w:line="240" w:lineRule="auto"/>
              <w:ind w:firstLineChars="300" w:firstLine="660"/>
              <w:contextualSpacing/>
              <w:jc w:val="left"/>
              <w:rPr>
                <w:rFonts w:ascii="Calibri" w:hAnsi="Calibri" w:cs="Calibri"/>
                <w:color w:val="000000"/>
                <w:sz w:val="22"/>
                <w:szCs w:val="22"/>
              </w:rPr>
            </w:pPr>
            <w:r>
              <w:rPr>
                <w:rFonts w:ascii="Calibri" w:hAnsi="Calibri" w:cs="Calibri"/>
                <w:color w:val="000000"/>
                <w:sz w:val="22"/>
                <w:szCs w:val="22"/>
              </w:rPr>
              <w:t>Female</w:t>
            </w:r>
          </w:p>
        </w:tc>
        <w:tc>
          <w:tcPr>
            <w:tcW w:w="48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w:t>
            </w:r>
          </w:p>
        </w:tc>
        <w:tc>
          <w:tcPr>
            <w:tcW w:w="64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25.00%</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21.93%</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23.92%</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19.95%</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p>
        </w:tc>
      </w:tr>
      <w:tr w:rsidR="00331D3B" w:rsidTr="00331D3B">
        <w:trPr>
          <w:trHeight w:val="300"/>
        </w:trPr>
        <w:tc>
          <w:tcPr>
            <w:tcW w:w="1950" w:type="pct"/>
            <w:tcBorders>
              <w:top w:val="nil"/>
              <w:left w:val="single" w:sz="4" w:space="0" w:color="auto"/>
              <w:bottom w:val="single" w:sz="4" w:space="0" w:color="auto"/>
              <w:right w:val="single" w:sz="4" w:space="0" w:color="auto"/>
            </w:tcBorders>
            <w:shd w:val="clear" w:color="auto" w:fill="auto"/>
            <w:noWrap/>
            <w:tcMar>
              <w:top w:w="15" w:type="dxa"/>
              <w:left w:w="405" w:type="dxa"/>
              <w:bottom w:w="0" w:type="dxa"/>
              <w:right w:w="15" w:type="dxa"/>
            </w:tcMar>
            <w:vAlign w:val="center"/>
            <w:hideMark/>
          </w:tcPr>
          <w:p w:rsidR="00331D3B" w:rsidRDefault="00331D3B" w:rsidP="00331D3B">
            <w:pPr>
              <w:spacing w:line="240" w:lineRule="auto"/>
              <w:ind w:firstLineChars="300" w:firstLine="660"/>
              <w:contextualSpacing/>
              <w:jc w:val="left"/>
              <w:rPr>
                <w:rFonts w:ascii="Calibri" w:hAnsi="Calibri" w:cs="Calibri"/>
                <w:color w:val="000000"/>
                <w:sz w:val="22"/>
                <w:szCs w:val="22"/>
              </w:rPr>
            </w:pPr>
            <w:r>
              <w:rPr>
                <w:rFonts w:ascii="Calibri" w:hAnsi="Calibri" w:cs="Calibri"/>
                <w:color w:val="000000"/>
                <w:sz w:val="22"/>
                <w:szCs w:val="22"/>
              </w:rPr>
              <w:t>Male</w:t>
            </w:r>
          </w:p>
        </w:tc>
        <w:tc>
          <w:tcPr>
            <w:tcW w:w="48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3</w:t>
            </w:r>
          </w:p>
        </w:tc>
        <w:tc>
          <w:tcPr>
            <w:tcW w:w="64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75.00%</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20.31%</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25.04%</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23.79%</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18.17%</w:t>
            </w:r>
          </w:p>
        </w:tc>
      </w:tr>
      <w:tr w:rsidR="00331D3B" w:rsidTr="00331D3B">
        <w:trPr>
          <w:trHeight w:val="300"/>
        </w:trPr>
        <w:tc>
          <w:tcPr>
            <w:tcW w:w="1950" w:type="pct"/>
            <w:tcBorders>
              <w:top w:val="nil"/>
              <w:left w:val="single" w:sz="4" w:space="0" w:color="auto"/>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left"/>
              <w:rPr>
                <w:rFonts w:ascii="Calibri" w:hAnsi="Calibri" w:cs="Calibri"/>
                <w:b/>
                <w:bCs/>
                <w:color w:val="000000"/>
                <w:sz w:val="22"/>
                <w:szCs w:val="22"/>
              </w:rPr>
            </w:pPr>
            <w:r>
              <w:rPr>
                <w:rFonts w:ascii="Calibri" w:hAnsi="Calibri" w:cs="Calibri"/>
                <w:b/>
                <w:bCs/>
                <w:color w:val="000000"/>
                <w:sz w:val="22"/>
                <w:szCs w:val="22"/>
              </w:rPr>
              <w:t>South African EQ Industrial</w:t>
            </w:r>
          </w:p>
        </w:tc>
        <w:tc>
          <w:tcPr>
            <w:tcW w:w="484"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4</w:t>
            </w:r>
          </w:p>
        </w:tc>
        <w:tc>
          <w:tcPr>
            <w:tcW w:w="646"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13.06%</w:t>
            </w: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24.08%</w:t>
            </w: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24.50%</w:t>
            </w: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p>
        </w:tc>
      </w:tr>
      <w:tr w:rsidR="00331D3B" w:rsidTr="00331D3B">
        <w:trPr>
          <w:trHeight w:val="300"/>
        </w:trPr>
        <w:tc>
          <w:tcPr>
            <w:tcW w:w="1950" w:type="pct"/>
            <w:tcBorders>
              <w:top w:val="nil"/>
              <w:left w:val="single" w:sz="4" w:space="0" w:color="auto"/>
              <w:bottom w:val="single" w:sz="4" w:space="0" w:color="auto"/>
              <w:right w:val="single" w:sz="4" w:space="0" w:color="auto"/>
            </w:tcBorders>
            <w:shd w:val="clear" w:color="auto" w:fill="auto"/>
            <w:noWrap/>
            <w:tcMar>
              <w:top w:w="15" w:type="dxa"/>
              <w:left w:w="405" w:type="dxa"/>
              <w:bottom w:w="0" w:type="dxa"/>
              <w:right w:w="15" w:type="dxa"/>
            </w:tcMar>
            <w:vAlign w:val="center"/>
            <w:hideMark/>
          </w:tcPr>
          <w:p w:rsidR="00331D3B" w:rsidRDefault="00331D3B" w:rsidP="00331D3B">
            <w:pPr>
              <w:spacing w:line="240" w:lineRule="auto"/>
              <w:ind w:firstLineChars="300" w:firstLine="660"/>
              <w:contextualSpacing/>
              <w:jc w:val="left"/>
              <w:rPr>
                <w:rFonts w:ascii="Calibri" w:hAnsi="Calibri" w:cs="Calibri"/>
                <w:color w:val="000000"/>
                <w:sz w:val="22"/>
                <w:szCs w:val="22"/>
              </w:rPr>
            </w:pPr>
            <w:r>
              <w:rPr>
                <w:rFonts w:ascii="Calibri" w:hAnsi="Calibri" w:cs="Calibri"/>
                <w:color w:val="000000"/>
                <w:sz w:val="22"/>
                <w:szCs w:val="22"/>
              </w:rPr>
              <w:t>Female</w:t>
            </w:r>
          </w:p>
        </w:tc>
        <w:tc>
          <w:tcPr>
            <w:tcW w:w="48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w:t>
            </w:r>
          </w:p>
        </w:tc>
        <w:tc>
          <w:tcPr>
            <w:tcW w:w="64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25.00%</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10.58%</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21.40%</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p>
        </w:tc>
      </w:tr>
      <w:tr w:rsidR="00331D3B" w:rsidTr="00331D3B">
        <w:trPr>
          <w:trHeight w:val="300"/>
        </w:trPr>
        <w:tc>
          <w:tcPr>
            <w:tcW w:w="1950" w:type="pct"/>
            <w:tcBorders>
              <w:top w:val="nil"/>
              <w:left w:val="single" w:sz="4" w:space="0" w:color="auto"/>
              <w:bottom w:val="single" w:sz="4" w:space="0" w:color="auto"/>
              <w:right w:val="single" w:sz="4" w:space="0" w:color="auto"/>
            </w:tcBorders>
            <w:shd w:val="clear" w:color="auto" w:fill="auto"/>
            <w:noWrap/>
            <w:tcMar>
              <w:top w:w="15" w:type="dxa"/>
              <w:left w:w="405" w:type="dxa"/>
              <w:bottom w:w="0" w:type="dxa"/>
              <w:right w:w="15" w:type="dxa"/>
            </w:tcMar>
            <w:vAlign w:val="center"/>
            <w:hideMark/>
          </w:tcPr>
          <w:p w:rsidR="00331D3B" w:rsidRDefault="00331D3B" w:rsidP="00331D3B">
            <w:pPr>
              <w:spacing w:line="240" w:lineRule="auto"/>
              <w:ind w:firstLineChars="300" w:firstLine="660"/>
              <w:contextualSpacing/>
              <w:jc w:val="left"/>
              <w:rPr>
                <w:rFonts w:ascii="Calibri" w:hAnsi="Calibri" w:cs="Calibri"/>
                <w:color w:val="000000"/>
                <w:sz w:val="22"/>
                <w:szCs w:val="22"/>
              </w:rPr>
            </w:pPr>
            <w:r>
              <w:rPr>
                <w:rFonts w:ascii="Calibri" w:hAnsi="Calibri" w:cs="Calibri"/>
                <w:color w:val="000000"/>
                <w:sz w:val="22"/>
                <w:szCs w:val="22"/>
              </w:rPr>
              <w:t>Male</w:t>
            </w:r>
          </w:p>
        </w:tc>
        <w:tc>
          <w:tcPr>
            <w:tcW w:w="48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3</w:t>
            </w:r>
          </w:p>
        </w:tc>
        <w:tc>
          <w:tcPr>
            <w:tcW w:w="64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75.00%</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13.88%</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25.43%</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24.50%</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p>
        </w:tc>
      </w:tr>
      <w:tr w:rsidR="00331D3B" w:rsidTr="00331D3B">
        <w:trPr>
          <w:trHeight w:val="300"/>
        </w:trPr>
        <w:tc>
          <w:tcPr>
            <w:tcW w:w="1950" w:type="pct"/>
            <w:tcBorders>
              <w:top w:val="nil"/>
              <w:left w:val="single" w:sz="4" w:space="0" w:color="auto"/>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left"/>
              <w:rPr>
                <w:rFonts w:ascii="Calibri" w:hAnsi="Calibri" w:cs="Calibri"/>
                <w:b/>
                <w:bCs/>
                <w:color w:val="000000"/>
                <w:sz w:val="22"/>
                <w:szCs w:val="22"/>
              </w:rPr>
            </w:pPr>
            <w:r>
              <w:rPr>
                <w:rFonts w:ascii="Calibri" w:hAnsi="Calibri" w:cs="Calibri"/>
                <w:b/>
                <w:bCs/>
                <w:color w:val="000000"/>
                <w:sz w:val="22"/>
                <w:szCs w:val="22"/>
              </w:rPr>
              <w:t>South African IB Variable Term</w:t>
            </w:r>
          </w:p>
        </w:tc>
        <w:tc>
          <w:tcPr>
            <w:tcW w:w="484"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21</w:t>
            </w:r>
          </w:p>
        </w:tc>
        <w:tc>
          <w:tcPr>
            <w:tcW w:w="646"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6.03%</w:t>
            </w: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5.89%</w:t>
            </w: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8.10%</w:t>
            </w: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7.91%</w:t>
            </w:r>
          </w:p>
        </w:tc>
      </w:tr>
      <w:tr w:rsidR="00331D3B" w:rsidTr="00331D3B">
        <w:trPr>
          <w:trHeight w:val="300"/>
        </w:trPr>
        <w:tc>
          <w:tcPr>
            <w:tcW w:w="1950" w:type="pct"/>
            <w:tcBorders>
              <w:top w:val="nil"/>
              <w:left w:val="single" w:sz="4" w:space="0" w:color="auto"/>
              <w:bottom w:val="single" w:sz="4" w:space="0" w:color="auto"/>
              <w:right w:val="single" w:sz="4" w:space="0" w:color="auto"/>
            </w:tcBorders>
            <w:shd w:val="clear" w:color="auto" w:fill="auto"/>
            <w:noWrap/>
            <w:tcMar>
              <w:top w:w="15" w:type="dxa"/>
              <w:left w:w="405" w:type="dxa"/>
              <w:bottom w:w="0" w:type="dxa"/>
              <w:right w:w="15" w:type="dxa"/>
            </w:tcMar>
            <w:vAlign w:val="center"/>
            <w:hideMark/>
          </w:tcPr>
          <w:p w:rsidR="00331D3B" w:rsidRDefault="00331D3B" w:rsidP="00331D3B">
            <w:pPr>
              <w:spacing w:line="240" w:lineRule="auto"/>
              <w:ind w:firstLineChars="300" w:firstLine="660"/>
              <w:contextualSpacing/>
              <w:jc w:val="left"/>
              <w:rPr>
                <w:rFonts w:ascii="Calibri" w:hAnsi="Calibri" w:cs="Calibri"/>
                <w:color w:val="000000"/>
                <w:sz w:val="22"/>
                <w:szCs w:val="22"/>
              </w:rPr>
            </w:pPr>
            <w:r>
              <w:rPr>
                <w:rFonts w:ascii="Calibri" w:hAnsi="Calibri" w:cs="Calibri"/>
                <w:color w:val="000000"/>
                <w:sz w:val="22"/>
                <w:szCs w:val="22"/>
              </w:rPr>
              <w:t>Female</w:t>
            </w:r>
          </w:p>
        </w:tc>
        <w:tc>
          <w:tcPr>
            <w:tcW w:w="48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5</w:t>
            </w:r>
          </w:p>
        </w:tc>
        <w:tc>
          <w:tcPr>
            <w:tcW w:w="64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23.81%</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7.27%</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6.69%</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8.78%</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p>
        </w:tc>
      </w:tr>
      <w:tr w:rsidR="00331D3B" w:rsidTr="00331D3B">
        <w:trPr>
          <w:trHeight w:val="300"/>
        </w:trPr>
        <w:tc>
          <w:tcPr>
            <w:tcW w:w="1950" w:type="pct"/>
            <w:tcBorders>
              <w:top w:val="nil"/>
              <w:left w:val="single" w:sz="4" w:space="0" w:color="auto"/>
              <w:bottom w:val="single" w:sz="4" w:space="0" w:color="auto"/>
              <w:right w:val="single" w:sz="4" w:space="0" w:color="auto"/>
            </w:tcBorders>
            <w:shd w:val="clear" w:color="auto" w:fill="auto"/>
            <w:noWrap/>
            <w:tcMar>
              <w:top w:w="15" w:type="dxa"/>
              <w:left w:w="405" w:type="dxa"/>
              <w:bottom w:w="0" w:type="dxa"/>
              <w:right w:w="15" w:type="dxa"/>
            </w:tcMar>
            <w:vAlign w:val="center"/>
            <w:hideMark/>
          </w:tcPr>
          <w:p w:rsidR="00331D3B" w:rsidRDefault="00331D3B" w:rsidP="00331D3B">
            <w:pPr>
              <w:spacing w:line="240" w:lineRule="auto"/>
              <w:ind w:firstLineChars="300" w:firstLine="660"/>
              <w:contextualSpacing/>
              <w:jc w:val="left"/>
              <w:rPr>
                <w:rFonts w:ascii="Calibri" w:hAnsi="Calibri" w:cs="Calibri"/>
                <w:color w:val="000000"/>
                <w:sz w:val="22"/>
                <w:szCs w:val="22"/>
              </w:rPr>
            </w:pPr>
            <w:r>
              <w:rPr>
                <w:rFonts w:ascii="Calibri" w:hAnsi="Calibri" w:cs="Calibri"/>
                <w:color w:val="000000"/>
                <w:sz w:val="22"/>
                <w:szCs w:val="22"/>
              </w:rPr>
              <w:t>Male</w:t>
            </w:r>
          </w:p>
        </w:tc>
        <w:tc>
          <w:tcPr>
            <w:tcW w:w="48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16</w:t>
            </w:r>
          </w:p>
        </w:tc>
        <w:tc>
          <w:tcPr>
            <w:tcW w:w="64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76.19%</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5.61%</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5.53%</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7.75%</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7.91%</w:t>
            </w:r>
          </w:p>
        </w:tc>
      </w:tr>
      <w:tr w:rsidR="00331D3B" w:rsidTr="00331D3B">
        <w:trPr>
          <w:trHeight w:val="300"/>
        </w:trPr>
        <w:tc>
          <w:tcPr>
            <w:tcW w:w="1950" w:type="pct"/>
            <w:tcBorders>
              <w:top w:val="nil"/>
              <w:left w:val="single" w:sz="4" w:space="0" w:color="auto"/>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left"/>
              <w:rPr>
                <w:rFonts w:ascii="Calibri" w:hAnsi="Calibri" w:cs="Calibri"/>
                <w:b/>
                <w:bCs/>
                <w:color w:val="000000"/>
                <w:sz w:val="22"/>
                <w:szCs w:val="22"/>
              </w:rPr>
            </w:pPr>
            <w:r>
              <w:rPr>
                <w:rFonts w:ascii="Calibri" w:hAnsi="Calibri" w:cs="Calibri"/>
                <w:b/>
                <w:bCs/>
                <w:color w:val="000000"/>
                <w:sz w:val="22"/>
                <w:szCs w:val="22"/>
              </w:rPr>
              <w:t>South African IB Money Market</w:t>
            </w:r>
          </w:p>
        </w:tc>
        <w:tc>
          <w:tcPr>
            <w:tcW w:w="484"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22</w:t>
            </w:r>
          </w:p>
        </w:tc>
        <w:tc>
          <w:tcPr>
            <w:tcW w:w="646"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6.20%</w:t>
            </w: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5.41%</w:t>
            </w: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5.60%</w:t>
            </w: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7.30%</w:t>
            </w:r>
          </w:p>
        </w:tc>
      </w:tr>
      <w:tr w:rsidR="00331D3B" w:rsidTr="00331D3B">
        <w:trPr>
          <w:trHeight w:val="300"/>
        </w:trPr>
        <w:tc>
          <w:tcPr>
            <w:tcW w:w="1950" w:type="pct"/>
            <w:tcBorders>
              <w:top w:val="nil"/>
              <w:left w:val="single" w:sz="4" w:space="0" w:color="auto"/>
              <w:bottom w:val="single" w:sz="4" w:space="0" w:color="auto"/>
              <w:right w:val="single" w:sz="4" w:space="0" w:color="auto"/>
            </w:tcBorders>
            <w:shd w:val="clear" w:color="auto" w:fill="auto"/>
            <w:noWrap/>
            <w:tcMar>
              <w:top w:w="15" w:type="dxa"/>
              <w:left w:w="405" w:type="dxa"/>
              <w:bottom w:w="0" w:type="dxa"/>
              <w:right w:w="15" w:type="dxa"/>
            </w:tcMar>
            <w:vAlign w:val="center"/>
            <w:hideMark/>
          </w:tcPr>
          <w:p w:rsidR="00331D3B" w:rsidRDefault="00331D3B" w:rsidP="00331D3B">
            <w:pPr>
              <w:spacing w:line="240" w:lineRule="auto"/>
              <w:ind w:firstLineChars="300" w:firstLine="660"/>
              <w:contextualSpacing/>
              <w:jc w:val="left"/>
              <w:rPr>
                <w:rFonts w:ascii="Calibri" w:hAnsi="Calibri" w:cs="Calibri"/>
                <w:color w:val="000000"/>
                <w:sz w:val="22"/>
                <w:szCs w:val="22"/>
              </w:rPr>
            </w:pPr>
            <w:r>
              <w:rPr>
                <w:rFonts w:ascii="Calibri" w:hAnsi="Calibri" w:cs="Calibri"/>
                <w:color w:val="000000"/>
                <w:sz w:val="22"/>
                <w:szCs w:val="22"/>
              </w:rPr>
              <w:t>Female</w:t>
            </w:r>
          </w:p>
        </w:tc>
        <w:tc>
          <w:tcPr>
            <w:tcW w:w="48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4</w:t>
            </w:r>
          </w:p>
        </w:tc>
        <w:tc>
          <w:tcPr>
            <w:tcW w:w="64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18.18%</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6.01%</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5.48%</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5.59%</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7.36%</w:t>
            </w:r>
          </w:p>
        </w:tc>
      </w:tr>
      <w:tr w:rsidR="00331D3B" w:rsidTr="00331D3B">
        <w:trPr>
          <w:trHeight w:val="300"/>
        </w:trPr>
        <w:tc>
          <w:tcPr>
            <w:tcW w:w="1950" w:type="pct"/>
            <w:tcBorders>
              <w:top w:val="nil"/>
              <w:left w:val="single" w:sz="4" w:space="0" w:color="auto"/>
              <w:bottom w:val="single" w:sz="4" w:space="0" w:color="auto"/>
              <w:right w:val="single" w:sz="4" w:space="0" w:color="auto"/>
            </w:tcBorders>
            <w:shd w:val="clear" w:color="auto" w:fill="auto"/>
            <w:noWrap/>
            <w:tcMar>
              <w:top w:w="15" w:type="dxa"/>
              <w:left w:w="405" w:type="dxa"/>
              <w:bottom w:w="0" w:type="dxa"/>
              <w:right w:w="15" w:type="dxa"/>
            </w:tcMar>
            <w:vAlign w:val="center"/>
            <w:hideMark/>
          </w:tcPr>
          <w:p w:rsidR="00331D3B" w:rsidRDefault="00331D3B" w:rsidP="00331D3B">
            <w:pPr>
              <w:spacing w:line="240" w:lineRule="auto"/>
              <w:ind w:firstLineChars="300" w:firstLine="660"/>
              <w:contextualSpacing/>
              <w:jc w:val="left"/>
              <w:rPr>
                <w:rFonts w:ascii="Calibri" w:hAnsi="Calibri" w:cs="Calibri"/>
                <w:color w:val="000000"/>
                <w:sz w:val="22"/>
                <w:szCs w:val="22"/>
              </w:rPr>
            </w:pPr>
            <w:r>
              <w:rPr>
                <w:rFonts w:ascii="Calibri" w:hAnsi="Calibri" w:cs="Calibri"/>
                <w:color w:val="000000"/>
                <w:sz w:val="22"/>
                <w:szCs w:val="22"/>
              </w:rPr>
              <w:t>Male</w:t>
            </w:r>
          </w:p>
        </w:tc>
        <w:tc>
          <w:tcPr>
            <w:tcW w:w="48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18</w:t>
            </w:r>
          </w:p>
        </w:tc>
        <w:tc>
          <w:tcPr>
            <w:tcW w:w="64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81.82%</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6.25%</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5.39%</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5.61%</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7.28%</w:t>
            </w:r>
          </w:p>
        </w:tc>
      </w:tr>
      <w:tr w:rsidR="00331D3B" w:rsidTr="00331D3B">
        <w:trPr>
          <w:trHeight w:val="300"/>
        </w:trPr>
        <w:tc>
          <w:tcPr>
            <w:tcW w:w="1950" w:type="pct"/>
            <w:tcBorders>
              <w:top w:val="nil"/>
              <w:left w:val="single" w:sz="4" w:space="0" w:color="auto"/>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left"/>
              <w:rPr>
                <w:rFonts w:ascii="Calibri" w:hAnsi="Calibri" w:cs="Calibri"/>
                <w:b/>
                <w:bCs/>
                <w:color w:val="000000"/>
                <w:sz w:val="22"/>
                <w:szCs w:val="22"/>
              </w:rPr>
            </w:pPr>
            <w:r>
              <w:rPr>
                <w:rFonts w:ascii="Calibri" w:hAnsi="Calibri" w:cs="Calibri"/>
                <w:b/>
                <w:bCs/>
                <w:color w:val="000000"/>
                <w:sz w:val="22"/>
                <w:szCs w:val="22"/>
              </w:rPr>
              <w:t>South African EQ Mid/Small Cap</w:t>
            </w:r>
          </w:p>
        </w:tc>
        <w:tc>
          <w:tcPr>
            <w:tcW w:w="484"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6</w:t>
            </w:r>
          </w:p>
        </w:tc>
        <w:tc>
          <w:tcPr>
            <w:tcW w:w="646"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9.39%</w:t>
            </w: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14.30%</w:t>
            </w: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20.71%</w:t>
            </w: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p>
        </w:tc>
      </w:tr>
      <w:tr w:rsidR="00331D3B" w:rsidTr="00331D3B">
        <w:trPr>
          <w:trHeight w:val="300"/>
        </w:trPr>
        <w:tc>
          <w:tcPr>
            <w:tcW w:w="1950" w:type="pct"/>
            <w:tcBorders>
              <w:top w:val="nil"/>
              <w:left w:val="single" w:sz="4" w:space="0" w:color="auto"/>
              <w:bottom w:val="single" w:sz="4" w:space="0" w:color="auto"/>
              <w:right w:val="single" w:sz="4" w:space="0" w:color="auto"/>
            </w:tcBorders>
            <w:shd w:val="clear" w:color="auto" w:fill="auto"/>
            <w:noWrap/>
            <w:tcMar>
              <w:top w:w="15" w:type="dxa"/>
              <w:left w:w="405" w:type="dxa"/>
              <w:bottom w:w="0" w:type="dxa"/>
              <w:right w:w="15" w:type="dxa"/>
            </w:tcMar>
            <w:vAlign w:val="center"/>
            <w:hideMark/>
          </w:tcPr>
          <w:p w:rsidR="00331D3B" w:rsidRDefault="00331D3B" w:rsidP="00331D3B">
            <w:pPr>
              <w:spacing w:line="240" w:lineRule="auto"/>
              <w:ind w:firstLineChars="300" w:firstLine="660"/>
              <w:contextualSpacing/>
              <w:jc w:val="left"/>
              <w:rPr>
                <w:rFonts w:ascii="Calibri" w:hAnsi="Calibri" w:cs="Calibri"/>
                <w:color w:val="000000"/>
                <w:sz w:val="22"/>
                <w:szCs w:val="22"/>
              </w:rPr>
            </w:pPr>
            <w:r>
              <w:rPr>
                <w:rFonts w:ascii="Calibri" w:hAnsi="Calibri" w:cs="Calibri"/>
                <w:color w:val="000000"/>
                <w:sz w:val="22"/>
                <w:szCs w:val="22"/>
              </w:rPr>
              <w:t>Female</w:t>
            </w:r>
          </w:p>
        </w:tc>
        <w:tc>
          <w:tcPr>
            <w:tcW w:w="48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w:t>
            </w:r>
          </w:p>
        </w:tc>
        <w:tc>
          <w:tcPr>
            <w:tcW w:w="64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16.67%</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13.08%</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17.98%</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p>
        </w:tc>
      </w:tr>
      <w:tr w:rsidR="00331D3B" w:rsidTr="00331D3B">
        <w:trPr>
          <w:trHeight w:val="300"/>
        </w:trPr>
        <w:tc>
          <w:tcPr>
            <w:tcW w:w="1950" w:type="pct"/>
            <w:tcBorders>
              <w:top w:val="nil"/>
              <w:left w:val="single" w:sz="4" w:space="0" w:color="auto"/>
              <w:bottom w:val="single" w:sz="4" w:space="0" w:color="auto"/>
              <w:right w:val="single" w:sz="4" w:space="0" w:color="auto"/>
            </w:tcBorders>
            <w:shd w:val="clear" w:color="auto" w:fill="auto"/>
            <w:noWrap/>
            <w:tcMar>
              <w:top w:w="15" w:type="dxa"/>
              <w:left w:w="405" w:type="dxa"/>
              <w:bottom w:w="0" w:type="dxa"/>
              <w:right w:w="15" w:type="dxa"/>
            </w:tcMar>
            <w:vAlign w:val="center"/>
            <w:hideMark/>
          </w:tcPr>
          <w:p w:rsidR="00331D3B" w:rsidRDefault="00331D3B" w:rsidP="00331D3B">
            <w:pPr>
              <w:spacing w:line="240" w:lineRule="auto"/>
              <w:ind w:firstLineChars="300" w:firstLine="660"/>
              <w:contextualSpacing/>
              <w:jc w:val="left"/>
              <w:rPr>
                <w:rFonts w:ascii="Calibri" w:hAnsi="Calibri" w:cs="Calibri"/>
                <w:color w:val="000000"/>
                <w:sz w:val="22"/>
                <w:szCs w:val="22"/>
              </w:rPr>
            </w:pPr>
            <w:r>
              <w:rPr>
                <w:rFonts w:ascii="Calibri" w:hAnsi="Calibri" w:cs="Calibri"/>
                <w:color w:val="000000"/>
                <w:sz w:val="22"/>
                <w:szCs w:val="22"/>
              </w:rPr>
              <w:t>Male</w:t>
            </w:r>
          </w:p>
        </w:tc>
        <w:tc>
          <w:tcPr>
            <w:tcW w:w="48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5</w:t>
            </w:r>
          </w:p>
        </w:tc>
        <w:tc>
          <w:tcPr>
            <w:tcW w:w="64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83.33%</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8.15%</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13.07%</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20.71%</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p>
        </w:tc>
      </w:tr>
      <w:tr w:rsidR="00331D3B" w:rsidTr="00331D3B">
        <w:trPr>
          <w:trHeight w:val="300"/>
        </w:trPr>
        <w:tc>
          <w:tcPr>
            <w:tcW w:w="1950" w:type="pct"/>
            <w:tcBorders>
              <w:top w:val="nil"/>
              <w:left w:val="single" w:sz="4" w:space="0" w:color="auto"/>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left"/>
              <w:rPr>
                <w:rFonts w:ascii="Calibri" w:hAnsi="Calibri" w:cs="Calibri"/>
                <w:b/>
                <w:bCs/>
                <w:color w:val="000000"/>
                <w:sz w:val="22"/>
                <w:szCs w:val="22"/>
              </w:rPr>
            </w:pPr>
            <w:r>
              <w:rPr>
                <w:rFonts w:ascii="Calibri" w:hAnsi="Calibri" w:cs="Calibri"/>
                <w:b/>
                <w:bCs/>
                <w:color w:val="000000"/>
                <w:sz w:val="22"/>
                <w:szCs w:val="22"/>
              </w:rPr>
              <w:t>Regional EQ General</w:t>
            </w:r>
          </w:p>
        </w:tc>
        <w:tc>
          <w:tcPr>
            <w:tcW w:w="484"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8</w:t>
            </w:r>
          </w:p>
        </w:tc>
        <w:tc>
          <w:tcPr>
            <w:tcW w:w="646"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6.95%</w:t>
            </w: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23.52%</w:t>
            </w: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16.30%</w:t>
            </w: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9.03%</w:t>
            </w:r>
          </w:p>
        </w:tc>
      </w:tr>
      <w:tr w:rsidR="00331D3B" w:rsidTr="00331D3B">
        <w:trPr>
          <w:trHeight w:val="300"/>
        </w:trPr>
        <w:tc>
          <w:tcPr>
            <w:tcW w:w="1950" w:type="pct"/>
            <w:tcBorders>
              <w:top w:val="nil"/>
              <w:left w:val="single" w:sz="4" w:space="0" w:color="auto"/>
              <w:bottom w:val="single" w:sz="4" w:space="0" w:color="auto"/>
              <w:right w:val="single" w:sz="4" w:space="0" w:color="auto"/>
            </w:tcBorders>
            <w:shd w:val="clear" w:color="auto" w:fill="auto"/>
            <w:noWrap/>
            <w:tcMar>
              <w:top w:w="15" w:type="dxa"/>
              <w:left w:w="405" w:type="dxa"/>
              <w:bottom w:w="0" w:type="dxa"/>
              <w:right w:w="15" w:type="dxa"/>
            </w:tcMar>
            <w:vAlign w:val="center"/>
            <w:hideMark/>
          </w:tcPr>
          <w:p w:rsidR="00331D3B" w:rsidRDefault="00331D3B" w:rsidP="00331D3B">
            <w:pPr>
              <w:spacing w:line="240" w:lineRule="auto"/>
              <w:ind w:firstLineChars="300" w:firstLine="660"/>
              <w:contextualSpacing/>
              <w:jc w:val="left"/>
              <w:rPr>
                <w:rFonts w:ascii="Calibri" w:hAnsi="Calibri" w:cs="Calibri"/>
                <w:color w:val="000000"/>
                <w:sz w:val="22"/>
                <w:szCs w:val="22"/>
              </w:rPr>
            </w:pPr>
            <w:r>
              <w:rPr>
                <w:rFonts w:ascii="Calibri" w:hAnsi="Calibri" w:cs="Calibri"/>
                <w:color w:val="000000"/>
                <w:sz w:val="22"/>
                <w:szCs w:val="22"/>
              </w:rPr>
              <w:t>Female</w:t>
            </w:r>
          </w:p>
        </w:tc>
        <w:tc>
          <w:tcPr>
            <w:tcW w:w="48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w:t>
            </w:r>
          </w:p>
        </w:tc>
        <w:tc>
          <w:tcPr>
            <w:tcW w:w="64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12.50%</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2.08%</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p>
        </w:tc>
      </w:tr>
      <w:tr w:rsidR="00331D3B" w:rsidTr="00331D3B">
        <w:trPr>
          <w:trHeight w:val="300"/>
        </w:trPr>
        <w:tc>
          <w:tcPr>
            <w:tcW w:w="1950" w:type="pct"/>
            <w:tcBorders>
              <w:top w:val="nil"/>
              <w:left w:val="single" w:sz="4" w:space="0" w:color="auto"/>
              <w:bottom w:val="single" w:sz="4" w:space="0" w:color="auto"/>
              <w:right w:val="single" w:sz="4" w:space="0" w:color="auto"/>
            </w:tcBorders>
            <w:shd w:val="clear" w:color="auto" w:fill="auto"/>
            <w:noWrap/>
            <w:tcMar>
              <w:top w:w="15" w:type="dxa"/>
              <w:left w:w="405" w:type="dxa"/>
              <w:bottom w:w="0" w:type="dxa"/>
              <w:right w:w="15" w:type="dxa"/>
            </w:tcMar>
            <w:vAlign w:val="center"/>
            <w:hideMark/>
          </w:tcPr>
          <w:p w:rsidR="00331D3B" w:rsidRDefault="00331D3B" w:rsidP="00331D3B">
            <w:pPr>
              <w:spacing w:line="240" w:lineRule="auto"/>
              <w:ind w:firstLineChars="300" w:firstLine="660"/>
              <w:contextualSpacing/>
              <w:jc w:val="left"/>
              <w:rPr>
                <w:rFonts w:ascii="Calibri" w:hAnsi="Calibri" w:cs="Calibri"/>
                <w:color w:val="000000"/>
                <w:sz w:val="22"/>
                <w:szCs w:val="22"/>
              </w:rPr>
            </w:pPr>
            <w:r>
              <w:rPr>
                <w:rFonts w:ascii="Calibri" w:hAnsi="Calibri" w:cs="Calibri"/>
                <w:color w:val="000000"/>
                <w:sz w:val="22"/>
                <w:szCs w:val="22"/>
              </w:rPr>
              <w:t>Male</w:t>
            </w:r>
          </w:p>
        </w:tc>
        <w:tc>
          <w:tcPr>
            <w:tcW w:w="48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7</w:t>
            </w:r>
          </w:p>
        </w:tc>
        <w:tc>
          <w:tcPr>
            <w:tcW w:w="64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87.50%</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7.65%</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23.52%</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16.30%</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9.03%</w:t>
            </w:r>
          </w:p>
        </w:tc>
      </w:tr>
      <w:tr w:rsidR="00331D3B" w:rsidTr="00331D3B">
        <w:trPr>
          <w:trHeight w:val="300"/>
        </w:trPr>
        <w:tc>
          <w:tcPr>
            <w:tcW w:w="1950" w:type="pct"/>
            <w:tcBorders>
              <w:top w:val="nil"/>
              <w:left w:val="single" w:sz="4" w:space="0" w:color="auto"/>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left"/>
              <w:rPr>
                <w:rFonts w:ascii="Calibri" w:hAnsi="Calibri" w:cs="Calibri"/>
                <w:b/>
                <w:bCs/>
                <w:color w:val="000000"/>
                <w:sz w:val="22"/>
                <w:szCs w:val="22"/>
              </w:rPr>
            </w:pPr>
            <w:r>
              <w:rPr>
                <w:rFonts w:ascii="Calibri" w:hAnsi="Calibri" w:cs="Calibri"/>
                <w:b/>
                <w:bCs/>
                <w:color w:val="000000"/>
                <w:sz w:val="22"/>
                <w:szCs w:val="22"/>
              </w:rPr>
              <w:t>South African MA Medium Equity</w:t>
            </w:r>
          </w:p>
        </w:tc>
        <w:tc>
          <w:tcPr>
            <w:tcW w:w="484"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46</w:t>
            </w:r>
          </w:p>
        </w:tc>
        <w:tc>
          <w:tcPr>
            <w:tcW w:w="646"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7.05%</w:t>
            </w: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13.25%</w:t>
            </w: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11.48%</w:t>
            </w: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10.49%</w:t>
            </w:r>
          </w:p>
        </w:tc>
      </w:tr>
      <w:tr w:rsidR="00331D3B" w:rsidTr="00331D3B">
        <w:trPr>
          <w:trHeight w:val="300"/>
        </w:trPr>
        <w:tc>
          <w:tcPr>
            <w:tcW w:w="1950" w:type="pct"/>
            <w:tcBorders>
              <w:top w:val="nil"/>
              <w:left w:val="single" w:sz="4" w:space="0" w:color="auto"/>
              <w:bottom w:val="single" w:sz="4" w:space="0" w:color="auto"/>
              <w:right w:val="single" w:sz="4" w:space="0" w:color="auto"/>
            </w:tcBorders>
            <w:shd w:val="clear" w:color="auto" w:fill="auto"/>
            <w:noWrap/>
            <w:tcMar>
              <w:top w:w="15" w:type="dxa"/>
              <w:left w:w="405" w:type="dxa"/>
              <w:bottom w:w="0" w:type="dxa"/>
              <w:right w:w="15" w:type="dxa"/>
            </w:tcMar>
            <w:vAlign w:val="center"/>
            <w:hideMark/>
          </w:tcPr>
          <w:p w:rsidR="00331D3B" w:rsidRDefault="00331D3B" w:rsidP="00331D3B">
            <w:pPr>
              <w:spacing w:line="240" w:lineRule="auto"/>
              <w:ind w:firstLineChars="300" w:firstLine="660"/>
              <w:contextualSpacing/>
              <w:jc w:val="left"/>
              <w:rPr>
                <w:rFonts w:ascii="Calibri" w:hAnsi="Calibri" w:cs="Calibri"/>
                <w:color w:val="000000"/>
                <w:sz w:val="22"/>
                <w:szCs w:val="22"/>
              </w:rPr>
            </w:pPr>
            <w:r>
              <w:rPr>
                <w:rFonts w:ascii="Calibri" w:hAnsi="Calibri" w:cs="Calibri"/>
                <w:color w:val="000000"/>
                <w:sz w:val="22"/>
                <w:szCs w:val="22"/>
              </w:rPr>
              <w:t>Female</w:t>
            </w:r>
          </w:p>
        </w:tc>
        <w:tc>
          <w:tcPr>
            <w:tcW w:w="48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5</w:t>
            </w:r>
          </w:p>
        </w:tc>
        <w:tc>
          <w:tcPr>
            <w:tcW w:w="64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10.87%</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6.43%</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11.68%</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9.35%</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8.75%</w:t>
            </w:r>
          </w:p>
        </w:tc>
      </w:tr>
      <w:tr w:rsidR="00331D3B" w:rsidTr="00331D3B">
        <w:trPr>
          <w:trHeight w:val="300"/>
        </w:trPr>
        <w:tc>
          <w:tcPr>
            <w:tcW w:w="1950" w:type="pct"/>
            <w:tcBorders>
              <w:top w:val="nil"/>
              <w:left w:val="single" w:sz="4" w:space="0" w:color="auto"/>
              <w:bottom w:val="single" w:sz="4" w:space="0" w:color="auto"/>
              <w:right w:val="single" w:sz="4" w:space="0" w:color="auto"/>
            </w:tcBorders>
            <w:shd w:val="clear" w:color="auto" w:fill="auto"/>
            <w:noWrap/>
            <w:tcMar>
              <w:top w:w="15" w:type="dxa"/>
              <w:left w:w="405" w:type="dxa"/>
              <w:bottom w:w="0" w:type="dxa"/>
              <w:right w:w="15" w:type="dxa"/>
            </w:tcMar>
            <w:vAlign w:val="center"/>
            <w:hideMark/>
          </w:tcPr>
          <w:p w:rsidR="00331D3B" w:rsidRDefault="00331D3B" w:rsidP="00331D3B">
            <w:pPr>
              <w:spacing w:line="240" w:lineRule="auto"/>
              <w:ind w:firstLineChars="300" w:firstLine="660"/>
              <w:contextualSpacing/>
              <w:jc w:val="left"/>
              <w:rPr>
                <w:rFonts w:ascii="Calibri" w:hAnsi="Calibri" w:cs="Calibri"/>
                <w:color w:val="000000"/>
                <w:sz w:val="22"/>
                <w:szCs w:val="22"/>
              </w:rPr>
            </w:pPr>
            <w:r>
              <w:rPr>
                <w:rFonts w:ascii="Calibri" w:hAnsi="Calibri" w:cs="Calibri"/>
                <w:color w:val="000000"/>
                <w:sz w:val="22"/>
                <w:szCs w:val="22"/>
              </w:rPr>
              <w:t>Male</w:t>
            </w:r>
          </w:p>
        </w:tc>
        <w:tc>
          <w:tcPr>
            <w:tcW w:w="48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41</w:t>
            </w:r>
          </w:p>
        </w:tc>
        <w:tc>
          <w:tcPr>
            <w:tcW w:w="64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89.13%</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7.14%</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13.60%</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12.06%</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11.08%</w:t>
            </w:r>
          </w:p>
        </w:tc>
      </w:tr>
      <w:tr w:rsidR="00331D3B" w:rsidTr="00331D3B">
        <w:trPr>
          <w:trHeight w:val="300"/>
        </w:trPr>
        <w:tc>
          <w:tcPr>
            <w:tcW w:w="1950" w:type="pct"/>
            <w:tcBorders>
              <w:top w:val="nil"/>
              <w:left w:val="single" w:sz="4" w:space="0" w:color="auto"/>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left"/>
              <w:rPr>
                <w:rFonts w:ascii="Calibri" w:hAnsi="Calibri" w:cs="Calibri"/>
                <w:b/>
                <w:bCs/>
                <w:color w:val="000000"/>
                <w:sz w:val="22"/>
                <w:szCs w:val="22"/>
              </w:rPr>
            </w:pPr>
            <w:r>
              <w:rPr>
                <w:rFonts w:ascii="Calibri" w:hAnsi="Calibri" w:cs="Calibri"/>
                <w:b/>
                <w:bCs/>
                <w:color w:val="000000"/>
                <w:sz w:val="22"/>
                <w:szCs w:val="22"/>
              </w:rPr>
              <w:t>Wwide MA Flexible</w:t>
            </w:r>
          </w:p>
        </w:tc>
        <w:tc>
          <w:tcPr>
            <w:tcW w:w="484"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28</w:t>
            </w:r>
          </w:p>
        </w:tc>
        <w:tc>
          <w:tcPr>
            <w:tcW w:w="646"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10.91%</w:t>
            </w: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19.44%</w:t>
            </w: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15.94%</w:t>
            </w: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15.38%</w:t>
            </w:r>
          </w:p>
        </w:tc>
      </w:tr>
      <w:tr w:rsidR="00331D3B" w:rsidTr="00331D3B">
        <w:trPr>
          <w:trHeight w:val="300"/>
        </w:trPr>
        <w:tc>
          <w:tcPr>
            <w:tcW w:w="1950" w:type="pct"/>
            <w:tcBorders>
              <w:top w:val="nil"/>
              <w:left w:val="single" w:sz="4" w:space="0" w:color="auto"/>
              <w:bottom w:val="single" w:sz="4" w:space="0" w:color="auto"/>
              <w:right w:val="single" w:sz="4" w:space="0" w:color="auto"/>
            </w:tcBorders>
            <w:shd w:val="clear" w:color="auto" w:fill="auto"/>
            <w:noWrap/>
            <w:tcMar>
              <w:top w:w="15" w:type="dxa"/>
              <w:left w:w="405" w:type="dxa"/>
              <w:bottom w:w="0" w:type="dxa"/>
              <w:right w:w="15" w:type="dxa"/>
            </w:tcMar>
            <w:vAlign w:val="center"/>
            <w:hideMark/>
          </w:tcPr>
          <w:p w:rsidR="00331D3B" w:rsidRDefault="00331D3B" w:rsidP="00331D3B">
            <w:pPr>
              <w:spacing w:line="240" w:lineRule="auto"/>
              <w:ind w:firstLineChars="300" w:firstLine="660"/>
              <w:contextualSpacing/>
              <w:jc w:val="left"/>
              <w:rPr>
                <w:rFonts w:ascii="Calibri" w:hAnsi="Calibri" w:cs="Calibri"/>
                <w:color w:val="000000"/>
                <w:sz w:val="22"/>
                <w:szCs w:val="22"/>
              </w:rPr>
            </w:pPr>
            <w:r>
              <w:rPr>
                <w:rFonts w:ascii="Calibri" w:hAnsi="Calibri" w:cs="Calibri"/>
                <w:color w:val="000000"/>
                <w:sz w:val="22"/>
                <w:szCs w:val="22"/>
              </w:rPr>
              <w:t>Female</w:t>
            </w:r>
          </w:p>
        </w:tc>
        <w:tc>
          <w:tcPr>
            <w:tcW w:w="48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3</w:t>
            </w:r>
          </w:p>
        </w:tc>
        <w:tc>
          <w:tcPr>
            <w:tcW w:w="64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10.71%</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12.62%</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24.97%</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18.57%</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20.28%</w:t>
            </w:r>
          </w:p>
        </w:tc>
      </w:tr>
      <w:tr w:rsidR="00331D3B" w:rsidTr="00331D3B">
        <w:trPr>
          <w:trHeight w:val="300"/>
        </w:trPr>
        <w:tc>
          <w:tcPr>
            <w:tcW w:w="1950" w:type="pct"/>
            <w:tcBorders>
              <w:top w:val="nil"/>
              <w:left w:val="single" w:sz="4" w:space="0" w:color="auto"/>
              <w:bottom w:val="single" w:sz="4" w:space="0" w:color="auto"/>
              <w:right w:val="single" w:sz="4" w:space="0" w:color="auto"/>
            </w:tcBorders>
            <w:shd w:val="clear" w:color="auto" w:fill="auto"/>
            <w:noWrap/>
            <w:tcMar>
              <w:top w:w="15" w:type="dxa"/>
              <w:left w:w="405" w:type="dxa"/>
              <w:bottom w:w="0" w:type="dxa"/>
              <w:right w:w="15" w:type="dxa"/>
            </w:tcMar>
            <w:vAlign w:val="center"/>
            <w:hideMark/>
          </w:tcPr>
          <w:p w:rsidR="00331D3B" w:rsidRDefault="00331D3B" w:rsidP="00331D3B">
            <w:pPr>
              <w:spacing w:line="240" w:lineRule="auto"/>
              <w:ind w:firstLineChars="300" w:firstLine="660"/>
              <w:contextualSpacing/>
              <w:jc w:val="left"/>
              <w:rPr>
                <w:rFonts w:ascii="Calibri" w:hAnsi="Calibri" w:cs="Calibri"/>
                <w:color w:val="000000"/>
                <w:sz w:val="22"/>
                <w:szCs w:val="22"/>
              </w:rPr>
            </w:pPr>
            <w:r>
              <w:rPr>
                <w:rFonts w:ascii="Calibri" w:hAnsi="Calibri" w:cs="Calibri"/>
                <w:color w:val="000000"/>
                <w:sz w:val="22"/>
                <w:szCs w:val="22"/>
              </w:rPr>
              <w:t>Male</w:t>
            </w:r>
          </w:p>
        </w:tc>
        <w:tc>
          <w:tcPr>
            <w:tcW w:w="48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25</w:t>
            </w:r>
          </w:p>
        </w:tc>
        <w:tc>
          <w:tcPr>
            <w:tcW w:w="64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89.29%</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10.65%</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17.78%</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14.96%</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13.75%</w:t>
            </w:r>
          </w:p>
        </w:tc>
      </w:tr>
      <w:tr w:rsidR="00331D3B" w:rsidTr="00331D3B">
        <w:trPr>
          <w:trHeight w:val="300"/>
        </w:trPr>
        <w:tc>
          <w:tcPr>
            <w:tcW w:w="1950" w:type="pct"/>
            <w:tcBorders>
              <w:top w:val="nil"/>
              <w:left w:val="single" w:sz="4" w:space="0" w:color="auto"/>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left"/>
              <w:rPr>
                <w:rFonts w:ascii="Calibri" w:hAnsi="Calibri" w:cs="Calibri"/>
                <w:b/>
                <w:bCs/>
                <w:color w:val="000000"/>
                <w:sz w:val="22"/>
                <w:szCs w:val="22"/>
              </w:rPr>
            </w:pPr>
            <w:r>
              <w:rPr>
                <w:rFonts w:ascii="Calibri" w:hAnsi="Calibri" w:cs="Calibri"/>
                <w:b/>
                <w:bCs/>
                <w:color w:val="000000"/>
                <w:sz w:val="22"/>
                <w:szCs w:val="22"/>
              </w:rPr>
              <w:t>Global EQ General</w:t>
            </w:r>
          </w:p>
        </w:tc>
        <w:tc>
          <w:tcPr>
            <w:tcW w:w="484"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29</w:t>
            </w:r>
          </w:p>
        </w:tc>
        <w:tc>
          <w:tcPr>
            <w:tcW w:w="646"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12.47%</w:t>
            </w: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27.80%</w:t>
            </w: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20.94%</w:t>
            </w: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11.53%</w:t>
            </w:r>
          </w:p>
        </w:tc>
      </w:tr>
      <w:tr w:rsidR="00331D3B" w:rsidTr="00331D3B">
        <w:trPr>
          <w:trHeight w:val="300"/>
        </w:trPr>
        <w:tc>
          <w:tcPr>
            <w:tcW w:w="1950" w:type="pct"/>
            <w:tcBorders>
              <w:top w:val="nil"/>
              <w:left w:val="single" w:sz="4" w:space="0" w:color="auto"/>
              <w:bottom w:val="single" w:sz="4" w:space="0" w:color="auto"/>
              <w:right w:val="single" w:sz="4" w:space="0" w:color="auto"/>
            </w:tcBorders>
            <w:shd w:val="clear" w:color="auto" w:fill="auto"/>
            <w:noWrap/>
            <w:tcMar>
              <w:top w:w="15" w:type="dxa"/>
              <w:left w:w="405" w:type="dxa"/>
              <w:bottom w:w="0" w:type="dxa"/>
              <w:right w:w="15" w:type="dxa"/>
            </w:tcMar>
            <w:vAlign w:val="center"/>
            <w:hideMark/>
          </w:tcPr>
          <w:p w:rsidR="00331D3B" w:rsidRDefault="00331D3B" w:rsidP="00331D3B">
            <w:pPr>
              <w:spacing w:line="240" w:lineRule="auto"/>
              <w:ind w:firstLineChars="300" w:firstLine="660"/>
              <w:contextualSpacing/>
              <w:jc w:val="left"/>
              <w:rPr>
                <w:rFonts w:ascii="Calibri" w:hAnsi="Calibri" w:cs="Calibri"/>
                <w:color w:val="000000"/>
                <w:sz w:val="22"/>
                <w:szCs w:val="22"/>
              </w:rPr>
            </w:pPr>
            <w:r>
              <w:rPr>
                <w:rFonts w:ascii="Calibri" w:hAnsi="Calibri" w:cs="Calibri"/>
                <w:color w:val="000000"/>
                <w:sz w:val="22"/>
                <w:szCs w:val="22"/>
              </w:rPr>
              <w:t>Female</w:t>
            </w:r>
          </w:p>
        </w:tc>
        <w:tc>
          <w:tcPr>
            <w:tcW w:w="48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3</w:t>
            </w:r>
          </w:p>
        </w:tc>
        <w:tc>
          <w:tcPr>
            <w:tcW w:w="64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10.34%</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10.02%</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27.17%</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p>
        </w:tc>
      </w:tr>
      <w:tr w:rsidR="00331D3B" w:rsidTr="00331D3B">
        <w:trPr>
          <w:trHeight w:val="300"/>
        </w:trPr>
        <w:tc>
          <w:tcPr>
            <w:tcW w:w="1950" w:type="pct"/>
            <w:tcBorders>
              <w:top w:val="nil"/>
              <w:left w:val="single" w:sz="4" w:space="0" w:color="auto"/>
              <w:bottom w:val="single" w:sz="4" w:space="0" w:color="auto"/>
              <w:right w:val="single" w:sz="4" w:space="0" w:color="auto"/>
            </w:tcBorders>
            <w:shd w:val="clear" w:color="auto" w:fill="auto"/>
            <w:noWrap/>
            <w:tcMar>
              <w:top w:w="15" w:type="dxa"/>
              <w:left w:w="405" w:type="dxa"/>
              <w:bottom w:w="0" w:type="dxa"/>
              <w:right w:w="15" w:type="dxa"/>
            </w:tcMar>
            <w:vAlign w:val="center"/>
            <w:hideMark/>
          </w:tcPr>
          <w:p w:rsidR="00331D3B" w:rsidRDefault="00331D3B" w:rsidP="00331D3B">
            <w:pPr>
              <w:spacing w:line="240" w:lineRule="auto"/>
              <w:ind w:firstLineChars="300" w:firstLine="660"/>
              <w:contextualSpacing/>
              <w:jc w:val="left"/>
              <w:rPr>
                <w:rFonts w:ascii="Calibri" w:hAnsi="Calibri" w:cs="Calibri"/>
                <w:color w:val="000000"/>
                <w:sz w:val="22"/>
                <w:szCs w:val="22"/>
              </w:rPr>
            </w:pPr>
            <w:r>
              <w:rPr>
                <w:rFonts w:ascii="Calibri" w:hAnsi="Calibri" w:cs="Calibri"/>
                <w:color w:val="000000"/>
                <w:sz w:val="22"/>
                <w:szCs w:val="22"/>
              </w:rPr>
              <w:t>Male</w:t>
            </w:r>
          </w:p>
        </w:tc>
        <w:tc>
          <w:tcPr>
            <w:tcW w:w="48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26</w:t>
            </w:r>
          </w:p>
        </w:tc>
        <w:tc>
          <w:tcPr>
            <w:tcW w:w="64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89.66%</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12.77%</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27.84%</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20.94%</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11.53%</w:t>
            </w:r>
          </w:p>
        </w:tc>
      </w:tr>
      <w:tr w:rsidR="00331D3B" w:rsidTr="00331D3B">
        <w:trPr>
          <w:trHeight w:val="300"/>
        </w:trPr>
        <w:tc>
          <w:tcPr>
            <w:tcW w:w="1950" w:type="pct"/>
            <w:tcBorders>
              <w:top w:val="nil"/>
              <w:left w:val="single" w:sz="4" w:space="0" w:color="auto"/>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left"/>
              <w:rPr>
                <w:rFonts w:ascii="Calibri" w:hAnsi="Calibri" w:cs="Calibri"/>
                <w:b/>
                <w:bCs/>
                <w:color w:val="000000"/>
                <w:sz w:val="22"/>
                <w:szCs w:val="22"/>
              </w:rPr>
            </w:pPr>
            <w:r>
              <w:rPr>
                <w:rFonts w:ascii="Calibri" w:hAnsi="Calibri" w:cs="Calibri"/>
                <w:b/>
                <w:bCs/>
                <w:color w:val="000000"/>
                <w:sz w:val="22"/>
                <w:szCs w:val="22"/>
              </w:rPr>
              <w:t>South African MA High Equity</w:t>
            </w:r>
          </w:p>
        </w:tc>
        <w:tc>
          <w:tcPr>
            <w:tcW w:w="484"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102</w:t>
            </w:r>
          </w:p>
        </w:tc>
        <w:tc>
          <w:tcPr>
            <w:tcW w:w="646"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7.03%</w:t>
            </w: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14.37%</w:t>
            </w: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12.63%</w:t>
            </w: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11.44%</w:t>
            </w:r>
          </w:p>
        </w:tc>
      </w:tr>
      <w:tr w:rsidR="00331D3B" w:rsidTr="00331D3B">
        <w:trPr>
          <w:trHeight w:val="300"/>
        </w:trPr>
        <w:tc>
          <w:tcPr>
            <w:tcW w:w="1950" w:type="pct"/>
            <w:tcBorders>
              <w:top w:val="nil"/>
              <w:left w:val="single" w:sz="4" w:space="0" w:color="auto"/>
              <w:bottom w:val="single" w:sz="4" w:space="0" w:color="auto"/>
              <w:right w:val="single" w:sz="4" w:space="0" w:color="auto"/>
            </w:tcBorders>
            <w:shd w:val="clear" w:color="auto" w:fill="auto"/>
            <w:noWrap/>
            <w:tcMar>
              <w:top w:w="15" w:type="dxa"/>
              <w:left w:w="405" w:type="dxa"/>
              <w:bottom w:w="0" w:type="dxa"/>
              <w:right w:w="15" w:type="dxa"/>
            </w:tcMar>
            <w:vAlign w:val="center"/>
            <w:hideMark/>
          </w:tcPr>
          <w:p w:rsidR="00331D3B" w:rsidRDefault="00331D3B" w:rsidP="00331D3B">
            <w:pPr>
              <w:spacing w:line="240" w:lineRule="auto"/>
              <w:ind w:firstLineChars="300" w:firstLine="660"/>
              <w:contextualSpacing/>
              <w:jc w:val="left"/>
              <w:rPr>
                <w:rFonts w:ascii="Calibri" w:hAnsi="Calibri" w:cs="Calibri"/>
                <w:color w:val="000000"/>
                <w:sz w:val="22"/>
                <w:szCs w:val="22"/>
              </w:rPr>
            </w:pPr>
            <w:r>
              <w:rPr>
                <w:rFonts w:ascii="Calibri" w:hAnsi="Calibri" w:cs="Calibri"/>
                <w:color w:val="000000"/>
                <w:sz w:val="22"/>
                <w:szCs w:val="22"/>
              </w:rPr>
              <w:t>Female</w:t>
            </w:r>
          </w:p>
        </w:tc>
        <w:tc>
          <w:tcPr>
            <w:tcW w:w="48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10</w:t>
            </w:r>
          </w:p>
        </w:tc>
        <w:tc>
          <w:tcPr>
            <w:tcW w:w="64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9.80%</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7.08%</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14.68%</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11.38%</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p>
        </w:tc>
      </w:tr>
      <w:tr w:rsidR="00331D3B" w:rsidTr="00331D3B">
        <w:trPr>
          <w:trHeight w:val="300"/>
        </w:trPr>
        <w:tc>
          <w:tcPr>
            <w:tcW w:w="1950" w:type="pct"/>
            <w:tcBorders>
              <w:top w:val="nil"/>
              <w:left w:val="single" w:sz="4" w:space="0" w:color="auto"/>
              <w:bottom w:val="single" w:sz="4" w:space="0" w:color="auto"/>
              <w:right w:val="single" w:sz="4" w:space="0" w:color="auto"/>
            </w:tcBorders>
            <w:shd w:val="clear" w:color="auto" w:fill="auto"/>
            <w:noWrap/>
            <w:tcMar>
              <w:top w:w="15" w:type="dxa"/>
              <w:left w:w="405" w:type="dxa"/>
              <w:bottom w:w="0" w:type="dxa"/>
              <w:right w:w="15" w:type="dxa"/>
            </w:tcMar>
            <w:vAlign w:val="center"/>
            <w:hideMark/>
          </w:tcPr>
          <w:p w:rsidR="00331D3B" w:rsidRDefault="00331D3B" w:rsidP="00331D3B">
            <w:pPr>
              <w:spacing w:line="240" w:lineRule="auto"/>
              <w:ind w:firstLineChars="300" w:firstLine="660"/>
              <w:contextualSpacing/>
              <w:jc w:val="left"/>
              <w:rPr>
                <w:rFonts w:ascii="Calibri" w:hAnsi="Calibri" w:cs="Calibri"/>
                <w:color w:val="000000"/>
                <w:sz w:val="22"/>
                <w:szCs w:val="22"/>
              </w:rPr>
            </w:pPr>
            <w:r>
              <w:rPr>
                <w:rFonts w:ascii="Calibri" w:hAnsi="Calibri" w:cs="Calibri"/>
                <w:color w:val="000000"/>
                <w:sz w:val="22"/>
                <w:szCs w:val="22"/>
              </w:rPr>
              <w:t>Male</w:t>
            </w:r>
          </w:p>
        </w:tc>
        <w:tc>
          <w:tcPr>
            <w:tcW w:w="48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92</w:t>
            </w:r>
          </w:p>
        </w:tc>
        <w:tc>
          <w:tcPr>
            <w:tcW w:w="64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90.20%</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7.03%</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14.32%</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12.67%</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11.44%</w:t>
            </w:r>
          </w:p>
        </w:tc>
      </w:tr>
      <w:tr w:rsidR="00331D3B" w:rsidTr="0046753E">
        <w:trPr>
          <w:trHeight w:val="300"/>
        </w:trPr>
        <w:tc>
          <w:tcPr>
            <w:tcW w:w="1950" w:type="pct"/>
            <w:tcBorders>
              <w:top w:val="nil"/>
              <w:left w:val="single" w:sz="4" w:space="0" w:color="auto"/>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left"/>
              <w:rPr>
                <w:rFonts w:ascii="Calibri" w:hAnsi="Calibri" w:cs="Calibri"/>
                <w:b/>
                <w:bCs/>
                <w:color w:val="000000"/>
                <w:sz w:val="22"/>
                <w:szCs w:val="22"/>
              </w:rPr>
            </w:pPr>
            <w:r>
              <w:rPr>
                <w:rFonts w:ascii="Calibri" w:hAnsi="Calibri" w:cs="Calibri"/>
                <w:b/>
                <w:bCs/>
                <w:color w:val="000000"/>
                <w:sz w:val="22"/>
                <w:szCs w:val="22"/>
              </w:rPr>
              <w:t>South African EQ General</w:t>
            </w:r>
          </w:p>
        </w:tc>
        <w:tc>
          <w:tcPr>
            <w:tcW w:w="484"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102</w:t>
            </w:r>
          </w:p>
        </w:tc>
        <w:tc>
          <w:tcPr>
            <w:tcW w:w="646"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5.19%</w:t>
            </w: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15.15%</w:t>
            </w: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14.49%</w:t>
            </w: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14.50%</w:t>
            </w:r>
          </w:p>
        </w:tc>
      </w:tr>
      <w:tr w:rsidR="00331D3B" w:rsidTr="0046753E">
        <w:trPr>
          <w:trHeight w:val="300"/>
        </w:trPr>
        <w:tc>
          <w:tcPr>
            <w:tcW w:w="1950" w:type="pct"/>
            <w:tcBorders>
              <w:top w:val="single" w:sz="4" w:space="0" w:color="auto"/>
              <w:left w:val="single" w:sz="4" w:space="0" w:color="auto"/>
              <w:bottom w:val="single" w:sz="4" w:space="0" w:color="auto"/>
              <w:right w:val="single" w:sz="4" w:space="0" w:color="auto"/>
            </w:tcBorders>
            <w:shd w:val="clear" w:color="auto" w:fill="auto"/>
            <w:noWrap/>
            <w:tcMar>
              <w:top w:w="15" w:type="dxa"/>
              <w:left w:w="405" w:type="dxa"/>
              <w:bottom w:w="0" w:type="dxa"/>
              <w:right w:w="15" w:type="dxa"/>
            </w:tcMar>
            <w:vAlign w:val="center"/>
            <w:hideMark/>
          </w:tcPr>
          <w:p w:rsidR="00331D3B" w:rsidRDefault="00331D3B" w:rsidP="00331D3B">
            <w:pPr>
              <w:spacing w:line="240" w:lineRule="auto"/>
              <w:ind w:firstLineChars="300" w:firstLine="660"/>
              <w:contextualSpacing/>
              <w:jc w:val="left"/>
              <w:rPr>
                <w:rFonts w:ascii="Calibri" w:hAnsi="Calibri" w:cs="Calibri"/>
                <w:color w:val="000000"/>
                <w:sz w:val="22"/>
                <w:szCs w:val="22"/>
              </w:rPr>
            </w:pPr>
            <w:r>
              <w:rPr>
                <w:rFonts w:ascii="Calibri" w:hAnsi="Calibri" w:cs="Calibri"/>
                <w:color w:val="000000"/>
                <w:sz w:val="22"/>
                <w:szCs w:val="22"/>
              </w:rPr>
              <w:t>Female</w:t>
            </w:r>
          </w:p>
        </w:tc>
        <w:tc>
          <w:tcPr>
            <w:tcW w:w="484"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9</w:t>
            </w:r>
          </w:p>
        </w:tc>
        <w:tc>
          <w:tcPr>
            <w:tcW w:w="646"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8.82%</w:t>
            </w:r>
          </w:p>
        </w:tc>
        <w:tc>
          <w:tcPr>
            <w:tcW w:w="480"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0.51%</w:t>
            </w:r>
          </w:p>
        </w:tc>
        <w:tc>
          <w:tcPr>
            <w:tcW w:w="480"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14.58%</w:t>
            </w:r>
          </w:p>
        </w:tc>
        <w:tc>
          <w:tcPr>
            <w:tcW w:w="480"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11.36%</w:t>
            </w:r>
          </w:p>
        </w:tc>
        <w:tc>
          <w:tcPr>
            <w:tcW w:w="480"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p>
        </w:tc>
      </w:tr>
      <w:tr w:rsidR="00331D3B" w:rsidTr="0046753E">
        <w:trPr>
          <w:trHeight w:val="300"/>
        </w:trPr>
        <w:tc>
          <w:tcPr>
            <w:tcW w:w="1950" w:type="pct"/>
            <w:tcBorders>
              <w:top w:val="single" w:sz="4" w:space="0" w:color="auto"/>
              <w:left w:val="single" w:sz="4" w:space="0" w:color="auto"/>
              <w:bottom w:val="single" w:sz="4" w:space="0" w:color="auto"/>
              <w:right w:val="single" w:sz="4" w:space="0" w:color="auto"/>
            </w:tcBorders>
            <w:shd w:val="clear" w:color="auto" w:fill="auto"/>
            <w:noWrap/>
            <w:tcMar>
              <w:top w:w="15" w:type="dxa"/>
              <w:left w:w="405" w:type="dxa"/>
              <w:bottom w:w="0" w:type="dxa"/>
              <w:right w:w="15" w:type="dxa"/>
            </w:tcMar>
            <w:vAlign w:val="center"/>
            <w:hideMark/>
          </w:tcPr>
          <w:p w:rsidR="00331D3B" w:rsidRDefault="00331D3B" w:rsidP="00331D3B">
            <w:pPr>
              <w:spacing w:line="240" w:lineRule="auto"/>
              <w:ind w:firstLineChars="300" w:firstLine="660"/>
              <w:contextualSpacing/>
              <w:jc w:val="left"/>
              <w:rPr>
                <w:rFonts w:ascii="Calibri" w:hAnsi="Calibri" w:cs="Calibri"/>
                <w:color w:val="000000"/>
                <w:sz w:val="22"/>
                <w:szCs w:val="22"/>
              </w:rPr>
            </w:pPr>
            <w:r>
              <w:rPr>
                <w:rFonts w:ascii="Calibri" w:hAnsi="Calibri" w:cs="Calibri"/>
                <w:color w:val="000000"/>
                <w:sz w:val="22"/>
                <w:szCs w:val="22"/>
              </w:rPr>
              <w:t>Male</w:t>
            </w:r>
          </w:p>
        </w:tc>
        <w:tc>
          <w:tcPr>
            <w:tcW w:w="484"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93</w:t>
            </w:r>
          </w:p>
        </w:tc>
        <w:tc>
          <w:tcPr>
            <w:tcW w:w="646"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91.18%</w:t>
            </w:r>
          </w:p>
        </w:tc>
        <w:tc>
          <w:tcPr>
            <w:tcW w:w="480"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5.62%</w:t>
            </w:r>
          </w:p>
        </w:tc>
        <w:tc>
          <w:tcPr>
            <w:tcW w:w="480"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15.20%</w:t>
            </w:r>
          </w:p>
        </w:tc>
        <w:tc>
          <w:tcPr>
            <w:tcW w:w="480"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14.58%</w:t>
            </w:r>
          </w:p>
        </w:tc>
        <w:tc>
          <w:tcPr>
            <w:tcW w:w="480"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14.50%</w:t>
            </w:r>
          </w:p>
        </w:tc>
      </w:tr>
      <w:tr w:rsidR="0046753E" w:rsidTr="0046753E">
        <w:trPr>
          <w:trHeight w:val="300"/>
        </w:trPr>
        <w:tc>
          <w:tcPr>
            <w:tcW w:w="1950" w:type="pct"/>
            <w:tcBorders>
              <w:top w:val="single" w:sz="4" w:space="0" w:color="auto"/>
            </w:tcBorders>
            <w:shd w:val="clear" w:color="auto" w:fill="auto"/>
            <w:noWrap/>
            <w:tcMar>
              <w:top w:w="15" w:type="dxa"/>
              <w:left w:w="15" w:type="dxa"/>
              <w:bottom w:w="0" w:type="dxa"/>
              <w:right w:w="15" w:type="dxa"/>
            </w:tcMar>
            <w:vAlign w:val="center"/>
          </w:tcPr>
          <w:p w:rsidR="0046753E" w:rsidRDefault="0046753E" w:rsidP="00331D3B">
            <w:pPr>
              <w:spacing w:line="240" w:lineRule="auto"/>
              <w:contextualSpacing/>
              <w:jc w:val="left"/>
              <w:rPr>
                <w:rFonts w:ascii="Calibri" w:hAnsi="Calibri" w:cs="Calibri"/>
                <w:b/>
                <w:bCs/>
                <w:color w:val="000000"/>
                <w:sz w:val="22"/>
                <w:szCs w:val="22"/>
              </w:rPr>
            </w:pPr>
          </w:p>
        </w:tc>
        <w:tc>
          <w:tcPr>
            <w:tcW w:w="484" w:type="pct"/>
            <w:tcBorders>
              <w:top w:val="single" w:sz="4" w:space="0" w:color="auto"/>
            </w:tcBorders>
            <w:shd w:val="clear" w:color="auto" w:fill="auto"/>
            <w:noWrap/>
            <w:tcMar>
              <w:top w:w="15" w:type="dxa"/>
              <w:left w:w="15" w:type="dxa"/>
              <w:bottom w:w="0" w:type="dxa"/>
              <w:right w:w="15" w:type="dxa"/>
            </w:tcMar>
            <w:vAlign w:val="center"/>
          </w:tcPr>
          <w:p w:rsidR="0046753E" w:rsidRDefault="0046753E" w:rsidP="00331D3B">
            <w:pPr>
              <w:spacing w:line="240" w:lineRule="auto"/>
              <w:contextualSpacing/>
              <w:jc w:val="center"/>
              <w:rPr>
                <w:rFonts w:ascii="Calibri" w:hAnsi="Calibri" w:cs="Calibri"/>
                <w:color w:val="000000"/>
                <w:sz w:val="22"/>
                <w:szCs w:val="22"/>
              </w:rPr>
            </w:pPr>
          </w:p>
        </w:tc>
        <w:tc>
          <w:tcPr>
            <w:tcW w:w="646" w:type="pct"/>
            <w:tcBorders>
              <w:top w:val="single" w:sz="4" w:space="0" w:color="auto"/>
            </w:tcBorders>
            <w:shd w:val="clear" w:color="auto" w:fill="auto"/>
            <w:noWrap/>
            <w:tcMar>
              <w:top w:w="15" w:type="dxa"/>
              <w:left w:w="15" w:type="dxa"/>
              <w:bottom w:w="0" w:type="dxa"/>
              <w:right w:w="15" w:type="dxa"/>
            </w:tcMar>
            <w:vAlign w:val="center"/>
          </w:tcPr>
          <w:p w:rsidR="0046753E" w:rsidRDefault="0046753E" w:rsidP="00331D3B">
            <w:pPr>
              <w:spacing w:line="240" w:lineRule="auto"/>
              <w:contextualSpacing/>
              <w:jc w:val="center"/>
              <w:rPr>
                <w:rFonts w:ascii="Calibri" w:hAnsi="Calibri" w:cs="Calibri"/>
                <w:color w:val="000000"/>
                <w:sz w:val="22"/>
                <w:szCs w:val="22"/>
              </w:rPr>
            </w:pPr>
          </w:p>
        </w:tc>
        <w:tc>
          <w:tcPr>
            <w:tcW w:w="480" w:type="pct"/>
            <w:tcBorders>
              <w:top w:val="single" w:sz="4" w:space="0" w:color="auto"/>
            </w:tcBorders>
            <w:shd w:val="clear" w:color="auto" w:fill="auto"/>
            <w:noWrap/>
            <w:tcMar>
              <w:top w:w="15" w:type="dxa"/>
              <w:left w:w="15" w:type="dxa"/>
              <w:bottom w:w="0" w:type="dxa"/>
              <w:right w:w="15" w:type="dxa"/>
            </w:tcMar>
            <w:vAlign w:val="center"/>
          </w:tcPr>
          <w:p w:rsidR="0046753E" w:rsidRDefault="0046753E" w:rsidP="00331D3B">
            <w:pPr>
              <w:spacing w:line="240" w:lineRule="auto"/>
              <w:contextualSpacing/>
              <w:jc w:val="center"/>
              <w:rPr>
                <w:rFonts w:ascii="Calibri" w:hAnsi="Calibri" w:cs="Calibri"/>
                <w:color w:val="000000"/>
                <w:sz w:val="22"/>
                <w:szCs w:val="22"/>
              </w:rPr>
            </w:pPr>
          </w:p>
        </w:tc>
        <w:tc>
          <w:tcPr>
            <w:tcW w:w="480" w:type="pct"/>
            <w:tcBorders>
              <w:top w:val="single" w:sz="4" w:space="0" w:color="auto"/>
            </w:tcBorders>
            <w:shd w:val="clear" w:color="auto" w:fill="auto"/>
            <w:noWrap/>
            <w:tcMar>
              <w:top w:w="15" w:type="dxa"/>
              <w:left w:w="15" w:type="dxa"/>
              <w:bottom w:w="0" w:type="dxa"/>
              <w:right w:w="15" w:type="dxa"/>
            </w:tcMar>
            <w:vAlign w:val="center"/>
          </w:tcPr>
          <w:p w:rsidR="0046753E" w:rsidRDefault="0046753E" w:rsidP="00331D3B">
            <w:pPr>
              <w:spacing w:line="240" w:lineRule="auto"/>
              <w:contextualSpacing/>
              <w:jc w:val="center"/>
              <w:rPr>
                <w:rFonts w:ascii="Calibri" w:hAnsi="Calibri" w:cs="Calibri"/>
                <w:color w:val="000000"/>
                <w:sz w:val="22"/>
                <w:szCs w:val="22"/>
              </w:rPr>
            </w:pPr>
          </w:p>
        </w:tc>
        <w:tc>
          <w:tcPr>
            <w:tcW w:w="480" w:type="pct"/>
            <w:tcBorders>
              <w:top w:val="single" w:sz="4" w:space="0" w:color="auto"/>
            </w:tcBorders>
            <w:shd w:val="clear" w:color="auto" w:fill="auto"/>
            <w:noWrap/>
            <w:tcMar>
              <w:top w:w="15" w:type="dxa"/>
              <w:left w:w="15" w:type="dxa"/>
              <w:bottom w:w="0" w:type="dxa"/>
              <w:right w:w="15" w:type="dxa"/>
            </w:tcMar>
            <w:vAlign w:val="center"/>
          </w:tcPr>
          <w:p w:rsidR="0046753E" w:rsidRDefault="0046753E" w:rsidP="00331D3B">
            <w:pPr>
              <w:spacing w:line="240" w:lineRule="auto"/>
              <w:contextualSpacing/>
              <w:jc w:val="center"/>
              <w:rPr>
                <w:rFonts w:ascii="Calibri" w:hAnsi="Calibri" w:cs="Calibri"/>
                <w:color w:val="000000"/>
                <w:sz w:val="22"/>
                <w:szCs w:val="22"/>
              </w:rPr>
            </w:pPr>
          </w:p>
        </w:tc>
        <w:tc>
          <w:tcPr>
            <w:tcW w:w="480" w:type="pct"/>
            <w:tcBorders>
              <w:top w:val="single" w:sz="4" w:space="0" w:color="auto"/>
            </w:tcBorders>
            <w:shd w:val="clear" w:color="auto" w:fill="auto"/>
            <w:noWrap/>
            <w:tcMar>
              <w:top w:w="15" w:type="dxa"/>
              <w:left w:w="15" w:type="dxa"/>
              <w:bottom w:w="0" w:type="dxa"/>
              <w:right w:w="15" w:type="dxa"/>
            </w:tcMar>
            <w:vAlign w:val="center"/>
          </w:tcPr>
          <w:p w:rsidR="0046753E" w:rsidRDefault="0046753E" w:rsidP="00331D3B">
            <w:pPr>
              <w:spacing w:line="240" w:lineRule="auto"/>
              <w:contextualSpacing/>
              <w:jc w:val="center"/>
              <w:rPr>
                <w:rFonts w:ascii="Calibri" w:hAnsi="Calibri" w:cs="Calibri"/>
                <w:color w:val="000000"/>
                <w:sz w:val="22"/>
                <w:szCs w:val="22"/>
              </w:rPr>
            </w:pPr>
          </w:p>
        </w:tc>
      </w:tr>
      <w:tr w:rsidR="00331D3B" w:rsidTr="0046753E">
        <w:trPr>
          <w:trHeight w:val="300"/>
        </w:trPr>
        <w:tc>
          <w:tcPr>
            <w:tcW w:w="1950" w:type="pct"/>
            <w:tcBorders>
              <w:left w:val="single" w:sz="4" w:space="0" w:color="auto"/>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left"/>
              <w:rPr>
                <w:rFonts w:ascii="Calibri" w:hAnsi="Calibri" w:cs="Calibri"/>
                <w:b/>
                <w:bCs/>
                <w:color w:val="000000"/>
                <w:sz w:val="22"/>
                <w:szCs w:val="22"/>
              </w:rPr>
            </w:pPr>
            <w:r>
              <w:rPr>
                <w:rFonts w:ascii="Calibri" w:hAnsi="Calibri" w:cs="Calibri"/>
                <w:b/>
                <w:bCs/>
                <w:color w:val="000000"/>
                <w:sz w:val="22"/>
                <w:szCs w:val="22"/>
              </w:rPr>
              <w:t>Global MA Flexible</w:t>
            </w:r>
          </w:p>
        </w:tc>
        <w:tc>
          <w:tcPr>
            <w:tcW w:w="484" w:type="pct"/>
            <w:tcBorders>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12</w:t>
            </w:r>
          </w:p>
        </w:tc>
        <w:tc>
          <w:tcPr>
            <w:tcW w:w="646" w:type="pct"/>
            <w:tcBorders>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p>
        </w:tc>
        <w:tc>
          <w:tcPr>
            <w:tcW w:w="480" w:type="pct"/>
            <w:tcBorders>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12.44%</w:t>
            </w:r>
          </w:p>
        </w:tc>
        <w:tc>
          <w:tcPr>
            <w:tcW w:w="480" w:type="pct"/>
            <w:tcBorders>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21.43%</w:t>
            </w:r>
          </w:p>
        </w:tc>
        <w:tc>
          <w:tcPr>
            <w:tcW w:w="480" w:type="pct"/>
            <w:tcBorders>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14.89%</w:t>
            </w:r>
          </w:p>
        </w:tc>
        <w:tc>
          <w:tcPr>
            <w:tcW w:w="480" w:type="pct"/>
            <w:tcBorders>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p>
        </w:tc>
      </w:tr>
      <w:tr w:rsidR="00331D3B" w:rsidTr="00331D3B">
        <w:trPr>
          <w:trHeight w:val="300"/>
        </w:trPr>
        <w:tc>
          <w:tcPr>
            <w:tcW w:w="1950" w:type="pct"/>
            <w:tcBorders>
              <w:top w:val="nil"/>
              <w:left w:val="single" w:sz="4" w:space="0" w:color="auto"/>
              <w:bottom w:val="single" w:sz="4" w:space="0" w:color="auto"/>
              <w:right w:val="single" w:sz="4" w:space="0" w:color="auto"/>
            </w:tcBorders>
            <w:shd w:val="clear" w:color="auto" w:fill="auto"/>
            <w:noWrap/>
            <w:tcMar>
              <w:top w:w="15" w:type="dxa"/>
              <w:left w:w="405" w:type="dxa"/>
              <w:bottom w:w="0" w:type="dxa"/>
              <w:right w:w="15" w:type="dxa"/>
            </w:tcMar>
            <w:vAlign w:val="center"/>
            <w:hideMark/>
          </w:tcPr>
          <w:p w:rsidR="00331D3B" w:rsidRDefault="00331D3B" w:rsidP="00331D3B">
            <w:pPr>
              <w:spacing w:line="240" w:lineRule="auto"/>
              <w:ind w:firstLineChars="300" w:firstLine="660"/>
              <w:contextualSpacing/>
              <w:jc w:val="left"/>
              <w:rPr>
                <w:rFonts w:ascii="Calibri" w:hAnsi="Calibri" w:cs="Calibri"/>
                <w:color w:val="000000"/>
                <w:sz w:val="22"/>
                <w:szCs w:val="22"/>
              </w:rPr>
            </w:pPr>
            <w:r>
              <w:rPr>
                <w:rFonts w:ascii="Calibri" w:hAnsi="Calibri" w:cs="Calibri"/>
                <w:color w:val="000000"/>
                <w:sz w:val="22"/>
                <w:szCs w:val="22"/>
              </w:rPr>
              <w:t>Female</w:t>
            </w:r>
          </w:p>
        </w:tc>
        <w:tc>
          <w:tcPr>
            <w:tcW w:w="48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w:t>
            </w:r>
          </w:p>
        </w:tc>
        <w:tc>
          <w:tcPr>
            <w:tcW w:w="64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8.33%</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8.43%</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21.17%</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15.76%</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p>
        </w:tc>
      </w:tr>
      <w:tr w:rsidR="00331D3B" w:rsidTr="00331D3B">
        <w:trPr>
          <w:trHeight w:val="300"/>
        </w:trPr>
        <w:tc>
          <w:tcPr>
            <w:tcW w:w="1950" w:type="pct"/>
            <w:tcBorders>
              <w:top w:val="nil"/>
              <w:left w:val="single" w:sz="4" w:space="0" w:color="auto"/>
              <w:bottom w:val="single" w:sz="4" w:space="0" w:color="auto"/>
              <w:right w:val="single" w:sz="4" w:space="0" w:color="auto"/>
            </w:tcBorders>
            <w:shd w:val="clear" w:color="auto" w:fill="auto"/>
            <w:noWrap/>
            <w:tcMar>
              <w:top w:w="15" w:type="dxa"/>
              <w:left w:w="405" w:type="dxa"/>
              <w:bottom w:w="0" w:type="dxa"/>
              <w:right w:w="15" w:type="dxa"/>
            </w:tcMar>
            <w:vAlign w:val="center"/>
            <w:hideMark/>
          </w:tcPr>
          <w:p w:rsidR="00331D3B" w:rsidRDefault="00331D3B" w:rsidP="00331D3B">
            <w:pPr>
              <w:spacing w:line="240" w:lineRule="auto"/>
              <w:ind w:firstLineChars="300" w:firstLine="660"/>
              <w:contextualSpacing/>
              <w:jc w:val="left"/>
              <w:rPr>
                <w:rFonts w:ascii="Calibri" w:hAnsi="Calibri" w:cs="Calibri"/>
                <w:color w:val="000000"/>
                <w:sz w:val="22"/>
                <w:szCs w:val="22"/>
              </w:rPr>
            </w:pPr>
            <w:r>
              <w:rPr>
                <w:rFonts w:ascii="Calibri" w:hAnsi="Calibri" w:cs="Calibri"/>
                <w:color w:val="000000"/>
                <w:sz w:val="22"/>
                <w:szCs w:val="22"/>
              </w:rPr>
              <w:t>Male</w:t>
            </w:r>
          </w:p>
        </w:tc>
        <w:tc>
          <w:tcPr>
            <w:tcW w:w="48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11</w:t>
            </w:r>
          </w:p>
        </w:tc>
        <w:tc>
          <w:tcPr>
            <w:tcW w:w="64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91.67%</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12.84%</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21.48%</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14.60%</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p>
        </w:tc>
      </w:tr>
      <w:tr w:rsidR="00331D3B" w:rsidTr="00331D3B">
        <w:trPr>
          <w:trHeight w:val="300"/>
        </w:trPr>
        <w:tc>
          <w:tcPr>
            <w:tcW w:w="1950" w:type="pct"/>
            <w:tcBorders>
              <w:top w:val="nil"/>
              <w:left w:val="single" w:sz="4" w:space="0" w:color="auto"/>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left"/>
              <w:rPr>
                <w:rFonts w:ascii="Calibri" w:hAnsi="Calibri" w:cs="Calibri"/>
                <w:b/>
                <w:bCs/>
                <w:color w:val="000000"/>
                <w:sz w:val="22"/>
                <w:szCs w:val="22"/>
              </w:rPr>
            </w:pPr>
            <w:r>
              <w:rPr>
                <w:rFonts w:ascii="Calibri" w:hAnsi="Calibri" w:cs="Calibri"/>
                <w:b/>
                <w:bCs/>
                <w:color w:val="000000"/>
                <w:sz w:val="22"/>
                <w:szCs w:val="22"/>
              </w:rPr>
              <w:t>South African RE General</w:t>
            </w:r>
          </w:p>
        </w:tc>
        <w:tc>
          <w:tcPr>
            <w:tcW w:w="484"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25</w:t>
            </w:r>
          </w:p>
        </w:tc>
        <w:tc>
          <w:tcPr>
            <w:tcW w:w="646"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26.58%</w:t>
            </w: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17.43%</w:t>
            </w: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18.79%</w:t>
            </w: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17.84%</w:t>
            </w:r>
          </w:p>
        </w:tc>
      </w:tr>
      <w:tr w:rsidR="00331D3B" w:rsidTr="00331D3B">
        <w:trPr>
          <w:trHeight w:val="300"/>
        </w:trPr>
        <w:tc>
          <w:tcPr>
            <w:tcW w:w="1950" w:type="pct"/>
            <w:tcBorders>
              <w:top w:val="nil"/>
              <w:left w:val="single" w:sz="4" w:space="0" w:color="auto"/>
              <w:bottom w:val="single" w:sz="4" w:space="0" w:color="auto"/>
              <w:right w:val="single" w:sz="4" w:space="0" w:color="auto"/>
            </w:tcBorders>
            <w:shd w:val="clear" w:color="auto" w:fill="auto"/>
            <w:noWrap/>
            <w:tcMar>
              <w:top w:w="15" w:type="dxa"/>
              <w:left w:w="405" w:type="dxa"/>
              <w:bottom w:w="0" w:type="dxa"/>
              <w:right w:w="15" w:type="dxa"/>
            </w:tcMar>
            <w:vAlign w:val="center"/>
            <w:hideMark/>
          </w:tcPr>
          <w:p w:rsidR="00331D3B" w:rsidRDefault="00331D3B" w:rsidP="00331D3B">
            <w:pPr>
              <w:spacing w:line="240" w:lineRule="auto"/>
              <w:ind w:firstLineChars="300" w:firstLine="660"/>
              <w:contextualSpacing/>
              <w:jc w:val="left"/>
              <w:rPr>
                <w:rFonts w:ascii="Calibri" w:hAnsi="Calibri" w:cs="Calibri"/>
                <w:color w:val="000000"/>
                <w:sz w:val="22"/>
                <w:szCs w:val="22"/>
              </w:rPr>
            </w:pPr>
            <w:r>
              <w:rPr>
                <w:rFonts w:ascii="Calibri" w:hAnsi="Calibri" w:cs="Calibri"/>
                <w:color w:val="000000"/>
                <w:sz w:val="22"/>
                <w:szCs w:val="22"/>
              </w:rPr>
              <w:t>Female</w:t>
            </w:r>
          </w:p>
        </w:tc>
        <w:tc>
          <w:tcPr>
            <w:tcW w:w="48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w:t>
            </w:r>
          </w:p>
        </w:tc>
        <w:tc>
          <w:tcPr>
            <w:tcW w:w="64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8.00%</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26.06%</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p>
        </w:tc>
      </w:tr>
      <w:tr w:rsidR="00331D3B" w:rsidTr="00331D3B">
        <w:trPr>
          <w:trHeight w:val="300"/>
        </w:trPr>
        <w:tc>
          <w:tcPr>
            <w:tcW w:w="1950" w:type="pct"/>
            <w:tcBorders>
              <w:top w:val="nil"/>
              <w:left w:val="single" w:sz="4" w:space="0" w:color="auto"/>
              <w:bottom w:val="single" w:sz="4" w:space="0" w:color="auto"/>
              <w:right w:val="single" w:sz="4" w:space="0" w:color="auto"/>
            </w:tcBorders>
            <w:shd w:val="clear" w:color="auto" w:fill="auto"/>
            <w:noWrap/>
            <w:tcMar>
              <w:top w:w="15" w:type="dxa"/>
              <w:left w:w="405" w:type="dxa"/>
              <w:bottom w:w="0" w:type="dxa"/>
              <w:right w:w="15" w:type="dxa"/>
            </w:tcMar>
            <w:vAlign w:val="center"/>
            <w:hideMark/>
          </w:tcPr>
          <w:p w:rsidR="00331D3B" w:rsidRDefault="00331D3B" w:rsidP="00331D3B">
            <w:pPr>
              <w:spacing w:line="240" w:lineRule="auto"/>
              <w:ind w:firstLineChars="300" w:firstLine="660"/>
              <w:contextualSpacing/>
              <w:jc w:val="left"/>
              <w:rPr>
                <w:rFonts w:ascii="Calibri" w:hAnsi="Calibri" w:cs="Calibri"/>
                <w:color w:val="000000"/>
                <w:sz w:val="22"/>
                <w:szCs w:val="22"/>
              </w:rPr>
            </w:pPr>
            <w:r>
              <w:rPr>
                <w:rFonts w:ascii="Calibri" w:hAnsi="Calibri" w:cs="Calibri"/>
                <w:color w:val="000000"/>
                <w:sz w:val="22"/>
                <w:szCs w:val="22"/>
              </w:rPr>
              <w:t>Male</w:t>
            </w:r>
          </w:p>
        </w:tc>
        <w:tc>
          <w:tcPr>
            <w:tcW w:w="48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23</w:t>
            </w:r>
          </w:p>
        </w:tc>
        <w:tc>
          <w:tcPr>
            <w:tcW w:w="64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92.00%</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26.61%</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17.43%</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18.79%</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17.84%</w:t>
            </w:r>
          </w:p>
        </w:tc>
      </w:tr>
      <w:tr w:rsidR="00331D3B" w:rsidTr="00331D3B">
        <w:trPr>
          <w:trHeight w:val="300"/>
        </w:trPr>
        <w:tc>
          <w:tcPr>
            <w:tcW w:w="1950" w:type="pct"/>
            <w:tcBorders>
              <w:top w:val="nil"/>
              <w:left w:val="single" w:sz="4" w:space="0" w:color="auto"/>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left"/>
              <w:rPr>
                <w:rFonts w:ascii="Calibri" w:hAnsi="Calibri" w:cs="Calibri"/>
                <w:b/>
                <w:bCs/>
                <w:color w:val="000000"/>
                <w:sz w:val="22"/>
                <w:szCs w:val="22"/>
              </w:rPr>
            </w:pPr>
            <w:r>
              <w:rPr>
                <w:rFonts w:ascii="Calibri" w:hAnsi="Calibri" w:cs="Calibri"/>
                <w:b/>
                <w:bCs/>
                <w:color w:val="000000"/>
                <w:sz w:val="22"/>
                <w:szCs w:val="22"/>
              </w:rPr>
              <w:t>South African MA Income</w:t>
            </w:r>
          </w:p>
        </w:tc>
        <w:tc>
          <w:tcPr>
            <w:tcW w:w="484"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40</w:t>
            </w:r>
          </w:p>
        </w:tc>
        <w:tc>
          <w:tcPr>
            <w:tcW w:w="646"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5.84%</w:t>
            </w: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6.66%</w:t>
            </w: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7.22%</w:t>
            </w: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8.41%</w:t>
            </w:r>
          </w:p>
        </w:tc>
      </w:tr>
      <w:tr w:rsidR="00331D3B" w:rsidTr="00331D3B">
        <w:trPr>
          <w:trHeight w:val="300"/>
        </w:trPr>
        <w:tc>
          <w:tcPr>
            <w:tcW w:w="1950" w:type="pct"/>
            <w:tcBorders>
              <w:top w:val="nil"/>
              <w:left w:val="single" w:sz="4" w:space="0" w:color="auto"/>
              <w:bottom w:val="single" w:sz="4" w:space="0" w:color="auto"/>
              <w:right w:val="single" w:sz="4" w:space="0" w:color="auto"/>
            </w:tcBorders>
            <w:shd w:val="clear" w:color="auto" w:fill="auto"/>
            <w:noWrap/>
            <w:tcMar>
              <w:top w:w="15" w:type="dxa"/>
              <w:left w:w="405" w:type="dxa"/>
              <w:bottom w:w="0" w:type="dxa"/>
              <w:right w:w="15" w:type="dxa"/>
            </w:tcMar>
            <w:vAlign w:val="center"/>
            <w:hideMark/>
          </w:tcPr>
          <w:p w:rsidR="00331D3B" w:rsidRDefault="00331D3B" w:rsidP="00331D3B">
            <w:pPr>
              <w:spacing w:line="240" w:lineRule="auto"/>
              <w:ind w:firstLineChars="300" w:firstLine="660"/>
              <w:contextualSpacing/>
              <w:jc w:val="left"/>
              <w:rPr>
                <w:rFonts w:ascii="Calibri" w:hAnsi="Calibri" w:cs="Calibri"/>
                <w:color w:val="000000"/>
                <w:sz w:val="22"/>
                <w:szCs w:val="22"/>
              </w:rPr>
            </w:pPr>
            <w:r>
              <w:rPr>
                <w:rFonts w:ascii="Calibri" w:hAnsi="Calibri" w:cs="Calibri"/>
                <w:color w:val="000000"/>
                <w:sz w:val="22"/>
                <w:szCs w:val="22"/>
              </w:rPr>
              <w:t>Female</w:t>
            </w:r>
          </w:p>
        </w:tc>
        <w:tc>
          <w:tcPr>
            <w:tcW w:w="48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3</w:t>
            </w:r>
          </w:p>
        </w:tc>
        <w:tc>
          <w:tcPr>
            <w:tcW w:w="64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7.50%</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5.46%</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6.81%</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7.89%</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p>
        </w:tc>
      </w:tr>
      <w:tr w:rsidR="00331D3B" w:rsidTr="00331D3B">
        <w:trPr>
          <w:trHeight w:val="300"/>
        </w:trPr>
        <w:tc>
          <w:tcPr>
            <w:tcW w:w="1950" w:type="pct"/>
            <w:tcBorders>
              <w:top w:val="nil"/>
              <w:left w:val="single" w:sz="4" w:space="0" w:color="auto"/>
              <w:bottom w:val="single" w:sz="4" w:space="0" w:color="auto"/>
              <w:right w:val="single" w:sz="4" w:space="0" w:color="auto"/>
            </w:tcBorders>
            <w:shd w:val="clear" w:color="auto" w:fill="auto"/>
            <w:noWrap/>
            <w:tcMar>
              <w:top w:w="15" w:type="dxa"/>
              <w:left w:w="405" w:type="dxa"/>
              <w:bottom w:w="0" w:type="dxa"/>
              <w:right w:w="15" w:type="dxa"/>
            </w:tcMar>
            <w:vAlign w:val="center"/>
            <w:hideMark/>
          </w:tcPr>
          <w:p w:rsidR="00331D3B" w:rsidRDefault="00331D3B" w:rsidP="00331D3B">
            <w:pPr>
              <w:spacing w:line="240" w:lineRule="auto"/>
              <w:ind w:firstLineChars="300" w:firstLine="660"/>
              <w:contextualSpacing/>
              <w:jc w:val="left"/>
              <w:rPr>
                <w:rFonts w:ascii="Calibri" w:hAnsi="Calibri" w:cs="Calibri"/>
                <w:color w:val="000000"/>
                <w:sz w:val="22"/>
                <w:szCs w:val="22"/>
              </w:rPr>
            </w:pPr>
            <w:r>
              <w:rPr>
                <w:rFonts w:ascii="Calibri" w:hAnsi="Calibri" w:cs="Calibri"/>
                <w:color w:val="000000"/>
                <w:sz w:val="22"/>
                <w:szCs w:val="22"/>
              </w:rPr>
              <w:t>Male</w:t>
            </w:r>
          </w:p>
        </w:tc>
        <w:tc>
          <w:tcPr>
            <w:tcW w:w="48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37</w:t>
            </w:r>
          </w:p>
        </w:tc>
        <w:tc>
          <w:tcPr>
            <w:tcW w:w="64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92.50%</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5.86%</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6.65%</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7.16%</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8.41%</w:t>
            </w:r>
          </w:p>
        </w:tc>
      </w:tr>
      <w:tr w:rsidR="00331D3B" w:rsidTr="00331D3B">
        <w:trPr>
          <w:trHeight w:val="300"/>
        </w:trPr>
        <w:tc>
          <w:tcPr>
            <w:tcW w:w="1950" w:type="pct"/>
            <w:tcBorders>
              <w:top w:val="nil"/>
              <w:left w:val="single" w:sz="4" w:space="0" w:color="auto"/>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left"/>
              <w:rPr>
                <w:rFonts w:ascii="Calibri" w:hAnsi="Calibri" w:cs="Calibri"/>
                <w:b/>
                <w:bCs/>
                <w:color w:val="000000"/>
                <w:sz w:val="22"/>
                <w:szCs w:val="22"/>
              </w:rPr>
            </w:pPr>
            <w:r>
              <w:rPr>
                <w:rFonts w:ascii="Calibri" w:hAnsi="Calibri" w:cs="Calibri"/>
                <w:b/>
                <w:bCs/>
                <w:color w:val="000000"/>
                <w:sz w:val="22"/>
                <w:szCs w:val="22"/>
              </w:rPr>
              <w:t>South African MA Low Equity</w:t>
            </w:r>
          </w:p>
        </w:tc>
        <w:tc>
          <w:tcPr>
            <w:tcW w:w="484"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88</w:t>
            </w:r>
          </w:p>
        </w:tc>
        <w:tc>
          <w:tcPr>
            <w:tcW w:w="646"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7.23%</w:t>
            </w: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10.60%</w:t>
            </w: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9.90%</w:t>
            </w: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9.83%</w:t>
            </w:r>
          </w:p>
        </w:tc>
      </w:tr>
      <w:tr w:rsidR="00331D3B" w:rsidTr="00331D3B">
        <w:trPr>
          <w:trHeight w:val="300"/>
        </w:trPr>
        <w:tc>
          <w:tcPr>
            <w:tcW w:w="1950" w:type="pct"/>
            <w:tcBorders>
              <w:top w:val="nil"/>
              <w:left w:val="single" w:sz="4" w:space="0" w:color="auto"/>
              <w:bottom w:val="single" w:sz="4" w:space="0" w:color="auto"/>
              <w:right w:val="single" w:sz="4" w:space="0" w:color="auto"/>
            </w:tcBorders>
            <w:shd w:val="clear" w:color="auto" w:fill="auto"/>
            <w:noWrap/>
            <w:tcMar>
              <w:top w:w="15" w:type="dxa"/>
              <w:left w:w="405" w:type="dxa"/>
              <w:bottom w:w="0" w:type="dxa"/>
              <w:right w:w="15" w:type="dxa"/>
            </w:tcMar>
            <w:vAlign w:val="center"/>
            <w:hideMark/>
          </w:tcPr>
          <w:p w:rsidR="00331D3B" w:rsidRDefault="00331D3B" w:rsidP="00331D3B">
            <w:pPr>
              <w:spacing w:line="240" w:lineRule="auto"/>
              <w:ind w:firstLineChars="300" w:firstLine="660"/>
              <w:contextualSpacing/>
              <w:jc w:val="left"/>
              <w:rPr>
                <w:rFonts w:ascii="Calibri" w:hAnsi="Calibri" w:cs="Calibri"/>
                <w:color w:val="000000"/>
                <w:sz w:val="22"/>
                <w:szCs w:val="22"/>
              </w:rPr>
            </w:pPr>
            <w:r>
              <w:rPr>
                <w:rFonts w:ascii="Calibri" w:hAnsi="Calibri" w:cs="Calibri"/>
                <w:color w:val="000000"/>
                <w:sz w:val="22"/>
                <w:szCs w:val="22"/>
              </w:rPr>
              <w:t>Female</w:t>
            </w:r>
          </w:p>
        </w:tc>
        <w:tc>
          <w:tcPr>
            <w:tcW w:w="48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6</w:t>
            </w:r>
          </w:p>
        </w:tc>
        <w:tc>
          <w:tcPr>
            <w:tcW w:w="64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6.82%</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6.28%</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9.42%</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8.94%</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8.96%</w:t>
            </w:r>
          </w:p>
        </w:tc>
      </w:tr>
      <w:tr w:rsidR="00331D3B" w:rsidTr="00331D3B">
        <w:trPr>
          <w:trHeight w:val="300"/>
        </w:trPr>
        <w:tc>
          <w:tcPr>
            <w:tcW w:w="1950" w:type="pct"/>
            <w:tcBorders>
              <w:top w:val="nil"/>
              <w:left w:val="single" w:sz="4" w:space="0" w:color="auto"/>
              <w:bottom w:val="single" w:sz="4" w:space="0" w:color="auto"/>
              <w:right w:val="single" w:sz="4" w:space="0" w:color="auto"/>
            </w:tcBorders>
            <w:shd w:val="clear" w:color="auto" w:fill="auto"/>
            <w:noWrap/>
            <w:tcMar>
              <w:top w:w="15" w:type="dxa"/>
              <w:left w:w="405" w:type="dxa"/>
              <w:bottom w:w="0" w:type="dxa"/>
              <w:right w:w="15" w:type="dxa"/>
            </w:tcMar>
            <w:vAlign w:val="center"/>
            <w:hideMark/>
          </w:tcPr>
          <w:p w:rsidR="00331D3B" w:rsidRDefault="00331D3B" w:rsidP="00331D3B">
            <w:pPr>
              <w:spacing w:line="240" w:lineRule="auto"/>
              <w:ind w:firstLineChars="300" w:firstLine="660"/>
              <w:contextualSpacing/>
              <w:jc w:val="left"/>
              <w:rPr>
                <w:rFonts w:ascii="Calibri" w:hAnsi="Calibri" w:cs="Calibri"/>
                <w:color w:val="000000"/>
                <w:sz w:val="22"/>
                <w:szCs w:val="22"/>
              </w:rPr>
            </w:pPr>
            <w:r>
              <w:rPr>
                <w:rFonts w:ascii="Calibri" w:hAnsi="Calibri" w:cs="Calibri"/>
                <w:color w:val="000000"/>
                <w:sz w:val="22"/>
                <w:szCs w:val="22"/>
              </w:rPr>
              <w:t>Male</w:t>
            </w:r>
          </w:p>
        </w:tc>
        <w:tc>
          <w:tcPr>
            <w:tcW w:w="48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82</w:t>
            </w:r>
          </w:p>
        </w:tc>
        <w:tc>
          <w:tcPr>
            <w:tcW w:w="64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93.18%</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7.32%</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10.72%</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10.03%</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9.94%</w:t>
            </w:r>
          </w:p>
        </w:tc>
      </w:tr>
      <w:tr w:rsidR="00331D3B" w:rsidTr="00331D3B">
        <w:trPr>
          <w:trHeight w:val="300"/>
        </w:trPr>
        <w:tc>
          <w:tcPr>
            <w:tcW w:w="1950" w:type="pct"/>
            <w:tcBorders>
              <w:top w:val="nil"/>
              <w:left w:val="single" w:sz="4" w:space="0" w:color="auto"/>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left"/>
              <w:rPr>
                <w:rFonts w:ascii="Calibri" w:hAnsi="Calibri" w:cs="Calibri"/>
                <w:b/>
                <w:bCs/>
                <w:color w:val="000000"/>
                <w:sz w:val="22"/>
                <w:szCs w:val="22"/>
              </w:rPr>
            </w:pPr>
            <w:r>
              <w:rPr>
                <w:rFonts w:ascii="Calibri" w:hAnsi="Calibri" w:cs="Calibri"/>
                <w:b/>
                <w:bCs/>
                <w:color w:val="000000"/>
                <w:sz w:val="22"/>
                <w:szCs w:val="22"/>
              </w:rPr>
              <w:t>South African IB Short Term</w:t>
            </w:r>
          </w:p>
        </w:tc>
        <w:tc>
          <w:tcPr>
            <w:tcW w:w="484"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18</w:t>
            </w:r>
          </w:p>
        </w:tc>
        <w:tc>
          <w:tcPr>
            <w:tcW w:w="646"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5.69%</w:t>
            </w: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5.55%</w:t>
            </w: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5.84%</w:t>
            </w:r>
          </w:p>
        </w:tc>
        <w:tc>
          <w:tcPr>
            <w:tcW w:w="480" w:type="pct"/>
            <w:tcBorders>
              <w:top w:val="nil"/>
              <w:left w:val="nil"/>
              <w:bottom w:val="single" w:sz="4" w:space="0" w:color="auto"/>
              <w:right w:val="single" w:sz="4" w:space="0" w:color="auto"/>
            </w:tcBorders>
            <w:shd w:val="clear" w:color="000000" w:fill="B8CCE4"/>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p>
        </w:tc>
      </w:tr>
      <w:tr w:rsidR="00331D3B" w:rsidTr="00331D3B">
        <w:trPr>
          <w:trHeight w:val="300"/>
        </w:trPr>
        <w:tc>
          <w:tcPr>
            <w:tcW w:w="1950" w:type="pct"/>
            <w:tcBorders>
              <w:top w:val="nil"/>
              <w:left w:val="single" w:sz="4" w:space="0" w:color="auto"/>
              <w:bottom w:val="single" w:sz="4" w:space="0" w:color="auto"/>
              <w:right w:val="single" w:sz="4" w:space="0" w:color="auto"/>
            </w:tcBorders>
            <w:shd w:val="clear" w:color="auto" w:fill="auto"/>
            <w:noWrap/>
            <w:tcMar>
              <w:top w:w="15" w:type="dxa"/>
              <w:left w:w="405" w:type="dxa"/>
              <w:bottom w:w="0" w:type="dxa"/>
              <w:right w:w="15" w:type="dxa"/>
            </w:tcMar>
            <w:vAlign w:val="center"/>
            <w:hideMark/>
          </w:tcPr>
          <w:p w:rsidR="00331D3B" w:rsidRDefault="00331D3B" w:rsidP="00331D3B">
            <w:pPr>
              <w:spacing w:line="240" w:lineRule="auto"/>
              <w:ind w:firstLineChars="300" w:firstLine="660"/>
              <w:contextualSpacing/>
              <w:jc w:val="left"/>
              <w:rPr>
                <w:rFonts w:ascii="Calibri" w:hAnsi="Calibri" w:cs="Calibri"/>
                <w:color w:val="000000"/>
                <w:sz w:val="22"/>
                <w:szCs w:val="22"/>
              </w:rPr>
            </w:pPr>
            <w:r>
              <w:rPr>
                <w:rFonts w:ascii="Calibri" w:hAnsi="Calibri" w:cs="Calibri"/>
                <w:color w:val="000000"/>
                <w:sz w:val="22"/>
                <w:szCs w:val="22"/>
              </w:rPr>
              <w:t>Female</w:t>
            </w:r>
          </w:p>
        </w:tc>
        <w:tc>
          <w:tcPr>
            <w:tcW w:w="48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w:t>
            </w:r>
          </w:p>
        </w:tc>
        <w:tc>
          <w:tcPr>
            <w:tcW w:w="64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5.56%</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5.17%</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p>
        </w:tc>
      </w:tr>
      <w:tr w:rsidR="00331D3B" w:rsidTr="00331D3B">
        <w:trPr>
          <w:trHeight w:val="300"/>
        </w:trPr>
        <w:tc>
          <w:tcPr>
            <w:tcW w:w="1950" w:type="pct"/>
            <w:tcBorders>
              <w:top w:val="nil"/>
              <w:left w:val="single" w:sz="4" w:space="0" w:color="auto"/>
              <w:bottom w:val="single" w:sz="4" w:space="0" w:color="auto"/>
              <w:right w:val="single" w:sz="4" w:space="0" w:color="auto"/>
            </w:tcBorders>
            <w:shd w:val="clear" w:color="auto" w:fill="auto"/>
            <w:noWrap/>
            <w:tcMar>
              <w:top w:w="15" w:type="dxa"/>
              <w:left w:w="405" w:type="dxa"/>
              <w:bottom w:w="0" w:type="dxa"/>
              <w:right w:w="15" w:type="dxa"/>
            </w:tcMar>
            <w:vAlign w:val="center"/>
            <w:hideMark/>
          </w:tcPr>
          <w:p w:rsidR="00331D3B" w:rsidRDefault="00331D3B" w:rsidP="00331D3B">
            <w:pPr>
              <w:spacing w:line="240" w:lineRule="auto"/>
              <w:ind w:firstLineChars="300" w:firstLine="660"/>
              <w:contextualSpacing/>
              <w:jc w:val="left"/>
              <w:rPr>
                <w:rFonts w:ascii="Calibri" w:hAnsi="Calibri" w:cs="Calibri"/>
                <w:color w:val="000000"/>
                <w:sz w:val="22"/>
                <w:szCs w:val="22"/>
              </w:rPr>
            </w:pPr>
            <w:r>
              <w:rPr>
                <w:rFonts w:ascii="Calibri" w:hAnsi="Calibri" w:cs="Calibri"/>
                <w:color w:val="000000"/>
                <w:sz w:val="22"/>
                <w:szCs w:val="22"/>
              </w:rPr>
              <w:t>Male</w:t>
            </w:r>
          </w:p>
        </w:tc>
        <w:tc>
          <w:tcPr>
            <w:tcW w:w="48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17</w:t>
            </w:r>
          </w:p>
        </w:tc>
        <w:tc>
          <w:tcPr>
            <w:tcW w:w="64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94.44%</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5.72%</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5.55%</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r>
              <w:rPr>
                <w:rFonts w:ascii="Calibri" w:hAnsi="Calibri" w:cs="Calibri"/>
                <w:color w:val="000000"/>
                <w:sz w:val="22"/>
                <w:szCs w:val="22"/>
              </w:rPr>
              <w:t>5.84%</w:t>
            </w:r>
          </w:p>
        </w:tc>
        <w:tc>
          <w:tcPr>
            <w:tcW w:w="48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31D3B" w:rsidRDefault="00331D3B" w:rsidP="00331D3B">
            <w:pPr>
              <w:spacing w:line="240" w:lineRule="auto"/>
              <w:contextualSpacing/>
              <w:jc w:val="center"/>
              <w:rPr>
                <w:rFonts w:ascii="Calibri" w:hAnsi="Calibri" w:cs="Calibri"/>
                <w:color w:val="000000"/>
                <w:sz w:val="22"/>
                <w:szCs w:val="22"/>
              </w:rPr>
            </w:pPr>
          </w:p>
        </w:tc>
      </w:tr>
    </w:tbl>
    <w:p w:rsidR="00331D3B" w:rsidRPr="00331D3B" w:rsidRDefault="00331D3B" w:rsidP="00331D3B">
      <w:pPr>
        <w:rPr>
          <w:lang w:val="en-ZA"/>
        </w:rPr>
      </w:pPr>
    </w:p>
    <w:p w:rsidR="00D31954" w:rsidRPr="008633D2" w:rsidRDefault="00D31954" w:rsidP="0044202E">
      <w:pPr>
        <w:pStyle w:val="Heading2"/>
        <w:rPr>
          <w:lang w:val="en-ZA"/>
        </w:rPr>
      </w:pPr>
      <w:bookmarkStart w:id="244" w:name="_Toc458610822"/>
      <w:r w:rsidRPr="008633D2">
        <w:rPr>
          <w:lang w:val="en-ZA"/>
        </w:rPr>
        <w:t>Summary of the results</w:t>
      </w:r>
      <w:bookmarkEnd w:id="244"/>
    </w:p>
    <w:p w:rsidR="00A976E7" w:rsidRDefault="003A6F41" w:rsidP="003A6F41">
      <w:pPr>
        <w:rPr>
          <w:lang w:val="en-ZA"/>
        </w:rPr>
      </w:pPr>
      <w:r w:rsidRPr="008633D2">
        <w:rPr>
          <w:lang w:val="en-ZA"/>
        </w:rPr>
        <w:t>The results presented in this chapter indicate that in South Africa less than 10</w:t>
      </w:r>
      <w:r w:rsidR="00084A6F">
        <w:rPr>
          <w:lang w:val="en-ZA"/>
        </w:rPr>
        <w:t>%</w:t>
      </w:r>
      <w:r w:rsidRPr="008633D2">
        <w:rPr>
          <w:lang w:val="en-ZA"/>
        </w:rPr>
        <w:t xml:space="preserve"> of all fund managers are female</w:t>
      </w:r>
      <w:r w:rsidR="00783A56">
        <w:rPr>
          <w:lang w:val="en-ZA"/>
        </w:rPr>
        <w:t>. F</w:t>
      </w:r>
      <w:r w:rsidR="00CC6274" w:rsidRPr="008633D2">
        <w:rPr>
          <w:lang w:val="en-ZA"/>
        </w:rPr>
        <w:t xml:space="preserve">emales manage </w:t>
      </w:r>
      <w:r w:rsidR="007969E2">
        <w:rPr>
          <w:lang w:val="en-ZA"/>
        </w:rPr>
        <w:t>fewer than</w:t>
      </w:r>
      <w:r w:rsidR="00CC6274" w:rsidRPr="008633D2">
        <w:rPr>
          <w:lang w:val="en-ZA"/>
        </w:rPr>
        <w:t xml:space="preserve"> 6</w:t>
      </w:r>
      <w:r w:rsidR="0086555A">
        <w:rPr>
          <w:lang w:val="en-ZA"/>
        </w:rPr>
        <w:t>%</w:t>
      </w:r>
      <w:r w:rsidR="00CC6274" w:rsidRPr="008633D2">
        <w:rPr>
          <w:lang w:val="en-ZA"/>
        </w:rPr>
        <w:t xml:space="preserve"> of South African funds</w:t>
      </w:r>
      <w:r w:rsidRPr="008633D2">
        <w:rPr>
          <w:lang w:val="en-ZA"/>
        </w:rPr>
        <w:t xml:space="preserve"> with only 5.4</w:t>
      </w:r>
      <w:r w:rsidR="0086555A">
        <w:rPr>
          <w:lang w:val="en-ZA"/>
        </w:rPr>
        <w:t>%</w:t>
      </w:r>
      <w:r w:rsidRPr="008633D2">
        <w:rPr>
          <w:lang w:val="en-ZA"/>
        </w:rPr>
        <w:t xml:space="preserve"> of assets under management being managed by an individual female.</w:t>
      </w:r>
      <w:r w:rsidR="00783A56">
        <w:rPr>
          <w:lang w:val="en-ZA"/>
        </w:rPr>
        <w:t xml:space="preserve"> </w:t>
      </w:r>
      <w:r w:rsidR="00527456">
        <w:rPr>
          <w:lang w:val="en-ZA"/>
        </w:rPr>
        <w:t>The total</w:t>
      </w:r>
      <w:r w:rsidR="00783A56">
        <w:rPr>
          <w:lang w:val="en-ZA"/>
        </w:rPr>
        <w:t xml:space="preserve"> fund size managed by females is much smaller than that managed </w:t>
      </w:r>
      <w:r w:rsidR="0046753E">
        <w:rPr>
          <w:lang w:val="en-ZA"/>
        </w:rPr>
        <w:t xml:space="preserve">by </w:t>
      </w:r>
      <w:r w:rsidR="00783A56">
        <w:rPr>
          <w:lang w:val="en-ZA"/>
        </w:rPr>
        <w:t xml:space="preserve">males, however if one looks at the average fund size managed by an individual female versus an individual male it is seen to be </w:t>
      </w:r>
      <w:r w:rsidR="0046753E">
        <w:rPr>
          <w:lang w:val="en-ZA"/>
        </w:rPr>
        <w:t xml:space="preserve">as </w:t>
      </w:r>
      <w:r w:rsidR="00783A56">
        <w:rPr>
          <w:lang w:val="en-ZA"/>
        </w:rPr>
        <w:t xml:space="preserve">much </w:t>
      </w:r>
      <w:r w:rsidR="0046753E">
        <w:rPr>
          <w:lang w:val="en-ZA"/>
        </w:rPr>
        <w:t xml:space="preserve">as </w:t>
      </w:r>
      <w:r w:rsidR="00783A56">
        <w:rPr>
          <w:lang w:val="en-ZA"/>
        </w:rPr>
        <w:t>almost 25</w:t>
      </w:r>
      <w:r w:rsidR="0086555A">
        <w:rPr>
          <w:lang w:val="en-ZA"/>
        </w:rPr>
        <w:t>%</w:t>
      </w:r>
      <w:r w:rsidR="00783A56">
        <w:rPr>
          <w:lang w:val="en-ZA"/>
        </w:rPr>
        <w:t xml:space="preserve"> higher. </w:t>
      </w:r>
      <w:r w:rsidRPr="008633D2">
        <w:rPr>
          <w:lang w:val="en-ZA"/>
        </w:rPr>
        <w:t xml:space="preserve">  </w:t>
      </w:r>
    </w:p>
    <w:p w:rsidR="00783A56" w:rsidRDefault="00783A56" w:rsidP="003A6F41">
      <w:pPr>
        <w:rPr>
          <w:lang w:val="en-ZA"/>
        </w:rPr>
      </w:pPr>
    </w:p>
    <w:p w:rsidR="00783A56" w:rsidRPr="008633D2" w:rsidRDefault="00783A56" w:rsidP="003A6F41">
      <w:pPr>
        <w:rPr>
          <w:lang w:val="en-ZA"/>
        </w:rPr>
      </w:pPr>
      <w:r>
        <w:rPr>
          <w:lang w:val="en-ZA"/>
        </w:rPr>
        <w:t xml:space="preserve">When looking at the riskiness of funds managed by females versus those managed by males, where beta is used to quantify risk, it can be seen that both males and females exhibit similar risk profiles relative to the FTSE/JSE all share index. </w:t>
      </w:r>
    </w:p>
    <w:p w:rsidR="00A976E7" w:rsidRDefault="00A976E7" w:rsidP="003A6F41">
      <w:pPr>
        <w:rPr>
          <w:lang w:val="en-ZA"/>
        </w:rPr>
      </w:pPr>
    </w:p>
    <w:p w:rsidR="00E6461C" w:rsidRDefault="00783A56" w:rsidP="003A6F41">
      <w:pPr>
        <w:rPr>
          <w:lang w:val="en-ZA"/>
        </w:rPr>
      </w:pPr>
      <w:r>
        <w:rPr>
          <w:lang w:val="en-ZA"/>
        </w:rPr>
        <w:t xml:space="preserve">There </w:t>
      </w:r>
      <w:r w:rsidR="00D85665">
        <w:rPr>
          <w:lang w:val="en-ZA"/>
        </w:rPr>
        <w:t>are</w:t>
      </w:r>
      <w:r>
        <w:rPr>
          <w:lang w:val="en-ZA"/>
        </w:rPr>
        <w:t xml:space="preserve"> no statistically significant results to indicate that</w:t>
      </w:r>
      <w:r w:rsidR="00E6461C">
        <w:rPr>
          <w:lang w:val="en-ZA"/>
        </w:rPr>
        <w:t xml:space="preserve"> funds managed by a male</w:t>
      </w:r>
      <w:r>
        <w:rPr>
          <w:lang w:val="en-ZA"/>
        </w:rPr>
        <w:t xml:space="preserve"> fund manager outperform</w:t>
      </w:r>
      <w:r w:rsidR="00E6461C">
        <w:rPr>
          <w:lang w:val="en-ZA"/>
        </w:rPr>
        <w:t xml:space="preserve"> the</w:t>
      </w:r>
      <w:r>
        <w:rPr>
          <w:lang w:val="en-ZA"/>
        </w:rPr>
        <w:t xml:space="preserve"> corresponding </w:t>
      </w:r>
      <w:r w:rsidR="00591A26">
        <w:rPr>
          <w:lang w:val="en-ZA"/>
        </w:rPr>
        <w:t xml:space="preserve">female managed fund </w:t>
      </w:r>
      <w:r w:rsidR="00E6461C">
        <w:rPr>
          <w:lang w:val="en-ZA"/>
        </w:rPr>
        <w:t>over any of the periods considered. It also cannot be</w:t>
      </w:r>
      <w:r w:rsidR="00591A26">
        <w:rPr>
          <w:lang w:val="en-ZA"/>
        </w:rPr>
        <w:t xml:space="preserve"> significantly</w:t>
      </w:r>
      <w:r w:rsidR="00E6461C">
        <w:rPr>
          <w:lang w:val="en-ZA"/>
        </w:rPr>
        <w:t xml:space="preserve"> shown that</w:t>
      </w:r>
      <w:r w:rsidR="00591A26">
        <w:rPr>
          <w:lang w:val="en-ZA"/>
        </w:rPr>
        <w:t xml:space="preserve"> when considering the average returns of</w:t>
      </w:r>
      <w:r w:rsidR="00E6461C">
        <w:rPr>
          <w:lang w:val="en-ZA"/>
        </w:rPr>
        <w:t xml:space="preserve"> all male managed funds </w:t>
      </w:r>
      <w:r w:rsidR="00591A26">
        <w:rPr>
          <w:lang w:val="en-ZA"/>
        </w:rPr>
        <w:t xml:space="preserve">in the industry and </w:t>
      </w:r>
      <w:r w:rsidR="00E6461C">
        <w:rPr>
          <w:lang w:val="en-ZA"/>
        </w:rPr>
        <w:t xml:space="preserve">all female managed funds </w:t>
      </w:r>
      <w:r w:rsidR="00591A26">
        <w:rPr>
          <w:lang w:val="en-ZA"/>
        </w:rPr>
        <w:t>in the industry that once group consistently outperforms the other across all terms</w:t>
      </w:r>
      <w:r w:rsidR="00E6461C">
        <w:rPr>
          <w:lang w:val="en-ZA"/>
        </w:rPr>
        <w:t>.</w:t>
      </w:r>
    </w:p>
    <w:p w:rsidR="00E6461C" w:rsidRDefault="00E6461C" w:rsidP="003A6F41">
      <w:pPr>
        <w:rPr>
          <w:lang w:val="en-ZA"/>
        </w:rPr>
      </w:pPr>
    </w:p>
    <w:p w:rsidR="003A6F41" w:rsidRPr="008633D2" w:rsidRDefault="00E6461C" w:rsidP="003A6F41">
      <w:pPr>
        <w:rPr>
          <w:lang w:val="en-ZA"/>
        </w:rPr>
      </w:pPr>
      <w:r>
        <w:rPr>
          <w:lang w:val="en-ZA"/>
        </w:rPr>
        <w:t>The results indicate that</w:t>
      </w:r>
      <w:r w:rsidR="00084A6F">
        <w:rPr>
          <w:lang w:val="en-ZA"/>
        </w:rPr>
        <w:t>,</w:t>
      </w:r>
      <w:r>
        <w:rPr>
          <w:lang w:val="en-ZA"/>
        </w:rPr>
        <w:t xml:space="preserve"> on average</w:t>
      </w:r>
      <w:r w:rsidR="00084A6F">
        <w:rPr>
          <w:lang w:val="en-ZA"/>
        </w:rPr>
        <w:t>,</w:t>
      </w:r>
      <w:r>
        <w:rPr>
          <w:lang w:val="en-ZA"/>
        </w:rPr>
        <w:t xml:space="preserve"> b</w:t>
      </w:r>
      <w:r w:rsidR="00623255" w:rsidRPr="008633D2">
        <w:rPr>
          <w:lang w:val="en-ZA"/>
        </w:rPr>
        <w:t>oth female managed funds and male managed funds outperform the benchmark index in the short term but underperform the benchmark index in the medium to long term</w:t>
      </w:r>
      <w:r w:rsidR="00CC6274" w:rsidRPr="008633D2">
        <w:rPr>
          <w:lang w:val="en-ZA"/>
        </w:rPr>
        <w:t xml:space="preserve">. </w:t>
      </w:r>
      <w:r w:rsidR="00A976E7" w:rsidRPr="008633D2">
        <w:rPr>
          <w:lang w:val="en-ZA"/>
        </w:rPr>
        <w:t xml:space="preserve">The results do not </w:t>
      </w:r>
      <w:r>
        <w:rPr>
          <w:lang w:val="en-ZA"/>
        </w:rPr>
        <w:t xml:space="preserve">show any significant </w:t>
      </w:r>
      <w:r w:rsidR="00A976E7" w:rsidRPr="008633D2">
        <w:rPr>
          <w:lang w:val="en-ZA"/>
        </w:rPr>
        <w:t xml:space="preserve">outperformance by female managed funds </w:t>
      </w:r>
      <w:r>
        <w:rPr>
          <w:lang w:val="en-ZA"/>
        </w:rPr>
        <w:t>in a particular ASISA sector. Preference of female funds managers to ce</w:t>
      </w:r>
      <w:r w:rsidR="00591A26">
        <w:rPr>
          <w:lang w:val="en-ZA"/>
        </w:rPr>
        <w:t>rtain ASISA sectors can be seen, in particular the high equity sectors.</w:t>
      </w:r>
    </w:p>
    <w:p w:rsidR="0043434C" w:rsidRPr="008633D2" w:rsidRDefault="003D33CF" w:rsidP="0035051A">
      <w:pPr>
        <w:pStyle w:val="Heading1"/>
        <w:rPr>
          <w:lang w:val="en-ZA"/>
        </w:rPr>
      </w:pPr>
      <w:bookmarkStart w:id="245" w:name="_Toc458610823"/>
      <w:r w:rsidRPr="008633D2">
        <w:rPr>
          <w:lang w:val="en-ZA"/>
        </w:rPr>
        <w:t>DISCUSSION OF THE RESULTS</w:t>
      </w:r>
      <w:bookmarkEnd w:id="245"/>
    </w:p>
    <w:p w:rsidR="00D31954" w:rsidRPr="008633D2" w:rsidRDefault="00D31954" w:rsidP="0044202E">
      <w:pPr>
        <w:pStyle w:val="Heading2"/>
        <w:rPr>
          <w:lang w:val="en-ZA"/>
        </w:rPr>
      </w:pPr>
      <w:bookmarkStart w:id="246" w:name="_Toc458610824"/>
      <w:r w:rsidRPr="008633D2">
        <w:rPr>
          <w:lang w:val="en-ZA"/>
        </w:rPr>
        <w:t>Introduction</w:t>
      </w:r>
      <w:bookmarkEnd w:id="246"/>
    </w:p>
    <w:p w:rsidR="00842C3F" w:rsidRDefault="000050D3" w:rsidP="00D31954">
      <w:pPr>
        <w:rPr>
          <w:lang w:val="en-ZA"/>
        </w:rPr>
      </w:pPr>
      <w:r w:rsidRPr="008633D2">
        <w:rPr>
          <w:lang w:val="en-ZA"/>
        </w:rPr>
        <w:t xml:space="preserve">This chapter </w:t>
      </w:r>
      <w:r w:rsidR="007D2D06">
        <w:rPr>
          <w:lang w:val="en-ZA"/>
        </w:rPr>
        <w:t xml:space="preserve">delves into the details of the results presented in </w:t>
      </w:r>
      <w:r w:rsidRPr="008633D2">
        <w:rPr>
          <w:lang w:val="en-ZA"/>
        </w:rPr>
        <w:t>the previous chapter.</w:t>
      </w:r>
      <w:r w:rsidR="007D2D06">
        <w:rPr>
          <w:lang w:val="en-ZA"/>
        </w:rPr>
        <w:t xml:space="preserve"> The aim is to </w:t>
      </w:r>
      <w:r w:rsidR="00436706">
        <w:rPr>
          <w:lang w:val="en-ZA"/>
        </w:rPr>
        <w:t>analyse</w:t>
      </w:r>
      <w:r w:rsidR="007D2D06">
        <w:rPr>
          <w:lang w:val="en-ZA"/>
        </w:rPr>
        <w:t xml:space="preserve"> the results </w:t>
      </w:r>
      <w:r w:rsidR="00436706">
        <w:rPr>
          <w:lang w:val="en-ZA"/>
        </w:rPr>
        <w:t xml:space="preserve">presented in chapter 4 </w:t>
      </w:r>
      <w:r w:rsidR="007D2D06">
        <w:rPr>
          <w:lang w:val="en-ZA"/>
        </w:rPr>
        <w:t xml:space="preserve">and relate </w:t>
      </w:r>
      <w:r w:rsidR="00495C59">
        <w:rPr>
          <w:lang w:val="en-ZA"/>
        </w:rPr>
        <w:t xml:space="preserve">the </w:t>
      </w:r>
      <w:r w:rsidR="007D2D06">
        <w:rPr>
          <w:lang w:val="en-ZA"/>
        </w:rPr>
        <w:t xml:space="preserve">findings to the existing literature. </w:t>
      </w:r>
      <w:r w:rsidR="00436706">
        <w:rPr>
          <w:lang w:val="en-ZA"/>
        </w:rPr>
        <w:t xml:space="preserve">A discussion on the findings of the hypothesis testing is also </w:t>
      </w:r>
      <w:r w:rsidR="00E622E8">
        <w:rPr>
          <w:lang w:val="en-ZA"/>
        </w:rPr>
        <w:t>presented</w:t>
      </w:r>
      <w:r w:rsidR="00436706">
        <w:rPr>
          <w:lang w:val="en-ZA"/>
        </w:rPr>
        <w:t>. T</w:t>
      </w:r>
      <w:r w:rsidR="007D2D06">
        <w:rPr>
          <w:lang w:val="en-ZA"/>
        </w:rPr>
        <w:t>his chapter provides possible explanations for the results produced and</w:t>
      </w:r>
      <w:r w:rsidR="00436706">
        <w:rPr>
          <w:lang w:val="en-ZA"/>
        </w:rPr>
        <w:t xml:space="preserve"> presented in chapter 4. </w:t>
      </w:r>
    </w:p>
    <w:p w:rsidR="007D2D06" w:rsidRPr="008633D2" w:rsidRDefault="007D2D06" w:rsidP="00D31954">
      <w:pPr>
        <w:rPr>
          <w:lang w:val="en-ZA"/>
        </w:rPr>
      </w:pPr>
    </w:p>
    <w:p w:rsidR="00D31954" w:rsidRPr="008633D2" w:rsidRDefault="007E640E" w:rsidP="0044202E">
      <w:pPr>
        <w:pStyle w:val="Heading2"/>
        <w:rPr>
          <w:lang w:val="en-ZA"/>
        </w:rPr>
      </w:pPr>
      <w:bookmarkStart w:id="247" w:name="_Toc458610825"/>
      <w:r w:rsidRPr="008633D2">
        <w:rPr>
          <w:lang w:val="en-ZA"/>
        </w:rPr>
        <w:t>Discussion</w:t>
      </w:r>
      <w:r w:rsidR="00D31954" w:rsidRPr="008633D2">
        <w:rPr>
          <w:lang w:val="en-ZA"/>
        </w:rPr>
        <w:t xml:space="preserve"> pertaining to </w:t>
      </w:r>
      <w:r w:rsidR="003203B4" w:rsidRPr="008633D2">
        <w:rPr>
          <w:lang w:val="en-ZA"/>
        </w:rPr>
        <w:t>the performance of female managed unit trust</w:t>
      </w:r>
      <w:r w:rsidR="007F7693">
        <w:rPr>
          <w:lang w:val="en-ZA"/>
        </w:rPr>
        <w:t>s</w:t>
      </w:r>
      <w:r w:rsidR="003203B4" w:rsidRPr="008633D2">
        <w:rPr>
          <w:lang w:val="en-ZA"/>
        </w:rPr>
        <w:t xml:space="preserve"> in South Africa</w:t>
      </w:r>
      <w:bookmarkEnd w:id="247"/>
    </w:p>
    <w:p w:rsidR="004448A6" w:rsidRPr="008633D2" w:rsidRDefault="004448A6" w:rsidP="00DD3D9D">
      <w:pPr>
        <w:pStyle w:val="Heading3"/>
        <w:rPr>
          <w:lang w:val="en-ZA"/>
        </w:rPr>
      </w:pPr>
      <w:bookmarkStart w:id="248" w:name="_Toc458610826"/>
      <w:r w:rsidRPr="008633D2">
        <w:rPr>
          <w:lang w:val="en-ZA"/>
        </w:rPr>
        <w:t>The</w:t>
      </w:r>
      <w:r w:rsidR="000C7CFD">
        <w:rPr>
          <w:lang w:val="en-ZA"/>
        </w:rPr>
        <w:t xml:space="preserve"> presence of females in the u</w:t>
      </w:r>
      <w:r w:rsidRPr="008633D2">
        <w:rPr>
          <w:lang w:val="en-ZA"/>
        </w:rPr>
        <w:t xml:space="preserve">nit </w:t>
      </w:r>
      <w:r w:rsidR="000C7CFD">
        <w:rPr>
          <w:lang w:val="en-ZA"/>
        </w:rPr>
        <w:t>tr</w:t>
      </w:r>
      <w:r w:rsidRPr="008633D2">
        <w:rPr>
          <w:lang w:val="en-ZA"/>
        </w:rPr>
        <w:t xml:space="preserve">ust </w:t>
      </w:r>
      <w:r w:rsidR="000C7CFD">
        <w:rPr>
          <w:lang w:val="en-ZA"/>
        </w:rPr>
        <w:t>industry of</w:t>
      </w:r>
      <w:r w:rsidRPr="008633D2">
        <w:rPr>
          <w:lang w:val="en-ZA"/>
        </w:rPr>
        <w:t xml:space="preserve"> South Africa</w:t>
      </w:r>
      <w:bookmarkEnd w:id="248"/>
    </w:p>
    <w:p w:rsidR="008F0745" w:rsidRDefault="00E600D5" w:rsidP="00436706">
      <w:pPr>
        <w:rPr>
          <w:lang w:val="en-ZA"/>
        </w:rPr>
      </w:pPr>
      <w:r w:rsidRPr="008633D2">
        <w:rPr>
          <w:lang w:val="en-ZA"/>
        </w:rPr>
        <w:t xml:space="preserve">When looking at the unit trust industry </w:t>
      </w:r>
      <w:r w:rsidR="0092221D">
        <w:rPr>
          <w:lang w:val="en-ZA"/>
        </w:rPr>
        <w:t>in both South Africa and globally, the</w:t>
      </w:r>
      <w:r w:rsidR="003A12F5" w:rsidRPr="008633D2">
        <w:rPr>
          <w:lang w:val="en-ZA"/>
        </w:rPr>
        <w:t xml:space="preserve"> </w:t>
      </w:r>
      <w:r w:rsidR="00436706">
        <w:rPr>
          <w:lang w:val="en-ZA"/>
        </w:rPr>
        <w:t>review of existing literature presented in chapter 2 clearly indicated</w:t>
      </w:r>
      <w:r w:rsidR="000E2C30" w:rsidRPr="008633D2">
        <w:rPr>
          <w:lang w:val="en-ZA"/>
        </w:rPr>
        <w:t xml:space="preserve"> </w:t>
      </w:r>
      <w:r w:rsidR="00436706">
        <w:rPr>
          <w:lang w:val="en-ZA"/>
        </w:rPr>
        <w:t>that it is an industry that is growing rapidly</w:t>
      </w:r>
      <w:r w:rsidR="00084A6F">
        <w:rPr>
          <w:lang w:val="en-ZA"/>
        </w:rPr>
        <w:t>,</w:t>
      </w:r>
      <w:r w:rsidR="00436706">
        <w:rPr>
          <w:lang w:val="en-ZA"/>
        </w:rPr>
        <w:t xml:space="preserve"> however it </w:t>
      </w:r>
      <w:r w:rsidR="005270E0">
        <w:rPr>
          <w:lang w:val="en-ZA"/>
        </w:rPr>
        <w:t xml:space="preserve">remains largely a </w:t>
      </w:r>
      <w:r w:rsidRPr="008633D2">
        <w:rPr>
          <w:lang w:val="en-ZA"/>
        </w:rPr>
        <w:t>male dominated field</w:t>
      </w:r>
      <w:r w:rsidR="00436706" w:rsidRPr="008633D2">
        <w:rPr>
          <w:lang w:val="en-ZA"/>
        </w:rPr>
        <w:t xml:space="preserve">. </w:t>
      </w:r>
      <w:r w:rsidR="00436706">
        <w:rPr>
          <w:noProof/>
          <w:lang w:val="en-US"/>
        </w:rPr>
        <w:t xml:space="preserve">Lutton and Davis </w:t>
      </w:r>
      <w:sdt>
        <w:sdtPr>
          <w:rPr>
            <w:lang w:val="en-ZA"/>
          </w:rPr>
          <w:id w:val="-1687974818"/>
          <w:citation/>
        </w:sdtPr>
        <w:sdtEndPr/>
        <w:sdtContent>
          <w:r w:rsidR="00436706">
            <w:rPr>
              <w:lang w:val="en-ZA"/>
            </w:rPr>
            <w:fldChar w:fldCharType="begin"/>
          </w:r>
          <w:r w:rsidR="005B7BCE">
            <w:rPr>
              <w:lang w:val="en-US"/>
            </w:rPr>
            <w:instrText xml:space="preserve">CITATION Lut15 \n  \t  \l 1033 </w:instrText>
          </w:r>
          <w:r w:rsidR="00436706">
            <w:rPr>
              <w:lang w:val="en-ZA"/>
            </w:rPr>
            <w:fldChar w:fldCharType="separate"/>
          </w:r>
          <w:r w:rsidR="005B7BCE">
            <w:rPr>
              <w:noProof/>
              <w:lang w:val="en-US"/>
            </w:rPr>
            <w:t>(2015)</w:t>
          </w:r>
          <w:r w:rsidR="00436706">
            <w:rPr>
              <w:lang w:val="en-ZA"/>
            </w:rPr>
            <w:fldChar w:fldCharType="end"/>
          </w:r>
        </w:sdtContent>
      </w:sdt>
      <w:r w:rsidR="00436706">
        <w:rPr>
          <w:lang w:val="en-ZA"/>
        </w:rPr>
        <w:t xml:space="preserve"> conducted a study of the United States mutual</w:t>
      </w:r>
      <w:r w:rsidR="008F0745">
        <w:rPr>
          <w:lang w:val="en-ZA"/>
        </w:rPr>
        <w:t xml:space="preserve"> fund industry as at June 2015,  which highlighted </w:t>
      </w:r>
      <w:r w:rsidR="00436706">
        <w:rPr>
          <w:lang w:val="en-ZA"/>
        </w:rPr>
        <w:t xml:space="preserve">that the </w:t>
      </w:r>
      <w:r w:rsidR="007969E2">
        <w:rPr>
          <w:lang w:val="en-ZA"/>
        </w:rPr>
        <w:t>number of female fund managers remains</w:t>
      </w:r>
      <w:r w:rsidR="00436706">
        <w:rPr>
          <w:lang w:val="en-ZA"/>
        </w:rPr>
        <w:t xml:space="preserve"> </w:t>
      </w:r>
      <w:r w:rsidR="007969E2">
        <w:rPr>
          <w:lang w:val="en-ZA"/>
        </w:rPr>
        <w:t>low;</w:t>
      </w:r>
      <w:r w:rsidR="00E622E8">
        <w:rPr>
          <w:lang w:val="en-ZA"/>
        </w:rPr>
        <w:t xml:space="preserve"> </w:t>
      </w:r>
      <w:r w:rsidR="00436706">
        <w:rPr>
          <w:lang w:val="en-ZA"/>
        </w:rPr>
        <w:t>at 9</w:t>
      </w:r>
      <w:r w:rsidR="0086555A">
        <w:rPr>
          <w:lang w:val="en-ZA"/>
        </w:rPr>
        <w:t>%</w:t>
      </w:r>
      <w:r w:rsidR="00436706">
        <w:rPr>
          <w:lang w:val="en-ZA"/>
        </w:rPr>
        <w:t xml:space="preserve"> and that the number of funds managed by females was even lower at 2.5</w:t>
      </w:r>
      <w:r w:rsidR="0086555A">
        <w:rPr>
          <w:lang w:val="en-ZA"/>
        </w:rPr>
        <w:t>%</w:t>
      </w:r>
      <w:r w:rsidR="00E622E8">
        <w:rPr>
          <w:lang w:val="en-ZA"/>
        </w:rPr>
        <w:t xml:space="preserve">. </w:t>
      </w:r>
    </w:p>
    <w:p w:rsidR="008F0745" w:rsidRDefault="008F0745" w:rsidP="00436706">
      <w:pPr>
        <w:rPr>
          <w:lang w:val="en-ZA"/>
        </w:rPr>
      </w:pPr>
    </w:p>
    <w:p w:rsidR="008F0745" w:rsidRDefault="008F0745" w:rsidP="00436706">
      <w:pPr>
        <w:rPr>
          <w:lang w:val="en-ZA"/>
        </w:rPr>
      </w:pPr>
    </w:p>
    <w:p w:rsidR="008F0745" w:rsidRDefault="008F0745" w:rsidP="00436706">
      <w:pPr>
        <w:rPr>
          <w:lang w:val="en-ZA"/>
        </w:rPr>
      </w:pPr>
    </w:p>
    <w:p w:rsidR="008F0745" w:rsidRDefault="008F0745" w:rsidP="00436706">
      <w:pPr>
        <w:rPr>
          <w:lang w:val="en-ZA"/>
        </w:rPr>
      </w:pPr>
    </w:p>
    <w:p w:rsidR="00436706" w:rsidRDefault="00436706" w:rsidP="00436706">
      <w:pPr>
        <w:rPr>
          <w:lang w:val="en-ZA"/>
        </w:rPr>
      </w:pPr>
      <w:r>
        <w:rPr>
          <w:lang w:val="en-ZA"/>
        </w:rPr>
        <w:t xml:space="preserve">The </w:t>
      </w:r>
      <w:r w:rsidR="007969E2">
        <w:rPr>
          <w:lang w:val="en-ZA"/>
        </w:rPr>
        <w:t>results of this research are</w:t>
      </w:r>
      <w:r>
        <w:rPr>
          <w:lang w:val="en-ZA"/>
        </w:rPr>
        <w:t xml:space="preserve"> consistent with </w:t>
      </w:r>
      <w:r>
        <w:rPr>
          <w:noProof/>
          <w:lang w:val="en-US"/>
        </w:rPr>
        <w:t xml:space="preserve">Lutton and Davis’s </w:t>
      </w:r>
      <w:sdt>
        <w:sdtPr>
          <w:rPr>
            <w:lang w:val="en-ZA"/>
          </w:rPr>
          <w:id w:val="-1356802904"/>
          <w:citation/>
        </w:sdtPr>
        <w:sdtEndPr/>
        <w:sdtContent>
          <w:r>
            <w:rPr>
              <w:lang w:val="en-ZA"/>
            </w:rPr>
            <w:fldChar w:fldCharType="begin"/>
          </w:r>
          <w:r w:rsidR="005B7BCE">
            <w:rPr>
              <w:lang w:val="en-US"/>
            </w:rPr>
            <w:instrText xml:space="preserve">CITATION Lut15 \n  \t  \l 1033 </w:instrText>
          </w:r>
          <w:r>
            <w:rPr>
              <w:lang w:val="en-ZA"/>
            </w:rPr>
            <w:fldChar w:fldCharType="separate"/>
          </w:r>
          <w:r w:rsidR="005B7BCE">
            <w:rPr>
              <w:noProof/>
              <w:lang w:val="en-US"/>
            </w:rPr>
            <w:t>(2015)</w:t>
          </w:r>
          <w:r>
            <w:rPr>
              <w:lang w:val="en-ZA"/>
            </w:rPr>
            <w:fldChar w:fldCharType="end"/>
          </w:r>
        </w:sdtContent>
      </w:sdt>
      <w:r>
        <w:rPr>
          <w:lang w:val="en-ZA"/>
        </w:rPr>
        <w:t xml:space="preserve"> findings</w:t>
      </w:r>
      <w:r w:rsidR="00495C59">
        <w:rPr>
          <w:lang w:val="en-ZA"/>
        </w:rPr>
        <w:t xml:space="preserve"> as </w:t>
      </w:r>
      <w:r w:rsidR="00E622E8">
        <w:rPr>
          <w:lang w:val="en-ZA"/>
        </w:rPr>
        <w:t>seen in table 3 and table 5</w:t>
      </w:r>
      <w:r>
        <w:rPr>
          <w:lang w:val="en-ZA"/>
        </w:rPr>
        <w:t xml:space="preserve">. </w:t>
      </w:r>
      <w:r w:rsidR="00E622E8">
        <w:rPr>
          <w:lang w:val="en-ZA"/>
        </w:rPr>
        <w:t>The</w:t>
      </w:r>
      <w:r>
        <w:rPr>
          <w:lang w:val="en-ZA"/>
        </w:rPr>
        <w:t xml:space="preserve"> </w:t>
      </w:r>
      <w:r w:rsidR="00495C59">
        <w:rPr>
          <w:lang w:val="en-ZA"/>
        </w:rPr>
        <w:t>findings of this research indicate that</w:t>
      </w:r>
      <w:r>
        <w:rPr>
          <w:lang w:val="en-ZA"/>
        </w:rPr>
        <w:t xml:space="preserve"> in </w:t>
      </w:r>
      <w:r w:rsidRPr="008633D2">
        <w:rPr>
          <w:lang w:val="en-ZA"/>
        </w:rPr>
        <w:t>South Africa</w:t>
      </w:r>
      <w:r>
        <w:rPr>
          <w:lang w:val="en-ZA"/>
        </w:rPr>
        <w:t>, 8.91</w:t>
      </w:r>
      <w:r w:rsidR="0086555A">
        <w:rPr>
          <w:lang w:val="en-ZA"/>
        </w:rPr>
        <w:t>%</w:t>
      </w:r>
      <w:r w:rsidRPr="008633D2">
        <w:rPr>
          <w:lang w:val="en-ZA"/>
        </w:rPr>
        <w:t xml:space="preserve"> of all </w:t>
      </w:r>
      <w:r w:rsidR="008F0745">
        <w:rPr>
          <w:lang w:val="en-ZA"/>
        </w:rPr>
        <w:t xml:space="preserve">fund managers </w:t>
      </w:r>
      <w:r>
        <w:rPr>
          <w:lang w:val="en-ZA"/>
        </w:rPr>
        <w:t>as at 30 June 2015</w:t>
      </w:r>
      <w:r w:rsidR="008F0745">
        <w:rPr>
          <w:lang w:val="en-ZA"/>
        </w:rPr>
        <w:t xml:space="preserve"> were female and </w:t>
      </w:r>
      <w:r>
        <w:rPr>
          <w:lang w:val="en-ZA"/>
        </w:rPr>
        <w:t xml:space="preserve">these females </w:t>
      </w:r>
      <w:r w:rsidRPr="008633D2">
        <w:rPr>
          <w:lang w:val="en-ZA"/>
        </w:rPr>
        <w:t xml:space="preserve">manage </w:t>
      </w:r>
      <w:r>
        <w:rPr>
          <w:lang w:val="en-ZA"/>
        </w:rPr>
        <w:t>just 6</w:t>
      </w:r>
      <w:r w:rsidR="005270E0">
        <w:rPr>
          <w:lang w:val="en-ZA"/>
        </w:rPr>
        <w:t>%</w:t>
      </w:r>
      <w:r>
        <w:rPr>
          <w:lang w:val="en-ZA"/>
        </w:rPr>
        <w:t xml:space="preserve"> of South African funds.</w:t>
      </w:r>
      <w:r w:rsidRPr="008633D2">
        <w:rPr>
          <w:lang w:val="en-ZA"/>
        </w:rPr>
        <w:t xml:space="preserve"> </w:t>
      </w:r>
      <w:r>
        <w:rPr>
          <w:lang w:val="en-ZA"/>
        </w:rPr>
        <w:t xml:space="preserve">A meagre </w:t>
      </w:r>
      <w:r w:rsidR="00E622E8">
        <w:rPr>
          <w:lang w:val="en-ZA"/>
        </w:rPr>
        <w:t>5.38</w:t>
      </w:r>
      <w:r w:rsidR="005270E0">
        <w:rPr>
          <w:lang w:val="en-ZA"/>
        </w:rPr>
        <w:t>%</w:t>
      </w:r>
      <w:r w:rsidRPr="008633D2">
        <w:rPr>
          <w:lang w:val="en-ZA"/>
        </w:rPr>
        <w:t xml:space="preserve"> of </w:t>
      </w:r>
      <w:r>
        <w:rPr>
          <w:lang w:val="en-ZA"/>
        </w:rPr>
        <w:t xml:space="preserve">total </w:t>
      </w:r>
      <w:r w:rsidRPr="008633D2">
        <w:rPr>
          <w:lang w:val="en-ZA"/>
        </w:rPr>
        <w:t>assets under management</w:t>
      </w:r>
      <w:r>
        <w:rPr>
          <w:lang w:val="en-ZA"/>
        </w:rPr>
        <w:t xml:space="preserve"> in the South African unit trust industry </w:t>
      </w:r>
      <w:r w:rsidR="007969E2">
        <w:rPr>
          <w:lang w:val="en-ZA"/>
        </w:rPr>
        <w:t>are</w:t>
      </w:r>
      <w:r>
        <w:rPr>
          <w:lang w:val="en-ZA"/>
        </w:rPr>
        <w:t xml:space="preserve"> being managed by </w:t>
      </w:r>
      <w:r w:rsidRPr="008633D2">
        <w:rPr>
          <w:lang w:val="en-ZA"/>
        </w:rPr>
        <w:t>female</w:t>
      </w:r>
      <w:r>
        <w:rPr>
          <w:lang w:val="en-ZA"/>
        </w:rPr>
        <w:t xml:space="preserve"> fund managers</w:t>
      </w:r>
      <w:r w:rsidR="00084A6F">
        <w:rPr>
          <w:lang w:val="en-ZA"/>
        </w:rPr>
        <w:t>,</w:t>
      </w:r>
      <w:r w:rsidR="00E622E8">
        <w:rPr>
          <w:lang w:val="en-ZA"/>
        </w:rPr>
        <w:t xml:space="preserve"> as shown in table 7</w:t>
      </w:r>
      <w:r w:rsidRPr="008633D2">
        <w:rPr>
          <w:lang w:val="en-ZA"/>
        </w:rPr>
        <w:t xml:space="preserve">. </w:t>
      </w:r>
    </w:p>
    <w:p w:rsidR="008F0745" w:rsidRDefault="008F0745" w:rsidP="00436706">
      <w:pPr>
        <w:rPr>
          <w:lang w:val="en-ZA"/>
        </w:rPr>
      </w:pPr>
    </w:p>
    <w:p w:rsidR="000C7CFD" w:rsidRDefault="00436706" w:rsidP="00436706">
      <w:pPr>
        <w:rPr>
          <w:lang w:val="en-ZA"/>
        </w:rPr>
      </w:pPr>
      <w:r>
        <w:rPr>
          <w:lang w:val="en-ZA"/>
        </w:rPr>
        <w:t>Over the last 20 years, the number of f</w:t>
      </w:r>
      <w:r w:rsidR="00D85665">
        <w:rPr>
          <w:lang w:val="en-ZA"/>
        </w:rPr>
        <w:t>emale f</w:t>
      </w:r>
      <w:r>
        <w:rPr>
          <w:lang w:val="en-ZA"/>
        </w:rPr>
        <w:t>und managers in the United States equity mutual fund industry has hovered around 10</w:t>
      </w:r>
      <w:r w:rsidR="005270E0">
        <w:rPr>
          <w:lang w:val="en-ZA"/>
        </w:rPr>
        <w:t>%</w:t>
      </w:r>
      <w:sdt>
        <w:sdtPr>
          <w:rPr>
            <w:lang w:val="en-ZA"/>
          </w:rPr>
          <w:id w:val="-937983508"/>
          <w:citation/>
        </w:sdtPr>
        <w:sdtEndPr/>
        <w:sdtContent>
          <w:r>
            <w:rPr>
              <w:lang w:val="en-ZA"/>
            </w:rPr>
            <w:fldChar w:fldCharType="begin"/>
          </w:r>
          <w:r w:rsidR="005B7BCE">
            <w:rPr>
              <w:lang w:val="en-US"/>
            </w:rPr>
            <w:instrText xml:space="preserve">CITATION Nie15 \l 1033 </w:instrText>
          </w:r>
          <w:r>
            <w:rPr>
              <w:lang w:val="en-ZA"/>
            </w:rPr>
            <w:fldChar w:fldCharType="separate"/>
          </w:r>
          <w:r w:rsidR="005B7BCE">
            <w:rPr>
              <w:noProof/>
              <w:lang w:val="en-US"/>
            </w:rPr>
            <w:t xml:space="preserve"> (Niessen-Ruenzi &amp; Ruenzi, 2015)</w:t>
          </w:r>
          <w:r>
            <w:rPr>
              <w:lang w:val="en-ZA"/>
            </w:rPr>
            <w:fldChar w:fldCharType="end"/>
          </w:r>
        </w:sdtContent>
      </w:sdt>
      <w:r>
        <w:rPr>
          <w:lang w:val="en-ZA"/>
        </w:rPr>
        <w:t xml:space="preserve">. </w:t>
      </w:r>
      <w:r w:rsidR="00495C59">
        <w:rPr>
          <w:lang w:val="en-ZA"/>
        </w:rPr>
        <w:t xml:space="preserve">The findings of the research presented in this report </w:t>
      </w:r>
      <w:r w:rsidR="00512397">
        <w:rPr>
          <w:lang w:val="en-ZA"/>
        </w:rPr>
        <w:t>are</w:t>
      </w:r>
      <w:r w:rsidR="00495C59">
        <w:rPr>
          <w:lang w:val="en-ZA"/>
        </w:rPr>
        <w:t xml:space="preserve"> consistent with the </w:t>
      </w:r>
      <w:r w:rsidR="00E622E8">
        <w:rPr>
          <w:lang w:val="en-ZA"/>
        </w:rPr>
        <w:t xml:space="preserve">existing literature on the presence of female fund managers. </w:t>
      </w:r>
      <w:r>
        <w:rPr>
          <w:lang w:val="en-ZA"/>
        </w:rPr>
        <w:t>In South Africa, the number of female fund manage</w:t>
      </w:r>
      <w:r w:rsidR="00495C59">
        <w:rPr>
          <w:lang w:val="en-ZA"/>
        </w:rPr>
        <w:t>r</w:t>
      </w:r>
      <w:r>
        <w:rPr>
          <w:lang w:val="en-ZA"/>
        </w:rPr>
        <w:t xml:space="preserve">s has varied between </w:t>
      </w:r>
      <w:r w:rsidR="00495C59">
        <w:rPr>
          <w:lang w:val="en-ZA"/>
        </w:rPr>
        <w:t>9.4</w:t>
      </w:r>
      <w:r w:rsidR="005270E0">
        <w:rPr>
          <w:lang w:val="en-ZA"/>
        </w:rPr>
        <w:t>% and</w:t>
      </w:r>
      <w:r w:rsidR="00495C59">
        <w:rPr>
          <w:lang w:val="en-ZA"/>
        </w:rPr>
        <w:t xml:space="preserve"> 10.6</w:t>
      </w:r>
      <w:r>
        <w:rPr>
          <w:lang w:val="en-ZA"/>
        </w:rPr>
        <w:t>4</w:t>
      </w:r>
      <w:r w:rsidR="005270E0">
        <w:rPr>
          <w:lang w:val="en-ZA"/>
        </w:rPr>
        <w:t>%</w:t>
      </w:r>
      <w:r w:rsidR="00E622E8">
        <w:rPr>
          <w:lang w:val="en-ZA"/>
        </w:rPr>
        <w:t xml:space="preserve"> over the last 9</w:t>
      </w:r>
      <w:r>
        <w:rPr>
          <w:lang w:val="en-ZA"/>
        </w:rPr>
        <w:t xml:space="preserve"> years</w:t>
      </w:r>
      <w:r w:rsidR="00E622E8">
        <w:rPr>
          <w:lang w:val="en-ZA"/>
        </w:rPr>
        <w:t xml:space="preserve"> as highlighted in table 4</w:t>
      </w:r>
      <w:r>
        <w:rPr>
          <w:lang w:val="en-ZA"/>
        </w:rPr>
        <w:t>.</w:t>
      </w:r>
    </w:p>
    <w:p w:rsidR="000C7CFD" w:rsidRDefault="000C7CFD" w:rsidP="00436706">
      <w:pPr>
        <w:rPr>
          <w:lang w:val="en-ZA"/>
        </w:rPr>
      </w:pPr>
    </w:p>
    <w:p w:rsidR="00436706" w:rsidRPr="008633D2" w:rsidRDefault="00436706" w:rsidP="00436706">
      <w:pPr>
        <w:rPr>
          <w:lang w:val="en-ZA"/>
        </w:rPr>
      </w:pPr>
      <w:r w:rsidRPr="008633D2">
        <w:rPr>
          <w:lang w:val="en-ZA"/>
        </w:rPr>
        <w:t xml:space="preserve">It can be seen </w:t>
      </w:r>
      <w:r w:rsidR="00495C59">
        <w:rPr>
          <w:lang w:val="en-ZA"/>
        </w:rPr>
        <w:t xml:space="preserve">in figure </w:t>
      </w:r>
      <w:r w:rsidR="00E622E8">
        <w:rPr>
          <w:lang w:val="en-ZA"/>
        </w:rPr>
        <w:t>4</w:t>
      </w:r>
      <w:r w:rsidR="00495C59">
        <w:rPr>
          <w:lang w:val="en-ZA"/>
        </w:rPr>
        <w:t xml:space="preserve"> </w:t>
      </w:r>
      <w:r w:rsidRPr="008633D2">
        <w:rPr>
          <w:lang w:val="en-ZA"/>
        </w:rPr>
        <w:t>that the number of female fund managers has</w:t>
      </w:r>
      <w:r w:rsidR="00495C59">
        <w:rPr>
          <w:lang w:val="en-ZA"/>
        </w:rPr>
        <w:t xml:space="preserve"> been </w:t>
      </w:r>
      <w:r w:rsidRPr="008633D2">
        <w:rPr>
          <w:lang w:val="en-ZA"/>
        </w:rPr>
        <w:t>increas</w:t>
      </w:r>
      <w:r w:rsidR="00495C59">
        <w:rPr>
          <w:lang w:val="en-ZA"/>
        </w:rPr>
        <w:t xml:space="preserve">ing since 2007. However, this </w:t>
      </w:r>
      <w:r w:rsidRPr="008633D2">
        <w:rPr>
          <w:lang w:val="en-ZA"/>
        </w:rPr>
        <w:t>does not</w:t>
      </w:r>
      <w:r w:rsidR="00495C59">
        <w:rPr>
          <w:lang w:val="en-ZA"/>
        </w:rPr>
        <w:t xml:space="preserve"> necessarily</w:t>
      </w:r>
      <w:r w:rsidRPr="008633D2">
        <w:rPr>
          <w:lang w:val="en-ZA"/>
        </w:rPr>
        <w:t xml:space="preserve"> increase the percentage of female fund managers in the industry as the number of male fund managers has increased</w:t>
      </w:r>
      <w:r>
        <w:rPr>
          <w:lang w:val="en-ZA"/>
        </w:rPr>
        <w:t xml:space="preserve"> </w:t>
      </w:r>
      <w:r w:rsidR="005270E0">
        <w:rPr>
          <w:lang w:val="en-ZA"/>
        </w:rPr>
        <w:t>by a higher number</w:t>
      </w:r>
      <w:r w:rsidRPr="008633D2">
        <w:rPr>
          <w:lang w:val="en-ZA"/>
        </w:rPr>
        <w:t>.</w:t>
      </w:r>
      <w:r>
        <w:rPr>
          <w:lang w:val="en-ZA"/>
        </w:rPr>
        <w:t xml:space="preserve"> In fact, in South Africa the percentage of female </w:t>
      </w:r>
      <w:r w:rsidR="000C7CFD">
        <w:rPr>
          <w:lang w:val="en-ZA"/>
        </w:rPr>
        <w:t xml:space="preserve">fund </w:t>
      </w:r>
      <w:r>
        <w:rPr>
          <w:lang w:val="en-ZA"/>
        </w:rPr>
        <w:t>manage</w:t>
      </w:r>
      <w:r w:rsidR="000C7CFD">
        <w:rPr>
          <w:lang w:val="en-ZA"/>
        </w:rPr>
        <w:t>rs</w:t>
      </w:r>
      <w:r>
        <w:rPr>
          <w:lang w:val="en-ZA"/>
        </w:rPr>
        <w:t xml:space="preserve"> </w:t>
      </w:r>
      <w:r w:rsidR="00495C59">
        <w:rPr>
          <w:lang w:val="en-ZA"/>
        </w:rPr>
        <w:t>has decreased</w:t>
      </w:r>
      <w:r>
        <w:rPr>
          <w:lang w:val="en-ZA"/>
        </w:rPr>
        <w:t xml:space="preserve"> over the last three years</w:t>
      </w:r>
      <w:r w:rsidR="00E622E8">
        <w:rPr>
          <w:lang w:val="en-ZA"/>
        </w:rPr>
        <w:t xml:space="preserve"> as shown in table 4</w:t>
      </w:r>
      <w:r>
        <w:rPr>
          <w:lang w:val="en-ZA"/>
        </w:rPr>
        <w:t xml:space="preserve">. </w:t>
      </w:r>
      <w:r w:rsidR="000C7CFD">
        <w:rPr>
          <w:lang w:val="en-ZA"/>
        </w:rPr>
        <w:t xml:space="preserve">This finding is consistent with </w:t>
      </w:r>
      <w:r w:rsidR="000C7CFD">
        <w:rPr>
          <w:noProof/>
          <w:lang w:val="en-US"/>
        </w:rPr>
        <w:t xml:space="preserve">Newlands </w:t>
      </w:r>
      <w:sdt>
        <w:sdtPr>
          <w:rPr>
            <w:lang w:val="en-ZA"/>
          </w:rPr>
          <w:id w:val="-384944074"/>
          <w:citation/>
        </w:sdtPr>
        <w:sdtEndPr/>
        <w:sdtContent>
          <w:r w:rsidR="000C7CFD">
            <w:rPr>
              <w:lang w:val="en-ZA"/>
            </w:rPr>
            <w:fldChar w:fldCharType="begin"/>
          </w:r>
          <w:r w:rsidR="000C7CFD">
            <w:rPr>
              <w:lang w:val="en-US"/>
            </w:rPr>
            <w:instrText xml:space="preserve">CITATION New15 \n  \t  \l 1033 </w:instrText>
          </w:r>
          <w:r w:rsidR="000C7CFD">
            <w:rPr>
              <w:lang w:val="en-ZA"/>
            </w:rPr>
            <w:fldChar w:fldCharType="separate"/>
          </w:r>
          <w:r w:rsidR="000C7CFD">
            <w:rPr>
              <w:noProof/>
              <w:lang w:val="en-US"/>
            </w:rPr>
            <w:t>(2015)</w:t>
          </w:r>
          <w:r w:rsidR="000C7CFD">
            <w:rPr>
              <w:lang w:val="en-ZA"/>
            </w:rPr>
            <w:fldChar w:fldCharType="end"/>
          </w:r>
        </w:sdtContent>
      </w:sdt>
      <w:r w:rsidR="000C7CFD">
        <w:rPr>
          <w:lang w:val="en-ZA"/>
        </w:rPr>
        <w:t>, who note</w:t>
      </w:r>
      <w:r w:rsidR="005270E0">
        <w:rPr>
          <w:lang w:val="en-ZA"/>
        </w:rPr>
        <w:t>d</w:t>
      </w:r>
      <w:r w:rsidR="000C7CFD">
        <w:rPr>
          <w:lang w:val="en-ZA"/>
        </w:rPr>
        <w:t xml:space="preserve"> that the number of fund managers in the United States is in decline. The author offered that the image of the financial services industry </w:t>
      </w:r>
      <w:r w:rsidR="007969E2">
        <w:rPr>
          <w:lang w:val="en-ZA"/>
        </w:rPr>
        <w:t>might</w:t>
      </w:r>
      <w:r w:rsidR="000C7CFD">
        <w:rPr>
          <w:lang w:val="en-ZA"/>
        </w:rPr>
        <w:t xml:space="preserve"> be tarnished as the reason for the decline.</w:t>
      </w:r>
    </w:p>
    <w:p w:rsidR="00512397" w:rsidRDefault="00512397" w:rsidP="00436706">
      <w:pPr>
        <w:rPr>
          <w:lang w:val="en-ZA"/>
        </w:rPr>
      </w:pPr>
    </w:p>
    <w:p w:rsidR="008F0745" w:rsidRDefault="008F0745" w:rsidP="00436706">
      <w:pPr>
        <w:rPr>
          <w:lang w:val="en-ZA"/>
        </w:rPr>
      </w:pPr>
    </w:p>
    <w:p w:rsidR="008F0745" w:rsidRPr="008633D2" w:rsidRDefault="008F0745" w:rsidP="00436706">
      <w:pPr>
        <w:rPr>
          <w:lang w:val="en-ZA"/>
        </w:rPr>
      </w:pPr>
    </w:p>
    <w:p w:rsidR="008F0745" w:rsidRDefault="00436706" w:rsidP="00E600D5">
      <w:pPr>
        <w:rPr>
          <w:lang w:val="en-ZA"/>
        </w:rPr>
      </w:pPr>
      <w:r>
        <w:rPr>
          <w:lang w:val="en-ZA"/>
        </w:rPr>
        <w:t>The global growth of the industry could be explained by several reasons including greater household demand and the expansion of efficient capital markets</w:t>
      </w:r>
      <w:sdt>
        <w:sdtPr>
          <w:rPr>
            <w:lang w:val="en-ZA"/>
          </w:rPr>
          <w:id w:val="345600603"/>
          <w:citation/>
        </w:sdtPr>
        <w:sdtEndPr/>
        <w:sdtContent>
          <w:r>
            <w:rPr>
              <w:lang w:val="en-ZA"/>
            </w:rPr>
            <w:fldChar w:fldCharType="begin"/>
          </w:r>
          <w:r w:rsidR="005B7BCE">
            <w:rPr>
              <w:lang w:val="en-US"/>
            </w:rPr>
            <w:instrText xml:space="preserve">CITATION Pla14 \l 1033 </w:instrText>
          </w:r>
          <w:r>
            <w:rPr>
              <w:lang w:val="en-ZA"/>
            </w:rPr>
            <w:fldChar w:fldCharType="separate"/>
          </w:r>
          <w:r w:rsidR="005B7BCE">
            <w:rPr>
              <w:noProof/>
              <w:lang w:val="en-US"/>
            </w:rPr>
            <w:t xml:space="preserve"> (Plantier, 2014)</w:t>
          </w:r>
          <w:r>
            <w:rPr>
              <w:lang w:val="en-ZA"/>
            </w:rPr>
            <w:fldChar w:fldCharType="end"/>
          </w:r>
        </w:sdtContent>
      </w:sdt>
      <w:r>
        <w:rPr>
          <w:lang w:val="en-ZA"/>
        </w:rPr>
        <w:t xml:space="preserve">. </w:t>
      </w:r>
      <w:r w:rsidR="000C7CFD">
        <w:rPr>
          <w:lang w:val="en-ZA"/>
        </w:rPr>
        <w:t xml:space="preserve">Figure </w:t>
      </w:r>
      <w:r w:rsidR="005270E0">
        <w:rPr>
          <w:lang w:val="en-ZA"/>
        </w:rPr>
        <w:t>5</w:t>
      </w:r>
      <w:r w:rsidR="000C7CFD">
        <w:rPr>
          <w:lang w:val="en-ZA"/>
        </w:rPr>
        <w:t xml:space="preserve"> presented in chapter 4 s</w:t>
      </w:r>
      <w:r>
        <w:rPr>
          <w:lang w:val="en-ZA"/>
        </w:rPr>
        <w:t xml:space="preserve">hows </w:t>
      </w:r>
      <w:r w:rsidR="000C7CFD">
        <w:rPr>
          <w:lang w:val="en-ZA"/>
        </w:rPr>
        <w:t>that there has been a c</w:t>
      </w:r>
      <w:r>
        <w:rPr>
          <w:lang w:val="en-ZA"/>
        </w:rPr>
        <w:t xml:space="preserve">onsistent growth in the number of funds in South Africa. </w:t>
      </w:r>
      <w:r w:rsidR="000C7CFD">
        <w:rPr>
          <w:lang w:val="en-ZA"/>
        </w:rPr>
        <w:t xml:space="preserve">Table 6 highlights that although the number of funds in the South African financial industry has been </w:t>
      </w:r>
      <w:r w:rsidR="007969E2">
        <w:rPr>
          <w:lang w:val="en-ZA"/>
        </w:rPr>
        <w:t>increasing;</w:t>
      </w:r>
      <w:r w:rsidR="005A7A1A">
        <w:rPr>
          <w:lang w:val="en-ZA"/>
        </w:rPr>
        <w:t xml:space="preserve"> </w:t>
      </w:r>
      <w:r w:rsidR="000C7CFD">
        <w:rPr>
          <w:lang w:val="en-ZA"/>
        </w:rPr>
        <w:t xml:space="preserve">the rate of increase in the number of funds managed by males is higher than the rate of increase in the number </w:t>
      </w:r>
      <w:r w:rsidR="005A7A1A">
        <w:rPr>
          <w:lang w:val="en-ZA"/>
        </w:rPr>
        <w:t>funds managed by</w:t>
      </w:r>
      <w:r w:rsidR="000C7CFD">
        <w:rPr>
          <w:lang w:val="en-ZA"/>
        </w:rPr>
        <w:t xml:space="preserve"> females. Furthermore, table 6 highlights that the number of funds managed by females ranged from 5.53% to 6.79% of total funds in the industry</w:t>
      </w:r>
      <w:r w:rsidR="005A7A1A">
        <w:rPr>
          <w:lang w:val="en-ZA"/>
        </w:rPr>
        <w:t xml:space="preserve">. Note that </w:t>
      </w:r>
      <w:r w:rsidR="00D85665">
        <w:rPr>
          <w:lang w:val="en-ZA"/>
        </w:rPr>
        <w:t xml:space="preserve">only </w:t>
      </w:r>
      <w:r w:rsidR="000C7CFD">
        <w:rPr>
          <w:lang w:val="en-ZA"/>
        </w:rPr>
        <w:t xml:space="preserve">funds that </w:t>
      </w:r>
      <w:r w:rsidR="008F0745">
        <w:rPr>
          <w:lang w:val="en-ZA"/>
        </w:rPr>
        <w:t>for which</w:t>
      </w:r>
      <w:r w:rsidR="000C7CFD">
        <w:rPr>
          <w:lang w:val="en-ZA"/>
        </w:rPr>
        <w:t xml:space="preserve"> data </w:t>
      </w:r>
      <w:r w:rsidR="008F0745">
        <w:rPr>
          <w:lang w:val="en-ZA"/>
        </w:rPr>
        <w:t xml:space="preserve">was </w:t>
      </w:r>
      <w:r w:rsidR="000C7CFD">
        <w:rPr>
          <w:lang w:val="en-ZA"/>
        </w:rPr>
        <w:t xml:space="preserve">available for one year or more </w:t>
      </w:r>
      <w:r w:rsidR="005A7A1A">
        <w:rPr>
          <w:lang w:val="en-ZA"/>
        </w:rPr>
        <w:t>were</w:t>
      </w:r>
      <w:r w:rsidR="000C7CFD">
        <w:rPr>
          <w:lang w:val="en-ZA"/>
        </w:rPr>
        <w:t xml:space="preserve"> considered</w:t>
      </w:r>
      <w:r w:rsidR="008F0745">
        <w:rPr>
          <w:lang w:val="en-ZA"/>
        </w:rPr>
        <w:t xml:space="preserve"> to obtain these results.</w:t>
      </w:r>
    </w:p>
    <w:p w:rsidR="008F0745" w:rsidRPr="008F0745" w:rsidRDefault="008F0745" w:rsidP="00E600D5">
      <w:pPr>
        <w:rPr>
          <w:sz w:val="12"/>
          <w:szCs w:val="12"/>
          <w:lang w:val="en-ZA"/>
        </w:rPr>
      </w:pPr>
    </w:p>
    <w:p w:rsidR="008F0745" w:rsidRDefault="000C7CFD" w:rsidP="00E600D5">
      <w:pPr>
        <w:rPr>
          <w:lang w:val="en-ZA"/>
        </w:rPr>
      </w:pPr>
      <w:r>
        <w:rPr>
          <w:noProof/>
          <w:lang w:val="en-US"/>
        </w:rPr>
        <w:t xml:space="preserve">Niessen-Ruenzi and Ruenzi (2015) showed that in the United States, investors into mutual funds exhibit a gender bias and therefore the net inflows into funds managed by females are lower than </w:t>
      </w:r>
      <w:r w:rsidR="005A7A1A">
        <w:rPr>
          <w:noProof/>
          <w:lang w:val="en-US"/>
        </w:rPr>
        <w:t>that of funds</w:t>
      </w:r>
      <w:r>
        <w:rPr>
          <w:noProof/>
          <w:lang w:val="en-US"/>
        </w:rPr>
        <w:t xml:space="preserve"> managed by males. The summary of the size of funds managed in South Africa is shown in table 7. This table highlights that females manage just 5.38% of the South African unit trust industry. This number is very small considering that more than R1.8 billion is under management. </w:t>
      </w:r>
      <w:r w:rsidR="005A7A1A">
        <w:rPr>
          <w:noProof/>
          <w:lang w:val="en-US"/>
        </w:rPr>
        <w:t xml:space="preserve"> </w:t>
      </w:r>
    </w:p>
    <w:p w:rsidR="008F0745" w:rsidRPr="008F0745" w:rsidRDefault="008F0745" w:rsidP="00E600D5">
      <w:pPr>
        <w:rPr>
          <w:sz w:val="12"/>
          <w:szCs w:val="12"/>
          <w:lang w:val="en-ZA"/>
        </w:rPr>
      </w:pPr>
    </w:p>
    <w:p w:rsidR="000C7CFD" w:rsidRPr="008F0745" w:rsidRDefault="005A7A1A" w:rsidP="00E600D5">
      <w:pPr>
        <w:rPr>
          <w:lang w:val="en-ZA"/>
        </w:rPr>
      </w:pPr>
      <w:r>
        <w:rPr>
          <w:noProof/>
          <w:lang w:val="en-US"/>
        </w:rPr>
        <w:t xml:space="preserve">The </w:t>
      </w:r>
      <w:r w:rsidR="000C7CFD">
        <w:rPr>
          <w:noProof/>
          <w:lang w:val="en-US"/>
        </w:rPr>
        <w:t xml:space="preserve">last column of table </w:t>
      </w:r>
      <w:r>
        <w:rPr>
          <w:noProof/>
          <w:lang w:val="en-US"/>
        </w:rPr>
        <w:t xml:space="preserve">7 </w:t>
      </w:r>
      <w:r w:rsidR="008F0745">
        <w:rPr>
          <w:noProof/>
          <w:lang w:val="en-US"/>
        </w:rPr>
        <w:t>provided</w:t>
      </w:r>
      <w:r w:rsidR="000C7CFD">
        <w:rPr>
          <w:noProof/>
          <w:lang w:val="en-US"/>
        </w:rPr>
        <w:t xml:space="preserve"> </w:t>
      </w:r>
      <w:r w:rsidR="008F0745">
        <w:rPr>
          <w:noProof/>
          <w:lang w:val="en-US"/>
        </w:rPr>
        <w:t xml:space="preserve">the </w:t>
      </w:r>
      <w:r w:rsidR="000C7CFD">
        <w:rPr>
          <w:noProof/>
          <w:lang w:val="en-US"/>
        </w:rPr>
        <w:t xml:space="preserve">average </w:t>
      </w:r>
      <w:r w:rsidR="008F0745">
        <w:rPr>
          <w:noProof/>
          <w:lang w:val="en-US"/>
        </w:rPr>
        <w:t>size of the fund managed by each individual manager by gender. It was highlighted</w:t>
      </w:r>
      <w:r w:rsidR="000C7CFD">
        <w:rPr>
          <w:noProof/>
          <w:lang w:val="en-US"/>
        </w:rPr>
        <w:t xml:space="preserve"> that on average each individual female fund manager, manages more funds than the their male </w:t>
      </w:r>
      <w:r w:rsidR="008F0745">
        <w:rPr>
          <w:noProof/>
          <w:lang w:val="en-US"/>
        </w:rPr>
        <w:t xml:space="preserve">collegues. In addition, </w:t>
      </w:r>
      <w:r>
        <w:rPr>
          <w:noProof/>
          <w:lang w:val="en-US"/>
        </w:rPr>
        <w:t>female teams manage</w:t>
      </w:r>
      <w:r w:rsidR="000C7CFD">
        <w:rPr>
          <w:noProof/>
          <w:lang w:val="en-US"/>
        </w:rPr>
        <w:t xml:space="preserve"> larger funds than both male teams and mixed teams</w:t>
      </w:r>
      <w:r>
        <w:rPr>
          <w:noProof/>
          <w:lang w:val="en-US"/>
        </w:rPr>
        <w:t xml:space="preserve"> in the South African unit trust industry</w:t>
      </w:r>
      <w:r w:rsidR="000C7CFD">
        <w:rPr>
          <w:noProof/>
          <w:lang w:val="en-US"/>
        </w:rPr>
        <w:t>. Thi</w:t>
      </w:r>
      <w:r w:rsidR="00603E20">
        <w:rPr>
          <w:noProof/>
          <w:lang w:val="en-US"/>
        </w:rPr>
        <w:t>s finding indicates</w:t>
      </w:r>
      <w:r w:rsidR="000C7CFD">
        <w:rPr>
          <w:noProof/>
          <w:lang w:val="en-US"/>
        </w:rPr>
        <w:t xml:space="preserve"> that even though the number of female fund managers </w:t>
      </w:r>
      <w:r w:rsidR="008F0745">
        <w:rPr>
          <w:noProof/>
          <w:lang w:val="en-US"/>
        </w:rPr>
        <w:t>remains low, on average they manage higher funds sizes</w:t>
      </w:r>
      <w:r w:rsidR="000C7CFD">
        <w:rPr>
          <w:noProof/>
          <w:lang w:val="en-US"/>
        </w:rPr>
        <w:t xml:space="preserve">. </w:t>
      </w:r>
      <w:r w:rsidR="00603E20">
        <w:rPr>
          <w:noProof/>
          <w:lang w:val="en-US"/>
        </w:rPr>
        <w:t xml:space="preserve"> A possible reason for this be could be that due to there being such a limited number of female managed funds in South Africa, investors wishing to place their investments with female fund managers spread the investment over this limited number of fund managers</w:t>
      </w:r>
      <w:r>
        <w:rPr>
          <w:noProof/>
          <w:lang w:val="en-US"/>
        </w:rPr>
        <w:t xml:space="preserve"> which lead </w:t>
      </w:r>
      <w:r w:rsidR="00603E20">
        <w:rPr>
          <w:noProof/>
          <w:lang w:val="en-US"/>
        </w:rPr>
        <w:t xml:space="preserve">to a higher investment with a single female fund manager.  </w:t>
      </w:r>
    </w:p>
    <w:p w:rsidR="00C95BB9" w:rsidRPr="008633D2" w:rsidRDefault="00C95BB9" w:rsidP="004448A6">
      <w:pPr>
        <w:pStyle w:val="Heading3"/>
        <w:rPr>
          <w:lang w:val="en-ZA"/>
        </w:rPr>
      </w:pPr>
      <w:bookmarkStart w:id="249" w:name="_Toc458610827"/>
      <w:r w:rsidRPr="008633D2">
        <w:rPr>
          <w:lang w:val="en-ZA"/>
        </w:rPr>
        <w:t>The riskiness of female managed funds</w:t>
      </w:r>
      <w:bookmarkEnd w:id="249"/>
    </w:p>
    <w:p w:rsidR="008F0745" w:rsidRDefault="00E44A60" w:rsidP="00E44A60">
      <w:pPr>
        <w:rPr>
          <w:lang w:val="en-ZA"/>
        </w:rPr>
      </w:pPr>
      <w:r w:rsidRPr="008633D2">
        <w:rPr>
          <w:lang w:val="en-ZA"/>
        </w:rPr>
        <w:t>The literature reviewed indicated that females are more risk ave</w:t>
      </w:r>
      <w:r w:rsidR="00EA0382" w:rsidRPr="008633D2">
        <w:rPr>
          <w:lang w:val="en-ZA"/>
        </w:rPr>
        <w:t xml:space="preserve">rse than males. </w:t>
      </w:r>
      <w:r w:rsidR="0086555A">
        <w:rPr>
          <w:lang w:val="en-ZA"/>
        </w:rPr>
        <w:t>This is a well-known stereotype that exists in society, along with women being seen to be less overconfident and less competitive than men are</w:t>
      </w:r>
      <w:sdt>
        <w:sdtPr>
          <w:rPr>
            <w:lang w:val="en-ZA"/>
          </w:rPr>
          <w:id w:val="-26719211"/>
          <w:citation/>
        </w:sdtPr>
        <w:sdtEndPr/>
        <w:sdtContent>
          <w:r w:rsidR="0086555A">
            <w:rPr>
              <w:lang w:val="en-ZA"/>
            </w:rPr>
            <w:fldChar w:fldCharType="begin"/>
          </w:r>
          <w:r w:rsidR="005B7BCE">
            <w:rPr>
              <w:lang w:val="en-US"/>
            </w:rPr>
            <w:instrText xml:space="preserve">CITATION Bec08 \l 1033 </w:instrText>
          </w:r>
          <w:r w:rsidR="0086555A">
            <w:rPr>
              <w:lang w:val="en-ZA"/>
            </w:rPr>
            <w:fldChar w:fldCharType="separate"/>
          </w:r>
          <w:r w:rsidR="005B7BCE">
            <w:rPr>
              <w:noProof/>
              <w:lang w:val="en-US"/>
            </w:rPr>
            <w:t xml:space="preserve"> (Beckmann &amp; Menkhoff, 2008)</w:t>
          </w:r>
          <w:r w:rsidR="0086555A">
            <w:rPr>
              <w:lang w:val="en-ZA"/>
            </w:rPr>
            <w:fldChar w:fldCharType="end"/>
          </w:r>
        </w:sdtContent>
      </w:sdt>
      <w:r w:rsidR="0086555A">
        <w:rPr>
          <w:lang w:val="en-ZA"/>
        </w:rPr>
        <w:t xml:space="preserve">. In the financial industry, </w:t>
      </w:r>
      <w:r w:rsidR="00036DD0">
        <w:rPr>
          <w:lang w:val="en-ZA"/>
        </w:rPr>
        <w:t>investors are not just interested in returns but also the risks taken to achieve those returns</w:t>
      </w:r>
      <w:sdt>
        <w:sdtPr>
          <w:rPr>
            <w:lang w:val="en-ZA"/>
          </w:rPr>
          <w:id w:val="-115682573"/>
          <w:citation/>
        </w:sdtPr>
        <w:sdtEndPr/>
        <w:sdtContent>
          <w:r w:rsidR="00036DD0">
            <w:rPr>
              <w:lang w:val="en-ZA"/>
            </w:rPr>
            <w:fldChar w:fldCharType="begin"/>
          </w:r>
          <w:r w:rsidR="005B7BCE">
            <w:rPr>
              <w:lang w:val="en-US"/>
            </w:rPr>
            <w:instrText xml:space="preserve">CITATION Sim98 \l 1033 </w:instrText>
          </w:r>
          <w:r w:rsidR="00036DD0">
            <w:rPr>
              <w:lang w:val="en-ZA"/>
            </w:rPr>
            <w:fldChar w:fldCharType="separate"/>
          </w:r>
          <w:r w:rsidR="005B7BCE">
            <w:rPr>
              <w:noProof/>
              <w:lang w:val="en-US"/>
            </w:rPr>
            <w:t xml:space="preserve"> (Simons, 1998)</w:t>
          </w:r>
          <w:r w:rsidR="00036DD0">
            <w:rPr>
              <w:lang w:val="en-ZA"/>
            </w:rPr>
            <w:fldChar w:fldCharType="end"/>
          </w:r>
        </w:sdtContent>
      </w:sdt>
      <w:r w:rsidR="00036DD0">
        <w:rPr>
          <w:lang w:val="en-ZA"/>
        </w:rPr>
        <w:t xml:space="preserve">. </w:t>
      </w:r>
    </w:p>
    <w:p w:rsidR="008F0745" w:rsidRDefault="008F0745" w:rsidP="00E44A60">
      <w:pPr>
        <w:rPr>
          <w:lang w:val="en-ZA"/>
        </w:rPr>
      </w:pPr>
    </w:p>
    <w:p w:rsidR="008F0745" w:rsidRDefault="00036DD0" w:rsidP="00E44A60">
      <w:pPr>
        <w:rPr>
          <w:lang w:val="en-ZA"/>
        </w:rPr>
      </w:pPr>
      <w:r>
        <w:rPr>
          <w:lang w:val="en-ZA"/>
        </w:rPr>
        <w:t xml:space="preserve">For investors </w:t>
      </w:r>
      <w:r w:rsidR="0086555A">
        <w:rPr>
          <w:lang w:val="en-ZA"/>
        </w:rPr>
        <w:t xml:space="preserve">higher risk usually </w:t>
      </w:r>
      <w:r>
        <w:rPr>
          <w:lang w:val="en-ZA"/>
        </w:rPr>
        <w:t xml:space="preserve">requires and </w:t>
      </w:r>
      <w:r w:rsidR="007969E2">
        <w:rPr>
          <w:lang w:val="en-ZA"/>
        </w:rPr>
        <w:t>receives</w:t>
      </w:r>
      <w:r w:rsidR="0086555A">
        <w:rPr>
          <w:lang w:val="en-ZA"/>
        </w:rPr>
        <w:t xml:space="preserve"> a higher rate of return, so the assumption </w:t>
      </w:r>
      <w:r w:rsidR="005A7A1A">
        <w:rPr>
          <w:lang w:val="en-ZA"/>
        </w:rPr>
        <w:t>is</w:t>
      </w:r>
      <w:r w:rsidR="0086555A">
        <w:rPr>
          <w:lang w:val="en-ZA"/>
        </w:rPr>
        <w:t xml:space="preserve"> that if men are seen to take</w:t>
      </w:r>
      <w:r w:rsidR="005A7A1A">
        <w:rPr>
          <w:lang w:val="en-ZA"/>
        </w:rPr>
        <w:t xml:space="preserve"> on</w:t>
      </w:r>
      <w:r w:rsidR="0086555A">
        <w:rPr>
          <w:lang w:val="en-ZA"/>
        </w:rPr>
        <w:t xml:space="preserve"> higher risk</w:t>
      </w:r>
      <w:r w:rsidR="005A7A1A">
        <w:rPr>
          <w:lang w:val="en-ZA"/>
        </w:rPr>
        <w:t>,</w:t>
      </w:r>
      <w:r w:rsidR="0086555A">
        <w:rPr>
          <w:lang w:val="en-ZA"/>
        </w:rPr>
        <w:t xml:space="preserve"> then they should produce a higher return</w:t>
      </w:r>
      <w:r w:rsidR="007969E2">
        <w:rPr>
          <w:lang w:val="en-ZA"/>
        </w:rPr>
        <w:t xml:space="preserve">. </w:t>
      </w:r>
      <w:r w:rsidR="0086555A">
        <w:rPr>
          <w:lang w:val="en-ZA"/>
        </w:rPr>
        <w:t>However, higher risk taking in financial markets could also lead to higher losses. It is possible that women</w:t>
      </w:r>
      <w:r w:rsidR="00A8679B">
        <w:rPr>
          <w:lang w:val="en-ZA"/>
        </w:rPr>
        <w:t>,</w:t>
      </w:r>
      <w:r w:rsidR="0086555A">
        <w:rPr>
          <w:lang w:val="en-ZA"/>
        </w:rPr>
        <w:t xml:space="preserve"> being naturally risk averse</w:t>
      </w:r>
      <w:r w:rsidR="00A8679B">
        <w:rPr>
          <w:lang w:val="en-ZA"/>
        </w:rPr>
        <w:t>,</w:t>
      </w:r>
      <w:r w:rsidR="0086555A">
        <w:rPr>
          <w:lang w:val="en-ZA"/>
        </w:rPr>
        <w:t xml:space="preserve"> could le</w:t>
      </w:r>
      <w:r w:rsidR="005A7A1A">
        <w:rPr>
          <w:lang w:val="en-ZA"/>
        </w:rPr>
        <w:t>ad to more stable results over time</w:t>
      </w:r>
      <w:r w:rsidR="0086555A">
        <w:rPr>
          <w:lang w:val="en-ZA"/>
        </w:rPr>
        <w:t xml:space="preserve">. </w:t>
      </w:r>
    </w:p>
    <w:p w:rsidR="008F0745" w:rsidRDefault="008F0745" w:rsidP="00E44A60">
      <w:pPr>
        <w:rPr>
          <w:lang w:val="en-ZA"/>
        </w:rPr>
      </w:pPr>
    </w:p>
    <w:p w:rsidR="0086555A" w:rsidRDefault="008F0745" w:rsidP="00E44A60">
      <w:pPr>
        <w:rPr>
          <w:lang w:val="en-ZA"/>
        </w:rPr>
      </w:pPr>
      <w:r>
        <w:rPr>
          <w:lang w:val="en-ZA"/>
        </w:rPr>
        <w:t xml:space="preserve">In </w:t>
      </w:r>
      <w:r w:rsidR="0086555A">
        <w:rPr>
          <w:lang w:val="en-ZA"/>
        </w:rPr>
        <w:t>section</w:t>
      </w:r>
      <w:r>
        <w:rPr>
          <w:lang w:val="en-ZA"/>
        </w:rPr>
        <w:t xml:space="preserve"> 4.2.3 the results of </w:t>
      </w:r>
      <w:r w:rsidR="0086555A">
        <w:rPr>
          <w:lang w:val="en-ZA"/>
        </w:rPr>
        <w:t>the levels of risk taken by female fund managers and male fund managers in South Africa</w:t>
      </w:r>
      <w:r>
        <w:rPr>
          <w:lang w:val="en-ZA"/>
        </w:rPr>
        <w:t xml:space="preserve"> was presented</w:t>
      </w:r>
      <w:r w:rsidR="0086555A">
        <w:rPr>
          <w:lang w:val="en-ZA"/>
        </w:rPr>
        <w:t xml:space="preserve">. To quantify the level of risk taken, beta </w:t>
      </w:r>
      <w:r>
        <w:rPr>
          <w:lang w:val="en-ZA"/>
        </w:rPr>
        <w:t>was</w:t>
      </w:r>
      <w:r w:rsidR="00093481" w:rsidRPr="008633D2">
        <w:rPr>
          <w:lang w:val="en-ZA"/>
        </w:rPr>
        <w:t xml:space="preserve"> used</w:t>
      </w:r>
      <w:r w:rsidR="00036CA8" w:rsidRPr="008633D2">
        <w:rPr>
          <w:lang w:val="en-ZA"/>
        </w:rPr>
        <w:t xml:space="preserve"> as </w:t>
      </w:r>
      <w:r w:rsidR="0086555A">
        <w:rPr>
          <w:lang w:val="en-ZA"/>
        </w:rPr>
        <w:t>the</w:t>
      </w:r>
      <w:r w:rsidR="00036CA8" w:rsidRPr="008633D2">
        <w:rPr>
          <w:lang w:val="en-ZA"/>
        </w:rPr>
        <w:t xml:space="preserve"> measure </w:t>
      </w:r>
      <w:r w:rsidR="007969E2">
        <w:rPr>
          <w:lang w:val="en-ZA"/>
        </w:rPr>
        <w:t xml:space="preserve">of </w:t>
      </w:r>
      <w:r w:rsidR="007969E2" w:rsidRPr="008633D2">
        <w:rPr>
          <w:lang w:val="en-ZA"/>
        </w:rPr>
        <w:t>riskiness</w:t>
      </w:r>
      <w:r w:rsidR="00036CA8" w:rsidRPr="008633D2">
        <w:rPr>
          <w:lang w:val="en-ZA"/>
        </w:rPr>
        <w:t xml:space="preserve">. </w:t>
      </w:r>
      <w:r>
        <w:rPr>
          <w:lang w:val="en-ZA"/>
        </w:rPr>
        <w:t>It is assumed in</w:t>
      </w:r>
      <w:r w:rsidR="0086555A">
        <w:rPr>
          <w:lang w:val="en-ZA"/>
        </w:rPr>
        <w:t xml:space="preserve"> this research </w:t>
      </w:r>
      <w:r>
        <w:rPr>
          <w:lang w:val="en-ZA"/>
        </w:rPr>
        <w:t xml:space="preserve">that </w:t>
      </w:r>
      <w:r w:rsidR="00E44A60" w:rsidRPr="008633D2">
        <w:rPr>
          <w:lang w:val="en-ZA"/>
        </w:rPr>
        <w:t>beta</w:t>
      </w:r>
      <w:r w:rsidR="0086555A">
        <w:rPr>
          <w:lang w:val="en-ZA"/>
        </w:rPr>
        <w:t xml:space="preserve"> represents the </w:t>
      </w:r>
      <w:r w:rsidR="00E44A60" w:rsidRPr="008633D2">
        <w:rPr>
          <w:lang w:val="en-ZA"/>
        </w:rPr>
        <w:t>measure of riskiness</w:t>
      </w:r>
      <w:r w:rsidR="00A1318E" w:rsidRPr="008633D2">
        <w:rPr>
          <w:lang w:val="en-ZA"/>
        </w:rPr>
        <w:t xml:space="preserve"> </w:t>
      </w:r>
      <w:r w:rsidR="0086555A">
        <w:rPr>
          <w:lang w:val="en-ZA"/>
        </w:rPr>
        <w:t>of a fund relative to</w:t>
      </w:r>
      <w:r w:rsidR="00A1318E" w:rsidRPr="008633D2">
        <w:rPr>
          <w:lang w:val="en-ZA"/>
        </w:rPr>
        <w:t xml:space="preserve"> the </w:t>
      </w:r>
      <w:r>
        <w:rPr>
          <w:lang w:val="en-ZA"/>
        </w:rPr>
        <w:t xml:space="preserve">South African financial market, for which </w:t>
      </w:r>
      <w:r w:rsidR="00A1318E" w:rsidRPr="008633D2">
        <w:rPr>
          <w:lang w:val="en-ZA"/>
        </w:rPr>
        <w:t>FTSE/</w:t>
      </w:r>
      <w:r w:rsidR="0086555A">
        <w:rPr>
          <w:lang w:val="en-ZA"/>
        </w:rPr>
        <w:t>JSE a</w:t>
      </w:r>
      <w:r w:rsidR="00A1318E" w:rsidRPr="008633D2">
        <w:rPr>
          <w:lang w:val="en-ZA"/>
        </w:rPr>
        <w:t xml:space="preserve">ll </w:t>
      </w:r>
      <w:r w:rsidR="0086555A">
        <w:rPr>
          <w:lang w:val="en-ZA"/>
        </w:rPr>
        <w:t>s</w:t>
      </w:r>
      <w:r w:rsidR="00A1318E" w:rsidRPr="008633D2">
        <w:rPr>
          <w:lang w:val="en-ZA"/>
        </w:rPr>
        <w:t>hare index</w:t>
      </w:r>
      <w:r>
        <w:rPr>
          <w:lang w:val="en-ZA"/>
        </w:rPr>
        <w:t xml:space="preserve"> is a proxy</w:t>
      </w:r>
      <w:r w:rsidR="0086555A">
        <w:rPr>
          <w:lang w:val="en-ZA"/>
        </w:rPr>
        <w:t>.</w:t>
      </w:r>
    </w:p>
    <w:p w:rsidR="0086555A" w:rsidRDefault="0086555A" w:rsidP="00E44A60">
      <w:pPr>
        <w:rPr>
          <w:lang w:val="en-ZA"/>
        </w:rPr>
      </w:pPr>
    </w:p>
    <w:p w:rsidR="00036CA8" w:rsidRPr="008633D2" w:rsidRDefault="00036CA8" w:rsidP="00FD52FA">
      <w:pPr>
        <w:rPr>
          <w:lang w:val="en-ZA"/>
        </w:rPr>
      </w:pPr>
      <w:r w:rsidRPr="008633D2">
        <w:rPr>
          <w:lang w:val="en-ZA"/>
        </w:rPr>
        <w:t>A</w:t>
      </w:r>
      <w:r w:rsidR="00FD52FA" w:rsidRPr="008633D2">
        <w:rPr>
          <w:lang w:val="en-ZA"/>
        </w:rPr>
        <w:t xml:space="preserve"> beta </w:t>
      </w:r>
      <w:r w:rsidRPr="008633D2">
        <w:rPr>
          <w:lang w:val="en-ZA"/>
        </w:rPr>
        <w:t>of</w:t>
      </w:r>
      <w:r w:rsidR="00FD52FA" w:rsidRPr="008633D2">
        <w:rPr>
          <w:lang w:val="en-ZA"/>
        </w:rPr>
        <w:t xml:space="preserve"> </w:t>
      </w:r>
      <w:r w:rsidR="00CC6274" w:rsidRPr="008633D2">
        <w:rPr>
          <w:lang w:val="en-ZA"/>
        </w:rPr>
        <w:t>one</w:t>
      </w:r>
      <w:r w:rsidR="00FD52FA" w:rsidRPr="008633D2">
        <w:rPr>
          <w:lang w:val="en-ZA"/>
        </w:rPr>
        <w:t xml:space="preserve"> indicates that </w:t>
      </w:r>
      <w:r w:rsidR="00EA0382" w:rsidRPr="008633D2">
        <w:rPr>
          <w:lang w:val="en-ZA"/>
        </w:rPr>
        <w:t>the riskiness of the fund is</w:t>
      </w:r>
      <w:r w:rsidRPr="008633D2">
        <w:rPr>
          <w:lang w:val="en-ZA"/>
        </w:rPr>
        <w:t xml:space="preserve"> similar to the benchmark index and therefore as the returns on the market increase the return on the fund </w:t>
      </w:r>
      <w:r w:rsidR="00CC6274" w:rsidRPr="008633D2">
        <w:rPr>
          <w:lang w:val="en-ZA"/>
        </w:rPr>
        <w:t>will</w:t>
      </w:r>
      <w:r w:rsidRPr="008633D2">
        <w:rPr>
          <w:lang w:val="en-ZA"/>
        </w:rPr>
        <w:t xml:space="preserve"> increase proportionally and vice vers</w:t>
      </w:r>
      <w:r w:rsidR="0046753E">
        <w:rPr>
          <w:lang w:val="en-ZA"/>
        </w:rPr>
        <w:t>a</w:t>
      </w:r>
      <w:r w:rsidR="00CC6274" w:rsidRPr="008633D2">
        <w:rPr>
          <w:lang w:val="en-ZA"/>
        </w:rPr>
        <w:t xml:space="preserve">. </w:t>
      </w:r>
      <w:r w:rsidRPr="008633D2">
        <w:rPr>
          <w:lang w:val="en-ZA"/>
        </w:rPr>
        <w:t>The results of this study indicate that approximately 2</w:t>
      </w:r>
      <w:r w:rsidR="0086555A">
        <w:rPr>
          <w:lang w:val="en-ZA"/>
        </w:rPr>
        <w:t>%</w:t>
      </w:r>
      <w:r w:rsidRPr="008633D2">
        <w:rPr>
          <w:lang w:val="en-ZA"/>
        </w:rPr>
        <w:t xml:space="preserve"> of female managed funds and 3</w:t>
      </w:r>
      <w:r w:rsidR="0086555A">
        <w:rPr>
          <w:lang w:val="en-ZA"/>
        </w:rPr>
        <w:t>%</w:t>
      </w:r>
      <w:r w:rsidRPr="008633D2">
        <w:rPr>
          <w:lang w:val="en-ZA"/>
        </w:rPr>
        <w:t xml:space="preserve"> of </w:t>
      </w:r>
      <w:r w:rsidR="005A7A1A">
        <w:rPr>
          <w:lang w:val="en-ZA"/>
        </w:rPr>
        <w:t>male m</w:t>
      </w:r>
      <w:r w:rsidRPr="008633D2">
        <w:rPr>
          <w:lang w:val="en-ZA"/>
        </w:rPr>
        <w:t xml:space="preserve">anaged funds in South Africa have a beta very close to </w:t>
      </w:r>
      <w:r w:rsidR="00CC6274" w:rsidRPr="008633D2">
        <w:rPr>
          <w:lang w:val="en-ZA"/>
        </w:rPr>
        <w:t>one</w:t>
      </w:r>
      <w:r w:rsidRPr="008633D2">
        <w:rPr>
          <w:lang w:val="en-ZA"/>
        </w:rPr>
        <w:t xml:space="preserve">. This indicates that very few funds in South Africa have riskiness close to the market.  </w:t>
      </w:r>
    </w:p>
    <w:p w:rsidR="00036CA8" w:rsidRPr="008633D2" w:rsidRDefault="00036CA8" w:rsidP="00FD52FA">
      <w:pPr>
        <w:rPr>
          <w:lang w:val="en-ZA"/>
        </w:rPr>
      </w:pPr>
    </w:p>
    <w:p w:rsidR="00B43EFF" w:rsidRPr="008633D2" w:rsidRDefault="00036CA8" w:rsidP="00FD52FA">
      <w:pPr>
        <w:rPr>
          <w:lang w:val="en-ZA"/>
        </w:rPr>
      </w:pPr>
      <w:r w:rsidRPr="008633D2">
        <w:rPr>
          <w:lang w:val="en-ZA"/>
        </w:rPr>
        <w:t xml:space="preserve">A beta of less than </w:t>
      </w:r>
      <w:r w:rsidR="00CC6274" w:rsidRPr="008633D2">
        <w:rPr>
          <w:lang w:val="en-ZA"/>
        </w:rPr>
        <w:t>one</w:t>
      </w:r>
      <w:r w:rsidR="00B43EFF" w:rsidRPr="008633D2">
        <w:rPr>
          <w:lang w:val="en-ZA"/>
        </w:rPr>
        <w:t xml:space="preserve"> but greater than zero </w:t>
      </w:r>
      <w:r w:rsidRPr="008633D2">
        <w:rPr>
          <w:lang w:val="en-ZA"/>
        </w:rPr>
        <w:t xml:space="preserve">indicates that the fund is less volatile than the benchmark </w:t>
      </w:r>
      <w:r w:rsidR="00B43EFF" w:rsidRPr="008633D2">
        <w:rPr>
          <w:lang w:val="en-ZA"/>
        </w:rPr>
        <w:t xml:space="preserve">and therefore produces lower returns than the market. In the South African unit </w:t>
      </w:r>
      <w:r w:rsidR="00CC6274" w:rsidRPr="008633D2">
        <w:rPr>
          <w:lang w:val="en-ZA"/>
        </w:rPr>
        <w:t>trust</w:t>
      </w:r>
      <w:r w:rsidR="00B43EFF" w:rsidRPr="008633D2">
        <w:rPr>
          <w:lang w:val="en-ZA"/>
        </w:rPr>
        <w:t xml:space="preserve"> industry</w:t>
      </w:r>
      <w:r w:rsidR="0086555A">
        <w:rPr>
          <w:lang w:val="en-ZA"/>
        </w:rPr>
        <w:t>,</w:t>
      </w:r>
      <w:r w:rsidR="00B43EFF" w:rsidRPr="008633D2">
        <w:rPr>
          <w:lang w:val="en-ZA"/>
        </w:rPr>
        <w:t xml:space="preserve"> </w:t>
      </w:r>
      <w:r w:rsidR="00093481" w:rsidRPr="008633D2">
        <w:rPr>
          <w:lang w:val="en-ZA"/>
        </w:rPr>
        <w:t>it can</w:t>
      </w:r>
      <w:r w:rsidR="00B43EFF" w:rsidRPr="008633D2">
        <w:rPr>
          <w:lang w:val="en-ZA"/>
        </w:rPr>
        <w:t xml:space="preserve"> be noted that as at 30 June 2015 more than 75</w:t>
      </w:r>
      <w:r w:rsidR="0086555A">
        <w:rPr>
          <w:lang w:val="en-ZA"/>
        </w:rPr>
        <w:t>%</w:t>
      </w:r>
      <w:r w:rsidR="00B43EFF" w:rsidRPr="008633D2">
        <w:rPr>
          <w:lang w:val="en-ZA"/>
        </w:rPr>
        <w:t xml:space="preserve"> of funds fell into this category</w:t>
      </w:r>
      <w:r w:rsidR="00CC6274" w:rsidRPr="008633D2">
        <w:rPr>
          <w:lang w:val="en-ZA"/>
        </w:rPr>
        <w:t xml:space="preserve">. </w:t>
      </w:r>
      <w:r w:rsidR="00B43EFF" w:rsidRPr="008633D2">
        <w:rPr>
          <w:lang w:val="en-ZA"/>
        </w:rPr>
        <w:t xml:space="preserve">Furthermore, it can be noted that the percentage of female funds and the percentage of male funds with </w:t>
      </w:r>
      <w:r w:rsidR="00093481" w:rsidRPr="008633D2">
        <w:rPr>
          <w:lang w:val="en-ZA"/>
        </w:rPr>
        <w:t>betas</w:t>
      </w:r>
      <w:r w:rsidR="00B43EFF" w:rsidRPr="008633D2">
        <w:rPr>
          <w:lang w:val="en-ZA"/>
        </w:rPr>
        <w:t xml:space="preserve"> in this range are </w:t>
      </w:r>
      <w:r w:rsidR="00CC6274" w:rsidRPr="008633D2">
        <w:rPr>
          <w:lang w:val="en-ZA"/>
        </w:rPr>
        <w:t xml:space="preserve">similar. </w:t>
      </w:r>
      <w:r w:rsidR="00B43EFF" w:rsidRPr="008633D2">
        <w:rPr>
          <w:lang w:val="en-ZA"/>
        </w:rPr>
        <w:t xml:space="preserve">This indicates that the riskiness of both the male funds and female funds for this beta range is similar. </w:t>
      </w:r>
      <w:r w:rsidR="00987349">
        <w:rPr>
          <w:lang w:val="en-ZA"/>
        </w:rPr>
        <w:t>This finding also highlights an interesting observation in that, as 75% of funds constitute the majority of funds and the above explanation indicates that the performance of these funds should be lower than the performance of the market, the average return of all funds is most likely to be lower than the performance of the market</w:t>
      </w:r>
      <w:r w:rsidR="00A8679B">
        <w:rPr>
          <w:lang w:val="en-ZA"/>
        </w:rPr>
        <w:t>,</w:t>
      </w:r>
      <w:r w:rsidR="00987349">
        <w:rPr>
          <w:lang w:val="en-ZA"/>
        </w:rPr>
        <w:t xml:space="preserve"> unless the alternate 25% of funds achieves extremely high performance. </w:t>
      </w:r>
    </w:p>
    <w:p w:rsidR="00B43EFF" w:rsidRPr="008633D2" w:rsidRDefault="00B43EFF" w:rsidP="00FD52FA">
      <w:pPr>
        <w:rPr>
          <w:lang w:val="en-ZA"/>
        </w:rPr>
      </w:pPr>
    </w:p>
    <w:p w:rsidR="005A7A1A" w:rsidRDefault="00093481" w:rsidP="00FD52FA">
      <w:pPr>
        <w:rPr>
          <w:lang w:val="en-ZA"/>
        </w:rPr>
      </w:pPr>
      <w:r w:rsidRPr="008633D2">
        <w:rPr>
          <w:lang w:val="en-ZA"/>
        </w:rPr>
        <w:t xml:space="preserve">Funds with a beta that is greater than </w:t>
      </w:r>
      <w:r w:rsidR="00CC6274" w:rsidRPr="008633D2">
        <w:rPr>
          <w:lang w:val="en-ZA"/>
        </w:rPr>
        <w:t>one</w:t>
      </w:r>
      <w:r w:rsidR="0086555A">
        <w:rPr>
          <w:lang w:val="en-ZA"/>
        </w:rPr>
        <w:t xml:space="preserve"> indicates that the fund is</w:t>
      </w:r>
      <w:r w:rsidRPr="008633D2">
        <w:rPr>
          <w:lang w:val="en-ZA"/>
        </w:rPr>
        <w:t xml:space="preserve"> </w:t>
      </w:r>
      <w:r w:rsidR="00527456" w:rsidRPr="008633D2">
        <w:rPr>
          <w:lang w:val="en-ZA"/>
        </w:rPr>
        <w:t>riskier</w:t>
      </w:r>
      <w:r w:rsidRPr="008633D2">
        <w:rPr>
          <w:lang w:val="en-ZA"/>
        </w:rPr>
        <w:t xml:space="preserve"> than the benchmark and therefore a higher return is expected. </w:t>
      </w:r>
      <w:r w:rsidR="00513CDE" w:rsidRPr="008633D2">
        <w:rPr>
          <w:lang w:val="en-ZA"/>
        </w:rPr>
        <w:t xml:space="preserve">When considering all South African mutual </w:t>
      </w:r>
      <w:r w:rsidR="00527456" w:rsidRPr="008633D2">
        <w:rPr>
          <w:lang w:val="en-ZA"/>
        </w:rPr>
        <w:t>funds,</w:t>
      </w:r>
      <w:r w:rsidR="00513CDE" w:rsidRPr="008633D2">
        <w:rPr>
          <w:lang w:val="en-ZA"/>
        </w:rPr>
        <w:t xml:space="preserve"> it can be seen that just 8</w:t>
      </w:r>
      <w:r w:rsidR="0086555A">
        <w:rPr>
          <w:lang w:val="en-ZA"/>
        </w:rPr>
        <w:t>%</w:t>
      </w:r>
      <w:r w:rsidR="00513CDE" w:rsidRPr="008633D2">
        <w:rPr>
          <w:lang w:val="en-ZA"/>
        </w:rPr>
        <w:t xml:space="preserve"> of female managed funds and 2</w:t>
      </w:r>
      <w:r w:rsidR="0086555A">
        <w:rPr>
          <w:lang w:val="en-ZA"/>
        </w:rPr>
        <w:t>%</w:t>
      </w:r>
      <w:r w:rsidR="00513CDE" w:rsidRPr="008633D2">
        <w:rPr>
          <w:lang w:val="en-ZA"/>
        </w:rPr>
        <w:t xml:space="preserve"> of male managed funds are riskier than the market. Although the results </w:t>
      </w:r>
      <w:r w:rsidRPr="008633D2">
        <w:rPr>
          <w:lang w:val="en-ZA"/>
        </w:rPr>
        <w:t>do indicate</w:t>
      </w:r>
      <w:r w:rsidR="00513CDE" w:rsidRPr="008633D2">
        <w:rPr>
          <w:lang w:val="en-ZA"/>
        </w:rPr>
        <w:t xml:space="preserve"> that there is a higher percentage</w:t>
      </w:r>
      <w:r w:rsidR="005A7A1A">
        <w:rPr>
          <w:lang w:val="en-ZA"/>
        </w:rPr>
        <w:t xml:space="preserve"> of</w:t>
      </w:r>
      <w:r w:rsidR="00513CDE" w:rsidRPr="008633D2">
        <w:rPr>
          <w:lang w:val="en-ZA"/>
        </w:rPr>
        <w:t xml:space="preserve"> funds managed by females that have a beta in excess of the market, this result is very weak due to the limited sample size available. </w:t>
      </w:r>
    </w:p>
    <w:p w:rsidR="003A6387" w:rsidRDefault="003A6387" w:rsidP="00FD52FA">
      <w:pPr>
        <w:rPr>
          <w:lang w:val="en-ZA"/>
        </w:rPr>
      </w:pPr>
    </w:p>
    <w:p w:rsidR="00513CDE" w:rsidRPr="008633D2" w:rsidRDefault="00513CDE" w:rsidP="00FD52FA">
      <w:pPr>
        <w:rPr>
          <w:lang w:val="en-ZA"/>
        </w:rPr>
      </w:pPr>
      <w:r w:rsidRPr="008633D2">
        <w:rPr>
          <w:lang w:val="en-ZA"/>
        </w:rPr>
        <w:t xml:space="preserve">There </w:t>
      </w:r>
      <w:r w:rsidR="00D85665">
        <w:rPr>
          <w:lang w:val="en-ZA"/>
        </w:rPr>
        <w:t>are</w:t>
      </w:r>
      <w:r w:rsidRPr="008633D2">
        <w:rPr>
          <w:lang w:val="en-ZA"/>
        </w:rPr>
        <w:t xml:space="preserve"> also approximately 11</w:t>
      </w:r>
      <w:r w:rsidR="0086555A">
        <w:rPr>
          <w:lang w:val="en-ZA"/>
        </w:rPr>
        <w:t>%</w:t>
      </w:r>
      <w:r w:rsidRPr="008633D2">
        <w:rPr>
          <w:lang w:val="en-ZA"/>
        </w:rPr>
        <w:t xml:space="preserve"> of female managed funds and 6</w:t>
      </w:r>
      <w:r w:rsidR="0086555A">
        <w:rPr>
          <w:lang w:val="en-ZA"/>
        </w:rPr>
        <w:t>%</w:t>
      </w:r>
      <w:r w:rsidRPr="008633D2">
        <w:rPr>
          <w:lang w:val="en-ZA"/>
        </w:rPr>
        <w:t xml:space="preserve"> of male managed funds that have a beta of </w:t>
      </w:r>
      <w:r w:rsidR="00CC6274" w:rsidRPr="008633D2">
        <w:rPr>
          <w:lang w:val="en-ZA"/>
        </w:rPr>
        <w:t>zero</w:t>
      </w:r>
      <w:r w:rsidRPr="008633D2">
        <w:rPr>
          <w:lang w:val="en-ZA"/>
        </w:rPr>
        <w:t>. This indicates that the value of these funds do not move when the market moves.</w:t>
      </w:r>
      <w:r w:rsidR="0086555A">
        <w:rPr>
          <w:lang w:val="en-ZA"/>
        </w:rPr>
        <w:t xml:space="preserve"> It can be seen that these are </w:t>
      </w:r>
      <w:r w:rsidRPr="008633D2">
        <w:rPr>
          <w:lang w:val="en-ZA"/>
        </w:rPr>
        <w:t xml:space="preserve">funds that are largely driven by money market investments. </w:t>
      </w:r>
    </w:p>
    <w:p w:rsidR="00036CA8" w:rsidRDefault="00036CA8" w:rsidP="00FD52FA">
      <w:pPr>
        <w:rPr>
          <w:lang w:val="en-ZA"/>
        </w:rPr>
      </w:pPr>
    </w:p>
    <w:p w:rsidR="008F0745" w:rsidRPr="008633D2" w:rsidRDefault="008F0745" w:rsidP="00FD52FA">
      <w:pPr>
        <w:rPr>
          <w:lang w:val="en-ZA"/>
        </w:rPr>
      </w:pPr>
    </w:p>
    <w:p w:rsidR="00036CA8" w:rsidRPr="008633D2" w:rsidRDefault="006C0340" w:rsidP="00FD52FA">
      <w:pPr>
        <w:rPr>
          <w:lang w:val="en-ZA"/>
        </w:rPr>
      </w:pPr>
      <w:r w:rsidRPr="008633D2">
        <w:rPr>
          <w:lang w:val="en-ZA"/>
        </w:rPr>
        <w:t>The percentage of funds that have a negative beta will move inversely with the market</w:t>
      </w:r>
      <w:r w:rsidR="00CC6274" w:rsidRPr="008633D2">
        <w:rPr>
          <w:lang w:val="en-ZA"/>
        </w:rPr>
        <w:t xml:space="preserve">. </w:t>
      </w:r>
      <w:r w:rsidRPr="008633D2">
        <w:rPr>
          <w:lang w:val="en-ZA"/>
        </w:rPr>
        <w:t xml:space="preserve">There </w:t>
      </w:r>
      <w:r w:rsidR="00093481" w:rsidRPr="008633D2">
        <w:rPr>
          <w:lang w:val="en-ZA"/>
        </w:rPr>
        <w:t>are</w:t>
      </w:r>
      <w:r w:rsidRPr="008633D2">
        <w:rPr>
          <w:lang w:val="en-ZA"/>
        </w:rPr>
        <w:t xml:space="preserve"> a </w:t>
      </w:r>
      <w:r w:rsidR="0086555A">
        <w:rPr>
          <w:lang w:val="en-ZA"/>
        </w:rPr>
        <w:t>small</w:t>
      </w:r>
      <w:r w:rsidRPr="008633D2">
        <w:rPr>
          <w:lang w:val="en-ZA"/>
        </w:rPr>
        <w:t xml:space="preserve"> number of both male and female</w:t>
      </w:r>
      <w:r w:rsidR="005A7A1A">
        <w:rPr>
          <w:lang w:val="en-ZA"/>
        </w:rPr>
        <w:t xml:space="preserve"> managed</w:t>
      </w:r>
      <w:r w:rsidRPr="008633D2">
        <w:rPr>
          <w:lang w:val="en-ZA"/>
        </w:rPr>
        <w:t xml:space="preserve"> funds that fall into this category</w:t>
      </w:r>
      <w:r w:rsidR="005A7A1A">
        <w:rPr>
          <w:lang w:val="en-ZA"/>
        </w:rPr>
        <w:t xml:space="preserve"> in South Africa</w:t>
      </w:r>
      <w:r w:rsidR="0086555A">
        <w:rPr>
          <w:lang w:val="en-ZA"/>
        </w:rPr>
        <w:t>, 3% and 2% respectively</w:t>
      </w:r>
      <w:r w:rsidR="00D85665">
        <w:rPr>
          <w:lang w:val="en-ZA"/>
        </w:rPr>
        <w:t>,</w:t>
      </w:r>
      <w:r w:rsidR="0086555A">
        <w:rPr>
          <w:lang w:val="en-ZA"/>
        </w:rPr>
        <w:t xml:space="preserve"> to be exact</w:t>
      </w:r>
      <w:r w:rsidRPr="008633D2">
        <w:rPr>
          <w:lang w:val="en-ZA"/>
        </w:rPr>
        <w:t xml:space="preserve">. </w:t>
      </w:r>
    </w:p>
    <w:p w:rsidR="006C0340" w:rsidRDefault="006C0340" w:rsidP="00FD52FA">
      <w:pPr>
        <w:rPr>
          <w:lang w:val="en-ZA"/>
        </w:rPr>
      </w:pPr>
    </w:p>
    <w:p w:rsidR="0086555A" w:rsidRPr="008633D2" w:rsidRDefault="008F0745" w:rsidP="0086555A">
      <w:pPr>
        <w:rPr>
          <w:lang w:val="en-ZA"/>
        </w:rPr>
      </w:pPr>
      <w:r>
        <w:rPr>
          <w:lang w:val="en-ZA"/>
        </w:rPr>
        <w:t>Figure 6 illustrated</w:t>
      </w:r>
      <w:r w:rsidR="0086555A">
        <w:rPr>
          <w:lang w:val="en-ZA"/>
        </w:rPr>
        <w:t xml:space="preserve"> the percentage of male managed funds and the percentage of female managed funds that </w:t>
      </w:r>
      <w:r w:rsidR="005A7A1A">
        <w:rPr>
          <w:lang w:val="en-ZA"/>
        </w:rPr>
        <w:t xml:space="preserve">fall </w:t>
      </w:r>
      <w:r w:rsidR="0086555A">
        <w:rPr>
          <w:lang w:val="en-ZA"/>
        </w:rPr>
        <w:t>into buckets that range from negative one to two with</w:t>
      </w:r>
      <w:r w:rsidR="005A7A1A">
        <w:rPr>
          <w:lang w:val="en-ZA"/>
        </w:rPr>
        <w:t xml:space="preserve"> an</w:t>
      </w:r>
      <w:r w:rsidR="0086555A">
        <w:rPr>
          <w:lang w:val="en-ZA"/>
        </w:rPr>
        <w:t xml:space="preserve"> interval size of 0.1. This figure allows the riskiness of both female managed and male managed funds to be graphically compared. It is clear that the beta</w:t>
      </w:r>
      <w:r w:rsidR="0086555A" w:rsidRPr="008633D2">
        <w:rPr>
          <w:lang w:val="en-ZA"/>
        </w:rPr>
        <w:t xml:space="preserve"> </w:t>
      </w:r>
      <w:r w:rsidR="0086555A">
        <w:rPr>
          <w:lang w:val="en-ZA"/>
        </w:rPr>
        <w:t>pattern is similar for both female and male managed funds and thus as per the assumptions</w:t>
      </w:r>
      <w:r w:rsidR="005A7A1A">
        <w:rPr>
          <w:lang w:val="en-ZA"/>
        </w:rPr>
        <w:t xml:space="preserve"> regarding beta in </w:t>
      </w:r>
      <w:r w:rsidR="0086555A">
        <w:rPr>
          <w:lang w:val="en-ZA"/>
        </w:rPr>
        <w:t>this research</w:t>
      </w:r>
      <w:r w:rsidR="005A7A1A">
        <w:rPr>
          <w:lang w:val="en-ZA"/>
        </w:rPr>
        <w:t xml:space="preserve">, </w:t>
      </w:r>
      <w:r w:rsidR="0086555A">
        <w:rPr>
          <w:lang w:val="en-ZA"/>
        </w:rPr>
        <w:t>t</w:t>
      </w:r>
      <w:r w:rsidR="0086555A" w:rsidRPr="008633D2">
        <w:rPr>
          <w:lang w:val="en-ZA"/>
        </w:rPr>
        <w:t>he riskiness of both th</w:t>
      </w:r>
      <w:r w:rsidR="0086555A">
        <w:rPr>
          <w:lang w:val="en-ZA"/>
        </w:rPr>
        <w:t xml:space="preserve">e female managed funds and the </w:t>
      </w:r>
      <w:r w:rsidR="0086555A" w:rsidRPr="008633D2">
        <w:rPr>
          <w:lang w:val="en-ZA"/>
        </w:rPr>
        <w:t xml:space="preserve">male managed funds </w:t>
      </w:r>
      <w:r w:rsidR="005A7A1A">
        <w:rPr>
          <w:lang w:val="en-ZA"/>
        </w:rPr>
        <w:t>a</w:t>
      </w:r>
      <w:r w:rsidR="0086555A">
        <w:rPr>
          <w:lang w:val="en-ZA"/>
        </w:rPr>
        <w:t xml:space="preserve">re </w:t>
      </w:r>
      <w:r w:rsidR="005A7A1A">
        <w:rPr>
          <w:lang w:val="en-ZA"/>
        </w:rPr>
        <w:t xml:space="preserve">shown to be </w:t>
      </w:r>
      <w:r w:rsidR="0086555A">
        <w:rPr>
          <w:lang w:val="en-ZA"/>
        </w:rPr>
        <w:t>similar</w:t>
      </w:r>
      <w:r w:rsidR="0086555A" w:rsidRPr="008633D2">
        <w:rPr>
          <w:lang w:val="en-ZA"/>
        </w:rPr>
        <w:t>. The st</w:t>
      </w:r>
      <w:r w:rsidR="0086555A">
        <w:rPr>
          <w:lang w:val="en-ZA"/>
        </w:rPr>
        <w:t xml:space="preserve">andard deviation shown in table 8 </w:t>
      </w:r>
      <w:r w:rsidR="0086555A" w:rsidRPr="008633D2">
        <w:rPr>
          <w:lang w:val="en-ZA"/>
        </w:rPr>
        <w:t xml:space="preserve">confirms that the difference between the riskiness of the male managed funds and the female managed funds in South Africa is insignificant. </w:t>
      </w:r>
    </w:p>
    <w:p w:rsidR="0086555A" w:rsidRDefault="0086555A" w:rsidP="00FD52FA">
      <w:pPr>
        <w:rPr>
          <w:lang w:val="en-ZA"/>
        </w:rPr>
      </w:pPr>
    </w:p>
    <w:p w:rsidR="007008C0" w:rsidRDefault="0086555A" w:rsidP="0086555A">
      <w:pPr>
        <w:rPr>
          <w:lang w:val="en-ZA"/>
        </w:rPr>
      </w:pPr>
      <w:r>
        <w:rPr>
          <w:lang w:val="en-ZA"/>
        </w:rPr>
        <w:t>The results discussed above indicate that in the case of South African fund managers, gender does not seem to contribute to the level of risk taken by the fund man</w:t>
      </w:r>
      <w:r w:rsidR="0046753E">
        <w:rPr>
          <w:lang w:val="en-ZA"/>
        </w:rPr>
        <w:t>a</w:t>
      </w:r>
      <w:r>
        <w:rPr>
          <w:lang w:val="en-ZA"/>
        </w:rPr>
        <w:t xml:space="preserve">ger. This finding is in contradiction </w:t>
      </w:r>
      <w:r w:rsidR="00D85665">
        <w:rPr>
          <w:lang w:val="en-ZA"/>
        </w:rPr>
        <w:t>of</w:t>
      </w:r>
      <w:r>
        <w:rPr>
          <w:lang w:val="en-ZA"/>
        </w:rPr>
        <w:t xml:space="preserve"> previous research such as that by </w:t>
      </w:r>
      <w:r w:rsidRPr="001A4CAE">
        <w:rPr>
          <w:lang w:val="en-ZA"/>
        </w:rPr>
        <w:t>Beckmann and Menkhoff</w:t>
      </w:r>
      <w:r w:rsidR="001A4CAE">
        <w:rPr>
          <w:lang w:val="en-ZA"/>
        </w:rPr>
        <w:t xml:space="preserve"> </w:t>
      </w:r>
      <w:r w:rsidRPr="001A4CAE">
        <w:rPr>
          <w:lang w:val="en-ZA"/>
        </w:rPr>
        <w:t>(2008) who found that fema</w:t>
      </w:r>
      <w:r w:rsidR="001A4CAE">
        <w:rPr>
          <w:lang w:val="en-ZA"/>
        </w:rPr>
        <w:t>l</w:t>
      </w:r>
      <w:r w:rsidRPr="001A4CAE">
        <w:rPr>
          <w:lang w:val="en-ZA"/>
        </w:rPr>
        <w:t xml:space="preserve">e and male behave differently towards risk even amongst financial experts. </w:t>
      </w:r>
      <w:r w:rsidR="001A4CAE">
        <w:rPr>
          <w:lang w:val="en-ZA"/>
        </w:rPr>
        <w:t>I</w:t>
      </w:r>
      <w:r w:rsidRPr="001A4CAE">
        <w:rPr>
          <w:lang w:val="en-ZA"/>
        </w:rPr>
        <w:t xml:space="preserve">t must be noted that the sample size used for this research, which is </w:t>
      </w:r>
      <w:r w:rsidR="00A8679B">
        <w:rPr>
          <w:lang w:val="en-ZA"/>
        </w:rPr>
        <w:t xml:space="preserve">the </w:t>
      </w:r>
      <w:r w:rsidRPr="001A4CAE">
        <w:rPr>
          <w:lang w:val="en-ZA"/>
        </w:rPr>
        <w:t xml:space="preserve">majority of the available sample is very small and therefore the results may be skewed. </w:t>
      </w:r>
    </w:p>
    <w:p w:rsidR="007008C0" w:rsidRDefault="007008C0" w:rsidP="0086555A">
      <w:pPr>
        <w:rPr>
          <w:lang w:val="en-ZA"/>
        </w:rPr>
      </w:pPr>
    </w:p>
    <w:p w:rsidR="007008C0" w:rsidRDefault="007008C0" w:rsidP="007008C0">
      <w:pPr>
        <w:rPr>
          <w:lang w:val="en-ZA"/>
        </w:rPr>
      </w:pPr>
      <w:r>
        <w:rPr>
          <w:lang w:val="en-ZA"/>
        </w:rPr>
        <w:t>T</w:t>
      </w:r>
      <w:r w:rsidR="0086555A" w:rsidRPr="001A4CAE">
        <w:rPr>
          <w:lang w:val="en-ZA"/>
        </w:rPr>
        <w:t xml:space="preserve">his research assumes that beta </w:t>
      </w:r>
      <w:r>
        <w:rPr>
          <w:lang w:val="en-ZA"/>
        </w:rPr>
        <w:t xml:space="preserve">is an adequate measure of risk </w:t>
      </w:r>
      <w:r w:rsidR="007969E2">
        <w:rPr>
          <w:lang w:val="en-ZA"/>
        </w:rPr>
        <w:t>and was</w:t>
      </w:r>
      <w:r>
        <w:rPr>
          <w:lang w:val="en-ZA"/>
        </w:rPr>
        <w:t xml:space="preserve"> chosen as the measure of risk of a fund for this research. This is a common practice in the financial market, however it may be unsuitable to use as a measure of riskiness between female managed funds and male managed funds. Beta was used as the main factor in this research to show no difference in the riskiness of funds managed by both genders.</w:t>
      </w:r>
    </w:p>
    <w:p w:rsidR="007008C0" w:rsidRDefault="007008C0" w:rsidP="007008C0">
      <w:pPr>
        <w:rPr>
          <w:lang w:val="en-ZA"/>
        </w:rPr>
      </w:pPr>
      <w:r>
        <w:rPr>
          <w:lang w:val="en-ZA"/>
        </w:rPr>
        <w:t>Beta is used to show the responsiveness of the return on a financial instrument relative to the return of the whole market</w:t>
      </w:r>
      <w:sdt>
        <w:sdtPr>
          <w:rPr>
            <w:lang w:val="en-ZA"/>
          </w:rPr>
          <w:id w:val="-1904983133"/>
          <w:citation/>
        </w:sdtPr>
        <w:sdtEndPr/>
        <w:sdtContent>
          <w:r>
            <w:rPr>
              <w:lang w:val="en-ZA"/>
            </w:rPr>
            <w:fldChar w:fldCharType="begin"/>
          </w:r>
          <w:r w:rsidR="005B7BCE">
            <w:rPr>
              <w:lang w:val="en-US"/>
            </w:rPr>
            <w:instrText xml:space="preserve">CITATION Pil14 \l 1033 </w:instrText>
          </w:r>
          <w:r>
            <w:rPr>
              <w:lang w:val="en-ZA"/>
            </w:rPr>
            <w:fldChar w:fldCharType="separate"/>
          </w:r>
          <w:r w:rsidR="005B7BCE">
            <w:rPr>
              <w:noProof/>
              <w:lang w:val="en-US"/>
            </w:rPr>
            <w:t xml:space="preserve"> (Pillay, 2014)</w:t>
          </w:r>
          <w:r>
            <w:rPr>
              <w:lang w:val="en-ZA"/>
            </w:rPr>
            <w:fldChar w:fldCharType="end"/>
          </w:r>
        </w:sdtContent>
      </w:sdt>
      <w:r>
        <w:rPr>
          <w:lang w:val="en-ZA"/>
        </w:rPr>
        <w:t>. Pillay indicates that shorter periods of data, such as daily or weekly data should rather be used to calculate beta. Simons</w:t>
      </w:r>
      <w:sdt>
        <w:sdtPr>
          <w:rPr>
            <w:lang w:val="en-ZA"/>
          </w:rPr>
          <w:id w:val="-1171951161"/>
          <w:citation/>
        </w:sdtPr>
        <w:sdtEndPr/>
        <w:sdtContent>
          <w:r>
            <w:rPr>
              <w:lang w:val="en-ZA"/>
            </w:rPr>
            <w:fldChar w:fldCharType="begin"/>
          </w:r>
          <w:r w:rsidR="005B7BCE">
            <w:rPr>
              <w:lang w:val="en-US"/>
            </w:rPr>
            <w:instrText xml:space="preserve">CITATION Sim98 \n  \t  \l 1033 </w:instrText>
          </w:r>
          <w:r>
            <w:rPr>
              <w:lang w:val="en-ZA"/>
            </w:rPr>
            <w:fldChar w:fldCharType="separate"/>
          </w:r>
          <w:r w:rsidR="005B7BCE">
            <w:rPr>
              <w:noProof/>
              <w:lang w:val="en-US"/>
            </w:rPr>
            <w:t xml:space="preserve"> (1998)</w:t>
          </w:r>
          <w:r>
            <w:rPr>
              <w:lang w:val="en-ZA"/>
            </w:rPr>
            <w:fldChar w:fldCharType="end"/>
          </w:r>
        </w:sdtContent>
      </w:sdt>
      <w:r>
        <w:rPr>
          <w:lang w:val="en-ZA"/>
        </w:rPr>
        <w:t xml:space="preserve"> indicates that if portfolios are noticeably different from the market portfolio, then beta relative to the market may not be relevant to them. </w:t>
      </w:r>
    </w:p>
    <w:p w:rsidR="007008C0" w:rsidRDefault="007008C0" w:rsidP="007008C0">
      <w:pPr>
        <w:rPr>
          <w:lang w:val="en-ZA"/>
        </w:rPr>
      </w:pPr>
    </w:p>
    <w:p w:rsidR="007008C0" w:rsidRDefault="007008C0" w:rsidP="007008C0">
      <w:pPr>
        <w:rPr>
          <w:lang w:val="en-ZA"/>
        </w:rPr>
      </w:pPr>
      <w:r>
        <w:rPr>
          <w:lang w:val="en-ZA"/>
        </w:rPr>
        <w:t xml:space="preserve">The accuracy of using beta as a measure of risk when comparing funds does need to be investigated further, the results of which could </w:t>
      </w:r>
      <w:r w:rsidR="0046753E">
        <w:rPr>
          <w:lang w:val="en-ZA"/>
        </w:rPr>
        <w:t>influence</w:t>
      </w:r>
      <w:r>
        <w:rPr>
          <w:lang w:val="en-ZA"/>
        </w:rPr>
        <w:t xml:space="preserve"> alternate ways of conducting this research. A more accurate way to measure the riskiness of a fund and thereby the risk profile of the fund manager could lead to better matching between the female managed funds and the male manged funds when comparing performance.</w:t>
      </w:r>
    </w:p>
    <w:p w:rsidR="008F0745" w:rsidRDefault="008F0745" w:rsidP="007008C0">
      <w:pPr>
        <w:rPr>
          <w:lang w:val="en-ZA"/>
        </w:rPr>
      </w:pPr>
    </w:p>
    <w:p w:rsidR="004448A6" w:rsidRPr="008633D2" w:rsidRDefault="004448A6" w:rsidP="004448A6">
      <w:pPr>
        <w:pStyle w:val="Heading3"/>
        <w:rPr>
          <w:lang w:val="en-ZA"/>
        </w:rPr>
      </w:pPr>
      <w:bookmarkStart w:id="250" w:name="_Toc458610828"/>
      <w:r w:rsidRPr="008633D2">
        <w:rPr>
          <w:lang w:val="en-ZA"/>
        </w:rPr>
        <w:t>The performance of female managed unit trusts compared to similar male managed unit trust</w:t>
      </w:r>
      <w:r w:rsidR="007F7693">
        <w:rPr>
          <w:lang w:val="en-ZA"/>
        </w:rPr>
        <w:t>s</w:t>
      </w:r>
      <w:bookmarkEnd w:id="250"/>
    </w:p>
    <w:p w:rsidR="00D000B1" w:rsidRDefault="00D000B1" w:rsidP="00762E3D">
      <w:pPr>
        <w:rPr>
          <w:noProof/>
          <w:lang w:val="en-US"/>
        </w:rPr>
      </w:pPr>
      <w:r>
        <w:rPr>
          <w:lang w:val="en-ZA"/>
        </w:rPr>
        <w:t>Previous literature indicates that there are many contributors to the performance of a fund. Returns from the market, returns from selecting stocks and returns from sector allocation are three possible sources of performance</w:t>
      </w:r>
      <w:sdt>
        <w:sdtPr>
          <w:rPr>
            <w:lang w:val="en-ZA"/>
          </w:rPr>
          <w:id w:val="-582452160"/>
          <w:citation/>
        </w:sdtPr>
        <w:sdtEndPr/>
        <w:sdtContent>
          <w:r>
            <w:rPr>
              <w:lang w:val="en-ZA"/>
            </w:rPr>
            <w:fldChar w:fldCharType="begin"/>
          </w:r>
          <w:r w:rsidR="005B7BCE">
            <w:rPr>
              <w:lang w:val="en-US"/>
            </w:rPr>
            <w:instrText xml:space="preserve">CITATION Kri13 \l 1033 </w:instrText>
          </w:r>
          <w:r>
            <w:rPr>
              <w:lang w:val="en-ZA"/>
            </w:rPr>
            <w:fldChar w:fldCharType="separate"/>
          </w:r>
          <w:r w:rsidR="005B7BCE">
            <w:rPr>
              <w:noProof/>
              <w:lang w:val="en-US"/>
            </w:rPr>
            <w:t xml:space="preserve"> (Krige &amp; Fox, 2013)</w:t>
          </w:r>
          <w:r>
            <w:rPr>
              <w:lang w:val="en-ZA"/>
            </w:rPr>
            <w:fldChar w:fldCharType="end"/>
          </w:r>
        </w:sdtContent>
      </w:sdt>
      <w:r w:rsidR="007969E2">
        <w:rPr>
          <w:lang w:val="en-ZA"/>
        </w:rPr>
        <w:t xml:space="preserve">. </w:t>
      </w:r>
      <w:r>
        <w:rPr>
          <w:lang w:val="en-ZA"/>
        </w:rPr>
        <w:t xml:space="preserve">The </w:t>
      </w:r>
      <w:r w:rsidR="00A80F9D">
        <w:rPr>
          <w:lang w:val="en-ZA"/>
        </w:rPr>
        <w:t>characteristics</w:t>
      </w:r>
      <w:r>
        <w:rPr>
          <w:lang w:val="en-ZA"/>
        </w:rPr>
        <w:t xml:space="preserve"> of the fund man</w:t>
      </w:r>
      <w:r w:rsidR="0046753E">
        <w:rPr>
          <w:lang w:val="en-ZA"/>
        </w:rPr>
        <w:t>a</w:t>
      </w:r>
      <w:r>
        <w:rPr>
          <w:lang w:val="en-ZA"/>
        </w:rPr>
        <w:t xml:space="preserve">ger, including </w:t>
      </w:r>
      <w:r w:rsidR="00A80F9D">
        <w:rPr>
          <w:lang w:val="en-ZA"/>
        </w:rPr>
        <w:t>the manager</w:t>
      </w:r>
      <w:r w:rsidR="00A8679B">
        <w:rPr>
          <w:lang w:val="en-ZA"/>
        </w:rPr>
        <w:t>’</w:t>
      </w:r>
      <w:r w:rsidR="00A80F9D">
        <w:rPr>
          <w:lang w:val="en-ZA"/>
        </w:rPr>
        <w:t xml:space="preserve">s </w:t>
      </w:r>
      <w:r>
        <w:rPr>
          <w:lang w:val="en-ZA"/>
        </w:rPr>
        <w:t>age</w:t>
      </w:r>
      <w:sdt>
        <w:sdtPr>
          <w:rPr>
            <w:lang w:val="en-ZA"/>
          </w:rPr>
          <w:id w:val="-1398742326"/>
          <w:citation/>
        </w:sdtPr>
        <w:sdtEndPr/>
        <w:sdtContent>
          <w:r>
            <w:rPr>
              <w:lang w:val="en-ZA"/>
            </w:rPr>
            <w:fldChar w:fldCharType="begin"/>
          </w:r>
          <w:r>
            <w:rPr>
              <w:lang w:val="en-US"/>
            </w:rPr>
            <w:instrText xml:space="preserve"> CITATION Che99 \l 1033 </w:instrText>
          </w:r>
          <w:r>
            <w:rPr>
              <w:lang w:val="en-ZA"/>
            </w:rPr>
            <w:fldChar w:fldCharType="separate"/>
          </w:r>
          <w:r>
            <w:rPr>
              <w:noProof/>
              <w:lang w:val="en-US"/>
            </w:rPr>
            <w:t xml:space="preserve"> (Chevalier &amp; Ellison, 1999)</w:t>
          </w:r>
          <w:r>
            <w:rPr>
              <w:lang w:val="en-ZA"/>
            </w:rPr>
            <w:fldChar w:fldCharType="end"/>
          </w:r>
        </w:sdtContent>
      </w:sdt>
      <w:r>
        <w:rPr>
          <w:lang w:val="en-ZA"/>
        </w:rPr>
        <w:t xml:space="preserve">  and education</w:t>
      </w:r>
      <w:sdt>
        <w:sdtPr>
          <w:rPr>
            <w:lang w:val="en-ZA"/>
          </w:rPr>
          <w:id w:val="969020896"/>
          <w:citation/>
        </w:sdtPr>
        <w:sdtEndPr/>
        <w:sdtContent>
          <w:r>
            <w:rPr>
              <w:lang w:val="en-ZA"/>
            </w:rPr>
            <w:fldChar w:fldCharType="begin"/>
          </w:r>
          <w:r w:rsidR="005B7BCE">
            <w:rPr>
              <w:lang w:val="en-US"/>
            </w:rPr>
            <w:instrText xml:space="preserve">CITATION Fri03 \l 1033 </w:instrText>
          </w:r>
          <w:r>
            <w:rPr>
              <w:lang w:val="en-ZA"/>
            </w:rPr>
            <w:fldChar w:fldCharType="separate"/>
          </w:r>
          <w:r w:rsidR="005B7BCE">
            <w:rPr>
              <w:noProof/>
              <w:lang w:val="en-US"/>
            </w:rPr>
            <w:t xml:space="preserve"> (Friis, 2003)</w:t>
          </w:r>
          <w:r>
            <w:rPr>
              <w:lang w:val="en-ZA"/>
            </w:rPr>
            <w:fldChar w:fldCharType="end"/>
          </w:r>
        </w:sdtContent>
      </w:sdt>
      <w:r w:rsidR="008F0745">
        <w:rPr>
          <w:lang w:val="en-ZA"/>
        </w:rPr>
        <w:t xml:space="preserve">, </w:t>
      </w:r>
      <w:r w:rsidR="003666A5">
        <w:rPr>
          <w:lang w:val="en-ZA"/>
        </w:rPr>
        <w:t>has</w:t>
      </w:r>
      <w:r>
        <w:rPr>
          <w:lang w:val="en-ZA"/>
        </w:rPr>
        <w:t xml:space="preserve"> been shown to contribute to the performance of the fund. Gender has not been investigated </w:t>
      </w:r>
      <w:r w:rsidR="008F0745">
        <w:rPr>
          <w:lang w:val="en-ZA"/>
        </w:rPr>
        <w:t>in depth as a source of performance</w:t>
      </w:r>
      <w:r>
        <w:rPr>
          <w:lang w:val="en-ZA"/>
        </w:rPr>
        <w:t xml:space="preserve">, </w:t>
      </w:r>
      <w:r w:rsidR="00A80F9D">
        <w:rPr>
          <w:lang w:val="en-ZA"/>
        </w:rPr>
        <w:t xml:space="preserve">the </w:t>
      </w:r>
      <w:r>
        <w:rPr>
          <w:lang w:val="en-ZA"/>
        </w:rPr>
        <w:t>studies that have consider</w:t>
      </w:r>
      <w:r w:rsidR="00D15BCE">
        <w:rPr>
          <w:lang w:val="en-ZA"/>
        </w:rPr>
        <w:t>ed</w:t>
      </w:r>
      <w:r>
        <w:rPr>
          <w:lang w:val="en-ZA"/>
        </w:rPr>
        <w:t xml:space="preserve"> gender as a factor in the performance of a fund include </w:t>
      </w:r>
      <w:r>
        <w:rPr>
          <w:noProof/>
          <w:lang w:val="en-US"/>
        </w:rPr>
        <w:t>Niessen and Ruenzi (2006)</w:t>
      </w:r>
      <w:r>
        <w:rPr>
          <w:lang w:val="en-ZA"/>
        </w:rPr>
        <w:t xml:space="preserve">, </w:t>
      </w:r>
      <w:r w:rsidR="00D15BCE">
        <w:rPr>
          <w:noProof/>
          <w:lang w:val="en-US"/>
        </w:rPr>
        <w:t xml:space="preserve">Pham </w:t>
      </w:r>
      <w:sdt>
        <w:sdtPr>
          <w:rPr>
            <w:noProof/>
            <w:lang w:val="en-US"/>
          </w:rPr>
          <w:id w:val="2065065612"/>
          <w:citation/>
        </w:sdtPr>
        <w:sdtEndPr/>
        <w:sdtContent>
          <w:r w:rsidR="00D15BCE">
            <w:rPr>
              <w:noProof/>
              <w:lang w:val="en-US"/>
            </w:rPr>
            <w:fldChar w:fldCharType="begin"/>
          </w:r>
          <w:r w:rsidR="005B7BCE">
            <w:rPr>
              <w:noProof/>
              <w:lang w:val="en-US"/>
            </w:rPr>
            <w:instrText xml:space="preserve">CITATION Pha15 \n  \t  \l 1033 </w:instrText>
          </w:r>
          <w:r w:rsidR="00D15BCE">
            <w:rPr>
              <w:noProof/>
              <w:lang w:val="en-US"/>
            </w:rPr>
            <w:fldChar w:fldCharType="separate"/>
          </w:r>
          <w:r w:rsidR="005B7BCE">
            <w:rPr>
              <w:noProof/>
              <w:lang w:val="en-US"/>
            </w:rPr>
            <w:t>(2015)</w:t>
          </w:r>
          <w:r w:rsidR="00D15BCE">
            <w:rPr>
              <w:noProof/>
              <w:lang w:val="en-US"/>
            </w:rPr>
            <w:fldChar w:fldCharType="end"/>
          </w:r>
        </w:sdtContent>
      </w:sdt>
      <w:r>
        <w:rPr>
          <w:noProof/>
          <w:lang w:val="en-US"/>
        </w:rPr>
        <w:t xml:space="preserve"> and, Aggarwal and Boyson (2015), none of these studies show any significant difference in performance due to the gender of the fund manager. </w:t>
      </w:r>
    </w:p>
    <w:p w:rsidR="00DF02D2" w:rsidRDefault="00DF02D2" w:rsidP="00762E3D">
      <w:pPr>
        <w:rPr>
          <w:noProof/>
          <w:lang w:val="en-US"/>
        </w:rPr>
      </w:pPr>
    </w:p>
    <w:p w:rsidR="00DF02D2" w:rsidRDefault="00D85665" w:rsidP="00762E3D">
      <w:pPr>
        <w:rPr>
          <w:lang w:val="en-ZA"/>
        </w:rPr>
      </w:pPr>
      <w:r>
        <w:rPr>
          <w:noProof/>
          <w:lang w:val="en-US"/>
        </w:rPr>
        <w:t>This study aimed</w:t>
      </w:r>
      <w:r w:rsidR="00DF02D2">
        <w:rPr>
          <w:noProof/>
          <w:lang w:val="en-US"/>
        </w:rPr>
        <w:t xml:space="preserve"> to show an outperformance of funds man</w:t>
      </w:r>
      <w:r w:rsidR="00A8679B">
        <w:rPr>
          <w:noProof/>
          <w:lang w:val="en-US"/>
        </w:rPr>
        <w:t>a</w:t>
      </w:r>
      <w:r w:rsidR="00DF02D2">
        <w:rPr>
          <w:noProof/>
          <w:lang w:val="en-US"/>
        </w:rPr>
        <w:t xml:space="preserve">ged by female fund managers when compared to </w:t>
      </w:r>
      <w:r w:rsidR="00A80F9D">
        <w:rPr>
          <w:noProof/>
          <w:lang w:val="en-US"/>
        </w:rPr>
        <w:t xml:space="preserve">similar </w:t>
      </w:r>
      <w:r w:rsidR="00DF02D2">
        <w:rPr>
          <w:noProof/>
          <w:lang w:val="en-US"/>
        </w:rPr>
        <w:t xml:space="preserve">male fund managers.  </w:t>
      </w:r>
      <w:r w:rsidR="00A80F9D">
        <w:rPr>
          <w:noProof/>
          <w:lang w:val="en-US"/>
        </w:rPr>
        <w:t xml:space="preserve">Three </w:t>
      </w:r>
      <w:r w:rsidR="00DF02D2">
        <w:rPr>
          <w:noProof/>
          <w:lang w:val="en-US"/>
        </w:rPr>
        <w:t>hypothese</w:t>
      </w:r>
      <w:r>
        <w:rPr>
          <w:noProof/>
          <w:lang w:val="en-US"/>
        </w:rPr>
        <w:t xml:space="preserve"> </w:t>
      </w:r>
      <w:r w:rsidR="00A80F9D">
        <w:rPr>
          <w:noProof/>
          <w:lang w:val="en-US"/>
        </w:rPr>
        <w:t xml:space="preserve"> w</w:t>
      </w:r>
      <w:r w:rsidR="00A8679B">
        <w:rPr>
          <w:noProof/>
          <w:lang w:val="en-US"/>
        </w:rPr>
        <w:t>ere</w:t>
      </w:r>
      <w:r w:rsidR="00A80F9D">
        <w:rPr>
          <w:noProof/>
          <w:lang w:val="en-US"/>
        </w:rPr>
        <w:t xml:space="preserve"> </w:t>
      </w:r>
      <w:r w:rsidR="008F0745">
        <w:rPr>
          <w:noProof/>
          <w:lang w:val="en-US"/>
        </w:rPr>
        <w:t>defined</w:t>
      </w:r>
      <w:r w:rsidR="00A80F9D">
        <w:rPr>
          <w:noProof/>
          <w:lang w:val="en-US"/>
        </w:rPr>
        <w:t xml:space="preserve"> t</w:t>
      </w:r>
      <w:r w:rsidR="00DF02D2">
        <w:rPr>
          <w:noProof/>
          <w:lang w:val="en-US"/>
        </w:rPr>
        <w:t>o determine the validity of this statement</w:t>
      </w:r>
      <w:r w:rsidR="00A80F9D">
        <w:rPr>
          <w:noProof/>
          <w:lang w:val="en-US"/>
        </w:rPr>
        <w:t xml:space="preserve">. These hypotheses which were </w:t>
      </w:r>
      <w:r w:rsidR="00DF02D2">
        <w:rPr>
          <w:noProof/>
          <w:lang w:val="en-US"/>
        </w:rPr>
        <w:t>developed in chapter 2 and presented in sections 2.4.1 to 2.4.3 are discussed in th</w:t>
      </w:r>
      <w:r>
        <w:rPr>
          <w:noProof/>
          <w:lang w:val="en-US"/>
        </w:rPr>
        <w:t>is</w:t>
      </w:r>
      <w:r w:rsidR="00DF02D2">
        <w:rPr>
          <w:noProof/>
          <w:lang w:val="en-US"/>
        </w:rPr>
        <w:t xml:space="preserve"> section. </w:t>
      </w:r>
    </w:p>
    <w:p w:rsidR="00D000B1" w:rsidRDefault="00D000B1" w:rsidP="00762E3D">
      <w:pPr>
        <w:rPr>
          <w:lang w:val="en-ZA"/>
        </w:rPr>
      </w:pPr>
    </w:p>
    <w:p w:rsidR="008F0745" w:rsidRDefault="00762E3D" w:rsidP="004448A6">
      <w:pPr>
        <w:rPr>
          <w:lang w:val="en-ZA"/>
        </w:rPr>
      </w:pPr>
      <w:r w:rsidRPr="008633D2">
        <w:rPr>
          <w:lang w:val="en-ZA"/>
        </w:rPr>
        <w:t>In order to compare individually man</w:t>
      </w:r>
      <w:r w:rsidR="0046753E">
        <w:rPr>
          <w:lang w:val="en-ZA"/>
        </w:rPr>
        <w:t>a</w:t>
      </w:r>
      <w:r w:rsidRPr="008633D2">
        <w:rPr>
          <w:lang w:val="en-ZA"/>
        </w:rPr>
        <w:t xml:space="preserve">ged female funds to </w:t>
      </w:r>
      <w:r w:rsidR="00A80F9D">
        <w:rPr>
          <w:lang w:val="en-ZA"/>
        </w:rPr>
        <w:t xml:space="preserve">individually </w:t>
      </w:r>
      <w:r w:rsidRPr="008633D2">
        <w:rPr>
          <w:lang w:val="en-ZA"/>
        </w:rPr>
        <w:t>male man</w:t>
      </w:r>
      <w:r w:rsidR="0046753E">
        <w:rPr>
          <w:lang w:val="en-ZA"/>
        </w:rPr>
        <w:t>a</w:t>
      </w:r>
      <w:r w:rsidRPr="008633D2">
        <w:rPr>
          <w:lang w:val="en-ZA"/>
        </w:rPr>
        <w:t>ged funds, a corresponding male man</w:t>
      </w:r>
      <w:r w:rsidR="0046753E">
        <w:rPr>
          <w:lang w:val="en-ZA"/>
        </w:rPr>
        <w:t>a</w:t>
      </w:r>
      <w:r w:rsidRPr="008633D2">
        <w:rPr>
          <w:lang w:val="en-ZA"/>
        </w:rPr>
        <w:t>ged fund was identified for each female managed fund</w:t>
      </w:r>
      <w:r w:rsidR="00A80F9D">
        <w:rPr>
          <w:lang w:val="en-ZA"/>
        </w:rPr>
        <w:t xml:space="preserve">. </w:t>
      </w:r>
      <w:r w:rsidRPr="008633D2">
        <w:rPr>
          <w:lang w:val="en-ZA"/>
        </w:rPr>
        <w:t>The process for identifying the funds to be included in the comparison is outlined in section 3.6.4</w:t>
      </w:r>
      <w:r w:rsidR="00A80F9D">
        <w:rPr>
          <w:lang w:val="en-ZA"/>
        </w:rPr>
        <w:t xml:space="preserve">, funds that were </w:t>
      </w:r>
      <w:r w:rsidR="00A80F9D" w:rsidRPr="008633D2">
        <w:rPr>
          <w:lang w:val="en-ZA"/>
        </w:rPr>
        <w:t>in existence for one year or more</w:t>
      </w:r>
      <w:r w:rsidR="00A80F9D">
        <w:rPr>
          <w:lang w:val="en-ZA"/>
        </w:rPr>
        <w:t xml:space="preserve"> were eligible </w:t>
      </w:r>
      <w:r w:rsidR="0046753E">
        <w:rPr>
          <w:lang w:val="en-ZA"/>
        </w:rPr>
        <w:t>for inclusion</w:t>
      </w:r>
      <w:r w:rsidR="00A80F9D" w:rsidRPr="008633D2">
        <w:rPr>
          <w:lang w:val="en-ZA"/>
        </w:rPr>
        <w:t>.</w:t>
      </w:r>
    </w:p>
    <w:p w:rsidR="008F0745" w:rsidRDefault="008F0745" w:rsidP="004448A6">
      <w:pPr>
        <w:rPr>
          <w:lang w:val="en-ZA"/>
        </w:rPr>
      </w:pPr>
    </w:p>
    <w:p w:rsidR="00DF02D2" w:rsidRDefault="008F0745" w:rsidP="004448A6">
      <w:pPr>
        <w:rPr>
          <w:lang w:val="en-ZA"/>
        </w:rPr>
      </w:pPr>
      <w:r>
        <w:rPr>
          <w:lang w:val="en-ZA"/>
        </w:rPr>
        <w:t>Table 9 presented</w:t>
      </w:r>
      <w:r w:rsidR="00DF02D2">
        <w:rPr>
          <w:lang w:val="en-ZA"/>
        </w:rPr>
        <w:t xml:space="preserve"> each female</w:t>
      </w:r>
      <w:r w:rsidR="0046753E">
        <w:rPr>
          <w:lang w:val="en-ZA"/>
        </w:rPr>
        <w:t xml:space="preserve"> managed </w:t>
      </w:r>
      <w:r w:rsidR="00DF02D2">
        <w:rPr>
          <w:lang w:val="en-ZA"/>
        </w:rPr>
        <w:t xml:space="preserve">fund used </w:t>
      </w:r>
      <w:r>
        <w:rPr>
          <w:lang w:val="en-ZA"/>
        </w:rPr>
        <w:t xml:space="preserve">in </w:t>
      </w:r>
      <w:r w:rsidR="00DF02D2">
        <w:rPr>
          <w:lang w:val="en-ZA"/>
        </w:rPr>
        <w:t>th</w:t>
      </w:r>
      <w:r>
        <w:rPr>
          <w:lang w:val="en-ZA"/>
        </w:rPr>
        <w:t>is</w:t>
      </w:r>
      <w:r w:rsidR="00DF02D2">
        <w:rPr>
          <w:lang w:val="en-ZA"/>
        </w:rPr>
        <w:t xml:space="preserve"> analysis and the corresponding identified male </w:t>
      </w:r>
      <w:r w:rsidR="007969E2">
        <w:rPr>
          <w:lang w:val="en-ZA"/>
        </w:rPr>
        <w:t>managed fund</w:t>
      </w:r>
      <w:r w:rsidR="00DF02D2">
        <w:rPr>
          <w:lang w:val="en-ZA"/>
        </w:rPr>
        <w:t xml:space="preserve">. The annualised </w:t>
      </w:r>
      <w:r w:rsidR="007969E2">
        <w:rPr>
          <w:lang w:val="en-ZA"/>
        </w:rPr>
        <w:t>returns for each of these funds were</w:t>
      </w:r>
      <w:r w:rsidR="00DF02D2">
        <w:rPr>
          <w:lang w:val="en-ZA"/>
        </w:rPr>
        <w:t xml:space="preserve"> calculated over the short, medium and long term </w:t>
      </w:r>
      <w:r>
        <w:rPr>
          <w:lang w:val="en-ZA"/>
        </w:rPr>
        <w:t>provided that the</w:t>
      </w:r>
      <w:r w:rsidR="00A80F9D">
        <w:rPr>
          <w:lang w:val="en-ZA"/>
        </w:rPr>
        <w:t xml:space="preserve"> </w:t>
      </w:r>
      <w:r w:rsidR="00DF02D2">
        <w:rPr>
          <w:lang w:val="en-ZA"/>
        </w:rPr>
        <w:t>data was available for the each of the full periods. This data along with the differences in annuali</w:t>
      </w:r>
      <w:r>
        <w:rPr>
          <w:lang w:val="en-ZA"/>
        </w:rPr>
        <w:t>sed returns between the funds was</w:t>
      </w:r>
      <w:r w:rsidR="00DF02D2">
        <w:rPr>
          <w:lang w:val="en-ZA"/>
        </w:rPr>
        <w:t xml:space="preserve"> presented in table 10</w:t>
      </w:r>
      <w:r w:rsidR="007969E2">
        <w:rPr>
          <w:lang w:val="en-ZA"/>
        </w:rPr>
        <w:t xml:space="preserve">. </w:t>
      </w:r>
      <w:r w:rsidR="00DF02D2">
        <w:rPr>
          <w:lang w:val="en-ZA"/>
        </w:rPr>
        <w:t>A summary of the results for the funds selected as per tabl</w:t>
      </w:r>
      <w:r>
        <w:rPr>
          <w:lang w:val="en-ZA"/>
        </w:rPr>
        <w:t>e 9 was</w:t>
      </w:r>
      <w:r w:rsidR="00DF02D2">
        <w:rPr>
          <w:lang w:val="en-ZA"/>
        </w:rPr>
        <w:t xml:space="preserve"> </w:t>
      </w:r>
      <w:r>
        <w:rPr>
          <w:lang w:val="en-ZA"/>
        </w:rPr>
        <w:t>shown</w:t>
      </w:r>
      <w:r w:rsidR="00DF02D2">
        <w:rPr>
          <w:lang w:val="en-ZA"/>
        </w:rPr>
        <w:t xml:space="preserve"> in table 11. The results of the statistical tests described in chapter 3 </w:t>
      </w:r>
      <w:r>
        <w:rPr>
          <w:lang w:val="en-ZA"/>
        </w:rPr>
        <w:t>were</w:t>
      </w:r>
      <w:r w:rsidR="00DF02D2">
        <w:rPr>
          <w:lang w:val="en-ZA"/>
        </w:rPr>
        <w:t xml:space="preserve"> presented in table 12. </w:t>
      </w:r>
    </w:p>
    <w:p w:rsidR="00CF0CB4" w:rsidRDefault="00CF0CB4" w:rsidP="004448A6">
      <w:pPr>
        <w:rPr>
          <w:lang w:val="en-ZA"/>
        </w:rPr>
      </w:pPr>
    </w:p>
    <w:p w:rsidR="00CF0CB4" w:rsidRDefault="00CF0CB4" w:rsidP="004448A6">
      <w:pPr>
        <w:rPr>
          <w:lang w:val="en-ZA"/>
        </w:rPr>
      </w:pPr>
      <w:r>
        <w:rPr>
          <w:lang w:val="en-ZA"/>
        </w:rPr>
        <w:t xml:space="preserve">To accept the alternate hypotheses defined in section 2.8, the null hypotheses must be rejected. For each </w:t>
      </w:r>
      <w:r w:rsidR="007969E2">
        <w:rPr>
          <w:lang w:val="en-ZA"/>
        </w:rPr>
        <w:t>t-test,</w:t>
      </w:r>
      <w:r>
        <w:rPr>
          <w:lang w:val="en-ZA"/>
        </w:rPr>
        <w:t xml:space="preserve"> the corresponding p-value is also determined. This research uses a significance level of </w:t>
      </w:r>
      <w:r w:rsidR="008F0745">
        <w:rPr>
          <w:lang w:val="en-ZA"/>
        </w:rPr>
        <w:t>0.05</w:t>
      </w:r>
      <w:r>
        <w:rPr>
          <w:lang w:val="en-ZA"/>
        </w:rPr>
        <w:t>, therefor</w:t>
      </w:r>
      <w:r w:rsidR="008F0745">
        <w:rPr>
          <w:lang w:val="en-ZA"/>
        </w:rPr>
        <w:t>e</w:t>
      </w:r>
      <w:r>
        <w:rPr>
          <w:lang w:val="en-ZA"/>
        </w:rPr>
        <w:t xml:space="preserve"> the p-value for the </w:t>
      </w:r>
      <w:r w:rsidR="008F0745">
        <w:rPr>
          <w:lang w:val="en-ZA"/>
        </w:rPr>
        <w:t xml:space="preserve">null </w:t>
      </w:r>
      <w:r>
        <w:rPr>
          <w:lang w:val="en-ZA"/>
        </w:rPr>
        <w:t xml:space="preserve">hypothesis being tested, must be </w:t>
      </w:r>
      <w:r w:rsidR="008F0745">
        <w:rPr>
          <w:lang w:val="en-ZA"/>
        </w:rPr>
        <w:t>greater</w:t>
      </w:r>
      <w:r>
        <w:rPr>
          <w:lang w:val="en-ZA"/>
        </w:rPr>
        <w:t xml:space="preserve"> tha</w:t>
      </w:r>
      <w:r w:rsidR="00A8679B">
        <w:rPr>
          <w:lang w:val="en-ZA"/>
        </w:rPr>
        <w:t>n</w:t>
      </w:r>
      <w:r>
        <w:rPr>
          <w:lang w:val="en-ZA"/>
        </w:rPr>
        <w:t xml:space="preserve"> 0.05 in order to reject the null hypothesis and accept the corresponding alternate hypotheses. Each of the defined hypotheses related to the performance of individually managed female funds </w:t>
      </w:r>
      <w:r w:rsidR="00A8679B">
        <w:rPr>
          <w:lang w:val="en-ZA"/>
        </w:rPr>
        <w:t>is</w:t>
      </w:r>
      <w:r>
        <w:rPr>
          <w:lang w:val="en-ZA"/>
        </w:rPr>
        <w:t xml:space="preserve"> discussed next. </w:t>
      </w:r>
    </w:p>
    <w:p w:rsidR="00DF02D2" w:rsidRPr="00DF02D2" w:rsidRDefault="00DF02D2" w:rsidP="00DF02D2">
      <w:pPr>
        <w:rPr>
          <w:i/>
          <w:u w:val="single"/>
          <w:lang w:val="en-ZA"/>
        </w:rPr>
      </w:pPr>
      <w:r w:rsidRPr="00DF02D2">
        <w:rPr>
          <w:i/>
          <w:u w:val="single"/>
          <w:lang w:val="en-ZA"/>
        </w:rPr>
        <w:t>Hypothesis 1 – short term performance</w:t>
      </w:r>
    </w:p>
    <w:p w:rsidR="00DF02D2" w:rsidRDefault="00DF02D2" w:rsidP="004448A6">
      <w:pPr>
        <w:rPr>
          <w:lang w:val="en-ZA"/>
        </w:rPr>
      </w:pPr>
      <w:r>
        <w:rPr>
          <w:lang w:val="en-ZA"/>
        </w:rPr>
        <w:t xml:space="preserve">The first null hypotheses of this research, as presented in </w:t>
      </w:r>
      <w:r w:rsidR="00CF0CB4">
        <w:rPr>
          <w:lang w:val="en-ZA"/>
        </w:rPr>
        <w:t xml:space="preserve">section </w:t>
      </w:r>
      <w:r>
        <w:rPr>
          <w:lang w:val="en-ZA"/>
        </w:rPr>
        <w:t xml:space="preserve">2.4.1, indicates that in the short term, which </w:t>
      </w:r>
      <w:r w:rsidR="008F0745">
        <w:rPr>
          <w:lang w:val="en-ZA"/>
        </w:rPr>
        <w:t xml:space="preserve">has been </w:t>
      </w:r>
      <w:r>
        <w:rPr>
          <w:lang w:val="en-ZA"/>
        </w:rPr>
        <w:t>defined</w:t>
      </w:r>
      <w:r w:rsidR="008F0745">
        <w:rPr>
          <w:lang w:val="en-ZA"/>
        </w:rPr>
        <w:t xml:space="preserve"> in this research</w:t>
      </w:r>
      <w:r>
        <w:rPr>
          <w:lang w:val="en-ZA"/>
        </w:rPr>
        <w:t xml:space="preserve"> as a period of one year or less, the performance of male managed funds is greater than or equal to the performance of female managed funds. When looking at average returns of funds considered, it cannot be shown that female managed funds outperform their male counterparts. </w:t>
      </w:r>
    </w:p>
    <w:p w:rsidR="00E92DB4" w:rsidRDefault="00E92DB4" w:rsidP="004448A6">
      <w:pPr>
        <w:rPr>
          <w:lang w:val="en-ZA"/>
        </w:rPr>
      </w:pPr>
    </w:p>
    <w:p w:rsidR="007008C0" w:rsidRDefault="00DF02D2" w:rsidP="004448A6">
      <w:pPr>
        <w:rPr>
          <w:lang w:val="en-ZA"/>
        </w:rPr>
      </w:pPr>
      <w:r>
        <w:rPr>
          <w:lang w:val="en-ZA"/>
        </w:rPr>
        <w:t>The t-test</w:t>
      </w:r>
      <w:r w:rsidR="00E92DB4">
        <w:rPr>
          <w:lang w:val="en-ZA"/>
        </w:rPr>
        <w:t xml:space="preserve"> as presented in table 12, in the </w:t>
      </w:r>
      <w:r w:rsidR="007969E2">
        <w:rPr>
          <w:lang w:val="en-ZA"/>
        </w:rPr>
        <w:t>1-year</w:t>
      </w:r>
      <w:r w:rsidR="00E92DB4">
        <w:rPr>
          <w:lang w:val="en-ZA"/>
        </w:rPr>
        <w:t xml:space="preserve"> column</w:t>
      </w:r>
      <w:r w:rsidR="007969E2">
        <w:rPr>
          <w:lang w:val="en-ZA"/>
        </w:rPr>
        <w:t>, produces</w:t>
      </w:r>
      <w:r>
        <w:rPr>
          <w:lang w:val="en-ZA"/>
        </w:rPr>
        <w:t xml:space="preserve"> a value of 0.8869 </w:t>
      </w:r>
      <w:r w:rsidR="007969E2">
        <w:rPr>
          <w:lang w:val="en-ZA"/>
        </w:rPr>
        <w:t>and the</w:t>
      </w:r>
      <w:r>
        <w:rPr>
          <w:lang w:val="en-ZA"/>
        </w:rPr>
        <w:t xml:space="preserve"> related p-value is calculated to be 0.3751. As the p-value is greater than the chosen significance level of 0.05, the null hypothesis, which states that male managed funds outperform or perform equally to female managed funds in the </w:t>
      </w:r>
      <w:r w:rsidR="008F0745">
        <w:rPr>
          <w:lang w:val="en-ZA"/>
        </w:rPr>
        <w:t xml:space="preserve">short term, cannot be rejected and therefore the alternate hypothesis cannot be accepted. </w:t>
      </w:r>
    </w:p>
    <w:p w:rsidR="008F0745" w:rsidRDefault="008F0745" w:rsidP="004448A6">
      <w:pPr>
        <w:rPr>
          <w:lang w:val="en-ZA"/>
        </w:rPr>
      </w:pPr>
    </w:p>
    <w:p w:rsidR="00E92DB4" w:rsidRDefault="00DF02D2" w:rsidP="00DF02D2">
      <w:pPr>
        <w:rPr>
          <w:i/>
          <w:u w:val="single"/>
          <w:lang w:val="en-ZA"/>
        </w:rPr>
      </w:pPr>
      <w:r>
        <w:rPr>
          <w:i/>
          <w:u w:val="single"/>
          <w:lang w:val="en-ZA"/>
        </w:rPr>
        <w:t>Hypothesis 2</w:t>
      </w:r>
      <w:r w:rsidRPr="00DF02D2">
        <w:rPr>
          <w:i/>
          <w:u w:val="single"/>
          <w:lang w:val="en-ZA"/>
        </w:rPr>
        <w:t xml:space="preserve"> – </w:t>
      </w:r>
      <w:r>
        <w:rPr>
          <w:i/>
          <w:u w:val="single"/>
          <w:lang w:val="en-ZA"/>
        </w:rPr>
        <w:t>medium</w:t>
      </w:r>
      <w:r w:rsidRPr="00DF02D2">
        <w:rPr>
          <w:i/>
          <w:u w:val="single"/>
          <w:lang w:val="en-ZA"/>
        </w:rPr>
        <w:t xml:space="preserve"> term performance</w:t>
      </w:r>
    </w:p>
    <w:p w:rsidR="00CF0CB4" w:rsidRDefault="008F0745" w:rsidP="00DF02D2">
      <w:pPr>
        <w:rPr>
          <w:lang w:val="en-ZA"/>
        </w:rPr>
      </w:pPr>
      <w:r>
        <w:rPr>
          <w:lang w:val="en-ZA"/>
        </w:rPr>
        <w:t>Hypothesi</w:t>
      </w:r>
      <w:r w:rsidR="00DA29C3">
        <w:rPr>
          <w:lang w:val="en-ZA"/>
        </w:rPr>
        <w:t xml:space="preserve">s 2 </w:t>
      </w:r>
      <w:r w:rsidR="00CF0CB4">
        <w:rPr>
          <w:lang w:val="en-ZA"/>
        </w:rPr>
        <w:t>of</w:t>
      </w:r>
      <w:r w:rsidR="00DA29C3">
        <w:rPr>
          <w:lang w:val="en-ZA"/>
        </w:rPr>
        <w:t xml:space="preserve"> this research aim</w:t>
      </w:r>
      <w:r w:rsidR="00CF0CB4">
        <w:rPr>
          <w:lang w:val="en-ZA"/>
        </w:rPr>
        <w:t>s</w:t>
      </w:r>
      <w:r w:rsidR="00E92DB4">
        <w:rPr>
          <w:lang w:val="en-ZA"/>
        </w:rPr>
        <w:t xml:space="preserve"> to </w:t>
      </w:r>
      <w:r w:rsidR="0046753E">
        <w:rPr>
          <w:lang w:val="en-ZA"/>
        </w:rPr>
        <w:t>s</w:t>
      </w:r>
      <w:r w:rsidR="00CF0CB4">
        <w:rPr>
          <w:lang w:val="en-ZA"/>
        </w:rPr>
        <w:t>how</w:t>
      </w:r>
      <w:r w:rsidR="00E92DB4">
        <w:rPr>
          <w:lang w:val="en-ZA"/>
        </w:rPr>
        <w:t xml:space="preserve"> excess performance by female managed funds when compared to similar male managed funds in the </w:t>
      </w:r>
      <w:r w:rsidR="00FA6C8B">
        <w:rPr>
          <w:lang w:val="en-ZA"/>
        </w:rPr>
        <w:t>medium</w:t>
      </w:r>
      <w:r w:rsidR="00E92DB4">
        <w:rPr>
          <w:lang w:val="en-ZA"/>
        </w:rPr>
        <w:t xml:space="preserve"> term. The </w:t>
      </w:r>
      <w:r w:rsidR="00FA6C8B">
        <w:rPr>
          <w:lang w:val="en-ZA"/>
        </w:rPr>
        <w:t>medium</w:t>
      </w:r>
      <w:r w:rsidR="00E92DB4">
        <w:rPr>
          <w:lang w:val="en-ZA"/>
        </w:rPr>
        <w:t xml:space="preserve"> term is considered to be a period greater than one year but less than or equal to five years</w:t>
      </w:r>
      <w:r w:rsidR="007969E2">
        <w:rPr>
          <w:lang w:val="en-ZA"/>
        </w:rPr>
        <w:t xml:space="preserve">. </w:t>
      </w:r>
      <w:r w:rsidR="00E92DB4">
        <w:rPr>
          <w:lang w:val="en-ZA"/>
        </w:rPr>
        <w:t>The average</w:t>
      </w:r>
      <w:r w:rsidR="00247FF1">
        <w:rPr>
          <w:lang w:val="en-ZA"/>
        </w:rPr>
        <w:t xml:space="preserve"> 3-year annualised</w:t>
      </w:r>
      <w:r w:rsidR="00E92DB4">
        <w:rPr>
          <w:lang w:val="en-ZA"/>
        </w:rPr>
        <w:t xml:space="preserve"> return produced by males is 13.93</w:t>
      </w:r>
      <w:r w:rsidR="00247FF1">
        <w:rPr>
          <w:lang w:val="en-ZA"/>
        </w:rPr>
        <w:t xml:space="preserve">% </w:t>
      </w:r>
      <w:r w:rsidR="00CF0CB4">
        <w:rPr>
          <w:lang w:val="en-ZA"/>
        </w:rPr>
        <w:t xml:space="preserve">whereby the average </w:t>
      </w:r>
      <w:r w:rsidR="00247FF1">
        <w:rPr>
          <w:lang w:val="en-ZA"/>
        </w:rPr>
        <w:t xml:space="preserve">3-year annualised </w:t>
      </w:r>
      <w:r w:rsidR="00E92DB4">
        <w:rPr>
          <w:lang w:val="en-ZA"/>
        </w:rPr>
        <w:t>return produced by c</w:t>
      </w:r>
      <w:r w:rsidR="00CF0CB4">
        <w:rPr>
          <w:lang w:val="en-ZA"/>
        </w:rPr>
        <w:t xml:space="preserve">orresponding females is 13.82%. </w:t>
      </w:r>
    </w:p>
    <w:p w:rsidR="00CF0CB4" w:rsidRDefault="00CF0CB4" w:rsidP="00DF02D2">
      <w:pPr>
        <w:rPr>
          <w:lang w:val="en-ZA"/>
        </w:rPr>
      </w:pPr>
    </w:p>
    <w:p w:rsidR="008F0745" w:rsidRDefault="008F0745" w:rsidP="00DF02D2">
      <w:pPr>
        <w:rPr>
          <w:lang w:val="en-ZA"/>
        </w:rPr>
      </w:pPr>
    </w:p>
    <w:p w:rsidR="008F0745" w:rsidRDefault="008F0745" w:rsidP="00DF02D2">
      <w:pPr>
        <w:rPr>
          <w:lang w:val="en-ZA"/>
        </w:rPr>
      </w:pPr>
    </w:p>
    <w:p w:rsidR="00E92DB4" w:rsidRPr="00E92DB4" w:rsidRDefault="007969E2" w:rsidP="00DF02D2">
      <w:pPr>
        <w:rPr>
          <w:lang w:val="en-ZA"/>
        </w:rPr>
      </w:pPr>
      <w:r>
        <w:rPr>
          <w:lang w:val="en-ZA"/>
        </w:rPr>
        <w:t xml:space="preserve">The difference in the performance between the genders is shown to be statistically insignificant. </w:t>
      </w:r>
      <w:r w:rsidR="00E92DB4">
        <w:rPr>
          <w:lang w:val="en-ZA"/>
        </w:rPr>
        <w:t xml:space="preserve">The result of the t-test for this hypothesis is shown in the 3 year and 5 year columns of table 12. The p-values produced for these t-test results are greater than the </w:t>
      </w:r>
      <w:r w:rsidR="00CF0CB4">
        <w:rPr>
          <w:lang w:val="en-ZA"/>
        </w:rPr>
        <w:t>chosen</w:t>
      </w:r>
      <w:r w:rsidR="00E92DB4">
        <w:rPr>
          <w:lang w:val="en-ZA"/>
        </w:rPr>
        <w:t xml:space="preserve"> significance level. Therefore, </w:t>
      </w:r>
      <w:r w:rsidR="00E92DB4" w:rsidRPr="00E92DB4">
        <w:rPr>
          <w:lang w:val="en-ZA"/>
        </w:rPr>
        <w:t>at a significance level of 5</w:t>
      </w:r>
      <w:r w:rsidR="00E92DB4">
        <w:rPr>
          <w:lang w:val="en-ZA"/>
        </w:rPr>
        <w:t>%</w:t>
      </w:r>
      <w:r w:rsidR="00E92DB4" w:rsidRPr="00E92DB4">
        <w:rPr>
          <w:lang w:val="en-ZA"/>
        </w:rPr>
        <w:t xml:space="preserve"> we cannot reject the null hypothesis and cannot accept the alternate hypothesis that female fund managers outperform their male counterparts</w:t>
      </w:r>
      <w:r w:rsidR="00E92DB4">
        <w:rPr>
          <w:lang w:val="en-ZA"/>
        </w:rPr>
        <w:t xml:space="preserve"> in the medium term either. </w:t>
      </w:r>
    </w:p>
    <w:p w:rsidR="00E92DB4" w:rsidRPr="00DF02D2" w:rsidRDefault="00E92DB4" w:rsidP="00DF02D2">
      <w:pPr>
        <w:rPr>
          <w:i/>
          <w:u w:val="single"/>
          <w:lang w:val="en-ZA"/>
        </w:rPr>
      </w:pPr>
    </w:p>
    <w:p w:rsidR="00DF02D2" w:rsidRPr="00DF02D2" w:rsidRDefault="00DF02D2" w:rsidP="00DF02D2">
      <w:pPr>
        <w:rPr>
          <w:i/>
          <w:u w:val="single"/>
          <w:lang w:val="en-ZA"/>
        </w:rPr>
      </w:pPr>
      <w:r>
        <w:rPr>
          <w:i/>
          <w:u w:val="single"/>
          <w:lang w:val="en-ZA"/>
        </w:rPr>
        <w:t>Hypothesis 3</w:t>
      </w:r>
      <w:r w:rsidRPr="00DF02D2">
        <w:rPr>
          <w:i/>
          <w:u w:val="single"/>
          <w:lang w:val="en-ZA"/>
        </w:rPr>
        <w:t xml:space="preserve"> – </w:t>
      </w:r>
      <w:r>
        <w:rPr>
          <w:i/>
          <w:u w:val="single"/>
          <w:lang w:val="en-ZA"/>
        </w:rPr>
        <w:t>long</w:t>
      </w:r>
      <w:r w:rsidRPr="00DF02D2">
        <w:rPr>
          <w:i/>
          <w:u w:val="single"/>
          <w:lang w:val="en-ZA"/>
        </w:rPr>
        <w:t xml:space="preserve"> term performance</w:t>
      </w:r>
    </w:p>
    <w:p w:rsidR="00FA6C8B" w:rsidRDefault="00247FF1" w:rsidP="00DF02D2">
      <w:pPr>
        <w:rPr>
          <w:lang w:val="en-ZA"/>
        </w:rPr>
      </w:pPr>
      <w:r>
        <w:rPr>
          <w:lang w:val="en-ZA"/>
        </w:rPr>
        <w:t xml:space="preserve">Existing literature such as </w:t>
      </w:r>
      <w:r>
        <w:rPr>
          <w:noProof/>
          <w:lang w:val="en-US"/>
        </w:rPr>
        <w:t>Niessen and  Ruenzi (2006)</w:t>
      </w:r>
      <w:r w:rsidR="00A8679B">
        <w:rPr>
          <w:noProof/>
          <w:lang w:val="en-US"/>
        </w:rPr>
        <w:t>,</w:t>
      </w:r>
      <w:r>
        <w:rPr>
          <w:noProof/>
          <w:lang w:val="en-US"/>
        </w:rPr>
        <w:t xml:space="preserve"> </w:t>
      </w:r>
      <w:r>
        <w:rPr>
          <w:lang w:val="en-ZA"/>
        </w:rPr>
        <w:t>indicate</w:t>
      </w:r>
      <w:r w:rsidR="008F0745">
        <w:rPr>
          <w:lang w:val="en-ZA"/>
        </w:rPr>
        <w:t>s</w:t>
      </w:r>
      <w:r>
        <w:rPr>
          <w:lang w:val="en-ZA"/>
        </w:rPr>
        <w:t xml:space="preserve"> that</w:t>
      </w:r>
      <w:r w:rsidR="008F0745">
        <w:rPr>
          <w:lang w:val="en-ZA"/>
        </w:rPr>
        <w:t xml:space="preserve"> the</w:t>
      </w:r>
      <w:r>
        <w:rPr>
          <w:lang w:val="en-ZA"/>
        </w:rPr>
        <w:t xml:space="preserve"> performance of funds managed by females is more stable over time than their male </w:t>
      </w:r>
      <w:r w:rsidR="003666A5">
        <w:rPr>
          <w:lang w:val="en-ZA"/>
        </w:rPr>
        <w:t>counterparts</w:t>
      </w:r>
      <w:r>
        <w:rPr>
          <w:lang w:val="en-ZA"/>
        </w:rPr>
        <w:t>. Hypothesis 3 is used to determine if the stability of female investment styles could lead to increased performance in funds managed by females when compared to the male managed funds</w:t>
      </w:r>
      <w:r w:rsidR="00CF0CB4">
        <w:rPr>
          <w:lang w:val="en-ZA"/>
        </w:rPr>
        <w:t xml:space="preserve"> over a long time</w:t>
      </w:r>
      <w:r>
        <w:rPr>
          <w:lang w:val="en-ZA"/>
        </w:rPr>
        <w:t xml:space="preserve">. </w:t>
      </w:r>
    </w:p>
    <w:p w:rsidR="008F0745" w:rsidRDefault="008F0745" w:rsidP="00DF02D2">
      <w:pPr>
        <w:rPr>
          <w:lang w:val="en-ZA"/>
        </w:rPr>
      </w:pPr>
    </w:p>
    <w:p w:rsidR="0046753E" w:rsidRDefault="00247FF1" w:rsidP="00DF02D2">
      <w:pPr>
        <w:rPr>
          <w:lang w:val="en-ZA"/>
        </w:rPr>
      </w:pPr>
      <w:r>
        <w:rPr>
          <w:lang w:val="en-ZA"/>
        </w:rPr>
        <w:t xml:space="preserve">The summary of results for the selected funds presented in table 11 </w:t>
      </w:r>
      <w:r w:rsidR="008F0745">
        <w:rPr>
          <w:lang w:val="en-ZA"/>
        </w:rPr>
        <w:t>highlights</w:t>
      </w:r>
      <w:r>
        <w:rPr>
          <w:lang w:val="en-ZA"/>
        </w:rPr>
        <w:t xml:space="preserve"> that the average performance of the selected female managed funds does exceed the average performance of the selected male managed funds when the 10 year annualised returns are considered. The average of the 10-year annualised return of the selected female managed funds is 10.82% while the 10-year annualised return of the selected male managed funds is a lower 10.68%. These results are show</w:t>
      </w:r>
      <w:r w:rsidR="008F0745">
        <w:rPr>
          <w:lang w:val="en-ZA"/>
        </w:rPr>
        <w:t>n to be insignificant once the significance tests a</w:t>
      </w:r>
      <w:r>
        <w:rPr>
          <w:lang w:val="en-ZA"/>
        </w:rPr>
        <w:t xml:space="preserve">re </w:t>
      </w:r>
      <w:r w:rsidR="008F0745">
        <w:rPr>
          <w:lang w:val="en-ZA"/>
        </w:rPr>
        <w:t>conducted</w:t>
      </w:r>
      <w:r>
        <w:rPr>
          <w:lang w:val="en-ZA"/>
        </w:rPr>
        <w:t xml:space="preserve">. </w:t>
      </w:r>
    </w:p>
    <w:p w:rsidR="0046753E" w:rsidRDefault="0046753E" w:rsidP="00DF02D2">
      <w:pPr>
        <w:rPr>
          <w:lang w:val="en-ZA"/>
        </w:rPr>
      </w:pPr>
    </w:p>
    <w:p w:rsidR="008F0745" w:rsidRDefault="008F0745" w:rsidP="00DF02D2">
      <w:pPr>
        <w:rPr>
          <w:lang w:val="en-ZA"/>
        </w:rPr>
      </w:pPr>
    </w:p>
    <w:p w:rsidR="008F0745" w:rsidRDefault="008F0745" w:rsidP="00DF02D2">
      <w:pPr>
        <w:rPr>
          <w:lang w:val="en-ZA"/>
        </w:rPr>
      </w:pPr>
    </w:p>
    <w:p w:rsidR="008F0745" w:rsidRDefault="008F0745" w:rsidP="00DF02D2">
      <w:pPr>
        <w:rPr>
          <w:lang w:val="en-ZA"/>
        </w:rPr>
      </w:pPr>
    </w:p>
    <w:p w:rsidR="00247FF1" w:rsidRDefault="00247FF1" w:rsidP="00DF02D2">
      <w:pPr>
        <w:rPr>
          <w:lang w:val="en-ZA"/>
        </w:rPr>
      </w:pPr>
      <w:r>
        <w:rPr>
          <w:lang w:val="en-ZA"/>
        </w:rPr>
        <w:t>The t-test res</w:t>
      </w:r>
      <w:r w:rsidR="00CF0CB4">
        <w:rPr>
          <w:lang w:val="en-ZA"/>
        </w:rPr>
        <w:t xml:space="preserve">ults and the associated p-value </w:t>
      </w:r>
      <w:r w:rsidR="007969E2">
        <w:rPr>
          <w:lang w:val="en-ZA"/>
        </w:rPr>
        <w:t>are</w:t>
      </w:r>
      <w:r w:rsidR="00CF0CB4">
        <w:rPr>
          <w:lang w:val="en-ZA"/>
        </w:rPr>
        <w:t xml:space="preserve"> </w:t>
      </w:r>
      <w:r>
        <w:rPr>
          <w:lang w:val="en-ZA"/>
        </w:rPr>
        <w:t xml:space="preserve">shown in the </w:t>
      </w:r>
      <w:r w:rsidR="007969E2">
        <w:rPr>
          <w:lang w:val="en-ZA"/>
        </w:rPr>
        <w:t>10-year</w:t>
      </w:r>
      <w:r>
        <w:rPr>
          <w:lang w:val="en-ZA"/>
        </w:rPr>
        <w:t xml:space="preserve"> column of table 12. The p-value is much greater than th</w:t>
      </w:r>
      <w:r w:rsidR="008F0745">
        <w:rPr>
          <w:lang w:val="en-ZA"/>
        </w:rPr>
        <w:t xml:space="preserve">e chosen significance level of 0.05 </w:t>
      </w:r>
      <w:r>
        <w:rPr>
          <w:lang w:val="en-ZA"/>
        </w:rPr>
        <w:t xml:space="preserve">at 1.0308. This indicates that the null hypothesis defined cannot be rejected and therefore the alternate hypothesis cannot be accepted. </w:t>
      </w:r>
      <w:r w:rsidR="00CF0CB4">
        <w:rPr>
          <w:lang w:val="en-ZA"/>
        </w:rPr>
        <w:t>This implies that it cannot be shown significantly that females managed funds produce excess returns in the long term.</w:t>
      </w:r>
    </w:p>
    <w:p w:rsidR="00247FF1" w:rsidRDefault="00247FF1" w:rsidP="00DF02D2">
      <w:pPr>
        <w:rPr>
          <w:lang w:val="en-ZA"/>
        </w:rPr>
      </w:pPr>
    </w:p>
    <w:p w:rsidR="00DF02D2" w:rsidRDefault="00DF02D2" w:rsidP="00DF02D2">
      <w:pPr>
        <w:rPr>
          <w:lang w:val="en-ZA"/>
        </w:rPr>
      </w:pPr>
      <w:r>
        <w:rPr>
          <w:lang w:val="en-ZA"/>
        </w:rPr>
        <w:t xml:space="preserve">The failure to </w:t>
      </w:r>
      <w:r w:rsidR="00247FF1">
        <w:rPr>
          <w:lang w:val="en-ZA"/>
        </w:rPr>
        <w:t>accept the</w:t>
      </w:r>
      <w:r>
        <w:rPr>
          <w:lang w:val="en-ZA"/>
        </w:rPr>
        <w:t xml:space="preserve"> three</w:t>
      </w:r>
      <w:r w:rsidR="00FA6C8B">
        <w:rPr>
          <w:lang w:val="en-ZA"/>
        </w:rPr>
        <w:t xml:space="preserve"> alternate</w:t>
      </w:r>
      <w:r>
        <w:rPr>
          <w:lang w:val="en-ZA"/>
        </w:rPr>
        <w:t xml:space="preserve"> </w:t>
      </w:r>
      <w:r w:rsidR="00BD129C">
        <w:rPr>
          <w:lang w:val="en-ZA"/>
        </w:rPr>
        <w:t>hypotheses</w:t>
      </w:r>
      <w:r>
        <w:rPr>
          <w:lang w:val="en-ZA"/>
        </w:rPr>
        <w:t xml:space="preserve"> defined</w:t>
      </w:r>
      <w:r w:rsidR="00247FF1">
        <w:rPr>
          <w:lang w:val="en-ZA"/>
        </w:rPr>
        <w:t>, indicate</w:t>
      </w:r>
      <w:r w:rsidR="008F0745">
        <w:rPr>
          <w:lang w:val="en-ZA"/>
        </w:rPr>
        <w:t>s</w:t>
      </w:r>
      <w:r w:rsidR="00247FF1">
        <w:rPr>
          <w:lang w:val="en-ZA"/>
        </w:rPr>
        <w:t xml:space="preserve"> that this research is unable to show, at a significance level of 5% that female managed funds outperform similar male managed funds over the short term</w:t>
      </w:r>
      <w:r w:rsidR="00CF0CB4">
        <w:rPr>
          <w:lang w:val="en-ZA"/>
        </w:rPr>
        <w:t>, medium term</w:t>
      </w:r>
      <w:r w:rsidR="00247FF1">
        <w:rPr>
          <w:lang w:val="en-ZA"/>
        </w:rPr>
        <w:t xml:space="preserve"> or the long term</w:t>
      </w:r>
      <w:r w:rsidR="00CF0CB4">
        <w:rPr>
          <w:lang w:val="en-ZA"/>
        </w:rPr>
        <w:t xml:space="preserve"> in South Africa</w:t>
      </w:r>
      <w:r w:rsidR="00247FF1">
        <w:rPr>
          <w:lang w:val="en-ZA"/>
        </w:rPr>
        <w:t>. This result is</w:t>
      </w:r>
      <w:r>
        <w:rPr>
          <w:lang w:val="en-ZA"/>
        </w:rPr>
        <w:t xml:space="preserve"> consistent with existing literature that indicates there is an absence of significant differences in the performance of male and female fund managers</w:t>
      </w:r>
      <w:sdt>
        <w:sdtPr>
          <w:rPr>
            <w:lang w:val="en-ZA"/>
          </w:rPr>
          <w:id w:val="-1781945228"/>
          <w:citation/>
        </w:sdtPr>
        <w:sdtEndPr/>
        <w:sdtContent>
          <w:r>
            <w:rPr>
              <w:lang w:val="en-ZA"/>
            </w:rPr>
            <w:fldChar w:fldCharType="begin"/>
          </w:r>
          <w:r w:rsidR="005B7BCE">
            <w:rPr>
              <w:lang w:val="en-US"/>
            </w:rPr>
            <w:instrText xml:space="preserve">CITATION Bab15 \l 1033 </w:instrText>
          </w:r>
          <w:r>
            <w:rPr>
              <w:lang w:val="en-ZA"/>
            </w:rPr>
            <w:fldChar w:fldCharType="separate"/>
          </w:r>
          <w:r w:rsidR="005B7BCE">
            <w:rPr>
              <w:noProof/>
              <w:lang w:val="en-US"/>
            </w:rPr>
            <w:t xml:space="preserve"> (Babalos, Caporale, &amp; Philippas, 2015)</w:t>
          </w:r>
          <w:r>
            <w:rPr>
              <w:lang w:val="en-ZA"/>
            </w:rPr>
            <w:fldChar w:fldCharType="end"/>
          </w:r>
        </w:sdtContent>
      </w:sdt>
      <w:r>
        <w:rPr>
          <w:lang w:val="en-ZA"/>
        </w:rPr>
        <w:t xml:space="preserve"> </w:t>
      </w:r>
      <w:r w:rsidR="00CF0CB4">
        <w:rPr>
          <w:color w:val="FF0000"/>
          <w:lang w:val="en-ZA"/>
        </w:rPr>
        <w:t xml:space="preserve">. </w:t>
      </w:r>
    </w:p>
    <w:p w:rsidR="005C413D" w:rsidRDefault="005C413D" w:rsidP="004448A6">
      <w:pPr>
        <w:rPr>
          <w:color w:val="00B050"/>
          <w:lang w:val="en-ZA"/>
        </w:rPr>
      </w:pPr>
      <w:r>
        <w:rPr>
          <w:color w:val="00B050"/>
          <w:lang w:val="en-ZA"/>
        </w:rPr>
        <w:t>.</w:t>
      </w:r>
    </w:p>
    <w:p w:rsidR="004448A6" w:rsidRPr="008633D2" w:rsidRDefault="004448A6" w:rsidP="004448A6">
      <w:pPr>
        <w:pStyle w:val="Heading3"/>
        <w:rPr>
          <w:lang w:val="en-ZA"/>
        </w:rPr>
      </w:pPr>
      <w:bookmarkStart w:id="251" w:name="_Toc458610829"/>
      <w:r w:rsidRPr="008633D2">
        <w:rPr>
          <w:lang w:val="en-ZA"/>
        </w:rPr>
        <w:t xml:space="preserve">The performance of </w:t>
      </w:r>
      <w:r w:rsidR="000F7D16" w:rsidRPr="008633D2">
        <w:rPr>
          <w:lang w:val="en-ZA"/>
        </w:rPr>
        <w:t xml:space="preserve">all </w:t>
      </w:r>
      <w:r w:rsidRPr="008633D2">
        <w:rPr>
          <w:lang w:val="en-ZA"/>
        </w:rPr>
        <w:t>funds compared to the benchmark index</w:t>
      </w:r>
      <w:r w:rsidR="000F7D16" w:rsidRPr="008633D2">
        <w:rPr>
          <w:lang w:val="en-ZA"/>
        </w:rPr>
        <w:t xml:space="preserve"> by gender</w:t>
      </w:r>
      <w:bookmarkEnd w:id="251"/>
    </w:p>
    <w:p w:rsidR="000E1B67" w:rsidRDefault="000E1B67" w:rsidP="0064228B">
      <w:pPr>
        <w:rPr>
          <w:lang w:val="en-ZA"/>
        </w:rPr>
      </w:pPr>
      <w:r>
        <w:rPr>
          <w:lang w:val="en-ZA"/>
        </w:rPr>
        <w:t>As discussed in chapter 1, the FTSE/JSE all share index has been chosen as the proxy for the South Afr</w:t>
      </w:r>
      <w:r w:rsidR="008F0745">
        <w:rPr>
          <w:lang w:val="en-ZA"/>
        </w:rPr>
        <w:t>ican financial market. Hypothese</w:t>
      </w:r>
      <w:r>
        <w:rPr>
          <w:lang w:val="en-ZA"/>
        </w:rPr>
        <w:t xml:space="preserve">s 4 and 5 </w:t>
      </w:r>
      <w:r w:rsidR="00A8679B">
        <w:rPr>
          <w:lang w:val="en-ZA"/>
        </w:rPr>
        <w:t>as</w:t>
      </w:r>
      <w:r>
        <w:rPr>
          <w:lang w:val="en-ZA"/>
        </w:rPr>
        <w:t xml:space="preserve"> defined in chapter 2, serve the purpose of determining whether all female managed funds and all male managed funds respectively, outperform the chosen proxy for the South African financial market return. </w:t>
      </w:r>
    </w:p>
    <w:p w:rsidR="000E1B67" w:rsidRDefault="000E1B67" w:rsidP="0064228B">
      <w:pPr>
        <w:rPr>
          <w:lang w:val="en-ZA"/>
        </w:rPr>
      </w:pPr>
    </w:p>
    <w:p w:rsidR="007008C0" w:rsidRDefault="0064228B" w:rsidP="007008C0">
      <w:pPr>
        <w:rPr>
          <w:lang w:val="en-ZA"/>
        </w:rPr>
      </w:pPr>
      <w:r w:rsidRPr="008633D2">
        <w:rPr>
          <w:lang w:val="en-ZA"/>
        </w:rPr>
        <w:t xml:space="preserve">The literature review highlighted </w:t>
      </w:r>
      <w:r w:rsidR="007008C0">
        <w:rPr>
          <w:lang w:val="en-ZA"/>
        </w:rPr>
        <w:t xml:space="preserve"> </w:t>
      </w:r>
      <w:r w:rsidR="0046753E">
        <w:rPr>
          <w:lang w:val="en-ZA"/>
        </w:rPr>
        <w:t>that</w:t>
      </w:r>
      <w:r w:rsidR="007008C0">
        <w:rPr>
          <w:lang w:val="en-ZA"/>
        </w:rPr>
        <w:t xml:space="preserve"> an efficient market funds should not produce excess returns</w:t>
      </w:r>
      <w:r w:rsidR="007008C0" w:rsidRPr="007008C0">
        <w:rPr>
          <w:lang w:val="en-ZA"/>
        </w:rPr>
        <w:t xml:space="preserve"> </w:t>
      </w:r>
      <w:sdt>
        <w:sdtPr>
          <w:rPr>
            <w:lang w:val="en-ZA"/>
          </w:rPr>
          <w:id w:val="-2078731647"/>
          <w:citation/>
        </w:sdtPr>
        <w:sdtEndPr/>
        <w:sdtContent>
          <w:r w:rsidR="007008C0" w:rsidRPr="008633D2">
            <w:rPr>
              <w:lang w:val="en-ZA"/>
            </w:rPr>
            <w:fldChar w:fldCharType="begin"/>
          </w:r>
          <w:r w:rsidR="007008C0" w:rsidRPr="008633D2">
            <w:rPr>
              <w:lang w:val="en-ZA"/>
            </w:rPr>
            <w:instrText xml:space="preserve"> CITATION Fam70 \l 1033 </w:instrText>
          </w:r>
          <w:r w:rsidR="007008C0" w:rsidRPr="008633D2">
            <w:rPr>
              <w:lang w:val="en-ZA"/>
            </w:rPr>
            <w:fldChar w:fldCharType="separate"/>
          </w:r>
          <w:r w:rsidR="007008C0" w:rsidRPr="008633D2">
            <w:rPr>
              <w:lang w:val="en-ZA"/>
            </w:rPr>
            <w:t xml:space="preserve"> (Fama, 1970)</w:t>
          </w:r>
          <w:r w:rsidR="007008C0" w:rsidRPr="008633D2">
            <w:rPr>
              <w:lang w:val="en-ZA"/>
            </w:rPr>
            <w:fldChar w:fldCharType="end"/>
          </w:r>
        </w:sdtContent>
      </w:sdt>
      <w:r w:rsidR="007008C0">
        <w:rPr>
          <w:lang w:val="en-ZA"/>
        </w:rPr>
        <w:t>, however given that South Africa is an emerging market there may be more opportunity to achieve excess returns</w:t>
      </w:r>
      <w:r w:rsidR="007008C0" w:rsidRPr="007008C0">
        <w:rPr>
          <w:lang w:val="en-ZA"/>
        </w:rPr>
        <w:t xml:space="preserve"> </w:t>
      </w:r>
      <w:sdt>
        <w:sdtPr>
          <w:rPr>
            <w:lang w:val="en-ZA"/>
          </w:rPr>
          <w:id w:val="-365520808"/>
          <w:citation/>
        </w:sdtPr>
        <w:sdtEndPr/>
        <w:sdtContent>
          <w:r w:rsidR="007008C0">
            <w:rPr>
              <w:lang w:val="en-ZA"/>
            </w:rPr>
            <w:fldChar w:fldCharType="begin"/>
          </w:r>
          <w:r w:rsidR="007008C0">
            <w:rPr>
              <w:lang w:val="en-US"/>
            </w:rPr>
            <w:instrText xml:space="preserve"> CITATION Can08 \l 1033 </w:instrText>
          </w:r>
          <w:r w:rsidR="007008C0">
            <w:rPr>
              <w:lang w:val="en-ZA"/>
            </w:rPr>
            <w:fldChar w:fldCharType="separate"/>
          </w:r>
          <w:r w:rsidR="007008C0">
            <w:rPr>
              <w:noProof/>
              <w:lang w:val="en-US"/>
            </w:rPr>
            <w:t xml:space="preserve"> (Cabot-Alletzhauser, 2008)</w:t>
          </w:r>
          <w:r w:rsidR="007008C0">
            <w:rPr>
              <w:lang w:val="en-ZA"/>
            </w:rPr>
            <w:fldChar w:fldCharType="end"/>
          </w:r>
        </w:sdtContent>
      </w:sdt>
      <w:r w:rsidR="007969E2">
        <w:rPr>
          <w:lang w:val="en-ZA"/>
        </w:rPr>
        <w:t>.</w:t>
      </w:r>
      <w:r w:rsidR="007969E2" w:rsidRPr="008633D2">
        <w:rPr>
          <w:lang w:val="en-ZA"/>
        </w:rPr>
        <w:t xml:space="preserve"> </w:t>
      </w:r>
      <w:r w:rsidR="007008C0">
        <w:rPr>
          <w:lang w:val="en-ZA"/>
        </w:rPr>
        <w:t>Funds have more restrictions than the market such as the ability to only hold long positions on shares and the need to have portfolio diversification</w:t>
      </w:r>
      <w:r w:rsidR="007008C0" w:rsidRPr="007008C0">
        <w:rPr>
          <w:lang w:val="en-ZA"/>
        </w:rPr>
        <w:t xml:space="preserve"> </w:t>
      </w:r>
      <w:sdt>
        <w:sdtPr>
          <w:rPr>
            <w:lang w:val="en-ZA"/>
          </w:rPr>
          <w:id w:val="1657260575"/>
          <w:citation/>
        </w:sdtPr>
        <w:sdtEndPr/>
        <w:sdtContent>
          <w:r w:rsidR="007008C0">
            <w:rPr>
              <w:lang w:val="en-ZA"/>
            </w:rPr>
            <w:fldChar w:fldCharType="begin"/>
          </w:r>
          <w:r w:rsidR="007008C0">
            <w:rPr>
              <w:lang w:val="en-US"/>
            </w:rPr>
            <w:instrText xml:space="preserve"> CITATION Can08 \l 1033 </w:instrText>
          </w:r>
          <w:r w:rsidR="007008C0">
            <w:rPr>
              <w:lang w:val="en-ZA"/>
            </w:rPr>
            <w:fldChar w:fldCharType="separate"/>
          </w:r>
          <w:r w:rsidR="007008C0">
            <w:rPr>
              <w:noProof/>
              <w:lang w:val="en-US"/>
            </w:rPr>
            <w:t xml:space="preserve"> (Cabot-Alletzhauser, 2008)</w:t>
          </w:r>
          <w:r w:rsidR="007008C0">
            <w:rPr>
              <w:lang w:val="en-ZA"/>
            </w:rPr>
            <w:fldChar w:fldCharType="end"/>
          </w:r>
        </w:sdtContent>
      </w:sdt>
      <w:r w:rsidR="007969E2">
        <w:rPr>
          <w:lang w:val="en-ZA"/>
        </w:rPr>
        <w:t xml:space="preserve">. </w:t>
      </w:r>
      <w:r w:rsidR="007008C0">
        <w:rPr>
          <w:lang w:val="en-ZA"/>
        </w:rPr>
        <w:t>Funds do however continue to attempt to generate alpha and this is a big part of the mark</w:t>
      </w:r>
      <w:r w:rsidR="008F0745">
        <w:rPr>
          <w:lang w:val="en-ZA"/>
        </w:rPr>
        <w:t>et</w:t>
      </w:r>
      <w:r w:rsidR="007008C0">
        <w:rPr>
          <w:lang w:val="en-ZA"/>
        </w:rPr>
        <w:t>ing strategy of funds. The potential exists for funds to offer an investor an acceptable return that beats inflation</w:t>
      </w:r>
      <w:sdt>
        <w:sdtPr>
          <w:rPr>
            <w:lang w:val="en-ZA"/>
          </w:rPr>
          <w:id w:val="1109471826"/>
          <w:citation/>
        </w:sdtPr>
        <w:sdtEndPr/>
        <w:sdtContent>
          <w:r w:rsidR="007008C0">
            <w:rPr>
              <w:lang w:val="en-ZA"/>
            </w:rPr>
            <w:fldChar w:fldCharType="begin"/>
          </w:r>
          <w:r w:rsidR="007008C0">
            <w:rPr>
              <w:lang w:val="en-US"/>
            </w:rPr>
            <w:instrText xml:space="preserve"> CITATION Mey06 \l 1033 </w:instrText>
          </w:r>
          <w:r w:rsidR="007008C0">
            <w:rPr>
              <w:lang w:val="en-ZA"/>
            </w:rPr>
            <w:fldChar w:fldCharType="separate"/>
          </w:r>
          <w:r w:rsidR="007008C0">
            <w:rPr>
              <w:noProof/>
              <w:lang w:val="en-US"/>
            </w:rPr>
            <w:t xml:space="preserve"> (Meyer-Pretorius &amp; Wolmarans, 2006)</w:t>
          </w:r>
          <w:r w:rsidR="007008C0">
            <w:rPr>
              <w:lang w:val="en-ZA"/>
            </w:rPr>
            <w:fldChar w:fldCharType="end"/>
          </w:r>
        </w:sdtContent>
      </w:sdt>
      <w:r w:rsidR="007008C0">
        <w:rPr>
          <w:lang w:val="en-ZA"/>
        </w:rPr>
        <w:t xml:space="preserve"> or provide returns higher than the market during specific economic periods</w:t>
      </w:r>
      <w:sdt>
        <w:sdtPr>
          <w:rPr>
            <w:lang w:val="en-ZA"/>
          </w:rPr>
          <w:id w:val="1276449073"/>
          <w:citation/>
        </w:sdtPr>
        <w:sdtEndPr/>
        <w:sdtContent>
          <w:r w:rsidR="007008C0">
            <w:rPr>
              <w:lang w:val="en-ZA"/>
            </w:rPr>
            <w:fldChar w:fldCharType="begin"/>
          </w:r>
          <w:r w:rsidR="007008C0">
            <w:rPr>
              <w:lang w:val="en-US"/>
            </w:rPr>
            <w:instrText xml:space="preserve"> CITATION Ber14 \l 1033 </w:instrText>
          </w:r>
          <w:r w:rsidR="007008C0">
            <w:rPr>
              <w:lang w:val="en-ZA"/>
            </w:rPr>
            <w:fldChar w:fldCharType="separate"/>
          </w:r>
          <w:r w:rsidR="007008C0">
            <w:rPr>
              <w:noProof/>
              <w:lang w:val="en-US"/>
            </w:rPr>
            <w:t xml:space="preserve"> (Bertolis &amp; Hayes, 2014)</w:t>
          </w:r>
          <w:r w:rsidR="007008C0">
            <w:rPr>
              <w:lang w:val="en-ZA"/>
            </w:rPr>
            <w:fldChar w:fldCharType="end"/>
          </w:r>
        </w:sdtContent>
      </w:sdt>
      <w:r w:rsidR="007008C0">
        <w:rPr>
          <w:noProof/>
          <w:lang w:val="en-US"/>
        </w:rPr>
        <w:t>.</w:t>
      </w:r>
    </w:p>
    <w:p w:rsidR="000E1B67" w:rsidRPr="008F0745" w:rsidRDefault="007008C0" w:rsidP="0064228B">
      <w:pPr>
        <w:rPr>
          <w:sz w:val="20"/>
          <w:lang w:val="en-ZA"/>
        </w:rPr>
      </w:pPr>
      <w:r>
        <w:rPr>
          <w:noProof/>
          <w:lang w:val="en-US"/>
        </w:rPr>
        <w:t xml:space="preserve"> </w:t>
      </w:r>
    </w:p>
    <w:p w:rsidR="008F0745" w:rsidRDefault="000E1B67" w:rsidP="0064228B">
      <w:pPr>
        <w:rPr>
          <w:lang w:val="en-ZA"/>
        </w:rPr>
      </w:pPr>
      <w:r>
        <w:rPr>
          <w:lang w:val="en-ZA"/>
        </w:rPr>
        <w:t xml:space="preserve">The results of this study indicate that when </w:t>
      </w:r>
      <w:r w:rsidR="0046753E">
        <w:rPr>
          <w:lang w:val="en-ZA"/>
        </w:rPr>
        <w:t>viewing</w:t>
      </w:r>
      <w:r>
        <w:rPr>
          <w:lang w:val="en-ZA"/>
        </w:rPr>
        <w:t xml:space="preserve"> the performance of all female managed funds</w:t>
      </w:r>
      <w:r w:rsidR="00A8679B">
        <w:rPr>
          <w:lang w:val="en-ZA"/>
        </w:rPr>
        <w:t xml:space="preserve"> </w:t>
      </w:r>
      <w:r>
        <w:rPr>
          <w:lang w:val="en-ZA"/>
        </w:rPr>
        <w:t>(including teams of females)</w:t>
      </w:r>
      <w:r w:rsidR="00862906">
        <w:rPr>
          <w:lang w:val="en-ZA"/>
        </w:rPr>
        <w:t xml:space="preserve"> against all male managed funds</w:t>
      </w:r>
      <w:r w:rsidR="00A8679B">
        <w:rPr>
          <w:lang w:val="en-ZA"/>
        </w:rPr>
        <w:t xml:space="preserve"> </w:t>
      </w:r>
      <w:r w:rsidR="00862906">
        <w:rPr>
          <w:lang w:val="en-ZA"/>
        </w:rPr>
        <w:t>(including teams of males), no significant difference in perform</w:t>
      </w:r>
      <w:r w:rsidR="0046753E">
        <w:rPr>
          <w:lang w:val="en-ZA"/>
        </w:rPr>
        <w:t>ance</w:t>
      </w:r>
      <w:r w:rsidR="00862906">
        <w:rPr>
          <w:lang w:val="en-ZA"/>
        </w:rPr>
        <w:t xml:space="preserve"> can be seen over the short term and the long term.</w:t>
      </w:r>
      <w:r w:rsidR="008F0745">
        <w:rPr>
          <w:lang w:val="en-ZA"/>
        </w:rPr>
        <w:t xml:space="preserve"> The results of the significance tests presented in table 14, do indicate that in the </w:t>
      </w:r>
      <w:r w:rsidR="00862906">
        <w:rPr>
          <w:lang w:val="en-ZA"/>
        </w:rPr>
        <w:t xml:space="preserve">medium term, at a significance level of 5%, the average return of all male managed funds in South Africa exceeds the average return of all female managed funds in South Africa. </w:t>
      </w:r>
      <w:r w:rsidR="008F0745">
        <w:rPr>
          <w:lang w:val="en-ZA"/>
        </w:rPr>
        <w:t xml:space="preserve">Due to the sample containing just twenty-six female managed funds that contain data for 5 years, the results may be skewed. This remains an important observation and further research should be conducted around the possible reasons for this. </w:t>
      </w:r>
    </w:p>
    <w:p w:rsidR="008F0745" w:rsidRPr="008F0745" w:rsidRDefault="008F0745" w:rsidP="0064228B">
      <w:pPr>
        <w:rPr>
          <w:sz w:val="20"/>
          <w:lang w:val="en-ZA"/>
        </w:rPr>
      </w:pPr>
    </w:p>
    <w:p w:rsidR="00DF1C19" w:rsidRDefault="008F0745" w:rsidP="0064228B">
      <w:pPr>
        <w:rPr>
          <w:lang w:val="en-ZA"/>
        </w:rPr>
      </w:pPr>
      <w:r>
        <w:rPr>
          <w:lang w:val="en-ZA"/>
        </w:rPr>
        <w:t>The results shown in table 14 allows for the alternate</w:t>
      </w:r>
      <w:r w:rsidR="00862906">
        <w:rPr>
          <w:lang w:val="en-ZA"/>
        </w:rPr>
        <w:t xml:space="preserve"> </w:t>
      </w:r>
      <w:r w:rsidR="007A5FD1">
        <w:rPr>
          <w:lang w:val="en-ZA"/>
        </w:rPr>
        <w:t xml:space="preserve">hypothesis 4 and </w:t>
      </w:r>
      <w:r>
        <w:rPr>
          <w:lang w:val="en-ZA"/>
        </w:rPr>
        <w:t xml:space="preserve">alternate </w:t>
      </w:r>
      <w:r w:rsidR="007A5FD1">
        <w:rPr>
          <w:lang w:val="en-ZA"/>
        </w:rPr>
        <w:t>hypothesis 5</w:t>
      </w:r>
      <w:r>
        <w:rPr>
          <w:lang w:val="en-ZA"/>
        </w:rPr>
        <w:t xml:space="preserve"> to be partially accepted</w:t>
      </w:r>
      <w:r w:rsidR="007A5FD1">
        <w:rPr>
          <w:lang w:val="en-ZA"/>
        </w:rPr>
        <w:t>. A</w:t>
      </w:r>
      <w:r w:rsidR="00862906">
        <w:rPr>
          <w:lang w:val="en-ZA"/>
        </w:rPr>
        <w:t xml:space="preserve"> discussion</w:t>
      </w:r>
      <w:r w:rsidR="007A5FD1">
        <w:rPr>
          <w:lang w:val="en-ZA"/>
        </w:rPr>
        <w:t xml:space="preserve"> on each of the</w:t>
      </w:r>
      <w:r>
        <w:rPr>
          <w:lang w:val="en-ZA"/>
        </w:rPr>
        <w:t>se</w:t>
      </w:r>
      <w:r w:rsidR="007A5FD1">
        <w:rPr>
          <w:lang w:val="en-ZA"/>
        </w:rPr>
        <w:t xml:space="preserve"> hypotheses</w:t>
      </w:r>
      <w:r w:rsidR="00862906">
        <w:rPr>
          <w:lang w:val="en-ZA"/>
        </w:rPr>
        <w:t xml:space="preserve"> is presented </w:t>
      </w:r>
      <w:r w:rsidR="007A5FD1">
        <w:rPr>
          <w:lang w:val="en-ZA"/>
        </w:rPr>
        <w:t>next.</w:t>
      </w:r>
    </w:p>
    <w:p w:rsidR="008F0745" w:rsidRPr="008F0745" w:rsidRDefault="008F0745" w:rsidP="0064228B">
      <w:pPr>
        <w:rPr>
          <w:sz w:val="16"/>
          <w:lang w:val="en-ZA"/>
        </w:rPr>
      </w:pPr>
    </w:p>
    <w:p w:rsidR="00862906" w:rsidRPr="00DF02D2" w:rsidRDefault="00862906" w:rsidP="00862906">
      <w:pPr>
        <w:rPr>
          <w:i/>
          <w:u w:val="single"/>
          <w:lang w:val="en-ZA"/>
        </w:rPr>
      </w:pPr>
      <w:r>
        <w:rPr>
          <w:i/>
          <w:u w:val="single"/>
          <w:lang w:val="en-ZA"/>
        </w:rPr>
        <w:t xml:space="preserve">Hypothesis 4 </w:t>
      </w:r>
      <w:r w:rsidRPr="00DF02D2">
        <w:rPr>
          <w:i/>
          <w:u w:val="single"/>
          <w:lang w:val="en-ZA"/>
        </w:rPr>
        <w:t xml:space="preserve">– </w:t>
      </w:r>
      <w:r>
        <w:rPr>
          <w:i/>
          <w:u w:val="single"/>
          <w:lang w:val="en-ZA"/>
        </w:rPr>
        <w:t>female funds versus the benchmark index</w:t>
      </w:r>
    </w:p>
    <w:p w:rsidR="00862906" w:rsidRDefault="00862906" w:rsidP="0064228B">
      <w:pPr>
        <w:rPr>
          <w:lang w:val="en-ZA"/>
        </w:rPr>
      </w:pPr>
      <w:r>
        <w:rPr>
          <w:lang w:val="en-ZA"/>
        </w:rPr>
        <w:t xml:space="preserve">Previously reviewed literature indicates that the performance of funds can provide returns above the market during specific economic periods. This </w:t>
      </w:r>
      <w:r w:rsidR="004F092C">
        <w:rPr>
          <w:lang w:val="en-ZA"/>
        </w:rPr>
        <w:t>hypothesis focuses on the performance of all funds managed by females, both individually and as part of teams, in South Africa. The results, as shown in table 13</w:t>
      </w:r>
      <w:r w:rsidR="007969E2">
        <w:rPr>
          <w:lang w:val="en-ZA"/>
        </w:rPr>
        <w:t>, indicate</w:t>
      </w:r>
      <w:r w:rsidR="002838A6">
        <w:rPr>
          <w:lang w:val="en-ZA"/>
        </w:rPr>
        <w:t>s</w:t>
      </w:r>
      <w:r w:rsidR="004F092C">
        <w:rPr>
          <w:lang w:val="en-ZA"/>
        </w:rPr>
        <w:t xml:space="preserve"> that the female managed funds have an average annualised return greater than the annualised return of the FTSE/JSE all share index in the short term, but produce lower average returns in the medium term and long term. </w:t>
      </w:r>
    </w:p>
    <w:p w:rsidR="004F092C" w:rsidRDefault="004F092C" w:rsidP="0064228B">
      <w:pPr>
        <w:rPr>
          <w:lang w:val="en-ZA"/>
        </w:rPr>
      </w:pPr>
      <w:r>
        <w:rPr>
          <w:lang w:val="en-ZA"/>
        </w:rPr>
        <w:t xml:space="preserve">The results of the </w:t>
      </w:r>
      <w:r w:rsidR="002838A6">
        <w:rPr>
          <w:lang w:val="en-ZA"/>
        </w:rPr>
        <w:t xml:space="preserve">significance tests, in particular the </w:t>
      </w:r>
      <w:r>
        <w:rPr>
          <w:lang w:val="en-ZA"/>
        </w:rPr>
        <w:t xml:space="preserve">t-tests and the associated p-values are shown in table 14. It can be seen that in the short term, the 1-year column, the t-test produces a value of </w:t>
      </w:r>
      <w:r w:rsidR="007969E2">
        <w:rPr>
          <w:lang w:val="en-ZA"/>
        </w:rPr>
        <w:t>2.4738;</w:t>
      </w:r>
      <w:r>
        <w:rPr>
          <w:lang w:val="en-ZA"/>
        </w:rPr>
        <w:t xml:space="preserve"> the p-value associated with this is 0.0134. At the chosen significance level of 5%, this result is significant. </w:t>
      </w:r>
      <w:r w:rsidR="00A977E8">
        <w:rPr>
          <w:lang w:val="en-ZA"/>
        </w:rPr>
        <w:t>Therefore,</w:t>
      </w:r>
      <w:r>
        <w:rPr>
          <w:lang w:val="en-ZA"/>
        </w:rPr>
        <w:t xml:space="preserve"> for the short </w:t>
      </w:r>
      <w:r w:rsidR="00A977E8">
        <w:rPr>
          <w:lang w:val="en-ZA"/>
        </w:rPr>
        <w:t>term the</w:t>
      </w:r>
      <w:r>
        <w:rPr>
          <w:lang w:val="en-ZA"/>
        </w:rPr>
        <w:t xml:space="preserve"> n</w:t>
      </w:r>
      <w:r w:rsidR="002838A6">
        <w:rPr>
          <w:lang w:val="en-ZA"/>
        </w:rPr>
        <w:t xml:space="preserve">ull hypothesis can be rejected and thereby </w:t>
      </w:r>
      <w:r>
        <w:rPr>
          <w:lang w:val="en-ZA"/>
        </w:rPr>
        <w:t>the alternate hypothesis</w:t>
      </w:r>
      <w:r w:rsidR="002838A6">
        <w:rPr>
          <w:lang w:val="en-ZA"/>
        </w:rPr>
        <w:t xml:space="preserve"> can be accepted. This confirms </w:t>
      </w:r>
      <w:r>
        <w:rPr>
          <w:lang w:val="en-ZA"/>
        </w:rPr>
        <w:t>that the performance of all female managed funds in the South African unit trust industry produces</w:t>
      </w:r>
      <w:r w:rsidR="00A977E8">
        <w:rPr>
          <w:lang w:val="en-ZA"/>
        </w:rPr>
        <w:t xml:space="preserve"> an average</w:t>
      </w:r>
      <w:r>
        <w:rPr>
          <w:lang w:val="en-ZA"/>
        </w:rPr>
        <w:t xml:space="preserve"> return that </w:t>
      </w:r>
      <w:r w:rsidR="00A977E8">
        <w:rPr>
          <w:lang w:val="en-ZA"/>
        </w:rPr>
        <w:t>is greater than or equal to the performance of the benchmark index</w:t>
      </w:r>
      <w:r w:rsidR="007969E2">
        <w:rPr>
          <w:lang w:val="en-ZA"/>
        </w:rPr>
        <w:t xml:space="preserve">. </w:t>
      </w:r>
      <w:r w:rsidR="00A977E8">
        <w:rPr>
          <w:lang w:val="en-ZA"/>
        </w:rPr>
        <w:t xml:space="preserve">The t-test results and associated p-values for the medium and long </w:t>
      </w:r>
      <w:r w:rsidR="007969E2">
        <w:rPr>
          <w:lang w:val="en-ZA"/>
        </w:rPr>
        <w:t>term</w:t>
      </w:r>
      <w:r w:rsidR="00A977E8">
        <w:rPr>
          <w:lang w:val="en-ZA"/>
        </w:rPr>
        <w:t xml:space="preserve"> indicate that the results are insignificant for these periods.</w:t>
      </w:r>
      <w:r w:rsidR="002838A6">
        <w:rPr>
          <w:lang w:val="en-ZA"/>
        </w:rPr>
        <w:t xml:space="preserve"> Therefore</w:t>
      </w:r>
      <w:r w:rsidR="00527456">
        <w:rPr>
          <w:lang w:val="en-ZA"/>
        </w:rPr>
        <w:t>,</w:t>
      </w:r>
      <w:r w:rsidR="002838A6">
        <w:rPr>
          <w:lang w:val="en-ZA"/>
        </w:rPr>
        <w:t xml:space="preserve"> the null hypothesis cannot be fully rejected and the alternate hypothesis cannot be fully accepted, but is partially accepted, for the short term.</w:t>
      </w:r>
      <w:r w:rsidR="00A977E8">
        <w:rPr>
          <w:lang w:val="en-ZA"/>
        </w:rPr>
        <w:t xml:space="preserve"> </w:t>
      </w:r>
    </w:p>
    <w:p w:rsidR="00A977E8" w:rsidRDefault="00A977E8" w:rsidP="0064228B">
      <w:pPr>
        <w:rPr>
          <w:lang w:val="en-ZA"/>
        </w:rPr>
      </w:pPr>
    </w:p>
    <w:p w:rsidR="00A977E8" w:rsidRDefault="00A977E8" w:rsidP="0064228B">
      <w:pPr>
        <w:rPr>
          <w:lang w:val="en-ZA"/>
        </w:rPr>
      </w:pPr>
      <w:r>
        <w:rPr>
          <w:lang w:val="en-ZA"/>
        </w:rPr>
        <w:t xml:space="preserve">A possible explanation for this outperformance </w:t>
      </w:r>
      <w:r w:rsidR="002838A6">
        <w:rPr>
          <w:lang w:val="en-ZA"/>
        </w:rPr>
        <w:t>in</w:t>
      </w:r>
      <w:r>
        <w:rPr>
          <w:lang w:val="en-ZA"/>
        </w:rPr>
        <w:t xml:space="preserve"> the 1 year annualised return over the period July 2014 to June 2015 could be linked to literature explored in chapter 2, which indicated that funds could outperform the market in South </w:t>
      </w:r>
      <w:r w:rsidR="0046753E">
        <w:rPr>
          <w:lang w:val="en-ZA"/>
        </w:rPr>
        <w:t xml:space="preserve">Africa </w:t>
      </w:r>
      <w:r>
        <w:rPr>
          <w:lang w:val="en-ZA"/>
        </w:rPr>
        <w:t>during periods of economic expansion</w:t>
      </w:r>
      <w:sdt>
        <w:sdtPr>
          <w:rPr>
            <w:lang w:val="en-ZA"/>
          </w:rPr>
          <w:id w:val="-172116152"/>
          <w:citation/>
        </w:sdtPr>
        <w:sdtEndPr/>
        <w:sdtContent>
          <w:r>
            <w:rPr>
              <w:lang w:val="en-ZA"/>
            </w:rPr>
            <w:fldChar w:fldCharType="begin"/>
          </w:r>
          <w:r>
            <w:rPr>
              <w:lang w:val="en-US"/>
            </w:rPr>
            <w:instrText xml:space="preserve"> CITATION Ber14 \l 1033 </w:instrText>
          </w:r>
          <w:r>
            <w:rPr>
              <w:lang w:val="en-ZA"/>
            </w:rPr>
            <w:fldChar w:fldCharType="separate"/>
          </w:r>
          <w:r>
            <w:rPr>
              <w:noProof/>
              <w:lang w:val="en-US"/>
            </w:rPr>
            <w:t xml:space="preserve"> (Bertolis &amp; Hayes, 2014)</w:t>
          </w:r>
          <w:r>
            <w:rPr>
              <w:lang w:val="en-ZA"/>
            </w:rPr>
            <w:fldChar w:fldCharType="end"/>
          </w:r>
        </w:sdtContent>
      </w:sdt>
      <w:r>
        <w:rPr>
          <w:lang w:val="en-ZA"/>
        </w:rPr>
        <w:t>. Data obtained from T</w:t>
      </w:r>
      <w:r w:rsidR="00D15BCE">
        <w:rPr>
          <w:noProof/>
          <w:lang w:val="en-US"/>
        </w:rPr>
        <w:t xml:space="preserve">rading Economics </w:t>
      </w:r>
      <w:sdt>
        <w:sdtPr>
          <w:rPr>
            <w:noProof/>
            <w:lang w:val="en-US"/>
          </w:rPr>
          <w:id w:val="-1283876909"/>
          <w:citation/>
        </w:sdtPr>
        <w:sdtEndPr/>
        <w:sdtContent>
          <w:r w:rsidR="00D15BCE">
            <w:rPr>
              <w:noProof/>
              <w:lang w:val="en-US"/>
            </w:rPr>
            <w:fldChar w:fldCharType="begin"/>
          </w:r>
          <w:r w:rsidR="00D15BCE">
            <w:rPr>
              <w:noProof/>
              <w:lang w:val="en-US"/>
            </w:rPr>
            <w:instrText xml:space="preserve">CITATION Tra16 \n  \t  \l 1033 </w:instrText>
          </w:r>
          <w:r w:rsidR="00D15BCE">
            <w:rPr>
              <w:noProof/>
              <w:lang w:val="en-US"/>
            </w:rPr>
            <w:fldChar w:fldCharType="separate"/>
          </w:r>
          <w:r w:rsidR="00D15BCE">
            <w:rPr>
              <w:noProof/>
              <w:lang w:val="en-US"/>
            </w:rPr>
            <w:t>(2016)</w:t>
          </w:r>
          <w:r w:rsidR="00D15BCE">
            <w:rPr>
              <w:noProof/>
              <w:lang w:val="en-US"/>
            </w:rPr>
            <w:fldChar w:fldCharType="end"/>
          </w:r>
        </w:sdtContent>
      </w:sdt>
      <w:r>
        <w:rPr>
          <w:noProof/>
          <w:lang w:val="en-US"/>
        </w:rPr>
        <w:t xml:space="preserve"> </w:t>
      </w:r>
      <w:r w:rsidR="00D15BCE">
        <w:rPr>
          <w:noProof/>
          <w:lang w:val="en-US"/>
        </w:rPr>
        <w:t>higlighights</w:t>
      </w:r>
      <w:r>
        <w:rPr>
          <w:noProof/>
          <w:lang w:val="en-US"/>
        </w:rPr>
        <w:t xml:space="preserve"> that for the better half of the period considered the</w:t>
      </w:r>
      <w:r w:rsidR="0046753E">
        <w:rPr>
          <w:noProof/>
          <w:lang w:val="en-US"/>
        </w:rPr>
        <w:t>re</w:t>
      </w:r>
      <w:r>
        <w:rPr>
          <w:noProof/>
          <w:lang w:val="en-US"/>
        </w:rPr>
        <w:t xml:space="preserve"> was an increase in the South Africa leading economic index, which can be used to determine the direction economic activity is moving</w:t>
      </w:r>
      <w:r w:rsidR="00D15BCE">
        <w:rPr>
          <w:noProof/>
          <w:lang w:val="en-US"/>
        </w:rPr>
        <w:t xml:space="preserve"> in</w:t>
      </w:r>
      <w:r>
        <w:rPr>
          <w:noProof/>
          <w:lang w:val="en-US"/>
        </w:rPr>
        <w:t xml:space="preserve">. </w:t>
      </w:r>
    </w:p>
    <w:p w:rsidR="00862906" w:rsidRDefault="00862906" w:rsidP="0064228B">
      <w:pPr>
        <w:rPr>
          <w:lang w:val="en-ZA"/>
        </w:rPr>
      </w:pPr>
    </w:p>
    <w:p w:rsidR="00862906" w:rsidRDefault="00862906" w:rsidP="00862906">
      <w:pPr>
        <w:rPr>
          <w:i/>
          <w:u w:val="single"/>
          <w:lang w:val="en-ZA"/>
        </w:rPr>
      </w:pPr>
      <w:r>
        <w:rPr>
          <w:i/>
          <w:u w:val="single"/>
          <w:lang w:val="en-ZA"/>
        </w:rPr>
        <w:t xml:space="preserve">Hypothesis 5 </w:t>
      </w:r>
      <w:r w:rsidRPr="00DF02D2">
        <w:rPr>
          <w:i/>
          <w:u w:val="single"/>
          <w:lang w:val="en-ZA"/>
        </w:rPr>
        <w:t xml:space="preserve">– </w:t>
      </w:r>
      <w:r>
        <w:rPr>
          <w:i/>
          <w:u w:val="single"/>
          <w:lang w:val="en-ZA"/>
        </w:rPr>
        <w:t>male funds versus the benchmark index</w:t>
      </w:r>
    </w:p>
    <w:p w:rsidR="00210D1E" w:rsidRDefault="00210D1E" w:rsidP="00210D1E">
      <w:pPr>
        <w:rPr>
          <w:lang w:val="en-ZA"/>
        </w:rPr>
      </w:pPr>
      <w:r>
        <w:rPr>
          <w:lang w:val="en-ZA"/>
        </w:rPr>
        <w:t xml:space="preserve">This hypothesis investigated the performance of all funds managed by males, both individually and as part of teams, in South Africa. The results, as shown in table 13, indicates that the FTSE/JSE all share index produces a lower average return in the short term when compared to the average return produced by all male managed funds in South Africa. The opposite is shown for returns produced in the medium term and long term. </w:t>
      </w:r>
    </w:p>
    <w:p w:rsidR="00210D1E" w:rsidRDefault="00210D1E" w:rsidP="00210D1E">
      <w:pPr>
        <w:rPr>
          <w:lang w:val="en-ZA"/>
        </w:rPr>
      </w:pPr>
    </w:p>
    <w:p w:rsidR="00210D1E" w:rsidRDefault="00210D1E" w:rsidP="00210D1E">
      <w:pPr>
        <w:rPr>
          <w:lang w:val="en-ZA"/>
        </w:rPr>
      </w:pPr>
      <w:r>
        <w:rPr>
          <w:lang w:val="en-ZA"/>
        </w:rPr>
        <w:t xml:space="preserve">Table 14 highlights that the p-value associated with the </w:t>
      </w:r>
      <w:r w:rsidR="007969E2">
        <w:rPr>
          <w:lang w:val="en-ZA"/>
        </w:rPr>
        <w:t>short-term</w:t>
      </w:r>
      <w:r>
        <w:rPr>
          <w:lang w:val="en-ZA"/>
        </w:rPr>
        <w:t xml:space="preserve"> t-test results produces a value of zero, which is less than significance level of 5% used in this study. </w:t>
      </w:r>
      <w:r w:rsidR="007969E2">
        <w:rPr>
          <w:lang w:val="en-ZA"/>
        </w:rPr>
        <w:t>Therefore,</w:t>
      </w:r>
      <w:r>
        <w:rPr>
          <w:lang w:val="en-ZA"/>
        </w:rPr>
        <w:t xml:space="preserve"> the null hypothesis can be rejected in the case of the short term. It can be seen however</w:t>
      </w:r>
      <w:r w:rsidR="00A8679B">
        <w:rPr>
          <w:lang w:val="en-ZA"/>
        </w:rPr>
        <w:t>,</w:t>
      </w:r>
      <w:r>
        <w:rPr>
          <w:lang w:val="en-ZA"/>
        </w:rPr>
        <w:t xml:space="preserve"> that the p-values associated with the t-test results over the medium term and long term is much higher than the significance level of 5% at 2.0 for the 3 year</w:t>
      </w:r>
      <w:r w:rsidR="00527456">
        <w:rPr>
          <w:lang w:val="en-ZA"/>
        </w:rPr>
        <w:t>s</w:t>
      </w:r>
      <w:r>
        <w:rPr>
          <w:lang w:val="en-ZA"/>
        </w:rPr>
        <w:t xml:space="preserve">, 5 </w:t>
      </w:r>
      <w:r w:rsidR="00527456">
        <w:rPr>
          <w:lang w:val="en-ZA"/>
        </w:rPr>
        <w:t>years</w:t>
      </w:r>
      <w:r>
        <w:rPr>
          <w:lang w:val="en-ZA"/>
        </w:rPr>
        <w:t xml:space="preserve"> and 10 </w:t>
      </w:r>
      <w:r w:rsidR="00527456">
        <w:rPr>
          <w:lang w:val="en-ZA"/>
        </w:rPr>
        <w:t>years’</w:t>
      </w:r>
      <w:r>
        <w:rPr>
          <w:lang w:val="en-ZA"/>
        </w:rPr>
        <w:t xml:space="preserve"> results. This indicates </w:t>
      </w:r>
      <w:r w:rsidR="002838A6">
        <w:rPr>
          <w:lang w:val="en-ZA"/>
        </w:rPr>
        <w:t xml:space="preserve">that the null hypothesis cannot be rejected for these terms and </w:t>
      </w:r>
      <w:r>
        <w:rPr>
          <w:lang w:val="en-ZA"/>
        </w:rPr>
        <w:t>that that alternate hypothesis may be ac</w:t>
      </w:r>
      <w:r w:rsidR="002838A6">
        <w:rPr>
          <w:lang w:val="en-ZA"/>
        </w:rPr>
        <w:t>cepted only for the short term. This implies</w:t>
      </w:r>
      <w:r>
        <w:rPr>
          <w:lang w:val="en-ZA"/>
        </w:rPr>
        <w:t xml:space="preserve"> that the return on the benchmark index is less than the average performance of all male managed funds in South Africa</w:t>
      </w:r>
      <w:r w:rsidR="002838A6">
        <w:rPr>
          <w:lang w:val="en-ZA"/>
        </w:rPr>
        <w:t xml:space="preserve"> in the short term</w:t>
      </w:r>
      <w:r>
        <w:rPr>
          <w:lang w:val="en-ZA"/>
        </w:rPr>
        <w:t xml:space="preserve">. The </w:t>
      </w:r>
      <w:r w:rsidR="007969E2">
        <w:rPr>
          <w:lang w:val="en-ZA"/>
        </w:rPr>
        <w:t>results of hypothesis 5 are</w:t>
      </w:r>
      <w:r>
        <w:rPr>
          <w:lang w:val="en-ZA"/>
        </w:rPr>
        <w:t xml:space="preserve"> very similar to that </w:t>
      </w:r>
      <w:r w:rsidR="007969E2">
        <w:rPr>
          <w:lang w:val="en-ZA"/>
        </w:rPr>
        <w:t>of hypothesis</w:t>
      </w:r>
      <w:r>
        <w:rPr>
          <w:lang w:val="en-ZA"/>
        </w:rPr>
        <w:t xml:space="preserve"> 4 and therefor</w:t>
      </w:r>
      <w:r w:rsidR="007A5FD1">
        <w:rPr>
          <w:lang w:val="en-ZA"/>
        </w:rPr>
        <w:t>e</w:t>
      </w:r>
      <w:r>
        <w:rPr>
          <w:lang w:val="en-ZA"/>
        </w:rPr>
        <w:t xml:space="preserve"> the possible reasons for these results </w:t>
      </w:r>
      <w:r w:rsidR="002838A6">
        <w:rPr>
          <w:lang w:val="en-ZA"/>
        </w:rPr>
        <w:t>may be extended to hypothesis 5</w:t>
      </w:r>
      <w:r>
        <w:rPr>
          <w:lang w:val="en-ZA"/>
        </w:rPr>
        <w:t xml:space="preserve">. </w:t>
      </w:r>
    </w:p>
    <w:p w:rsidR="00210D1E" w:rsidRPr="00A977E8" w:rsidRDefault="00210D1E" w:rsidP="00210D1E">
      <w:pPr>
        <w:rPr>
          <w:lang w:val="en-ZA"/>
        </w:rPr>
      </w:pPr>
    </w:p>
    <w:p w:rsidR="004448A6" w:rsidRPr="008633D2" w:rsidRDefault="00DF1C19" w:rsidP="004448A6">
      <w:pPr>
        <w:rPr>
          <w:lang w:val="en-ZA"/>
        </w:rPr>
      </w:pPr>
      <w:r w:rsidRPr="008633D2">
        <w:rPr>
          <w:lang w:val="en-ZA"/>
        </w:rPr>
        <w:t xml:space="preserve">These results are consistent with the literature in that funds do not produce excess returns on average in the long </w:t>
      </w:r>
      <w:r w:rsidR="007707D4">
        <w:rPr>
          <w:lang w:val="en-ZA"/>
        </w:rPr>
        <w:t>term</w:t>
      </w:r>
      <w:r w:rsidRPr="008633D2">
        <w:rPr>
          <w:lang w:val="en-ZA"/>
        </w:rPr>
        <w:t xml:space="preserve">. </w:t>
      </w:r>
      <w:r w:rsidR="00CC6274" w:rsidRPr="008633D2">
        <w:rPr>
          <w:lang w:val="en-ZA"/>
        </w:rPr>
        <w:t>However,</w:t>
      </w:r>
      <w:r w:rsidRPr="008633D2">
        <w:rPr>
          <w:lang w:val="en-ZA"/>
        </w:rPr>
        <w:t xml:space="preserve"> it is interesting that the female managed funds underperform th</w:t>
      </w:r>
      <w:r w:rsidR="004674D9" w:rsidRPr="008633D2">
        <w:rPr>
          <w:lang w:val="en-ZA"/>
        </w:rPr>
        <w:t xml:space="preserve">e market by a </w:t>
      </w:r>
      <w:r w:rsidR="002838A6">
        <w:rPr>
          <w:lang w:val="en-ZA"/>
        </w:rPr>
        <w:t>considerable</w:t>
      </w:r>
      <w:r w:rsidR="004674D9" w:rsidRPr="008633D2">
        <w:rPr>
          <w:lang w:val="en-ZA"/>
        </w:rPr>
        <w:t xml:space="preserve"> percentage more than the male managed funds</w:t>
      </w:r>
      <w:r w:rsidR="00210D1E">
        <w:rPr>
          <w:lang w:val="en-ZA"/>
        </w:rPr>
        <w:t xml:space="preserve"> in the short term</w:t>
      </w:r>
      <w:r w:rsidRPr="008633D2">
        <w:rPr>
          <w:lang w:val="en-ZA"/>
        </w:rPr>
        <w:t>.</w:t>
      </w:r>
      <w:r w:rsidR="004674D9" w:rsidRPr="008633D2">
        <w:rPr>
          <w:lang w:val="en-ZA"/>
        </w:rPr>
        <w:t xml:space="preserve"> Existing literature indicates that the gender of </w:t>
      </w:r>
      <w:r w:rsidR="00EF25E4" w:rsidRPr="008633D2">
        <w:rPr>
          <w:lang w:val="en-ZA"/>
        </w:rPr>
        <w:t>the fund</w:t>
      </w:r>
      <w:r w:rsidR="004674D9" w:rsidRPr="008633D2">
        <w:rPr>
          <w:lang w:val="en-ZA"/>
        </w:rPr>
        <w:t xml:space="preserve"> manager does not </w:t>
      </w:r>
      <w:r w:rsidR="00CC6274" w:rsidRPr="008633D2">
        <w:rPr>
          <w:lang w:val="en-ZA"/>
        </w:rPr>
        <w:t>affect</w:t>
      </w:r>
      <w:r w:rsidR="004674D9" w:rsidRPr="008633D2">
        <w:rPr>
          <w:lang w:val="en-ZA"/>
        </w:rPr>
        <w:t xml:space="preserve"> the performance of the fund. The t-test results</w:t>
      </w:r>
      <w:r w:rsidRPr="008633D2">
        <w:rPr>
          <w:lang w:val="en-ZA"/>
        </w:rPr>
        <w:t xml:space="preserve"> and p-value</w:t>
      </w:r>
      <w:r w:rsidR="004674D9" w:rsidRPr="008633D2">
        <w:rPr>
          <w:lang w:val="en-ZA"/>
        </w:rPr>
        <w:t>s indicate that the results found are significant.</w:t>
      </w:r>
    </w:p>
    <w:p w:rsidR="0046753E" w:rsidRPr="008633D2" w:rsidRDefault="0046753E" w:rsidP="004448A6">
      <w:pPr>
        <w:rPr>
          <w:lang w:val="en-ZA"/>
        </w:rPr>
      </w:pPr>
    </w:p>
    <w:p w:rsidR="004674D9" w:rsidRPr="008633D2" w:rsidRDefault="004674D9" w:rsidP="004448A6">
      <w:pPr>
        <w:rPr>
          <w:lang w:val="en-ZA"/>
        </w:rPr>
      </w:pPr>
      <w:r w:rsidRPr="008633D2">
        <w:rPr>
          <w:lang w:val="en-ZA"/>
        </w:rPr>
        <w:t xml:space="preserve">It must be noted that this study has not controlled for other variables such as education of the fund manager, </w:t>
      </w:r>
      <w:r w:rsidR="00093481" w:rsidRPr="008633D2">
        <w:rPr>
          <w:lang w:val="en-ZA"/>
        </w:rPr>
        <w:t>age,</w:t>
      </w:r>
      <w:r w:rsidRPr="008633D2">
        <w:rPr>
          <w:lang w:val="en-ZA"/>
        </w:rPr>
        <w:t xml:space="preserve"> experience etc. </w:t>
      </w:r>
      <w:r w:rsidR="007969E2" w:rsidRPr="008633D2">
        <w:rPr>
          <w:lang w:val="en-ZA"/>
        </w:rPr>
        <w:t>Therefore,</w:t>
      </w:r>
      <w:r w:rsidRPr="008633D2">
        <w:rPr>
          <w:lang w:val="en-ZA"/>
        </w:rPr>
        <w:t xml:space="preserve"> this research highlights the fact t</w:t>
      </w:r>
      <w:r w:rsidR="00210D1E">
        <w:rPr>
          <w:lang w:val="en-ZA"/>
        </w:rPr>
        <w:t>hat funds managed by males out</w:t>
      </w:r>
      <w:r w:rsidRPr="008633D2">
        <w:rPr>
          <w:lang w:val="en-ZA"/>
        </w:rPr>
        <w:t xml:space="preserve">perform the market in the </w:t>
      </w:r>
      <w:r w:rsidR="00210D1E">
        <w:rPr>
          <w:lang w:val="en-ZA"/>
        </w:rPr>
        <w:t xml:space="preserve">short term by more </w:t>
      </w:r>
      <w:r w:rsidR="0046753E">
        <w:rPr>
          <w:lang w:val="en-ZA"/>
        </w:rPr>
        <w:t>than</w:t>
      </w:r>
      <w:r w:rsidRPr="008633D2">
        <w:rPr>
          <w:lang w:val="en-ZA"/>
        </w:rPr>
        <w:t xml:space="preserve"> the female managed funds but does not attribute this finding purely to the gender of the fund manager. </w:t>
      </w:r>
    </w:p>
    <w:p w:rsidR="00A976E7" w:rsidRPr="008633D2" w:rsidRDefault="00A976E7" w:rsidP="004448A6">
      <w:pPr>
        <w:rPr>
          <w:lang w:val="en-ZA"/>
        </w:rPr>
      </w:pPr>
    </w:p>
    <w:p w:rsidR="00A976E7" w:rsidRPr="008633D2" w:rsidRDefault="00A976E7" w:rsidP="00A976E7">
      <w:pPr>
        <w:pStyle w:val="Heading3"/>
        <w:rPr>
          <w:lang w:val="en-ZA"/>
        </w:rPr>
      </w:pPr>
      <w:bookmarkStart w:id="252" w:name="_Toc458610830"/>
      <w:r w:rsidRPr="008633D2">
        <w:rPr>
          <w:lang w:val="en-ZA"/>
        </w:rPr>
        <w:t>The performance of all funds by gender per a</w:t>
      </w:r>
      <w:r w:rsidR="007F7693">
        <w:rPr>
          <w:lang w:val="en-ZA"/>
        </w:rPr>
        <w:t>n</w:t>
      </w:r>
      <w:r w:rsidRPr="008633D2">
        <w:rPr>
          <w:lang w:val="en-ZA"/>
        </w:rPr>
        <w:t xml:space="preserve"> ASISA sector</w:t>
      </w:r>
      <w:bookmarkEnd w:id="252"/>
    </w:p>
    <w:p w:rsidR="00762E3D" w:rsidRDefault="00762E3D" w:rsidP="004448A6">
      <w:pPr>
        <w:rPr>
          <w:lang w:val="en-ZA"/>
        </w:rPr>
      </w:pPr>
      <w:r w:rsidRPr="008633D2">
        <w:rPr>
          <w:lang w:val="en-ZA"/>
        </w:rPr>
        <w:t xml:space="preserve">As described in chapter </w:t>
      </w:r>
      <w:r w:rsidR="00987349">
        <w:rPr>
          <w:lang w:val="en-ZA"/>
        </w:rPr>
        <w:t>2</w:t>
      </w:r>
      <w:r w:rsidRPr="008633D2">
        <w:rPr>
          <w:lang w:val="en-ZA"/>
        </w:rPr>
        <w:t xml:space="preserve"> the unit trust industry in South Africa is broken down into sectors based on the investment strategy of the fund</w:t>
      </w:r>
      <w:r w:rsidR="00CC6274" w:rsidRPr="008633D2">
        <w:rPr>
          <w:lang w:val="en-ZA"/>
        </w:rPr>
        <w:t xml:space="preserve">. </w:t>
      </w:r>
      <w:r w:rsidR="00B02346">
        <w:rPr>
          <w:lang w:val="en-ZA"/>
        </w:rPr>
        <w:t>Existing l</w:t>
      </w:r>
      <w:r w:rsidRPr="008633D2">
        <w:rPr>
          <w:lang w:val="en-ZA"/>
        </w:rPr>
        <w:t>iterature indicates that females have a lower risk tolerance</w:t>
      </w:r>
      <w:r w:rsidR="00987349">
        <w:rPr>
          <w:lang w:val="en-ZA"/>
        </w:rPr>
        <w:t xml:space="preserve"> even though this was not the finding of this research as discussed in section 5.2.2</w:t>
      </w:r>
      <w:r w:rsidRPr="008633D2">
        <w:rPr>
          <w:lang w:val="en-ZA"/>
        </w:rPr>
        <w:t xml:space="preserve">. This could indicate that there would be more female funds managers in the less risky ASISA sectors and possibly outperformance when compared to male managed funds in the same sector. </w:t>
      </w:r>
    </w:p>
    <w:p w:rsidR="00987349" w:rsidRPr="008633D2" w:rsidRDefault="00987349" w:rsidP="004448A6">
      <w:pPr>
        <w:rPr>
          <w:lang w:val="en-ZA"/>
        </w:rPr>
      </w:pPr>
    </w:p>
    <w:p w:rsidR="00987349" w:rsidRDefault="00987349" w:rsidP="004448A6">
      <w:pPr>
        <w:rPr>
          <w:lang w:val="en-ZA"/>
        </w:rPr>
      </w:pPr>
      <w:r>
        <w:rPr>
          <w:lang w:val="en-ZA"/>
        </w:rPr>
        <w:t xml:space="preserve">Figure 7, in chapter 4, displays the number of funds managed by males and females for each ASISA sector. It can be seen that there are many </w:t>
      </w:r>
      <w:r w:rsidR="007969E2">
        <w:rPr>
          <w:lang w:val="en-ZA"/>
        </w:rPr>
        <w:t>sectors;</w:t>
      </w:r>
      <w:r>
        <w:rPr>
          <w:lang w:val="en-ZA"/>
        </w:rPr>
        <w:t xml:space="preserve"> in </w:t>
      </w:r>
      <w:r w:rsidR="007969E2">
        <w:rPr>
          <w:lang w:val="en-ZA"/>
        </w:rPr>
        <w:t>fact,</w:t>
      </w:r>
      <w:r>
        <w:rPr>
          <w:lang w:val="en-ZA"/>
        </w:rPr>
        <w:t xml:space="preserve"> it is almost half of the available </w:t>
      </w:r>
      <w:r w:rsidR="00B02346">
        <w:rPr>
          <w:lang w:val="en-ZA"/>
        </w:rPr>
        <w:t>sectors, which</w:t>
      </w:r>
      <w:r>
        <w:rPr>
          <w:lang w:val="en-ZA"/>
        </w:rPr>
        <w:t xml:space="preserve"> do not include any female fund managers. Table 15 highlights the sectors that have both male and female managed funds as </w:t>
      </w:r>
      <w:r w:rsidR="007969E2">
        <w:rPr>
          <w:lang w:val="en-ZA"/>
        </w:rPr>
        <w:t>at 30</w:t>
      </w:r>
      <w:r w:rsidR="0037245A">
        <w:rPr>
          <w:lang w:val="en-ZA"/>
        </w:rPr>
        <w:t xml:space="preserve"> June 2015</w:t>
      </w:r>
      <w:r>
        <w:rPr>
          <w:lang w:val="en-ZA"/>
        </w:rPr>
        <w:t>. This table also</w:t>
      </w:r>
      <w:r w:rsidR="0037245A">
        <w:rPr>
          <w:lang w:val="en-ZA"/>
        </w:rPr>
        <w:t xml:space="preserve"> shows the average sector </w:t>
      </w:r>
      <w:r w:rsidR="004D2368">
        <w:rPr>
          <w:lang w:val="en-ZA"/>
        </w:rPr>
        <w:t>performance</w:t>
      </w:r>
      <w:r w:rsidR="0037245A">
        <w:rPr>
          <w:lang w:val="en-ZA"/>
        </w:rPr>
        <w:t xml:space="preserve">, the average performance of male managed funds and the </w:t>
      </w:r>
      <w:r w:rsidR="00B02346">
        <w:rPr>
          <w:lang w:val="en-ZA"/>
        </w:rPr>
        <w:t xml:space="preserve">average </w:t>
      </w:r>
      <w:r w:rsidR="0037245A">
        <w:rPr>
          <w:lang w:val="en-ZA"/>
        </w:rPr>
        <w:t xml:space="preserve">performance of female managed funds </w:t>
      </w:r>
      <w:r w:rsidR="00B02346">
        <w:rPr>
          <w:lang w:val="en-ZA"/>
        </w:rPr>
        <w:t xml:space="preserve">in each of the sectors, which </w:t>
      </w:r>
      <w:r w:rsidR="0037245A">
        <w:rPr>
          <w:lang w:val="en-ZA"/>
        </w:rPr>
        <w:t>include</w:t>
      </w:r>
      <w:r>
        <w:rPr>
          <w:lang w:val="en-ZA"/>
        </w:rPr>
        <w:t xml:space="preserve"> both male and female funds. The</w:t>
      </w:r>
      <w:r w:rsidR="0037245A">
        <w:rPr>
          <w:lang w:val="en-ZA"/>
        </w:rPr>
        <w:t xml:space="preserve"> table is ordered by the percentage of individually managed female funds in the sector in descending order. </w:t>
      </w:r>
    </w:p>
    <w:p w:rsidR="007A5FD1" w:rsidRDefault="007A5FD1" w:rsidP="004448A6">
      <w:pPr>
        <w:rPr>
          <w:lang w:val="en-ZA"/>
        </w:rPr>
      </w:pPr>
    </w:p>
    <w:p w:rsidR="00987349" w:rsidRDefault="0037245A" w:rsidP="004448A6">
      <w:pPr>
        <w:rPr>
          <w:lang w:val="en-ZA"/>
        </w:rPr>
      </w:pPr>
      <w:r>
        <w:rPr>
          <w:lang w:val="en-ZA"/>
        </w:rPr>
        <w:t xml:space="preserve">It can be seen that the top three sectors that include the highest percentage of female managed funds are the South African equity focused funds. </w:t>
      </w:r>
      <w:r w:rsidR="00987349">
        <w:rPr>
          <w:lang w:val="en-ZA"/>
        </w:rPr>
        <w:t xml:space="preserve">This finding is somewhat consistent with Ruiters </w:t>
      </w:r>
      <w:sdt>
        <w:sdtPr>
          <w:rPr>
            <w:lang w:val="en-ZA"/>
          </w:rPr>
          <w:id w:val="-1351479230"/>
          <w:citation/>
        </w:sdtPr>
        <w:sdtEndPr/>
        <w:sdtContent>
          <w:r w:rsidR="00987349">
            <w:rPr>
              <w:lang w:val="en-ZA"/>
            </w:rPr>
            <w:fldChar w:fldCharType="begin"/>
          </w:r>
          <w:r w:rsidR="00987349">
            <w:rPr>
              <w:lang w:val="en-US"/>
            </w:rPr>
            <w:instrText xml:space="preserve">CITATION San15 \n  \t  \l 1033 </w:instrText>
          </w:r>
          <w:r w:rsidR="00987349">
            <w:rPr>
              <w:lang w:val="en-ZA"/>
            </w:rPr>
            <w:fldChar w:fldCharType="separate"/>
          </w:r>
          <w:r w:rsidR="00987349">
            <w:rPr>
              <w:noProof/>
              <w:lang w:val="en-US"/>
            </w:rPr>
            <w:t>(2015)</w:t>
          </w:r>
          <w:r w:rsidR="00987349">
            <w:rPr>
              <w:lang w:val="en-ZA"/>
            </w:rPr>
            <w:fldChar w:fldCharType="end"/>
          </w:r>
        </w:sdtContent>
      </w:sdt>
      <w:r w:rsidR="00987349">
        <w:rPr>
          <w:lang w:val="en-ZA"/>
        </w:rPr>
        <w:t xml:space="preserve"> who indicated that there was an increased investment into equity categories. Funds in the equity category need to have a minimum of 80% of equities according to ASISA </w:t>
      </w:r>
      <w:sdt>
        <w:sdtPr>
          <w:rPr>
            <w:lang w:val="en-ZA"/>
          </w:rPr>
          <w:id w:val="1766113747"/>
          <w:citation/>
        </w:sdtPr>
        <w:sdtEndPr/>
        <w:sdtContent>
          <w:r w:rsidR="00987349">
            <w:rPr>
              <w:lang w:val="en-ZA"/>
            </w:rPr>
            <w:fldChar w:fldCharType="begin"/>
          </w:r>
          <w:r w:rsidR="00987349">
            <w:rPr>
              <w:lang w:val="en-US"/>
            </w:rPr>
            <w:instrText xml:space="preserve">CITATION ASI15 \n  \t  \l 1033 </w:instrText>
          </w:r>
          <w:r w:rsidR="00987349">
            <w:rPr>
              <w:lang w:val="en-ZA"/>
            </w:rPr>
            <w:fldChar w:fldCharType="separate"/>
          </w:r>
          <w:r w:rsidR="00987349">
            <w:rPr>
              <w:noProof/>
              <w:lang w:val="en-US"/>
            </w:rPr>
            <w:t>(2015)</w:t>
          </w:r>
          <w:r w:rsidR="00987349">
            <w:rPr>
              <w:lang w:val="en-ZA"/>
            </w:rPr>
            <w:fldChar w:fldCharType="end"/>
          </w:r>
        </w:sdtContent>
      </w:sdt>
      <w:r w:rsidR="00987349">
        <w:rPr>
          <w:lang w:val="en-ZA"/>
        </w:rPr>
        <w:t xml:space="preserve">. Equities are generally seen as risky investments and therefore these could be considered as risky sectors. This highlights that female fund managers in South Africa do not show the female tendency to be risk averse. </w:t>
      </w:r>
    </w:p>
    <w:p w:rsidR="00B02346" w:rsidRDefault="00B02346" w:rsidP="004448A6">
      <w:pPr>
        <w:rPr>
          <w:lang w:val="en-ZA"/>
        </w:rPr>
      </w:pPr>
    </w:p>
    <w:p w:rsidR="00762E3D" w:rsidRDefault="00762E3D" w:rsidP="004448A6">
      <w:pPr>
        <w:rPr>
          <w:lang w:val="en-ZA"/>
        </w:rPr>
      </w:pPr>
      <w:r w:rsidRPr="008633D2">
        <w:rPr>
          <w:lang w:val="en-ZA"/>
        </w:rPr>
        <w:t>When looking at the average annualised performance of the female managed funds in comparison to the average annualised performance of the male managed funds</w:t>
      </w:r>
      <w:r w:rsidR="0037245A">
        <w:rPr>
          <w:lang w:val="en-ZA"/>
        </w:rPr>
        <w:t xml:space="preserve"> per </w:t>
      </w:r>
      <w:r w:rsidR="004D2368">
        <w:rPr>
          <w:lang w:val="en-ZA"/>
        </w:rPr>
        <w:t xml:space="preserve">sector </w:t>
      </w:r>
      <w:r w:rsidR="004D2368" w:rsidRPr="008633D2">
        <w:rPr>
          <w:lang w:val="en-ZA"/>
        </w:rPr>
        <w:t>there</w:t>
      </w:r>
      <w:r w:rsidRPr="008633D2">
        <w:rPr>
          <w:lang w:val="en-ZA"/>
        </w:rPr>
        <w:t xml:space="preserve"> are scenarios where female outperformance can be seen. </w:t>
      </w:r>
      <w:r w:rsidR="00CC6274" w:rsidRPr="008633D2">
        <w:rPr>
          <w:lang w:val="en-ZA"/>
        </w:rPr>
        <w:t>However,</w:t>
      </w:r>
      <w:r w:rsidRPr="008633D2">
        <w:rPr>
          <w:lang w:val="en-ZA"/>
        </w:rPr>
        <w:t xml:space="preserve"> the results </w:t>
      </w:r>
      <w:r w:rsidR="0037245A">
        <w:rPr>
          <w:lang w:val="en-ZA"/>
        </w:rPr>
        <w:t xml:space="preserve">are </w:t>
      </w:r>
      <w:r w:rsidRPr="008633D2">
        <w:rPr>
          <w:lang w:val="en-ZA"/>
        </w:rPr>
        <w:t xml:space="preserve">not significant and </w:t>
      </w:r>
      <w:r w:rsidR="00987349">
        <w:rPr>
          <w:lang w:val="en-ZA"/>
        </w:rPr>
        <w:t>can</w:t>
      </w:r>
      <w:r w:rsidRPr="008633D2">
        <w:rPr>
          <w:lang w:val="en-ZA"/>
        </w:rPr>
        <w:t>not</w:t>
      </w:r>
      <w:r w:rsidR="00987349">
        <w:rPr>
          <w:lang w:val="en-ZA"/>
        </w:rPr>
        <w:t xml:space="preserve"> be consistently</w:t>
      </w:r>
      <w:r w:rsidRPr="008633D2">
        <w:rPr>
          <w:lang w:val="en-ZA"/>
        </w:rPr>
        <w:t xml:space="preserve"> isolated to specific sectors. </w:t>
      </w:r>
    </w:p>
    <w:p w:rsidR="00627ABD" w:rsidRDefault="00627ABD" w:rsidP="004448A6">
      <w:pPr>
        <w:rPr>
          <w:lang w:val="en-ZA"/>
        </w:rPr>
      </w:pPr>
    </w:p>
    <w:p w:rsidR="007008C0" w:rsidRPr="007008C0" w:rsidRDefault="00B02346" w:rsidP="007008C0">
      <w:pPr>
        <w:pStyle w:val="Heading3"/>
        <w:rPr>
          <w:color w:val="FF0000"/>
          <w:lang w:val="en-ZA"/>
        </w:rPr>
      </w:pPr>
      <w:bookmarkStart w:id="253" w:name="_Toc458610831"/>
      <w:r>
        <w:rPr>
          <w:lang w:val="en-ZA"/>
        </w:rPr>
        <w:t>T</w:t>
      </w:r>
      <w:r w:rsidR="007008C0">
        <w:rPr>
          <w:lang w:val="en-ZA"/>
        </w:rPr>
        <w:t xml:space="preserve">he performance of funds managed by different genders over the </w:t>
      </w:r>
      <w:r w:rsidR="002F67C5">
        <w:rPr>
          <w:lang w:val="en-ZA"/>
        </w:rPr>
        <w:t xml:space="preserve">2008 </w:t>
      </w:r>
      <w:r w:rsidR="007008C0">
        <w:rPr>
          <w:lang w:val="en-ZA"/>
        </w:rPr>
        <w:t>financial crisis</w:t>
      </w:r>
      <w:bookmarkEnd w:id="253"/>
    </w:p>
    <w:p w:rsidR="002F67C5" w:rsidRDefault="002F67C5" w:rsidP="001E1990">
      <w:pPr>
        <w:rPr>
          <w:lang w:val="en-ZA"/>
        </w:rPr>
      </w:pPr>
      <w:r>
        <w:rPr>
          <w:lang w:val="en-ZA"/>
        </w:rPr>
        <w:t>Since the findings of this research is largely inconclusive when considering the performance of female managed funds compared male managed funds, a brief investigation into the performance of funds during the financial crisis was conducted. This was largely driven by the literature indicating that female fund managers follow more stable investment styles</w:t>
      </w:r>
      <w:sdt>
        <w:sdtPr>
          <w:rPr>
            <w:lang w:val="en-ZA"/>
          </w:rPr>
          <w:id w:val="1426543788"/>
          <w:citation/>
        </w:sdtPr>
        <w:sdtEndPr/>
        <w:sdtContent>
          <w:r>
            <w:rPr>
              <w:lang w:val="en-ZA"/>
            </w:rPr>
            <w:fldChar w:fldCharType="begin"/>
          </w:r>
          <w:r w:rsidR="005B7BCE">
            <w:rPr>
              <w:lang w:val="en-US"/>
            </w:rPr>
            <w:instrText xml:space="preserve">CITATION Nie06 \l 1033 </w:instrText>
          </w:r>
          <w:r>
            <w:rPr>
              <w:lang w:val="en-ZA"/>
            </w:rPr>
            <w:fldChar w:fldCharType="separate"/>
          </w:r>
          <w:r w:rsidR="005B7BCE">
            <w:rPr>
              <w:noProof/>
              <w:lang w:val="en-US"/>
            </w:rPr>
            <w:t xml:space="preserve"> (Niessen &amp; Ruenzi, 2006)</w:t>
          </w:r>
          <w:r>
            <w:rPr>
              <w:lang w:val="en-ZA"/>
            </w:rPr>
            <w:fldChar w:fldCharType="end"/>
          </w:r>
        </w:sdtContent>
      </w:sdt>
      <w:r w:rsidR="00B02346">
        <w:rPr>
          <w:lang w:val="en-ZA"/>
        </w:rPr>
        <w:t xml:space="preserve"> and that they </w:t>
      </w:r>
      <w:r>
        <w:rPr>
          <w:lang w:val="en-ZA"/>
        </w:rPr>
        <w:t>are more risk averse and less overconfident</w:t>
      </w:r>
      <w:r w:rsidR="00B02346">
        <w:rPr>
          <w:lang w:val="en-ZA"/>
        </w:rPr>
        <w:t xml:space="preserve"> than men</w:t>
      </w:r>
      <w:sdt>
        <w:sdtPr>
          <w:rPr>
            <w:lang w:val="en-ZA"/>
          </w:rPr>
          <w:id w:val="29609379"/>
          <w:citation/>
        </w:sdtPr>
        <w:sdtEndPr/>
        <w:sdtContent>
          <w:r>
            <w:rPr>
              <w:lang w:val="en-ZA"/>
            </w:rPr>
            <w:fldChar w:fldCharType="begin"/>
          </w:r>
          <w:r w:rsidR="005B7BCE">
            <w:rPr>
              <w:lang w:val="en-US"/>
            </w:rPr>
            <w:instrText xml:space="preserve">CITATION Bec08 \l 1033 </w:instrText>
          </w:r>
          <w:r>
            <w:rPr>
              <w:lang w:val="en-ZA"/>
            </w:rPr>
            <w:fldChar w:fldCharType="separate"/>
          </w:r>
          <w:r w:rsidR="005B7BCE">
            <w:rPr>
              <w:noProof/>
              <w:lang w:val="en-US"/>
            </w:rPr>
            <w:t xml:space="preserve"> (Beckmann &amp; Menkhoff, 2008)</w:t>
          </w:r>
          <w:r>
            <w:rPr>
              <w:lang w:val="en-ZA"/>
            </w:rPr>
            <w:fldChar w:fldCharType="end"/>
          </w:r>
        </w:sdtContent>
      </w:sdt>
      <w:r>
        <w:rPr>
          <w:lang w:val="en-ZA"/>
        </w:rPr>
        <w:t xml:space="preserve">. </w:t>
      </w:r>
    </w:p>
    <w:p w:rsidR="002F67C5" w:rsidRDefault="002F67C5" w:rsidP="001E1990">
      <w:pPr>
        <w:rPr>
          <w:lang w:val="en-ZA"/>
        </w:rPr>
      </w:pPr>
    </w:p>
    <w:p w:rsidR="002F67C5" w:rsidRDefault="00545044" w:rsidP="001E1990">
      <w:pPr>
        <w:rPr>
          <w:lang w:val="en-ZA"/>
        </w:rPr>
      </w:pPr>
      <w:r>
        <w:rPr>
          <w:lang w:val="en-ZA"/>
        </w:rPr>
        <w:t xml:space="preserve">To determine if there is a possibility that female managed funds perform better </w:t>
      </w:r>
      <w:r w:rsidR="002F67C5">
        <w:rPr>
          <w:lang w:val="en-ZA"/>
        </w:rPr>
        <w:t xml:space="preserve">than male managed funds </w:t>
      </w:r>
      <w:r>
        <w:rPr>
          <w:lang w:val="en-ZA"/>
        </w:rPr>
        <w:t>in periods of crisis</w:t>
      </w:r>
      <w:r w:rsidR="00B02346">
        <w:rPr>
          <w:lang w:val="en-ZA"/>
        </w:rPr>
        <w:t>, which c</w:t>
      </w:r>
      <w:r w:rsidR="002F67C5">
        <w:rPr>
          <w:lang w:val="en-ZA"/>
        </w:rPr>
        <w:t>ould be case given the assumption that high risk taking in periods of high volatility can lead to very high or very low returns. The</w:t>
      </w:r>
      <w:r>
        <w:rPr>
          <w:lang w:val="en-ZA"/>
        </w:rPr>
        <w:t xml:space="preserve"> 1-year annualised returns over the last nine year</w:t>
      </w:r>
      <w:r w:rsidR="002F67C5">
        <w:rPr>
          <w:lang w:val="en-ZA"/>
        </w:rPr>
        <w:t>s</w:t>
      </w:r>
      <w:r>
        <w:rPr>
          <w:lang w:val="en-ZA"/>
        </w:rPr>
        <w:t xml:space="preserve">, a </w:t>
      </w:r>
      <w:r w:rsidR="00B02346">
        <w:rPr>
          <w:lang w:val="en-ZA"/>
        </w:rPr>
        <w:t>timeframe</w:t>
      </w:r>
      <w:r w:rsidR="007969E2">
        <w:rPr>
          <w:lang w:val="en-ZA"/>
        </w:rPr>
        <w:t xml:space="preserve"> that includes the financial crisis</w:t>
      </w:r>
      <w:r w:rsidR="002F67C5">
        <w:rPr>
          <w:lang w:val="en-ZA"/>
        </w:rPr>
        <w:t xml:space="preserve"> </w:t>
      </w:r>
      <w:r w:rsidR="00B02346">
        <w:rPr>
          <w:lang w:val="en-ZA"/>
        </w:rPr>
        <w:t xml:space="preserve">period </w:t>
      </w:r>
      <w:r w:rsidR="002F67C5">
        <w:rPr>
          <w:lang w:val="en-ZA"/>
        </w:rPr>
        <w:t>was considered</w:t>
      </w:r>
      <w:r>
        <w:rPr>
          <w:lang w:val="en-ZA"/>
        </w:rPr>
        <w:t xml:space="preserve">. </w:t>
      </w:r>
      <w:r w:rsidR="002F67C5">
        <w:rPr>
          <w:lang w:val="en-ZA"/>
        </w:rPr>
        <w:t>Funds with data available fo</w:t>
      </w:r>
      <w:r w:rsidR="00B02346">
        <w:rPr>
          <w:lang w:val="en-ZA"/>
        </w:rPr>
        <w:t>r the full year under review</w:t>
      </w:r>
      <w:r w:rsidR="002F67C5">
        <w:rPr>
          <w:lang w:val="en-ZA"/>
        </w:rPr>
        <w:t xml:space="preserve"> were included. This was done for each rolling year from July 2006 to June 2015.</w:t>
      </w:r>
    </w:p>
    <w:p w:rsidR="002F67C5" w:rsidRDefault="002F67C5" w:rsidP="001E1990">
      <w:pPr>
        <w:rPr>
          <w:lang w:val="en-ZA"/>
        </w:rPr>
      </w:pPr>
    </w:p>
    <w:p w:rsidR="00B02346" w:rsidRDefault="00B02346" w:rsidP="001E1990">
      <w:pPr>
        <w:rPr>
          <w:lang w:val="en-ZA"/>
        </w:rPr>
      </w:pPr>
    </w:p>
    <w:p w:rsidR="00B02346" w:rsidRDefault="00B02346" w:rsidP="001E1990">
      <w:pPr>
        <w:rPr>
          <w:lang w:val="en-ZA"/>
        </w:rPr>
      </w:pPr>
    </w:p>
    <w:p w:rsidR="00545044" w:rsidRDefault="002F67C5" w:rsidP="001E1990">
      <w:pPr>
        <w:rPr>
          <w:lang w:val="en-ZA"/>
        </w:rPr>
      </w:pPr>
      <w:r>
        <w:rPr>
          <w:lang w:val="en-ZA"/>
        </w:rPr>
        <w:t xml:space="preserve">Figure 8 displays the annualised 1 year returns over the period considered. This figure highlights that for the period </w:t>
      </w:r>
      <w:r w:rsidR="00B02346">
        <w:rPr>
          <w:lang w:val="en-ZA"/>
        </w:rPr>
        <w:t xml:space="preserve">financial crisis period, i.e. </w:t>
      </w:r>
      <w:r>
        <w:rPr>
          <w:lang w:val="en-ZA"/>
        </w:rPr>
        <w:t>July</w:t>
      </w:r>
      <w:r w:rsidR="00545044">
        <w:rPr>
          <w:lang w:val="en-ZA"/>
        </w:rPr>
        <w:t xml:space="preserve"> 2008 to June 2010, female managed funds do perform better than funds managed by males. This observation is however</w:t>
      </w:r>
      <w:r>
        <w:rPr>
          <w:lang w:val="en-ZA"/>
        </w:rPr>
        <w:t xml:space="preserve"> statistically insignificant. T</w:t>
      </w:r>
      <w:r w:rsidR="00545044">
        <w:rPr>
          <w:lang w:val="en-ZA"/>
        </w:rPr>
        <w:t xml:space="preserve">he </w:t>
      </w:r>
      <w:r w:rsidR="007969E2">
        <w:rPr>
          <w:lang w:val="en-ZA"/>
        </w:rPr>
        <w:t>results of the statistical significance tests are</w:t>
      </w:r>
      <w:r w:rsidR="00545044">
        <w:rPr>
          <w:lang w:val="en-ZA"/>
        </w:rPr>
        <w:t xml:space="preserve"> present in table 16. </w:t>
      </w:r>
    </w:p>
    <w:p w:rsidR="00B02346" w:rsidRPr="00545044" w:rsidRDefault="00B02346" w:rsidP="001E1990">
      <w:pPr>
        <w:rPr>
          <w:lang w:val="en-ZA"/>
        </w:rPr>
      </w:pPr>
    </w:p>
    <w:p w:rsidR="00A21BAE" w:rsidRDefault="001E1990" w:rsidP="00A21BAE">
      <w:pPr>
        <w:jc w:val="center"/>
        <w:rPr>
          <w:b/>
        </w:rPr>
      </w:pPr>
      <w:r>
        <w:rPr>
          <w:noProof/>
          <w:lang w:val="en-ZA" w:eastAsia="en-ZA"/>
        </w:rPr>
        <w:drawing>
          <wp:inline distT="0" distB="0" distL="0" distR="0" wp14:anchorId="0ED529B2" wp14:editId="22AD3E8C">
            <wp:extent cx="5548630" cy="3284718"/>
            <wp:effectExtent l="38100" t="38100" r="33020" b="3048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0960AF" w:rsidRPr="00FE107F" w:rsidRDefault="000960AF" w:rsidP="00A21BAE">
      <w:pPr>
        <w:jc w:val="center"/>
        <w:rPr>
          <w:b/>
        </w:rPr>
      </w:pPr>
      <w:bookmarkStart w:id="254" w:name="_Toc458610892"/>
      <w:r w:rsidRPr="00FE107F">
        <w:rPr>
          <w:b/>
        </w:rPr>
        <w:t xml:space="preserve">Figure </w:t>
      </w:r>
      <w:r w:rsidR="00E52E42" w:rsidRPr="00FE107F">
        <w:rPr>
          <w:b/>
        </w:rPr>
        <w:fldChar w:fldCharType="begin"/>
      </w:r>
      <w:r w:rsidR="00E52E42" w:rsidRPr="00FE107F">
        <w:rPr>
          <w:b/>
        </w:rPr>
        <w:instrText xml:space="preserve"> SEQ Figure \* ARABIC </w:instrText>
      </w:r>
      <w:r w:rsidR="00E52E42" w:rsidRPr="00FE107F">
        <w:rPr>
          <w:b/>
        </w:rPr>
        <w:fldChar w:fldCharType="separate"/>
      </w:r>
      <w:r w:rsidR="00C456D9">
        <w:rPr>
          <w:b/>
          <w:noProof/>
        </w:rPr>
        <w:t>8</w:t>
      </w:r>
      <w:r w:rsidR="00E52E42" w:rsidRPr="00FE107F">
        <w:rPr>
          <w:b/>
        </w:rPr>
        <w:fldChar w:fldCharType="end"/>
      </w:r>
      <w:r w:rsidRPr="00FE107F">
        <w:rPr>
          <w:b/>
        </w:rPr>
        <w:t>: Graphical representation of 1-year annualised returns over June 2006 to June 2015</w:t>
      </w:r>
      <w:bookmarkEnd w:id="254"/>
    </w:p>
    <w:p w:rsidR="00B02346" w:rsidRPr="00A21BAE" w:rsidRDefault="00B02346" w:rsidP="00A21BAE">
      <w:pPr>
        <w:jc w:val="center"/>
        <w:rPr>
          <w:b/>
          <w:lang w:val="en-ZA"/>
        </w:rPr>
      </w:pPr>
    </w:p>
    <w:p w:rsidR="002F67C5" w:rsidRDefault="00545044" w:rsidP="002F67C5">
      <w:r>
        <w:rPr>
          <w:lang w:val="en-ZA"/>
        </w:rPr>
        <w:t xml:space="preserve">Table 16 provides the results of the t-tests conducted and the corresponding p-values. </w:t>
      </w:r>
      <w:r w:rsidR="00302B54">
        <w:rPr>
          <w:lang w:val="en-ZA"/>
        </w:rPr>
        <w:t xml:space="preserve">It can be seen that p-values over the periods considered are all above the chosen significance level of </w:t>
      </w:r>
      <w:r w:rsidR="00987349">
        <w:rPr>
          <w:lang w:val="en-ZA"/>
        </w:rPr>
        <w:t>5%</w:t>
      </w:r>
      <w:r w:rsidR="00302B54">
        <w:rPr>
          <w:lang w:val="en-ZA"/>
        </w:rPr>
        <w:t>, this indicates the differences seen in performance between the male managed and female</w:t>
      </w:r>
      <w:r w:rsidR="0046753E">
        <w:rPr>
          <w:lang w:val="en-ZA"/>
        </w:rPr>
        <w:t xml:space="preserve"> managed</w:t>
      </w:r>
      <w:r w:rsidR="00302B54">
        <w:rPr>
          <w:lang w:val="en-ZA"/>
        </w:rPr>
        <w:t xml:space="preserve"> fund are insignificant.</w:t>
      </w:r>
      <w:r w:rsidR="002F67C5">
        <w:t xml:space="preserve"> </w:t>
      </w:r>
    </w:p>
    <w:p w:rsidR="002F67C5" w:rsidRDefault="002F67C5" w:rsidP="002F67C5"/>
    <w:p w:rsidR="002F67C5" w:rsidRPr="002F67C5" w:rsidRDefault="002F67C5" w:rsidP="002F67C5">
      <w:r>
        <w:rPr>
          <w:lang w:val="en-ZA"/>
        </w:rPr>
        <w:t xml:space="preserve">The observations made are interesting even though they have been shown to be insignificant. The difference in the average annualised </w:t>
      </w:r>
      <w:r w:rsidR="007969E2">
        <w:rPr>
          <w:lang w:val="en-ZA"/>
        </w:rPr>
        <w:t>one-year</w:t>
      </w:r>
      <w:r>
        <w:rPr>
          <w:lang w:val="en-ZA"/>
        </w:rPr>
        <w:t xml:space="preserve"> return is quite large in </w:t>
      </w:r>
      <w:r w:rsidR="00B02346">
        <w:rPr>
          <w:lang w:val="en-ZA"/>
        </w:rPr>
        <w:t xml:space="preserve">the case of fund </w:t>
      </w:r>
      <w:r>
        <w:rPr>
          <w:lang w:val="en-ZA"/>
        </w:rPr>
        <w:t xml:space="preserve">performance. The results could provide substance to the many calls that the financial crisis could have been avoided if there was a higher female presence in the financial industry at the time. The insignificance of the results is most likely due to the small sample size of female funds available across the period. Therefore, this should be explored further as future research. </w:t>
      </w:r>
    </w:p>
    <w:p w:rsidR="002F67C5" w:rsidRDefault="002F67C5" w:rsidP="003666A5"/>
    <w:p w:rsidR="001E1990" w:rsidRDefault="001E1990" w:rsidP="001E1990">
      <w:pPr>
        <w:pStyle w:val="Caption"/>
        <w:keepNext/>
        <w:jc w:val="center"/>
      </w:pPr>
      <w:bookmarkStart w:id="255" w:name="_Toc458610861"/>
      <w:r>
        <w:t xml:space="preserve">Table </w:t>
      </w:r>
      <w:r>
        <w:fldChar w:fldCharType="begin"/>
      </w:r>
      <w:r>
        <w:instrText xml:space="preserve"> SEQ Table \* ARABIC </w:instrText>
      </w:r>
      <w:r>
        <w:fldChar w:fldCharType="separate"/>
      </w:r>
      <w:r w:rsidR="00C456D9">
        <w:rPr>
          <w:noProof/>
        </w:rPr>
        <w:t>16</w:t>
      </w:r>
      <w:r>
        <w:fldChar w:fldCharType="end"/>
      </w:r>
      <w:r>
        <w:t>: The results of statistical tests done to obtain the significance of the results shown in figure 8</w:t>
      </w:r>
      <w:bookmarkEnd w:id="255"/>
    </w:p>
    <w:tbl>
      <w:tblPr>
        <w:tblW w:w="49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428"/>
        <w:gridCol w:w="751"/>
        <w:gridCol w:w="749"/>
        <w:gridCol w:w="709"/>
        <w:gridCol w:w="749"/>
        <w:gridCol w:w="749"/>
        <w:gridCol w:w="711"/>
        <w:gridCol w:w="995"/>
        <w:gridCol w:w="808"/>
      </w:tblGrid>
      <w:tr w:rsidR="001E1990" w:rsidTr="004F7551">
        <w:trPr>
          <w:trHeight w:val="340"/>
        </w:trPr>
        <w:tc>
          <w:tcPr>
            <w:tcW w:w="1404" w:type="pct"/>
            <w:vMerge w:val="restart"/>
            <w:shd w:val="clear" w:color="000000" w:fill="366092"/>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b/>
                <w:bCs/>
                <w:color w:val="FFFFFF"/>
                <w:sz w:val="22"/>
                <w:szCs w:val="22"/>
              </w:rPr>
            </w:pPr>
            <w:r>
              <w:rPr>
                <w:rFonts w:cs="Arial"/>
                <w:b/>
                <w:bCs/>
                <w:color w:val="FFFFFF"/>
                <w:sz w:val="22"/>
                <w:szCs w:val="22"/>
              </w:rPr>
              <w:t>Description</w:t>
            </w:r>
          </w:p>
        </w:tc>
        <w:tc>
          <w:tcPr>
            <w:tcW w:w="1277" w:type="pct"/>
            <w:gridSpan w:val="3"/>
            <w:shd w:val="clear" w:color="000000" w:fill="95B3D7"/>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b/>
                <w:bCs/>
                <w:color w:val="000000"/>
                <w:sz w:val="22"/>
                <w:szCs w:val="22"/>
              </w:rPr>
            </w:pPr>
            <w:r>
              <w:rPr>
                <w:rFonts w:cs="Arial"/>
                <w:b/>
                <w:bCs/>
                <w:color w:val="000000"/>
                <w:sz w:val="22"/>
                <w:szCs w:val="22"/>
              </w:rPr>
              <w:t>Females</w:t>
            </w:r>
          </w:p>
        </w:tc>
        <w:tc>
          <w:tcPr>
            <w:tcW w:w="1277" w:type="pct"/>
            <w:gridSpan w:val="3"/>
            <w:shd w:val="clear" w:color="000000" w:fill="95B3D7"/>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b/>
                <w:bCs/>
                <w:color w:val="000000"/>
                <w:sz w:val="22"/>
                <w:szCs w:val="22"/>
              </w:rPr>
            </w:pPr>
            <w:r>
              <w:rPr>
                <w:rFonts w:cs="Arial"/>
                <w:b/>
                <w:bCs/>
                <w:color w:val="000000"/>
                <w:sz w:val="22"/>
                <w:szCs w:val="22"/>
              </w:rPr>
              <w:t>Male</w:t>
            </w:r>
          </w:p>
        </w:tc>
        <w:tc>
          <w:tcPr>
            <w:tcW w:w="575" w:type="pct"/>
            <w:vMerge w:val="restart"/>
            <w:shd w:val="clear" w:color="000000" w:fill="95B3D7"/>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b/>
                <w:bCs/>
                <w:color w:val="000000"/>
                <w:sz w:val="22"/>
                <w:szCs w:val="22"/>
              </w:rPr>
            </w:pPr>
            <w:r>
              <w:rPr>
                <w:rFonts w:cs="Arial"/>
                <w:b/>
                <w:bCs/>
                <w:color w:val="000000"/>
                <w:sz w:val="22"/>
                <w:szCs w:val="22"/>
              </w:rPr>
              <w:t>t-test</w:t>
            </w:r>
          </w:p>
        </w:tc>
        <w:tc>
          <w:tcPr>
            <w:tcW w:w="467" w:type="pct"/>
            <w:vMerge w:val="restart"/>
            <w:shd w:val="clear" w:color="000000" w:fill="95B3D7"/>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b/>
                <w:bCs/>
                <w:color w:val="000000"/>
                <w:sz w:val="22"/>
                <w:szCs w:val="22"/>
              </w:rPr>
            </w:pPr>
            <w:r>
              <w:rPr>
                <w:rFonts w:cs="Arial"/>
                <w:b/>
                <w:bCs/>
                <w:color w:val="000000"/>
                <w:sz w:val="22"/>
                <w:szCs w:val="22"/>
              </w:rPr>
              <w:t>p-value</w:t>
            </w:r>
          </w:p>
        </w:tc>
      </w:tr>
      <w:tr w:rsidR="001E1990" w:rsidTr="004F7551">
        <w:trPr>
          <w:trHeight w:val="340"/>
        </w:trPr>
        <w:tc>
          <w:tcPr>
            <w:tcW w:w="1404" w:type="pct"/>
            <w:vMerge/>
            <w:vAlign w:val="center"/>
            <w:hideMark/>
          </w:tcPr>
          <w:p w:rsidR="001E1990" w:rsidRDefault="001E1990" w:rsidP="00A14232">
            <w:pPr>
              <w:spacing w:line="240" w:lineRule="auto"/>
              <w:contextualSpacing/>
              <w:jc w:val="center"/>
              <w:rPr>
                <w:rFonts w:cs="Arial"/>
                <w:b/>
                <w:bCs/>
                <w:color w:val="FFFFFF"/>
                <w:sz w:val="22"/>
                <w:szCs w:val="22"/>
              </w:rPr>
            </w:pPr>
          </w:p>
        </w:tc>
        <w:tc>
          <w:tcPr>
            <w:tcW w:w="434" w:type="pct"/>
            <w:shd w:val="clear" w:color="000000" w:fill="B8CCE4"/>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Mean</w:t>
            </w:r>
          </w:p>
          <w:p w:rsidR="001E1990" w:rsidRDefault="001E1990" w:rsidP="00A14232">
            <w:pPr>
              <w:spacing w:line="240" w:lineRule="auto"/>
              <w:contextualSpacing/>
              <w:jc w:val="center"/>
              <w:rPr>
                <w:rFonts w:cs="Arial"/>
                <w:color w:val="000000"/>
                <w:sz w:val="22"/>
                <w:szCs w:val="22"/>
              </w:rPr>
            </w:pPr>
            <w:r>
              <w:rPr>
                <w:rFonts w:cs="Arial"/>
                <w:color w:val="000000"/>
                <w:sz w:val="22"/>
                <w:szCs w:val="22"/>
              </w:rPr>
              <w:t>(%)</w:t>
            </w:r>
          </w:p>
        </w:tc>
        <w:tc>
          <w:tcPr>
            <w:tcW w:w="433" w:type="pct"/>
            <w:shd w:val="clear" w:color="000000" w:fill="B8CCE4"/>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Stdev</w:t>
            </w:r>
          </w:p>
          <w:p w:rsidR="001E1990" w:rsidRDefault="001E1990" w:rsidP="00A14232">
            <w:pPr>
              <w:spacing w:line="240" w:lineRule="auto"/>
              <w:contextualSpacing/>
              <w:jc w:val="center"/>
              <w:rPr>
                <w:rFonts w:cs="Arial"/>
                <w:color w:val="000000"/>
                <w:sz w:val="22"/>
                <w:szCs w:val="22"/>
              </w:rPr>
            </w:pPr>
            <w:r>
              <w:rPr>
                <w:rFonts w:cs="Arial"/>
                <w:color w:val="000000"/>
                <w:sz w:val="22"/>
                <w:szCs w:val="22"/>
              </w:rPr>
              <w:t>(%)</w:t>
            </w:r>
          </w:p>
        </w:tc>
        <w:tc>
          <w:tcPr>
            <w:tcW w:w="410" w:type="pct"/>
            <w:shd w:val="clear" w:color="000000" w:fill="B8CCE4"/>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Count</w:t>
            </w:r>
          </w:p>
        </w:tc>
        <w:tc>
          <w:tcPr>
            <w:tcW w:w="433" w:type="pct"/>
            <w:shd w:val="clear" w:color="000000" w:fill="B8CCE4"/>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Mean</w:t>
            </w:r>
          </w:p>
          <w:p w:rsidR="001E1990" w:rsidRDefault="001E1990" w:rsidP="00A14232">
            <w:pPr>
              <w:spacing w:line="240" w:lineRule="auto"/>
              <w:contextualSpacing/>
              <w:jc w:val="center"/>
              <w:rPr>
                <w:rFonts w:cs="Arial"/>
                <w:color w:val="000000"/>
                <w:sz w:val="22"/>
                <w:szCs w:val="22"/>
              </w:rPr>
            </w:pPr>
            <w:r>
              <w:rPr>
                <w:rFonts w:cs="Arial"/>
                <w:color w:val="000000"/>
                <w:sz w:val="22"/>
                <w:szCs w:val="22"/>
              </w:rPr>
              <w:t>(%)</w:t>
            </w:r>
          </w:p>
        </w:tc>
        <w:tc>
          <w:tcPr>
            <w:tcW w:w="433" w:type="pct"/>
            <w:shd w:val="clear" w:color="000000" w:fill="B8CCE4"/>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Stdev</w:t>
            </w:r>
          </w:p>
          <w:p w:rsidR="001E1990" w:rsidRDefault="001E1990" w:rsidP="00A14232">
            <w:pPr>
              <w:spacing w:line="240" w:lineRule="auto"/>
              <w:contextualSpacing/>
              <w:jc w:val="center"/>
              <w:rPr>
                <w:rFonts w:cs="Arial"/>
                <w:color w:val="000000"/>
                <w:sz w:val="22"/>
                <w:szCs w:val="22"/>
              </w:rPr>
            </w:pPr>
            <w:r>
              <w:rPr>
                <w:rFonts w:cs="Arial"/>
                <w:color w:val="000000"/>
                <w:sz w:val="22"/>
                <w:szCs w:val="22"/>
              </w:rPr>
              <w:t xml:space="preserve">(%) </w:t>
            </w:r>
          </w:p>
        </w:tc>
        <w:tc>
          <w:tcPr>
            <w:tcW w:w="411" w:type="pct"/>
            <w:shd w:val="clear" w:color="000000" w:fill="B8CCE4"/>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Count</w:t>
            </w:r>
          </w:p>
        </w:tc>
        <w:tc>
          <w:tcPr>
            <w:tcW w:w="575" w:type="pct"/>
            <w:vMerge/>
            <w:vAlign w:val="center"/>
            <w:hideMark/>
          </w:tcPr>
          <w:p w:rsidR="001E1990" w:rsidRDefault="001E1990" w:rsidP="00A14232">
            <w:pPr>
              <w:spacing w:line="240" w:lineRule="auto"/>
              <w:contextualSpacing/>
              <w:jc w:val="center"/>
              <w:rPr>
                <w:rFonts w:cs="Arial"/>
                <w:b/>
                <w:bCs/>
                <w:color w:val="000000"/>
                <w:sz w:val="22"/>
                <w:szCs w:val="22"/>
              </w:rPr>
            </w:pPr>
          </w:p>
        </w:tc>
        <w:tc>
          <w:tcPr>
            <w:tcW w:w="467" w:type="pct"/>
            <w:vMerge/>
            <w:vAlign w:val="center"/>
            <w:hideMark/>
          </w:tcPr>
          <w:p w:rsidR="001E1990" w:rsidRDefault="001E1990" w:rsidP="00A14232">
            <w:pPr>
              <w:spacing w:line="240" w:lineRule="auto"/>
              <w:contextualSpacing/>
              <w:jc w:val="center"/>
              <w:rPr>
                <w:rFonts w:cs="Arial"/>
                <w:b/>
                <w:bCs/>
                <w:color w:val="000000"/>
                <w:sz w:val="22"/>
                <w:szCs w:val="22"/>
              </w:rPr>
            </w:pPr>
          </w:p>
        </w:tc>
      </w:tr>
      <w:tr w:rsidR="001E1990" w:rsidTr="004F7551">
        <w:trPr>
          <w:trHeight w:val="340"/>
        </w:trPr>
        <w:tc>
          <w:tcPr>
            <w:tcW w:w="1404" w:type="pct"/>
            <w:shd w:val="clear" w:color="000000" w:fill="366092"/>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b/>
                <w:bCs/>
                <w:color w:val="FFFFFF"/>
                <w:sz w:val="22"/>
                <w:szCs w:val="22"/>
              </w:rPr>
            </w:pPr>
            <w:r>
              <w:rPr>
                <w:rFonts w:cs="Arial"/>
                <w:b/>
                <w:bCs/>
                <w:color w:val="FFFFFF"/>
                <w:sz w:val="22"/>
                <w:szCs w:val="22"/>
              </w:rPr>
              <w:t>July 2006 - June 2007</w:t>
            </w:r>
          </w:p>
        </w:tc>
        <w:tc>
          <w:tcPr>
            <w:tcW w:w="434"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20.38</w:t>
            </w:r>
          </w:p>
        </w:tc>
        <w:tc>
          <w:tcPr>
            <w:tcW w:w="433"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16.83</w:t>
            </w:r>
          </w:p>
        </w:tc>
        <w:tc>
          <w:tcPr>
            <w:tcW w:w="410"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20</w:t>
            </w:r>
          </w:p>
        </w:tc>
        <w:tc>
          <w:tcPr>
            <w:tcW w:w="433"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25.51</w:t>
            </w:r>
          </w:p>
        </w:tc>
        <w:tc>
          <w:tcPr>
            <w:tcW w:w="433"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14.31</w:t>
            </w:r>
          </w:p>
        </w:tc>
        <w:tc>
          <w:tcPr>
            <w:tcW w:w="411"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206</w:t>
            </w:r>
          </w:p>
        </w:tc>
        <w:tc>
          <w:tcPr>
            <w:tcW w:w="575" w:type="pct"/>
            <w:shd w:val="clear" w:color="000000" w:fill="95B3D7"/>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1.3161</w:t>
            </w:r>
          </w:p>
        </w:tc>
        <w:tc>
          <w:tcPr>
            <w:tcW w:w="467" w:type="pct"/>
            <w:shd w:val="clear" w:color="000000" w:fill="95B3D7"/>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0.1881</w:t>
            </w:r>
          </w:p>
        </w:tc>
      </w:tr>
      <w:tr w:rsidR="001E1990" w:rsidTr="004F7551">
        <w:trPr>
          <w:trHeight w:val="340"/>
        </w:trPr>
        <w:tc>
          <w:tcPr>
            <w:tcW w:w="1404" w:type="pct"/>
            <w:shd w:val="clear" w:color="000000" w:fill="366092"/>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b/>
                <w:bCs/>
                <w:color w:val="FFFFFF"/>
                <w:sz w:val="22"/>
                <w:szCs w:val="22"/>
              </w:rPr>
            </w:pPr>
            <w:r>
              <w:rPr>
                <w:rFonts w:cs="Arial"/>
                <w:b/>
                <w:bCs/>
                <w:color w:val="FFFFFF"/>
                <w:sz w:val="22"/>
                <w:szCs w:val="22"/>
              </w:rPr>
              <w:t>July 2007 - June 2008</w:t>
            </w:r>
          </w:p>
        </w:tc>
        <w:tc>
          <w:tcPr>
            <w:tcW w:w="434"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0.90</w:t>
            </w:r>
          </w:p>
        </w:tc>
        <w:tc>
          <w:tcPr>
            <w:tcW w:w="433"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7.55</w:t>
            </w:r>
          </w:p>
        </w:tc>
        <w:tc>
          <w:tcPr>
            <w:tcW w:w="410"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24</w:t>
            </w:r>
          </w:p>
        </w:tc>
        <w:tc>
          <w:tcPr>
            <w:tcW w:w="433"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1.89</w:t>
            </w:r>
          </w:p>
        </w:tc>
        <w:tc>
          <w:tcPr>
            <w:tcW w:w="433"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10.54</w:t>
            </w:r>
          </w:p>
        </w:tc>
        <w:tc>
          <w:tcPr>
            <w:tcW w:w="411"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252</w:t>
            </w:r>
          </w:p>
        </w:tc>
        <w:tc>
          <w:tcPr>
            <w:tcW w:w="575" w:type="pct"/>
            <w:shd w:val="clear" w:color="000000" w:fill="95B3D7"/>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0.5877</w:t>
            </w:r>
          </w:p>
        </w:tc>
        <w:tc>
          <w:tcPr>
            <w:tcW w:w="467" w:type="pct"/>
            <w:shd w:val="clear" w:color="000000" w:fill="95B3D7"/>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0.5567</w:t>
            </w:r>
          </w:p>
        </w:tc>
      </w:tr>
      <w:tr w:rsidR="001E1990" w:rsidTr="004F7551">
        <w:trPr>
          <w:trHeight w:val="340"/>
        </w:trPr>
        <w:tc>
          <w:tcPr>
            <w:tcW w:w="1404" w:type="pct"/>
            <w:shd w:val="clear" w:color="000000" w:fill="366092"/>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b/>
                <w:bCs/>
                <w:color w:val="FFFFFF"/>
                <w:sz w:val="22"/>
                <w:szCs w:val="22"/>
              </w:rPr>
            </w:pPr>
            <w:r>
              <w:rPr>
                <w:rFonts w:cs="Arial"/>
                <w:b/>
                <w:bCs/>
                <w:color w:val="FFFFFF"/>
                <w:sz w:val="22"/>
                <w:szCs w:val="22"/>
              </w:rPr>
              <w:t>July 2008 - June 2009</w:t>
            </w:r>
          </w:p>
        </w:tc>
        <w:tc>
          <w:tcPr>
            <w:tcW w:w="434"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-0.31</w:t>
            </w:r>
          </w:p>
        </w:tc>
        <w:tc>
          <w:tcPr>
            <w:tcW w:w="433"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14.66</w:t>
            </w:r>
          </w:p>
        </w:tc>
        <w:tc>
          <w:tcPr>
            <w:tcW w:w="410"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27</w:t>
            </w:r>
          </w:p>
        </w:tc>
        <w:tc>
          <w:tcPr>
            <w:tcW w:w="433"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-5.90</w:t>
            </w:r>
          </w:p>
        </w:tc>
        <w:tc>
          <w:tcPr>
            <w:tcW w:w="433"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15.65</w:t>
            </w:r>
          </w:p>
        </w:tc>
        <w:tc>
          <w:tcPr>
            <w:tcW w:w="411"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300</w:t>
            </w:r>
          </w:p>
        </w:tc>
        <w:tc>
          <w:tcPr>
            <w:tcW w:w="575" w:type="pct"/>
            <w:shd w:val="clear" w:color="000000" w:fill="95B3D7"/>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-1.8878</w:t>
            </w:r>
          </w:p>
        </w:tc>
        <w:tc>
          <w:tcPr>
            <w:tcW w:w="467" w:type="pct"/>
            <w:shd w:val="clear" w:color="000000" w:fill="95B3D7"/>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1.9410</w:t>
            </w:r>
          </w:p>
        </w:tc>
      </w:tr>
      <w:tr w:rsidR="001E1990" w:rsidTr="004F7551">
        <w:trPr>
          <w:trHeight w:val="340"/>
        </w:trPr>
        <w:tc>
          <w:tcPr>
            <w:tcW w:w="1404" w:type="pct"/>
            <w:shd w:val="clear" w:color="000000" w:fill="366092"/>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b/>
                <w:bCs/>
                <w:color w:val="FFFFFF"/>
                <w:sz w:val="22"/>
                <w:szCs w:val="22"/>
              </w:rPr>
            </w:pPr>
            <w:r>
              <w:rPr>
                <w:rFonts w:cs="Arial"/>
                <w:b/>
                <w:bCs/>
                <w:color w:val="FFFFFF"/>
                <w:sz w:val="22"/>
                <w:szCs w:val="22"/>
              </w:rPr>
              <w:t>July 2009 - June 2010</w:t>
            </w:r>
          </w:p>
        </w:tc>
        <w:tc>
          <w:tcPr>
            <w:tcW w:w="434"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0.33</w:t>
            </w:r>
          </w:p>
        </w:tc>
        <w:tc>
          <w:tcPr>
            <w:tcW w:w="433"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13.58</w:t>
            </w:r>
          </w:p>
        </w:tc>
        <w:tc>
          <w:tcPr>
            <w:tcW w:w="410"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33</w:t>
            </w:r>
          </w:p>
        </w:tc>
        <w:tc>
          <w:tcPr>
            <w:tcW w:w="433"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-5.37</w:t>
            </w:r>
          </w:p>
        </w:tc>
        <w:tc>
          <w:tcPr>
            <w:tcW w:w="433"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15.24</w:t>
            </w:r>
          </w:p>
        </w:tc>
        <w:tc>
          <w:tcPr>
            <w:tcW w:w="411"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332</w:t>
            </w:r>
          </w:p>
        </w:tc>
        <w:tc>
          <w:tcPr>
            <w:tcW w:w="575" w:type="pct"/>
            <w:shd w:val="clear" w:color="000000" w:fill="95B3D7"/>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-2.2719</w:t>
            </w:r>
          </w:p>
        </w:tc>
        <w:tc>
          <w:tcPr>
            <w:tcW w:w="467" w:type="pct"/>
            <w:shd w:val="clear" w:color="000000" w:fill="95B3D7"/>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1.9769</w:t>
            </w:r>
          </w:p>
        </w:tc>
      </w:tr>
      <w:tr w:rsidR="001E1990" w:rsidTr="004F7551">
        <w:trPr>
          <w:trHeight w:val="340"/>
        </w:trPr>
        <w:tc>
          <w:tcPr>
            <w:tcW w:w="1404" w:type="pct"/>
            <w:shd w:val="clear" w:color="000000" w:fill="366092"/>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b/>
                <w:bCs/>
                <w:color w:val="FFFFFF"/>
                <w:sz w:val="22"/>
                <w:szCs w:val="22"/>
              </w:rPr>
            </w:pPr>
            <w:r>
              <w:rPr>
                <w:rFonts w:cs="Arial"/>
                <w:b/>
                <w:bCs/>
                <w:color w:val="FFFFFF"/>
                <w:sz w:val="22"/>
                <w:szCs w:val="22"/>
              </w:rPr>
              <w:t>July 2010 - June 2011</w:t>
            </w:r>
          </w:p>
        </w:tc>
        <w:tc>
          <w:tcPr>
            <w:tcW w:w="434"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11.80</w:t>
            </w:r>
          </w:p>
        </w:tc>
        <w:tc>
          <w:tcPr>
            <w:tcW w:w="433"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6.46</w:t>
            </w:r>
          </w:p>
        </w:tc>
        <w:tc>
          <w:tcPr>
            <w:tcW w:w="410"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33</w:t>
            </w:r>
          </w:p>
        </w:tc>
        <w:tc>
          <w:tcPr>
            <w:tcW w:w="433"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12.45</w:t>
            </w:r>
          </w:p>
        </w:tc>
        <w:tc>
          <w:tcPr>
            <w:tcW w:w="433"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7.37</w:t>
            </w:r>
          </w:p>
        </w:tc>
        <w:tc>
          <w:tcPr>
            <w:tcW w:w="411"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347</w:t>
            </w:r>
          </w:p>
        </w:tc>
        <w:tc>
          <w:tcPr>
            <w:tcW w:w="575" w:type="pct"/>
            <w:shd w:val="clear" w:color="000000" w:fill="95B3D7"/>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0.5444</w:t>
            </w:r>
          </w:p>
        </w:tc>
        <w:tc>
          <w:tcPr>
            <w:tcW w:w="467" w:type="pct"/>
            <w:shd w:val="clear" w:color="000000" w:fill="95B3D7"/>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0.5862</w:t>
            </w:r>
          </w:p>
        </w:tc>
      </w:tr>
      <w:tr w:rsidR="001E1990" w:rsidTr="004F7551">
        <w:trPr>
          <w:trHeight w:val="340"/>
        </w:trPr>
        <w:tc>
          <w:tcPr>
            <w:tcW w:w="1404" w:type="pct"/>
            <w:shd w:val="clear" w:color="000000" w:fill="366092"/>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b/>
                <w:bCs/>
                <w:color w:val="FFFFFF"/>
                <w:sz w:val="22"/>
                <w:szCs w:val="22"/>
              </w:rPr>
            </w:pPr>
            <w:r>
              <w:rPr>
                <w:rFonts w:cs="Arial"/>
                <w:b/>
                <w:bCs/>
                <w:color w:val="FFFFFF"/>
                <w:sz w:val="22"/>
                <w:szCs w:val="22"/>
              </w:rPr>
              <w:t>July 2011 - June 2012</w:t>
            </w:r>
          </w:p>
        </w:tc>
        <w:tc>
          <w:tcPr>
            <w:tcW w:w="434"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9.61</w:t>
            </w:r>
          </w:p>
        </w:tc>
        <w:tc>
          <w:tcPr>
            <w:tcW w:w="433"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4.61</w:t>
            </w:r>
          </w:p>
        </w:tc>
        <w:tc>
          <w:tcPr>
            <w:tcW w:w="410"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40</w:t>
            </w:r>
          </w:p>
        </w:tc>
        <w:tc>
          <w:tcPr>
            <w:tcW w:w="433"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10.49</w:t>
            </w:r>
          </w:p>
        </w:tc>
        <w:tc>
          <w:tcPr>
            <w:tcW w:w="433"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6.24</w:t>
            </w:r>
          </w:p>
        </w:tc>
        <w:tc>
          <w:tcPr>
            <w:tcW w:w="411"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375</w:t>
            </w:r>
          </w:p>
        </w:tc>
        <w:tc>
          <w:tcPr>
            <w:tcW w:w="575" w:type="pct"/>
            <w:shd w:val="clear" w:color="000000" w:fill="95B3D7"/>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1.1022</w:t>
            </w:r>
          </w:p>
        </w:tc>
        <w:tc>
          <w:tcPr>
            <w:tcW w:w="467" w:type="pct"/>
            <w:shd w:val="clear" w:color="000000" w:fill="95B3D7"/>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0.2704</w:t>
            </w:r>
          </w:p>
        </w:tc>
      </w:tr>
      <w:tr w:rsidR="001E1990" w:rsidTr="004F7551">
        <w:trPr>
          <w:trHeight w:val="340"/>
        </w:trPr>
        <w:tc>
          <w:tcPr>
            <w:tcW w:w="1404" w:type="pct"/>
            <w:shd w:val="clear" w:color="000000" w:fill="366092"/>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b/>
                <w:bCs/>
                <w:color w:val="FFFFFF"/>
                <w:sz w:val="22"/>
                <w:szCs w:val="22"/>
              </w:rPr>
            </w:pPr>
            <w:r>
              <w:rPr>
                <w:rFonts w:cs="Arial"/>
                <w:b/>
                <w:bCs/>
                <w:color w:val="FFFFFF"/>
                <w:sz w:val="22"/>
                <w:szCs w:val="22"/>
              </w:rPr>
              <w:t>July 2012 - June 2013</w:t>
            </w:r>
          </w:p>
        </w:tc>
        <w:tc>
          <w:tcPr>
            <w:tcW w:w="434"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16.25</w:t>
            </w:r>
          </w:p>
        </w:tc>
        <w:tc>
          <w:tcPr>
            <w:tcW w:w="433"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11.75</w:t>
            </w:r>
          </w:p>
        </w:tc>
        <w:tc>
          <w:tcPr>
            <w:tcW w:w="410"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48</w:t>
            </w:r>
          </w:p>
        </w:tc>
        <w:tc>
          <w:tcPr>
            <w:tcW w:w="433"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17.67</w:t>
            </w:r>
          </w:p>
        </w:tc>
        <w:tc>
          <w:tcPr>
            <w:tcW w:w="433"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11.13</w:t>
            </w:r>
          </w:p>
        </w:tc>
        <w:tc>
          <w:tcPr>
            <w:tcW w:w="411"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416</w:t>
            </w:r>
          </w:p>
        </w:tc>
        <w:tc>
          <w:tcPr>
            <w:tcW w:w="575" w:type="pct"/>
            <w:shd w:val="clear" w:color="000000" w:fill="95B3D7"/>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0.7979</w:t>
            </w:r>
          </w:p>
        </w:tc>
        <w:tc>
          <w:tcPr>
            <w:tcW w:w="467" w:type="pct"/>
            <w:shd w:val="clear" w:color="000000" w:fill="95B3D7"/>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0.4249</w:t>
            </w:r>
          </w:p>
        </w:tc>
      </w:tr>
      <w:tr w:rsidR="001E1990" w:rsidTr="004F7551">
        <w:trPr>
          <w:trHeight w:val="340"/>
        </w:trPr>
        <w:tc>
          <w:tcPr>
            <w:tcW w:w="1404" w:type="pct"/>
            <w:shd w:val="clear" w:color="000000" w:fill="366092"/>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b/>
                <w:bCs/>
                <w:color w:val="FFFFFF"/>
                <w:sz w:val="22"/>
                <w:szCs w:val="22"/>
              </w:rPr>
            </w:pPr>
            <w:r>
              <w:rPr>
                <w:rFonts w:cs="Arial"/>
                <w:b/>
                <w:bCs/>
                <w:color w:val="FFFFFF"/>
                <w:sz w:val="22"/>
                <w:szCs w:val="22"/>
              </w:rPr>
              <w:t>July 2013 - June 2014</w:t>
            </w:r>
          </w:p>
        </w:tc>
        <w:tc>
          <w:tcPr>
            <w:tcW w:w="434"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18.08</w:t>
            </w:r>
          </w:p>
        </w:tc>
        <w:tc>
          <w:tcPr>
            <w:tcW w:w="433"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10.10</w:t>
            </w:r>
          </w:p>
        </w:tc>
        <w:tc>
          <w:tcPr>
            <w:tcW w:w="410"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52</w:t>
            </w:r>
          </w:p>
        </w:tc>
        <w:tc>
          <w:tcPr>
            <w:tcW w:w="433"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18.49</w:t>
            </w:r>
          </w:p>
        </w:tc>
        <w:tc>
          <w:tcPr>
            <w:tcW w:w="433"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8.97</w:t>
            </w:r>
          </w:p>
        </w:tc>
        <w:tc>
          <w:tcPr>
            <w:tcW w:w="411"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484</w:t>
            </w:r>
          </w:p>
        </w:tc>
        <w:tc>
          <w:tcPr>
            <w:tcW w:w="575" w:type="pct"/>
            <w:shd w:val="clear" w:color="000000" w:fill="95B3D7"/>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0.2844</w:t>
            </w:r>
          </w:p>
        </w:tc>
        <w:tc>
          <w:tcPr>
            <w:tcW w:w="467" w:type="pct"/>
            <w:shd w:val="clear" w:color="000000" w:fill="95B3D7"/>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0.7761</w:t>
            </w:r>
          </w:p>
        </w:tc>
      </w:tr>
      <w:tr w:rsidR="001E1990" w:rsidTr="004F7551">
        <w:trPr>
          <w:trHeight w:val="340"/>
        </w:trPr>
        <w:tc>
          <w:tcPr>
            <w:tcW w:w="1404" w:type="pct"/>
            <w:shd w:val="clear" w:color="000000" w:fill="366092"/>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b/>
                <w:bCs/>
                <w:color w:val="FFFFFF"/>
                <w:sz w:val="22"/>
                <w:szCs w:val="22"/>
              </w:rPr>
            </w:pPr>
            <w:r>
              <w:rPr>
                <w:rFonts w:cs="Arial"/>
                <w:b/>
                <w:bCs/>
                <w:color w:val="FFFFFF"/>
                <w:sz w:val="22"/>
                <w:szCs w:val="22"/>
              </w:rPr>
              <w:t>July 2014 - June 2015</w:t>
            </w:r>
          </w:p>
        </w:tc>
        <w:tc>
          <w:tcPr>
            <w:tcW w:w="434"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6.77</w:t>
            </w:r>
          </w:p>
        </w:tc>
        <w:tc>
          <w:tcPr>
            <w:tcW w:w="433"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5.67</w:t>
            </w:r>
          </w:p>
        </w:tc>
        <w:tc>
          <w:tcPr>
            <w:tcW w:w="410"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55</w:t>
            </w:r>
          </w:p>
        </w:tc>
        <w:tc>
          <w:tcPr>
            <w:tcW w:w="433"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8.27</w:t>
            </w:r>
          </w:p>
        </w:tc>
        <w:tc>
          <w:tcPr>
            <w:tcW w:w="433"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7.70</w:t>
            </w:r>
          </w:p>
        </w:tc>
        <w:tc>
          <w:tcPr>
            <w:tcW w:w="411" w:type="pct"/>
            <w:shd w:val="clear" w:color="auto" w:fill="auto"/>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536</w:t>
            </w:r>
          </w:p>
        </w:tc>
        <w:tc>
          <w:tcPr>
            <w:tcW w:w="575" w:type="pct"/>
            <w:shd w:val="clear" w:color="000000" w:fill="95B3D7"/>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1.7962</w:t>
            </w:r>
          </w:p>
        </w:tc>
        <w:tc>
          <w:tcPr>
            <w:tcW w:w="467" w:type="pct"/>
            <w:shd w:val="clear" w:color="000000" w:fill="95B3D7"/>
            <w:noWrap/>
            <w:tcMar>
              <w:top w:w="15" w:type="dxa"/>
              <w:left w:w="15" w:type="dxa"/>
              <w:bottom w:w="0" w:type="dxa"/>
              <w:right w:w="15" w:type="dxa"/>
            </w:tcMar>
            <w:vAlign w:val="center"/>
            <w:hideMark/>
          </w:tcPr>
          <w:p w:rsidR="001E1990" w:rsidRDefault="001E1990" w:rsidP="00A14232">
            <w:pPr>
              <w:spacing w:line="240" w:lineRule="auto"/>
              <w:contextualSpacing/>
              <w:jc w:val="center"/>
              <w:rPr>
                <w:rFonts w:cs="Arial"/>
                <w:color w:val="000000"/>
                <w:sz w:val="22"/>
                <w:szCs w:val="22"/>
              </w:rPr>
            </w:pPr>
            <w:r>
              <w:rPr>
                <w:rFonts w:cs="Arial"/>
                <w:color w:val="000000"/>
                <w:sz w:val="22"/>
                <w:szCs w:val="22"/>
              </w:rPr>
              <w:t>0.0725</w:t>
            </w:r>
          </w:p>
        </w:tc>
      </w:tr>
    </w:tbl>
    <w:p w:rsidR="001E1990" w:rsidRDefault="001E1990" w:rsidP="001E1990">
      <w:pPr>
        <w:rPr>
          <w:lang w:val="en-ZA"/>
        </w:rPr>
      </w:pPr>
    </w:p>
    <w:p w:rsidR="007008C0" w:rsidRPr="007008C0" w:rsidRDefault="007008C0" w:rsidP="007008C0">
      <w:pPr>
        <w:pStyle w:val="Heading3"/>
        <w:rPr>
          <w:color w:val="FF0000"/>
          <w:lang w:val="en-ZA"/>
        </w:rPr>
      </w:pPr>
      <w:bookmarkStart w:id="256" w:name="_Toc458610832"/>
      <w:r>
        <w:rPr>
          <w:lang w:val="en-ZA"/>
        </w:rPr>
        <w:t>A discussion on the data used</w:t>
      </w:r>
      <w:bookmarkEnd w:id="256"/>
      <w:r>
        <w:rPr>
          <w:lang w:val="en-ZA"/>
        </w:rPr>
        <w:t xml:space="preserve"> </w:t>
      </w:r>
    </w:p>
    <w:p w:rsidR="00302B54" w:rsidRDefault="00302B54" w:rsidP="004448A6">
      <w:pPr>
        <w:rPr>
          <w:lang w:val="en-ZA"/>
        </w:rPr>
      </w:pPr>
      <w:r>
        <w:rPr>
          <w:lang w:val="en-ZA"/>
        </w:rPr>
        <w:t>The sample used for this research included all female funds for which data was available. The size of this sample, even though more than 90</w:t>
      </w:r>
      <w:r w:rsidR="007008C0">
        <w:rPr>
          <w:lang w:val="en-ZA"/>
        </w:rPr>
        <w:t>% of</w:t>
      </w:r>
      <w:r>
        <w:rPr>
          <w:lang w:val="en-ZA"/>
        </w:rPr>
        <w:t xml:space="preserve"> female man</w:t>
      </w:r>
      <w:r w:rsidR="000960AF">
        <w:rPr>
          <w:lang w:val="en-ZA"/>
        </w:rPr>
        <w:t>a</w:t>
      </w:r>
      <w:r>
        <w:rPr>
          <w:lang w:val="en-ZA"/>
        </w:rPr>
        <w:t xml:space="preserve">ged </w:t>
      </w:r>
      <w:r w:rsidR="007008C0">
        <w:rPr>
          <w:lang w:val="en-ZA"/>
        </w:rPr>
        <w:t>funds in South Africa were included</w:t>
      </w:r>
      <w:r>
        <w:rPr>
          <w:lang w:val="en-ZA"/>
        </w:rPr>
        <w:t xml:space="preserve">, is very small. This is due to the small number of </w:t>
      </w:r>
      <w:r w:rsidR="0046753E">
        <w:rPr>
          <w:lang w:val="en-ZA"/>
        </w:rPr>
        <w:t xml:space="preserve">active and identifiable </w:t>
      </w:r>
      <w:r>
        <w:rPr>
          <w:lang w:val="en-ZA"/>
        </w:rPr>
        <w:t xml:space="preserve">female fund managers. Many of the tests conducted produced results that were shown to be insignificant. This could be simply due to the small sample size used. </w:t>
      </w:r>
    </w:p>
    <w:p w:rsidR="00302B54" w:rsidRDefault="00302B54" w:rsidP="004448A6">
      <w:pPr>
        <w:rPr>
          <w:lang w:val="en-ZA"/>
        </w:rPr>
      </w:pPr>
      <w:r>
        <w:rPr>
          <w:lang w:val="en-ZA"/>
        </w:rPr>
        <w:t xml:space="preserve">As the number of female fund managers in South Africa grows, this study can be conducted again, in hope that a larger sample size may lead to </w:t>
      </w:r>
      <w:r w:rsidR="007969E2">
        <w:rPr>
          <w:lang w:val="en-ZA"/>
        </w:rPr>
        <w:t>results that are more significant</w:t>
      </w:r>
      <w:r>
        <w:rPr>
          <w:lang w:val="en-ZA"/>
        </w:rPr>
        <w:t xml:space="preserve">. An alternative for future research is to conduct a similar study, using all available funds in the global financial market. This will lead to a larger sample of female fund managers. </w:t>
      </w:r>
      <w:r w:rsidR="003A6387">
        <w:rPr>
          <w:lang w:val="en-ZA"/>
        </w:rPr>
        <w:t xml:space="preserve"> </w:t>
      </w:r>
    </w:p>
    <w:p w:rsidR="00B02346" w:rsidRDefault="00B02346" w:rsidP="004448A6">
      <w:pPr>
        <w:rPr>
          <w:lang w:val="en-ZA"/>
        </w:rPr>
      </w:pPr>
    </w:p>
    <w:p w:rsidR="00D31954" w:rsidRPr="008633D2" w:rsidRDefault="00D31954" w:rsidP="0044202E">
      <w:pPr>
        <w:pStyle w:val="Heading2"/>
        <w:rPr>
          <w:lang w:val="en-ZA"/>
        </w:rPr>
      </w:pPr>
      <w:bookmarkStart w:id="257" w:name="_Toc458610833"/>
      <w:r w:rsidRPr="008633D2">
        <w:rPr>
          <w:lang w:val="en-ZA"/>
        </w:rPr>
        <w:t>Conclusion</w:t>
      </w:r>
      <w:bookmarkEnd w:id="257"/>
    </w:p>
    <w:p w:rsidR="00B02346" w:rsidRDefault="003A6387" w:rsidP="003A6387">
      <w:pPr>
        <w:rPr>
          <w:lang w:val="en-ZA"/>
        </w:rPr>
      </w:pPr>
      <w:r>
        <w:rPr>
          <w:lang w:val="en-ZA"/>
        </w:rPr>
        <w:t xml:space="preserve">The discussion presented in this chapter, provided explanations of the findings of this research. It was shown that the presence of female fund managers in the South African unit trust industry is consistent with other countries. The percentage of female fund managers has hovered around 10% of all fund managers in South Africa over the last nine years. </w:t>
      </w:r>
    </w:p>
    <w:p w:rsidR="00B02346" w:rsidRDefault="00B02346" w:rsidP="003A6387">
      <w:pPr>
        <w:rPr>
          <w:lang w:val="en-ZA"/>
        </w:rPr>
      </w:pPr>
    </w:p>
    <w:p w:rsidR="003A6387" w:rsidRDefault="003A6387" w:rsidP="003A6387">
      <w:pPr>
        <w:rPr>
          <w:lang w:val="en-ZA"/>
        </w:rPr>
      </w:pPr>
      <w:r>
        <w:rPr>
          <w:lang w:val="en-ZA"/>
        </w:rPr>
        <w:t>The size of funds managed by individual females and</w:t>
      </w:r>
      <w:r w:rsidR="00B02346">
        <w:rPr>
          <w:lang w:val="en-ZA"/>
        </w:rPr>
        <w:t xml:space="preserve"> by</w:t>
      </w:r>
      <w:r>
        <w:rPr>
          <w:lang w:val="en-ZA"/>
        </w:rPr>
        <w:t xml:space="preserve"> teams of females</w:t>
      </w:r>
      <w:r w:rsidR="00B02346">
        <w:rPr>
          <w:lang w:val="en-ZA"/>
        </w:rPr>
        <w:t xml:space="preserve"> where</w:t>
      </w:r>
      <w:r>
        <w:rPr>
          <w:lang w:val="en-ZA"/>
        </w:rPr>
        <w:t xml:space="preserve"> show</w:t>
      </w:r>
      <w:r w:rsidR="000960AF">
        <w:rPr>
          <w:lang w:val="en-ZA"/>
        </w:rPr>
        <w:t>n</w:t>
      </w:r>
      <w:r>
        <w:rPr>
          <w:lang w:val="en-ZA"/>
        </w:rPr>
        <w:t xml:space="preserve"> t</w:t>
      </w:r>
      <w:r w:rsidR="00B02346">
        <w:rPr>
          <w:lang w:val="en-ZA"/>
        </w:rPr>
        <w:t>o be higher on average than the average size of funds</w:t>
      </w:r>
      <w:r>
        <w:rPr>
          <w:lang w:val="en-ZA"/>
        </w:rPr>
        <w:t xml:space="preserve"> managed by individual males and teams of males respectively. This finding was not consistent with existing </w:t>
      </w:r>
      <w:r w:rsidR="007969E2">
        <w:rPr>
          <w:lang w:val="en-ZA"/>
        </w:rPr>
        <w:t>literature, which</w:t>
      </w:r>
      <w:r>
        <w:rPr>
          <w:lang w:val="en-ZA"/>
        </w:rPr>
        <w:t xml:space="preserve"> indicated, lower net asset inflows into female managed funds. This research offers a possible explanation of this finding to be that investors in South Africa who wish to invest </w:t>
      </w:r>
      <w:r w:rsidR="007969E2">
        <w:rPr>
          <w:lang w:val="en-ZA"/>
        </w:rPr>
        <w:t>with female</w:t>
      </w:r>
      <w:r>
        <w:rPr>
          <w:lang w:val="en-ZA"/>
        </w:rPr>
        <w:t xml:space="preserve"> fund manager have limited options and therefore the investment is spread across a smaller number of funds. </w:t>
      </w:r>
    </w:p>
    <w:p w:rsidR="00B02346" w:rsidRDefault="00B02346" w:rsidP="003A6387">
      <w:pPr>
        <w:rPr>
          <w:lang w:val="en-ZA"/>
        </w:rPr>
      </w:pPr>
    </w:p>
    <w:p w:rsidR="00B02346" w:rsidRDefault="00B02346" w:rsidP="003A6387">
      <w:pPr>
        <w:rPr>
          <w:lang w:val="en-ZA"/>
        </w:rPr>
      </w:pPr>
    </w:p>
    <w:p w:rsidR="00B02346" w:rsidRDefault="00B02346" w:rsidP="003A6387">
      <w:pPr>
        <w:rPr>
          <w:lang w:val="en-ZA"/>
        </w:rPr>
      </w:pPr>
    </w:p>
    <w:p w:rsidR="00B02346" w:rsidRDefault="00B02346" w:rsidP="003A6387">
      <w:pPr>
        <w:rPr>
          <w:lang w:val="en-ZA"/>
        </w:rPr>
      </w:pPr>
    </w:p>
    <w:p w:rsidR="00D31954" w:rsidRDefault="003A6387" w:rsidP="003A6387">
      <w:pPr>
        <w:rPr>
          <w:lang w:val="en-ZA"/>
        </w:rPr>
      </w:pPr>
      <w:r>
        <w:rPr>
          <w:lang w:val="en-ZA"/>
        </w:rPr>
        <w:t xml:space="preserve">This research also found that the risk profile of female managed funds and male managed funds </w:t>
      </w:r>
      <w:r w:rsidR="00B02346">
        <w:rPr>
          <w:lang w:val="en-ZA"/>
        </w:rPr>
        <w:t>is</w:t>
      </w:r>
      <w:r>
        <w:rPr>
          <w:lang w:val="en-ZA"/>
        </w:rPr>
        <w:t xml:space="preserve"> indifferent from each other</w:t>
      </w:r>
      <w:r w:rsidR="00B02346">
        <w:rPr>
          <w:lang w:val="en-ZA"/>
        </w:rPr>
        <w:t xml:space="preserve"> in South Africa. T</w:t>
      </w:r>
      <w:r>
        <w:rPr>
          <w:lang w:val="en-ZA"/>
        </w:rPr>
        <w:t xml:space="preserve">his indicated that when using beta as a measure of risk both female and male fund managers were prone to a similar amount of risk. This is inconsistent with the existing literature </w:t>
      </w:r>
      <w:r w:rsidR="007969E2">
        <w:rPr>
          <w:lang w:val="en-ZA"/>
        </w:rPr>
        <w:t>explored, which</w:t>
      </w:r>
      <w:r>
        <w:rPr>
          <w:lang w:val="en-ZA"/>
        </w:rPr>
        <w:t xml:space="preserve"> had concluded during various studies that men and women have different risk appetites. This research offers the possible inaccuracy of using beta to compare the risk taken by female and male fund managers as an option but also bears in mind that the sample size used for the analysis is very small. </w:t>
      </w:r>
    </w:p>
    <w:p w:rsidR="003A6387" w:rsidRDefault="003A6387" w:rsidP="003A6387">
      <w:pPr>
        <w:rPr>
          <w:lang w:val="en-ZA"/>
        </w:rPr>
      </w:pPr>
    </w:p>
    <w:p w:rsidR="003A6387" w:rsidRDefault="00B02346" w:rsidP="003A6387">
      <w:pPr>
        <w:rPr>
          <w:lang w:val="en-ZA"/>
        </w:rPr>
      </w:pPr>
      <w:r>
        <w:rPr>
          <w:lang w:val="en-ZA"/>
        </w:rPr>
        <w:t>T</w:t>
      </w:r>
      <w:r w:rsidR="003A6387">
        <w:rPr>
          <w:lang w:val="en-ZA"/>
        </w:rPr>
        <w:t xml:space="preserve">he five hypotheses defined in chapter 2 </w:t>
      </w:r>
      <w:r>
        <w:rPr>
          <w:lang w:val="en-ZA"/>
        </w:rPr>
        <w:t xml:space="preserve">where reviewed </w:t>
      </w:r>
      <w:r w:rsidR="003A6387">
        <w:rPr>
          <w:lang w:val="en-ZA"/>
        </w:rPr>
        <w:t>with the aim of accepting or rejecting them. The null hypotheses for hypotheses 1 to 3 as defined in sections 2.4.1 to 2.4.3 could not be rejected and therefore the alternate hypotheses defined could not be accepted. This implied that in the short term, medium term and long term, the performance of female managed funds could not be shown to significantly outperform male managed funds at a significance level of 5%. The null hypothesis of hypotheses 4 and 5 was rejected for the short term but not the medium term and long term. This implied that the alternate hypotheses could not be accepted for the medium term and the long term, however it could be accepted in the short term</w:t>
      </w:r>
      <w:r w:rsidR="007969E2">
        <w:rPr>
          <w:lang w:val="en-ZA"/>
        </w:rPr>
        <w:t xml:space="preserve">. </w:t>
      </w:r>
      <w:r w:rsidR="003A6387">
        <w:rPr>
          <w:lang w:val="en-ZA"/>
        </w:rPr>
        <w:t xml:space="preserve">The results indicate that in the </w:t>
      </w:r>
      <w:r w:rsidR="007969E2">
        <w:rPr>
          <w:lang w:val="en-ZA"/>
        </w:rPr>
        <w:t>short-term</w:t>
      </w:r>
      <w:r w:rsidR="003A6387">
        <w:rPr>
          <w:lang w:val="en-ZA"/>
        </w:rPr>
        <w:t xml:space="preserve"> funds managed by females and funds managed by males produce average </w:t>
      </w:r>
      <w:r w:rsidR="007969E2">
        <w:rPr>
          <w:lang w:val="en-ZA"/>
        </w:rPr>
        <w:t>annualised returns</w:t>
      </w:r>
      <w:r w:rsidR="003A6387">
        <w:rPr>
          <w:lang w:val="en-ZA"/>
        </w:rPr>
        <w:t xml:space="preserve"> that are greater than the returns of the FTSE/JSE all share index, a proxy for the South Africa financial market. </w:t>
      </w:r>
      <w:r>
        <w:rPr>
          <w:lang w:val="en-ZA"/>
        </w:rPr>
        <w:tab/>
      </w:r>
    </w:p>
    <w:p w:rsidR="0046753E" w:rsidRDefault="0046753E" w:rsidP="003A6387">
      <w:pPr>
        <w:rPr>
          <w:lang w:val="en-ZA"/>
        </w:rPr>
      </w:pPr>
    </w:p>
    <w:p w:rsidR="003A6387" w:rsidRDefault="003A6387" w:rsidP="003A6387">
      <w:pPr>
        <w:rPr>
          <w:lang w:val="en-ZA"/>
        </w:rPr>
      </w:pPr>
      <w:r>
        <w:rPr>
          <w:lang w:val="en-ZA"/>
        </w:rPr>
        <w:t>The ASISA sectors that included both male and female funds were investigated to understand if outperformance could be seen in female managed funds in certain sectors. No significant results regarding performance were noted. It could be seen that the percentage of females in certain sectors where higher than others. In particular</w:t>
      </w:r>
      <w:r w:rsidR="000960AF">
        <w:rPr>
          <w:lang w:val="en-ZA"/>
        </w:rPr>
        <w:t>,</w:t>
      </w:r>
      <w:r>
        <w:rPr>
          <w:lang w:val="en-ZA"/>
        </w:rPr>
        <w:t xml:space="preserve"> the sectors including the highest percentages of females where the South African equity sectors. </w:t>
      </w:r>
    </w:p>
    <w:p w:rsidR="003A6387" w:rsidRPr="008633D2" w:rsidRDefault="003A6387" w:rsidP="003A6387">
      <w:pPr>
        <w:rPr>
          <w:lang w:val="en-ZA"/>
        </w:rPr>
      </w:pPr>
      <w:r>
        <w:rPr>
          <w:lang w:val="en-ZA"/>
        </w:rPr>
        <w:t xml:space="preserve">The chapter </w:t>
      </w:r>
      <w:r w:rsidR="007008C0">
        <w:rPr>
          <w:lang w:val="en-ZA"/>
        </w:rPr>
        <w:t>is</w:t>
      </w:r>
      <w:r>
        <w:rPr>
          <w:lang w:val="en-ZA"/>
        </w:rPr>
        <w:t xml:space="preserve"> concluded with a </w:t>
      </w:r>
      <w:r w:rsidR="007008C0">
        <w:rPr>
          <w:lang w:val="en-ZA"/>
        </w:rPr>
        <w:t>brief investigation into the performance of female managed funds versus the performance of male managed funds during the financial crisis. The results of this investigation showed female managed funds to perform better during the financial crisis than male managed funds but these observations where shown to be insignificant by the t-tests and associated p-values at a significance level of 5%.</w:t>
      </w:r>
    </w:p>
    <w:p w:rsidR="00D7049B" w:rsidRPr="008633D2" w:rsidRDefault="00D7049B" w:rsidP="005E05B5">
      <w:pPr>
        <w:rPr>
          <w:lang w:val="en-ZA"/>
        </w:rPr>
      </w:pPr>
    </w:p>
    <w:p w:rsidR="0043434C" w:rsidRPr="008633D2" w:rsidRDefault="0043434C" w:rsidP="0035051A">
      <w:pPr>
        <w:pStyle w:val="Heading1"/>
        <w:rPr>
          <w:lang w:val="en-ZA"/>
        </w:rPr>
      </w:pPr>
      <w:bookmarkStart w:id="258" w:name="_Toc458610834"/>
      <w:r w:rsidRPr="008633D2">
        <w:rPr>
          <w:lang w:val="en-ZA"/>
        </w:rPr>
        <w:t>CONCLUSION</w:t>
      </w:r>
      <w:r w:rsidR="00CA15FA" w:rsidRPr="008633D2">
        <w:rPr>
          <w:lang w:val="en-ZA"/>
        </w:rPr>
        <w:t xml:space="preserve">S </w:t>
      </w:r>
      <w:r w:rsidR="0031175A" w:rsidRPr="008633D2">
        <w:rPr>
          <w:lang w:val="en-ZA"/>
        </w:rPr>
        <w:t>&amp;</w:t>
      </w:r>
      <w:r w:rsidR="00CA15FA" w:rsidRPr="008633D2">
        <w:rPr>
          <w:lang w:val="en-ZA"/>
        </w:rPr>
        <w:t xml:space="preserve"> RECOMMENDATIONS</w:t>
      </w:r>
      <w:bookmarkEnd w:id="258"/>
    </w:p>
    <w:p w:rsidR="00CA15FA" w:rsidRPr="008633D2" w:rsidRDefault="00CA15FA" w:rsidP="00CA15FA">
      <w:pPr>
        <w:rPr>
          <w:lang w:val="en-ZA"/>
        </w:rPr>
      </w:pPr>
    </w:p>
    <w:p w:rsidR="0043434C" w:rsidRPr="008633D2" w:rsidRDefault="0043434C" w:rsidP="0044202E">
      <w:pPr>
        <w:pStyle w:val="Heading2"/>
        <w:rPr>
          <w:lang w:val="en-ZA"/>
        </w:rPr>
      </w:pPr>
      <w:bookmarkStart w:id="259" w:name="_Toc458610835"/>
      <w:r w:rsidRPr="008633D2">
        <w:rPr>
          <w:lang w:val="en-ZA"/>
        </w:rPr>
        <w:t>Introduction</w:t>
      </w:r>
      <w:bookmarkEnd w:id="259"/>
    </w:p>
    <w:p w:rsidR="0043434C" w:rsidRPr="008633D2" w:rsidRDefault="00100FE4" w:rsidP="0043434C">
      <w:pPr>
        <w:rPr>
          <w:lang w:val="en-ZA"/>
        </w:rPr>
      </w:pPr>
      <w:r w:rsidRPr="008633D2">
        <w:rPr>
          <w:lang w:val="en-ZA"/>
        </w:rPr>
        <w:t xml:space="preserve">This chapter provides a summary of the results and discussion presented in the previous chapters. It goes on to provide recommendations to stakeholders based on the findings and to other researchers of possible future research. </w:t>
      </w:r>
    </w:p>
    <w:p w:rsidR="009337F8" w:rsidRPr="008633D2" w:rsidRDefault="009337F8" w:rsidP="0043434C">
      <w:pPr>
        <w:rPr>
          <w:lang w:val="en-ZA"/>
        </w:rPr>
      </w:pPr>
    </w:p>
    <w:p w:rsidR="0043434C" w:rsidRPr="008633D2" w:rsidRDefault="0082666C" w:rsidP="0044202E">
      <w:pPr>
        <w:pStyle w:val="Heading2"/>
        <w:rPr>
          <w:lang w:val="en-ZA"/>
        </w:rPr>
      </w:pPr>
      <w:bookmarkStart w:id="260" w:name="_Toc458610836"/>
      <w:r w:rsidRPr="008633D2">
        <w:rPr>
          <w:lang w:val="en-ZA"/>
        </w:rPr>
        <w:t>Conclusions of the study</w:t>
      </w:r>
      <w:bookmarkEnd w:id="260"/>
    </w:p>
    <w:p w:rsidR="00C52761" w:rsidRDefault="00646B08" w:rsidP="0043434C">
      <w:pPr>
        <w:rPr>
          <w:lang w:val="en-ZA"/>
        </w:rPr>
      </w:pPr>
      <w:r w:rsidRPr="008633D2">
        <w:rPr>
          <w:lang w:val="en-ZA"/>
        </w:rPr>
        <w:t>In South Africa,</w:t>
      </w:r>
      <w:r w:rsidR="009337F8" w:rsidRPr="008633D2">
        <w:rPr>
          <w:lang w:val="en-ZA"/>
        </w:rPr>
        <w:t xml:space="preserve"> as is the case globally</w:t>
      </w:r>
      <w:r w:rsidR="000960AF">
        <w:rPr>
          <w:lang w:val="en-ZA"/>
        </w:rPr>
        <w:t>,</w:t>
      </w:r>
      <w:r w:rsidR="009337F8" w:rsidRPr="008633D2">
        <w:rPr>
          <w:lang w:val="en-ZA"/>
        </w:rPr>
        <w:t xml:space="preserve"> the number of female </w:t>
      </w:r>
      <w:r w:rsidR="00CC6274" w:rsidRPr="008633D2">
        <w:rPr>
          <w:lang w:val="en-ZA"/>
        </w:rPr>
        <w:t>fund managers</w:t>
      </w:r>
      <w:r w:rsidR="00922BCD">
        <w:rPr>
          <w:lang w:val="en-ZA"/>
        </w:rPr>
        <w:t xml:space="preserve"> remains low in comparison</w:t>
      </w:r>
      <w:r w:rsidR="009337F8" w:rsidRPr="008633D2">
        <w:rPr>
          <w:lang w:val="en-ZA"/>
        </w:rPr>
        <w:t xml:space="preserve"> to the number of </w:t>
      </w:r>
      <w:r w:rsidR="00CC6274" w:rsidRPr="008633D2">
        <w:rPr>
          <w:lang w:val="en-ZA"/>
        </w:rPr>
        <w:t>male fund</w:t>
      </w:r>
      <w:r w:rsidR="009337F8" w:rsidRPr="008633D2">
        <w:rPr>
          <w:lang w:val="en-ZA"/>
        </w:rPr>
        <w:t xml:space="preserve"> managers. </w:t>
      </w:r>
      <w:r w:rsidR="00922BCD">
        <w:rPr>
          <w:lang w:val="en-ZA"/>
        </w:rPr>
        <w:t>The number of female fund man</w:t>
      </w:r>
      <w:r w:rsidR="0046753E">
        <w:rPr>
          <w:lang w:val="en-ZA"/>
        </w:rPr>
        <w:t>a</w:t>
      </w:r>
      <w:r w:rsidR="00922BCD">
        <w:rPr>
          <w:lang w:val="en-ZA"/>
        </w:rPr>
        <w:t xml:space="preserve">gers in South Africa has hovered around 10% of all fund managers over the </w:t>
      </w:r>
      <w:r w:rsidR="00E206BE">
        <w:rPr>
          <w:lang w:val="en-ZA"/>
        </w:rPr>
        <w:t>past</w:t>
      </w:r>
      <w:r w:rsidR="00922BCD">
        <w:rPr>
          <w:lang w:val="en-ZA"/>
        </w:rPr>
        <w:t xml:space="preserve"> nine years</w:t>
      </w:r>
      <w:r w:rsidR="00E206BE">
        <w:rPr>
          <w:lang w:val="en-ZA"/>
        </w:rPr>
        <w:t xml:space="preserve"> considered in this research</w:t>
      </w:r>
      <w:r w:rsidR="00922BCD">
        <w:rPr>
          <w:lang w:val="en-ZA"/>
        </w:rPr>
        <w:t xml:space="preserve">. This </w:t>
      </w:r>
      <w:r w:rsidR="0046753E">
        <w:rPr>
          <w:lang w:val="en-ZA"/>
        </w:rPr>
        <w:t xml:space="preserve">is a very </w:t>
      </w:r>
      <w:r w:rsidR="00922BCD">
        <w:rPr>
          <w:lang w:val="en-ZA"/>
        </w:rPr>
        <w:t xml:space="preserve">low number for a country that </w:t>
      </w:r>
      <w:r w:rsidR="00E206BE">
        <w:rPr>
          <w:lang w:val="en-ZA"/>
        </w:rPr>
        <w:t xml:space="preserve">strongly </w:t>
      </w:r>
      <w:r w:rsidR="00922BCD">
        <w:rPr>
          <w:lang w:val="en-ZA"/>
        </w:rPr>
        <w:t xml:space="preserve">encourages </w:t>
      </w:r>
      <w:r w:rsidR="00E206BE">
        <w:rPr>
          <w:lang w:val="en-ZA"/>
        </w:rPr>
        <w:t xml:space="preserve">and promotes </w:t>
      </w:r>
      <w:r w:rsidR="00922BCD">
        <w:rPr>
          <w:lang w:val="en-ZA"/>
        </w:rPr>
        <w:t>gender equality</w:t>
      </w:r>
      <w:r w:rsidR="007969E2">
        <w:rPr>
          <w:lang w:val="en-ZA"/>
        </w:rPr>
        <w:t xml:space="preserve">. </w:t>
      </w:r>
      <w:r w:rsidR="00C52761">
        <w:rPr>
          <w:lang w:val="en-ZA"/>
        </w:rPr>
        <w:t>Furthermore, this research found that the number of female managers and the number</w:t>
      </w:r>
      <w:r w:rsidR="0046753E">
        <w:rPr>
          <w:lang w:val="en-ZA"/>
        </w:rPr>
        <w:t xml:space="preserve"> of</w:t>
      </w:r>
      <w:r w:rsidR="00C52761">
        <w:rPr>
          <w:lang w:val="en-ZA"/>
        </w:rPr>
        <w:t xml:space="preserve"> fund</w:t>
      </w:r>
      <w:r w:rsidR="0046753E">
        <w:rPr>
          <w:lang w:val="en-ZA"/>
        </w:rPr>
        <w:t>s</w:t>
      </w:r>
      <w:r w:rsidR="00C52761">
        <w:rPr>
          <w:lang w:val="en-ZA"/>
        </w:rPr>
        <w:t xml:space="preserve"> managed by females have decreased within the last three years.</w:t>
      </w:r>
    </w:p>
    <w:p w:rsidR="00C52761" w:rsidRDefault="00C52761" w:rsidP="0043434C">
      <w:pPr>
        <w:rPr>
          <w:lang w:val="en-ZA"/>
        </w:rPr>
      </w:pPr>
    </w:p>
    <w:p w:rsidR="009337F8" w:rsidRDefault="009337F8" w:rsidP="0043434C">
      <w:pPr>
        <w:rPr>
          <w:lang w:val="en-ZA"/>
        </w:rPr>
      </w:pPr>
      <w:r w:rsidRPr="008633D2">
        <w:rPr>
          <w:lang w:val="en-ZA"/>
        </w:rPr>
        <w:t xml:space="preserve">The net value of the assets managed by female fund managers is lower than that managed by male fund </w:t>
      </w:r>
      <w:r w:rsidR="00CC6274" w:rsidRPr="008633D2">
        <w:rPr>
          <w:lang w:val="en-ZA"/>
        </w:rPr>
        <w:t>managers,</w:t>
      </w:r>
      <w:r w:rsidRPr="008633D2">
        <w:rPr>
          <w:lang w:val="en-ZA"/>
        </w:rPr>
        <w:t xml:space="preserve"> as is the case in existing literature.</w:t>
      </w:r>
      <w:r w:rsidR="00E206BE">
        <w:rPr>
          <w:lang w:val="en-ZA"/>
        </w:rPr>
        <w:t xml:space="preserve"> The l</w:t>
      </w:r>
      <w:r w:rsidR="00C52761">
        <w:rPr>
          <w:lang w:val="en-ZA"/>
        </w:rPr>
        <w:t>iterature reviewed indicated that this is due to the stereotype that women are less capable managers. When looking at the average fund size managed by individual female fund manager and teams of female fund managers</w:t>
      </w:r>
      <w:r w:rsidR="00E206BE">
        <w:rPr>
          <w:lang w:val="en-ZA"/>
        </w:rPr>
        <w:t xml:space="preserve"> in South Africa</w:t>
      </w:r>
      <w:r w:rsidR="00C52761">
        <w:rPr>
          <w:lang w:val="en-ZA"/>
        </w:rPr>
        <w:t xml:space="preserve">, it was noted that it is higher than </w:t>
      </w:r>
      <w:r w:rsidR="00E206BE">
        <w:rPr>
          <w:lang w:val="en-ZA"/>
        </w:rPr>
        <w:t xml:space="preserve">the average fund size managed by an </w:t>
      </w:r>
      <w:r w:rsidR="00C52761">
        <w:rPr>
          <w:lang w:val="en-ZA"/>
        </w:rPr>
        <w:t xml:space="preserve">individual male managed funds and teams of male fund managers.  </w:t>
      </w:r>
    </w:p>
    <w:p w:rsidR="00527456" w:rsidRPr="008633D2" w:rsidRDefault="00527456" w:rsidP="0043434C">
      <w:pPr>
        <w:rPr>
          <w:lang w:val="en-ZA"/>
        </w:rPr>
      </w:pPr>
    </w:p>
    <w:p w:rsidR="00646B08" w:rsidRPr="008633D2" w:rsidRDefault="00E206BE" w:rsidP="0043434C">
      <w:pPr>
        <w:rPr>
          <w:lang w:val="en-ZA"/>
        </w:rPr>
      </w:pPr>
      <w:r>
        <w:rPr>
          <w:lang w:val="en-ZA"/>
        </w:rPr>
        <w:t>The existing literature reviewed in chapter 2 highlighted that</w:t>
      </w:r>
      <w:r w:rsidR="00C52761">
        <w:rPr>
          <w:lang w:val="en-ZA"/>
        </w:rPr>
        <w:t xml:space="preserve"> females, even within the financial industry were more risk </w:t>
      </w:r>
      <w:r>
        <w:rPr>
          <w:lang w:val="en-ZA"/>
        </w:rPr>
        <w:t>averse</w:t>
      </w:r>
      <w:r w:rsidR="00C52761">
        <w:rPr>
          <w:lang w:val="en-ZA"/>
        </w:rPr>
        <w:t xml:space="preserve"> than males. This study compared</w:t>
      </w:r>
      <w:r w:rsidR="009337F8" w:rsidRPr="008633D2">
        <w:rPr>
          <w:lang w:val="en-ZA"/>
        </w:rPr>
        <w:t xml:space="preserve"> the riskiness of male </w:t>
      </w:r>
      <w:r w:rsidR="00C52761">
        <w:rPr>
          <w:lang w:val="en-ZA"/>
        </w:rPr>
        <w:t>managed funds</w:t>
      </w:r>
      <w:r w:rsidR="009337F8" w:rsidRPr="008633D2">
        <w:rPr>
          <w:lang w:val="en-ZA"/>
        </w:rPr>
        <w:t xml:space="preserve"> to female </w:t>
      </w:r>
      <w:r w:rsidR="00C52761">
        <w:rPr>
          <w:lang w:val="en-ZA"/>
        </w:rPr>
        <w:t xml:space="preserve">managed funds in South Africa and found </w:t>
      </w:r>
      <w:r w:rsidR="00646B08" w:rsidRPr="008633D2">
        <w:rPr>
          <w:lang w:val="en-ZA"/>
        </w:rPr>
        <w:t>eviden</w:t>
      </w:r>
      <w:r w:rsidR="00C52761">
        <w:rPr>
          <w:lang w:val="en-ZA"/>
        </w:rPr>
        <w:t>ce</w:t>
      </w:r>
      <w:r w:rsidR="00646B08" w:rsidRPr="008633D2">
        <w:rPr>
          <w:lang w:val="en-ZA"/>
        </w:rPr>
        <w:t xml:space="preserve"> that the riskiness of a fund is independent of the gend</w:t>
      </w:r>
      <w:r w:rsidR="009337F8" w:rsidRPr="008633D2">
        <w:rPr>
          <w:lang w:val="en-ZA"/>
        </w:rPr>
        <w:t xml:space="preserve">er of the fund manager. </w:t>
      </w:r>
      <w:r>
        <w:rPr>
          <w:lang w:val="en-ZA"/>
        </w:rPr>
        <w:t>When using the risk measure beta, both f</w:t>
      </w:r>
      <w:r w:rsidR="009337F8" w:rsidRPr="008633D2">
        <w:rPr>
          <w:lang w:val="en-ZA"/>
        </w:rPr>
        <w:t>emale and male fund man</w:t>
      </w:r>
      <w:r w:rsidR="0046753E">
        <w:rPr>
          <w:lang w:val="en-ZA"/>
        </w:rPr>
        <w:t>a</w:t>
      </w:r>
      <w:r w:rsidR="009337F8" w:rsidRPr="008633D2">
        <w:rPr>
          <w:lang w:val="en-ZA"/>
        </w:rPr>
        <w:t xml:space="preserve">gers have </w:t>
      </w:r>
      <w:r w:rsidR="0046753E">
        <w:rPr>
          <w:lang w:val="en-ZA"/>
        </w:rPr>
        <w:t xml:space="preserve">a </w:t>
      </w:r>
      <w:r w:rsidR="009337F8" w:rsidRPr="008633D2">
        <w:rPr>
          <w:lang w:val="en-ZA"/>
        </w:rPr>
        <w:t>similar risk appetite</w:t>
      </w:r>
      <w:r w:rsidR="00C52761">
        <w:rPr>
          <w:lang w:val="en-ZA"/>
        </w:rPr>
        <w:t xml:space="preserve"> in the South African unit trust industry</w:t>
      </w:r>
      <w:r w:rsidR="009337F8" w:rsidRPr="008633D2">
        <w:rPr>
          <w:lang w:val="en-ZA"/>
        </w:rPr>
        <w:t>.</w:t>
      </w:r>
    </w:p>
    <w:p w:rsidR="009337F8" w:rsidRPr="008633D2" w:rsidRDefault="009337F8" w:rsidP="0043434C">
      <w:pPr>
        <w:rPr>
          <w:lang w:val="en-ZA"/>
        </w:rPr>
      </w:pPr>
    </w:p>
    <w:p w:rsidR="00572A08" w:rsidRDefault="00AD2129" w:rsidP="0043434C">
      <w:pPr>
        <w:rPr>
          <w:lang w:val="en-ZA"/>
        </w:rPr>
      </w:pPr>
      <w:r>
        <w:rPr>
          <w:lang w:val="en-ZA"/>
        </w:rPr>
        <w:t>Five</w:t>
      </w:r>
      <w:r w:rsidR="00572A08">
        <w:rPr>
          <w:lang w:val="en-ZA"/>
        </w:rPr>
        <w:t xml:space="preserve"> hypotheses were defined </w:t>
      </w:r>
      <w:r w:rsidR="00E206BE">
        <w:rPr>
          <w:lang w:val="en-ZA"/>
        </w:rPr>
        <w:t>for</w:t>
      </w:r>
      <w:r w:rsidR="00572A08">
        <w:rPr>
          <w:lang w:val="en-ZA"/>
        </w:rPr>
        <w:t xml:space="preserve"> this research, this first of which could not show significant outperformance in returns of funds managed </w:t>
      </w:r>
      <w:r>
        <w:rPr>
          <w:lang w:val="en-ZA"/>
        </w:rPr>
        <w:t>by females</w:t>
      </w:r>
      <w:r w:rsidR="00572A08">
        <w:rPr>
          <w:lang w:val="en-ZA"/>
        </w:rPr>
        <w:t xml:space="preserve"> over funds managed by males in the short term. The other two hypotheses could not show this either for the medium term and for the long term</w:t>
      </w:r>
      <w:r w:rsidR="007969E2">
        <w:rPr>
          <w:lang w:val="en-ZA"/>
        </w:rPr>
        <w:t xml:space="preserve">. </w:t>
      </w:r>
      <w:r w:rsidR="00572A08">
        <w:rPr>
          <w:lang w:val="en-ZA"/>
        </w:rPr>
        <w:t>The last</w:t>
      </w:r>
      <w:r>
        <w:rPr>
          <w:lang w:val="en-ZA"/>
        </w:rPr>
        <w:t xml:space="preserve"> two</w:t>
      </w:r>
      <w:r w:rsidR="00572A08">
        <w:rPr>
          <w:lang w:val="en-ZA"/>
        </w:rPr>
        <w:t xml:space="preserve"> hypothes</w:t>
      </w:r>
      <w:r w:rsidR="00E206BE">
        <w:rPr>
          <w:lang w:val="en-ZA"/>
        </w:rPr>
        <w:t>e</w:t>
      </w:r>
      <w:r w:rsidR="00572A08">
        <w:rPr>
          <w:lang w:val="en-ZA"/>
        </w:rPr>
        <w:t>s considered whether</w:t>
      </w:r>
      <w:r>
        <w:rPr>
          <w:lang w:val="en-ZA"/>
        </w:rPr>
        <w:t xml:space="preserve"> male managed </w:t>
      </w:r>
      <w:r w:rsidR="00572A08">
        <w:rPr>
          <w:lang w:val="en-ZA"/>
        </w:rPr>
        <w:t>funds</w:t>
      </w:r>
      <w:r>
        <w:rPr>
          <w:lang w:val="en-ZA"/>
        </w:rPr>
        <w:t xml:space="preserve"> and/or female managed funds</w:t>
      </w:r>
      <w:r w:rsidR="00572A08">
        <w:rPr>
          <w:lang w:val="en-ZA"/>
        </w:rPr>
        <w:t xml:space="preserve"> in South Africa could outperform the market, for which the FTSE/JSE all share</w:t>
      </w:r>
      <w:r>
        <w:rPr>
          <w:lang w:val="en-ZA"/>
        </w:rPr>
        <w:t xml:space="preserve"> index was used as a proxy. These hypothese</w:t>
      </w:r>
      <w:r w:rsidR="00572A08">
        <w:rPr>
          <w:lang w:val="en-ZA"/>
        </w:rPr>
        <w:t xml:space="preserve">s resulted in the </w:t>
      </w:r>
      <w:r w:rsidR="00E206BE">
        <w:rPr>
          <w:lang w:val="en-ZA"/>
        </w:rPr>
        <w:t xml:space="preserve">conclusion </w:t>
      </w:r>
      <w:r w:rsidR="00572A08">
        <w:rPr>
          <w:lang w:val="en-ZA"/>
        </w:rPr>
        <w:t>that in the short term, both the average return of male managed funds and the average</w:t>
      </w:r>
      <w:r w:rsidR="00E206BE">
        <w:rPr>
          <w:lang w:val="en-ZA"/>
        </w:rPr>
        <w:t xml:space="preserve"> return of female managed funds produce significant results in </w:t>
      </w:r>
      <w:r w:rsidR="00572A08">
        <w:rPr>
          <w:lang w:val="en-ZA"/>
        </w:rPr>
        <w:t>exce</w:t>
      </w:r>
      <w:r w:rsidR="00E206BE">
        <w:rPr>
          <w:lang w:val="en-ZA"/>
        </w:rPr>
        <w:t>ss</w:t>
      </w:r>
      <w:r w:rsidR="00572A08">
        <w:rPr>
          <w:lang w:val="en-ZA"/>
        </w:rPr>
        <w:t xml:space="preserve"> of the</w:t>
      </w:r>
      <w:r w:rsidR="00E206BE">
        <w:rPr>
          <w:lang w:val="en-ZA"/>
        </w:rPr>
        <w:t xml:space="preserve"> return on the </w:t>
      </w:r>
      <w:r w:rsidR="00572A08">
        <w:rPr>
          <w:lang w:val="en-ZA"/>
        </w:rPr>
        <w:t>benchmark</w:t>
      </w:r>
      <w:r>
        <w:rPr>
          <w:lang w:val="en-ZA"/>
        </w:rPr>
        <w:t xml:space="preserve">. </w:t>
      </w:r>
      <w:r w:rsidR="00572A08">
        <w:rPr>
          <w:lang w:val="en-ZA"/>
        </w:rPr>
        <w:t xml:space="preserve">The results were shown to be insignificant for the medium term and long term. </w:t>
      </w:r>
      <w:r w:rsidR="00E206BE">
        <w:rPr>
          <w:lang w:val="en-ZA"/>
        </w:rPr>
        <w:t xml:space="preserve">This finding </w:t>
      </w:r>
      <w:r w:rsidR="00572A08" w:rsidRPr="008633D2">
        <w:rPr>
          <w:lang w:val="en-ZA"/>
        </w:rPr>
        <w:t>supports existing literature, which indicates that funds do not beat the market in the long term</w:t>
      </w:r>
      <w:r>
        <w:rPr>
          <w:lang w:val="en-ZA"/>
        </w:rPr>
        <w:t>.</w:t>
      </w:r>
    </w:p>
    <w:p w:rsidR="009337F8" w:rsidRDefault="009337F8" w:rsidP="0043434C">
      <w:pPr>
        <w:rPr>
          <w:lang w:val="en-ZA"/>
        </w:rPr>
      </w:pPr>
    </w:p>
    <w:p w:rsidR="00E206BE" w:rsidRDefault="00E206BE" w:rsidP="0043434C">
      <w:pPr>
        <w:rPr>
          <w:lang w:val="en-ZA"/>
        </w:rPr>
      </w:pPr>
      <w:r>
        <w:rPr>
          <w:lang w:val="en-ZA"/>
        </w:rPr>
        <w:t xml:space="preserve">A further observation was made during the research process, which highlighted that when considering all female managed funds and all male managed funds in South Africa, male managed funds produced statistically significant higher average returns than the average return of funds managed by females in the medium term only. It must be noted that the number of funds included in the analysis that produced this result is low due to there being a limited number of funds with data for the full period. </w:t>
      </w:r>
    </w:p>
    <w:p w:rsidR="00E206BE" w:rsidRPr="008633D2" w:rsidRDefault="00E206BE" w:rsidP="0043434C">
      <w:pPr>
        <w:rPr>
          <w:lang w:val="en-ZA"/>
        </w:rPr>
      </w:pPr>
    </w:p>
    <w:p w:rsidR="009337F8" w:rsidRDefault="009337F8" w:rsidP="0043434C">
      <w:pPr>
        <w:rPr>
          <w:lang w:val="en-ZA"/>
        </w:rPr>
      </w:pPr>
      <w:r w:rsidRPr="008633D2">
        <w:rPr>
          <w:lang w:val="en-ZA"/>
        </w:rPr>
        <w:t>The research attempted to isolate ASISA sectors of preference and outperformance by female fund managers</w:t>
      </w:r>
      <w:r w:rsidR="007969E2">
        <w:rPr>
          <w:lang w:val="en-ZA"/>
        </w:rPr>
        <w:t xml:space="preserve">. </w:t>
      </w:r>
      <w:r w:rsidR="00572A08">
        <w:rPr>
          <w:lang w:val="en-ZA"/>
        </w:rPr>
        <w:t>It was found that there are higher percentages of female managed funds in certain sectors, with the top three sectors being South African equity focussed funds</w:t>
      </w:r>
      <w:r w:rsidR="007969E2">
        <w:rPr>
          <w:lang w:val="en-ZA"/>
        </w:rPr>
        <w:t xml:space="preserve">. </w:t>
      </w:r>
      <w:r w:rsidR="00572A08">
        <w:rPr>
          <w:lang w:val="en-ZA"/>
        </w:rPr>
        <w:t>Thi</w:t>
      </w:r>
      <w:r w:rsidR="007D1DDB">
        <w:rPr>
          <w:lang w:val="en-ZA"/>
        </w:rPr>
        <w:t>s could be due to the low number of funds in this sector</w:t>
      </w:r>
      <w:r w:rsidR="007969E2">
        <w:rPr>
          <w:lang w:val="en-ZA"/>
        </w:rPr>
        <w:t xml:space="preserve">. </w:t>
      </w:r>
      <w:r w:rsidR="00572A08">
        <w:rPr>
          <w:lang w:val="en-ZA"/>
        </w:rPr>
        <w:t xml:space="preserve">Funds with an investment style focussed on South African interest bearing sectors also have higher percentages of female managed funds than other sectors. </w:t>
      </w:r>
      <w:r w:rsidR="007D1DDB">
        <w:rPr>
          <w:lang w:val="en-ZA"/>
        </w:rPr>
        <w:t xml:space="preserve">No significant observations could be made regarding the outperformance of females in these sectors. </w:t>
      </w:r>
    </w:p>
    <w:p w:rsidR="007D1DDB" w:rsidRPr="00E206BE" w:rsidRDefault="007D1DDB" w:rsidP="0043434C">
      <w:pPr>
        <w:rPr>
          <w:sz w:val="14"/>
          <w:lang w:val="en-ZA"/>
        </w:rPr>
      </w:pPr>
    </w:p>
    <w:p w:rsidR="007D1DDB" w:rsidRDefault="00E206BE" w:rsidP="0043434C">
      <w:pPr>
        <w:rPr>
          <w:lang w:val="en-ZA"/>
        </w:rPr>
      </w:pPr>
      <w:r>
        <w:rPr>
          <w:lang w:val="en-ZA"/>
        </w:rPr>
        <w:t>Lastly, the</w:t>
      </w:r>
      <w:r w:rsidR="007D1DDB">
        <w:rPr>
          <w:lang w:val="en-ZA"/>
        </w:rPr>
        <w:t xml:space="preserve"> study looked briefly at the possibility of female managed funds outperforming male managed funds during the period of the financial crisis. The results indicated that even though it could </w:t>
      </w:r>
      <w:r w:rsidR="007969E2">
        <w:rPr>
          <w:lang w:val="en-ZA"/>
        </w:rPr>
        <w:t>be</w:t>
      </w:r>
      <w:r w:rsidR="007D1DDB">
        <w:rPr>
          <w:lang w:val="en-ZA"/>
        </w:rPr>
        <w:t xml:space="preserve"> seen that female managed funds lost less during the financial crisis than their male counterparts, these observations where shown to be statistically insignificant. </w:t>
      </w:r>
    </w:p>
    <w:p w:rsidR="00914FA9" w:rsidRPr="00E206BE" w:rsidRDefault="00914FA9" w:rsidP="0043434C">
      <w:pPr>
        <w:rPr>
          <w:sz w:val="14"/>
          <w:lang w:val="en-ZA"/>
        </w:rPr>
      </w:pPr>
    </w:p>
    <w:p w:rsidR="0043434C" w:rsidRPr="008633D2" w:rsidRDefault="0043434C" w:rsidP="0044202E">
      <w:pPr>
        <w:pStyle w:val="Heading2"/>
        <w:rPr>
          <w:lang w:val="en-ZA"/>
        </w:rPr>
      </w:pPr>
      <w:bookmarkStart w:id="261" w:name="_Toc458610837"/>
      <w:r w:rsidRPr="008633D2">
        <w:rPr>
          <w:lang w:val="en-ZA"/>
        </w:rPr>
        <w:t>Recommendations</w:t>
      </w:r>
      <w:bookmarkEnd w:id="261"/>
    </w:p>
    <w:p w:rsidR="00400306" w:rsidRDefault="00400306" w:rsidP="0043434C">
      <w:pPr>
        <w:rPr>
          <w:lang w:val="en-ZA"/>
        </w:rPr>
      </w:pPr>
      <w:r w:rsidRPr="00400306">
        <w:rPr>
          <w:lang w:val="en-ZA"/>
        </w:rPr>
        <w:t xml:space="preserve">The stakeholders </w:t>
      </w:r>
      <w:r>
        <w:rPr>
          <w:lang w:val="en-ZA"/>
        </w:rPr>
        <w:t xml:space="preserve">to whom this research would be significant </w:t>
      </w:r>
      <w:r w:rsidR="007969E2">
        <w:rPr>
          <w:lang w:val="en-ZA"/>
        </w:rPr>
        <w:t>include</w:t>
      </w:r>
      <w:r>
        <w:rPr>
          <w:lang w:val="en-ZA"/>
        </w:rPr>
        <w:t xml:space="preserve"> investors, fund management </w:t>
      </w:r>
      <w:r w:rsidR="00914FA9">
        <w:rPr>
          <w:lang w:val="en-ZA"/>
        </w:rPr>
        <w:t>companies</w:t>
      </w:r>
      <w:r>
        <w:rPr>
          <w:lang w:val="en-ZA"/>
        </w:rPr>
        <w:t xml:space="preserve"> and females interested in pursuing fund management as a career option. </w:t>
      </w:r>
    </w:p>
    <w:p w:rsidR="00400306" w:rsidRPr="00E206BE" w:rsidRDefault="00400306" w:rsidP="0043434C">
      <w:pPr>
        <w:rPr>
          <w:sz w:val="14"/>
          <w:lang w:val="en-ZA"/>
        </w:rPr>
      </w:pPr>
    </w:p>
    <w:p w:rsidR="00400306" w:rsidRDefault="00400306" w:rsidP="00400306">
      <w:pPr>
        <w:rPr>
          <w:lang w:val="en-ZA"/>
        </w:rPr>
      </w:pPr>
      <w:r>
        <w:rPr>
          <w:lang w:val="en-ZA"/>
        </w:rPr>
        <w:t xml:space="preserve">For investors in fund management investing into female managed funds could provide a source of diversity, as this research has </w:t>
      </w:r>
      <w:r w:rsidR="00914FA9">
        <w:rPr>
          <w:lang w:val="en-ZA"/>
        </w:rPr>
        <w:t>dis</w:t>
      </w:r>
      <w:r>
        <w:rPr>
          <w:lang w:val="en-ZA"/>
        </w:rPr>
        <w:t xml:space="preserve">covered in the review of existing literature </w:t>
      </w:r>
      <w:r w:rsidR="0046753E">
        <w:rPr>
          <w:lang w:val="en-ZA"/>
        </w:rPr>
        <w:t xml:space="preserve">that </w:t>
      </w:r>
      <w:r>
        <w:rPr>
          <w:lang w:val="en-ZA"/>
        </w:rPr>
        <w:t>females offere</w:t>
      </w:r>
      <w:r w:rsidR="00442B1B">
        <w:rPr>
          <w:lang w:val="en-ZA"/>
        </w:rPr>
        <w:t>d</w:t>
      </w:r>
      <w:r>
        <w:rPr>
          <w:lang w:val="en-ZA"/>
        </w:rPr>
        <w:t xml:space="preserve"> different investment styles when compared to males. These investment styles may be</w:t>
      </w:r>
      <w:r w:rsidR="0046753E">
        <w:rPr>
          <w:lang w:val="en-ZA"/>
        </w:rPr>
        <w:t xml:space="preserve"> better</w:t>
      </w:r>
      <w:r>
        <w:rPr>
          <w:lang w:val="en-ZA"/>
        </w:rPr>
        <w:t xml:space="preserve"> suited </w:t>
      </w:r>
      <w:r w:rsidR="007969E2">
        <w:rPr>
          <w:lang w:val="en-ZA"/>
        </w:rPr>
        <w:t>to investor’s investment objectives</w:t>
      </w:r>
      <w:r>
        <w:rPr>
          <w:lang w:val="en-ZA"/>
        </w:rPr>
        <w:t>. Furthermore, this research provides investors with insight into the sectors of the fund management industry where more female fund man</w:t>
      </w:r>
      <w:r w:rsidR="0046753E">
        <w:rPr>
          <w:lang w:val="en-ZA"/>
        </w:rPr>
        <w:t>a</w:t>
      </w:r>
      <w:r>
        <w:rPr>
          <w:lang w:val="en-ZA"/>
        </w:rPr>
        <w:t>gers are present</w:t>
      </w:r>
      <w:r w:rsidR="007969E2">
        <w:rPr>
          <w:lang w:val="en-ZA"/>
        </w:rPr>
        <w:t xml:space="preserve">. </w:t>
      </w:r>
      <w:r w:rsidR="003B3FA5">
        <w:rPr>
          <w:lang w:val="en-ZA"/>
        </w:rPr>
        <w:t>This research assists investors to</w:t>
      </w:r>
      <w:r>
        <w:rPr>
          <w:lang w:val="en-ZA"/>
        </w:rPr>
        <w:t xml:space="preserve"> break the </w:t>
      </w:r>
      <w:r w:rsidR="00914FA9">
        <w:rPr>
          <w:lang w:val="en-ZA"/>
        </w:rPr>
        <w:t>stereo</w:t>
      </w:r>
      <w:r>
        <w:rPr>
          <w:lang w:val="en-ZA"/>
        </w:rPr>
        <w:t>type that females are less abl</w:t>
      </w:r>
      <w:r w:rsidR="003B3FA5">
        <w:rPr>
          <w:lang w:val="en-ZA"/>
        </w:rPr>
        <w:t>e to control financial investments</w:t>
      </w:r>
      <w:r>
        <w:rPr>
          <w:lang w:val="en-ZA"/>
        </w:rPr>
        <w:t xml:space="preserve"> </w:t>
      </w:r>
      <w:r w:rsidR="00914FA9">
        <w:rPr>
          <w:lang w:val="en-ZA"/>
        </w:rPr>
        <w:t>adequately</w:t>
      </w:r>
      <w:r>
        <w:rPr>
          <w:lang w:val="en-ZA"/>
        </w:rPr>
        <w:t xml:space="preserve"> as</w:t>
      </w:r>
      <w:r w:rsidR="003B3FA5">
        <w:rPr>
          <w:lang w:val="en-ZA"/>
        </w:rPr>
        <w:t xml:space="preserve"> there is</w:t>
      </w:r>
      <w:r>
        <w:rPr>
          <w:lang w:val="en-ZA"/>
        </w:rPr>
        <w:t xml:space="preserve"> no significant difference in the </w:t>
      </w:r>
      <w:r w:rsidR="003B3FA5">
        <w:rPr>
          <w:lang w:val="en-ZA"/>
        </w:rPr>
        <w:t>performance of funds managed by females compared to males</w:t>
      </w:r>
      <w:r>
        <w:rPr>
          <w:lang w:val="en-ZA"/>
        </w:rPr>
        <w:t xml:space="preserve">. </w:t>
      </w:r>
    </w:p>
    <w:p w:rsidR="0046753E" w:rsidRDefault="00400306" w:rsidP="00400306">
      <w:pPr>
        <w:rPr>
          <w:lang w:val="en-ZA"/>
        </w:rPr>
      </w:pPr>
      <w:r>
        <w:rPr>
          <w:lang w:val="en-ZA"/>
        </w:rPr>
        <w:t xml:space="preserve">This research highlights to fund management companies the lack of female fund managers in the industry. These companies could consider including more females into their companies as this could increase their appeal to different investors. In particular, female investors may be more comfortable to invest with female fund </w:t>
      </w:r>
      <w:r w:rsidR="007969E2">
        <w:rPr>
          <w:lang w:val="en-ZA"/>
        </w:rPr>
        <w:t>managers,</w:t>
      </w:r>
      <w:r>
        <w:rPr>
          <w:lang w:val="en-ZA"/>
        </w:rPr>
        <w:t xml:space="preserve"> as their investment objectives may be better understood. </w:t>
      </w:r>
      <w:r w:rsidR="003B3FA5">
        <w:rPr>
          <w:lang w:val="en-ZA"/>
        </w:rPr>
        <w:t xml:space="preserve">In addition, the literature reviewed highlights that firm’s that do include more females in upper management see an improvement in economic performance and in the stability of the firm, fund management firm’s may benefit from this by increasing the number of females managing their funds. </w:t>
      </w:r>
    </w:p>
    <w:p w:rsidR="003B3FA5" w:rsidRDefault="003B3FA5" w:rsidP="00400306">
      <w:pPr>
        <w:rPr>
          <w:lang w:val="en-ZA"/>
        </w:rPr>
      </w:pPr>
    </w:p>
    <w:p w:rsidR="00400306" w:rsidRPr="008633D2" w:rsidRDefault="00400306" w:rsidP="00400306">
      <w:pPr>
        <w:rPr>
          <w:lang w:val="en-ZA"/>
        </w:rPr>
      </w:pPr>
      <w:r>
        <w:rPr>
          <w:lang w:val="en-ZA"/>
        </w:rPr>
        <w:t>The findings of the research indicate no significant performance different between female fund man</w:t>
      </w:r>
      <w:r w:rsidR="000960AF">
        <w:rPr>
          <w:lang w:val="en-ZA"/>
        </w:rPr>
        <w:t>a</w:t>
      </w:r>
      <w:r>
        <w:rPr>
          <w:lang w:val="en-ZA"/>
        </w:rPr>
        <w:t xml:space="preserve">gers and male fund managers, so when employing new fund managers, companies should not </w:t>
      </w:r>
      <w:r w:rsidR="007969E2">
        <w:rPr>
          <w:lang w:val="en-ZA"/>
        </w:rPr>
        <w:t>consider gender</w:t>
      </w:r>
      <w:r w:rsidR="003B3FA5">
        <w:rPr>
          <w:lang w:val="en-ZA"/>
        </w:rPr>
        <w:t xml:space="preserve"> as a deteriorating factor</w:t>
      </w:r>
      <w:r>
        <w:rPr>
          <w:lang w:val="en-ZA"/>
        </w:rPr>
        <w:t>. The limited number of female manage</w:t>
      </w:r>
      <w:r w:rsidR="000960AF">
        <w:rPr>
          <w:lang w:val="en-ZA"/>
        </w:rPr>
        <w:t>r</w:t>
      </w:r>
      <w:r>
        <w:rPr>
          <w:lang w:val="en-ZA"/>
        </w:rPr>
        <w:t xml:space="preserve">s and female managed funds in the democratic nation of South Africa should be a point of concern for government and labour. It possibly needs to be a career opportunity that is better </w:t>
      </w:r>
      <w:r w:rsidR="003B3FA5">
        <w:rPr>
          <w:lang w:val="en-ZA"/>
        </w:rPr>
        <w:t>promoted</w:t>
      </w:r>
      <w:r>
        <w:rPr>
          <w:lang w:val="en-ZA"/>
        </w:rPr>
        <w:t xml:space="preserve">, to include it in career choices being made by the young population of South Africa.  </w:t>
      </w:r>
      <w:r w:rsidR="003B3FA5">
        <w:rPr>
          <w:lang w:val="en-ZA"/>
        </w:rPr>
        <w:t xml:space="preserve">The inclusion of more females in the South African financial market could lead to increased stability during periods of economic crisis in particular. </w:t>
      </w:r>
    </w:p>
    <w:p w:rsidR="00400306" w:rsidRPr="00F240A8" w:rsidRDefault="00400306" w:rsidP="00400306">
      <w:pPr>
        <w:rPr>
          <w:lang w:val="en-ZA"/>
        </w:rPr>
      </w:pPr>
    </w:p>
    <w:p w:rsidR="0043434C" w:rsidRDefault="0043434C" w:rsidP="0044202E">
      <w:pPr>
        <w:pStyle w:val="Heading2"/>
        <w:rPr>
          <w:lang w:val="en-ZA"/>
        </w:rPr>
      </w:pPr>
      <w:bookmarkStart w:id="262" w:name="_Toc458610838"/>
      <w:r w:rsidRPr="008633D2">
        <w:rPr>
          <w:lang w:val="en-ZA"/>
        </w:rPr>
        <w:t>Suggestions for further research</w:t>
      </w:r>
      <w:bookmarkEnd w:id="262"/>
    </w:p>
    <w:p w:rsidR="00404E63" w:rsidRDefault="00404E63" w:rsidP="00404E63">
      <w:pPr>
        <w:rPr>
          <w:lang w:val="en-ZA"/>
        </w:rPr>
      </w:pPr>
      <w:r>
        <w:rPr>
          <w:lang w:val="en-ZA"/>
        </w:rPr>
        <w:t xml:space="preserve">During the process of conducting the research presented in this </w:t>
      </w:r>
      <w:r w:rsidR="003B3FA5">
        <w:rPr>
          <w:lang w:val="en-ZA"/>
        </w:rPr>
        <w:t>report</w:t>
      </w:r>
      <w:r w:rsidR="0046753E">
        <w:rPr>
          <w:lang w:val="en-ZA"/>
        </w:rPr>
        <w:t>, a few possible of area</w:t>
      </w:r>
      <w:r>
        <w:rPr>
          <w:lang w:val="en-ZA"/>
        </w:rPr>
        <w:t xml:space="preserve">s of </w:t>
      </w:r>
      <w:r w:rsidR="003B3FA5">
        <w:rPr>
          <w:lang w:val="en-ZA"/>
        </w:rPr>
        <w:t>additional research were un</w:t>
      </w:r>
      <w:r>
        <w:rPr>
          <w:lang w:val="en-ZA"/>
        </w:rPr>
        <w:t xml:space="preserve">covered, due to various constraints they have either been looked at in a limited form as part of this research or not at all. These topics are </w:t>
      </w:r>
      <w:r w:rsidR="003B3FA5">
        <w:rPr>
          <w:lang w:val="en-ZA"/>
        </w:rPr>
        <w:t xml:space="preserve">presented </w:t>
      </w:r>
      <w:r>
        <w:rPr>
          <w:lang w:val="en-ZA"/>
        </w:rPr>
        <w:t>in more detail</w:t>
      </w:r>
      <w:r w:rsidR="003B3FA5">
        <w:rPr>
          <w:lang w:val="en-ZA"/>
        </w:rPr>
        <w:t xml:space="preserve"> next</w:t>
      </w:r>
      <w:r>
        <w:rPr>
          <w:lang w:val="en-ZA"/>
        </w:rPr>
        <w:t>.</w:t>
      </w:r>
    </w:p>
    <w:p w:rsidR="00527456" w:rsidRDefault="00527456" w:rsidP="00404E63">
      <w:pPr>
        <w:rPr>
          <w:lang w:val="en-ZA"/>
        </w:rPr>
      </w:pPr>
    </w:p>
    <w:p w:rsidR="003B3FA5" w:rsidRPr="00F240A8" w:rsidRDefault="003B3FA5" w:rsidP="00404E63">
      <w:pPr>
        <w:rPr>
          <w:lang w:val="en-ZA"/>
        </w:rPr>
      </w:pPr>
    </w:p>
    <w:p w:rsidR="00404E63" w:rsidRDefault="00404E63" w:rsidP="00404E63">
      <w:pPr>
        <w:rPr>
          <w:i/>
          <w:u w:val="single"/>
          <w:lang w:val="en-ZA"/>
        </w:rPr>
      </w:pPr>
      <w:r>
        <w:rPr>
          <w:i/>
          <w:u w:val="single"/>
          <w:lang w:val="en-ZA"/>
        </w:rPr>
        <w:t>Further extension of this research</w:t>
      </w:r>
    </w:p>
    <w:p w:rsidR="00127F40" w:rsidRDefault="00865291" w:rsidP="00404E63">
      <w:pPr>
        <w:rPr>
          <w:lang w:val="en-ZA"/>
        </w:rPr>
      </w:pPr>
      <w:r w:rsidRPr="008633D2">
        <w:rPr>
          <w:lang w:val="en-ZA"/>
        </w:rPr>
        <w:t xml:space="preserve">This research cannot confirm or reject that the performance of </w:t>
      </w:r>
      <w:r w:rsidR="001D73FA">
        <w:rPr>
          <w:lang w:val="en-ZA"/>
        </w:rPr>
        <w:t xml:space="preserve">funds </w:t>
      </w:r>
      <w:r w:rsidRPr="008633D2">
        <w:rPr>
          <w:lang w:val="en-ZA"/>
        </w:rPr>
        <w:t xml:space="preserve">is </w:t>
      </w:r>
      <w:r w:rsidR="001D73FA">
        <w:rPr>
          <w:lang w:val="en-ZA"/>
        </w:rPr>
        <w:t>impacted by</w:t>
      </w:r>
      <w:r w:rsidRPr="008633D2">
        <w:rPr>
          <w:lang w:val="en-ZA"/>
        </w:rPr>
        <w:t xml:space="preserve"> the gender of the fund manager. To </w:t>
      </w:r>
      <w:r w:rsidR="00127F40">
        <w:rPr>
          <w:lang w:val="en-ZA"/>
        </w:rPr>
        <w:t>do t</w:t>
      </w:r>
      <w:r w:rsidRPr="008633D2">
        <w:rPr>
          <w:lang w:val="en-ZA"/>
        </w:rPr>
        <w:t>his</w:t>
      </w:r>
      <w:r w:rsidR="00127F40">
        <w:rPr>
          <w:lang w:val="en-ZA"/>
        </w:rPr>
        <w:t xml:space="preserve"> </w:t>
      </w:r>
      <w:r w:rsidRPr="008633D2">
        <w:rPr>
          <w:lang w:val="en-ZA"/>
        </w:rPr>
        <w:t xml:space="preserve">a detailed regression </w:t>
      </w:r>
      <w:r w:rsidR="007969E2" w:rsidRPr="008633D2">
        <w:rPr>
          <w:lang w:val="en-ZA"/>
        </w:rPr>
        <w:t>analysis, which caters for the different known variables and the impact each of them can have on performance,</w:t>
      </w:r>
      <w:r w:rsidRPr="008633D2">
        <w:rPr>
          <w:lang w:val="en-ZA"/>
        </w:rPr>
        <w:t xml:space="preserve"> should be undertaken. </w:t>
      </w:r>
    </w:p>
    <w:p w:rsidR="001D73FA" w:rsidRDefault="001D73FA" w:rsidP="00404E63">
      <w:pPr>
        <w:rPr>
          <w:lang w:val="en-ZA"/>
        </w:rPr>
      </w:pPr>
    </w:p>
    <w:p w:rsidR="00F240A8" w:rsidRDefault="00127F40" w:rsidP="00404E63">
      <w:pPr>
        <w:rPr>
          <w:lang w:val="en-ZA"/>
        </w:rPr>
      </w:pPr>
      <w:r>
        <w:rPr>
          <w:lang w:val="en-ZA"/>
        </w:rPr>
        <w:t>As the literature review and the re</w:t>
      </w:r>
      <w:r w:rsidR="001D73FA">
        <w:rPr>
          <w:lang w:val="en-ZA"/>
        </w:rPr>
        <w:t>sults of this research indicate</w:t>
      </w:r>
      <w:r>
        <w:rPr>
          <w:lang w:val="en-ZA"/>
        </w:rPr>
        <w:t xml:space="preserve">, there </w:t>
      </w:r>
      <w:r w:rsidR="001D73FA">
        <w:rPr>
          <w:lang w:val="en-ZA"/>
        </w:rPr>
        <w:t>is</w:t>
      </w:r>
      <w:r>
        <w:rPr>
          <w:lang w:val="en-ZA"/>
        </w:rPr>
        <w:t xml:space="preserve"> a small number of female fund man</w:t>
      </w:r>
      <w:r w:rsidR="0046753E">
        <w:rPr>
          <w:lang w:val="en-ZA"/>
        </w:rPr>
        <w:t>a</w:t>
      </w:r>
      <w:r>
        <w:rPr>
          <w:lang w:val="en-ZA"/>
        </w:rPr>
        <w:t xml:space="preserve">gers. </w:t>
      </w:r>
      <w:r w:rsidR="00404E63" w:rsidRPr="008633D2">
        <w:rPr>
          <w:lang w:val="en-ZA"/>
        </w:rPr>
        <w:t xml:space="preserve">A suggestion </w:t>
      </w:r>
      <w:r>
        <w:rPr>
          <w:lang w:val="en-ZA"/>
        </w:rPr>
        <w:t>for future research is to investigate possible reasons for the low presence of females as fund man</w:t>
      </w:r>
      <w:r w:rsidR="0046753E">
        <w:rPr>
          <w:lang w:val="en-ZA"/>
        </w:rPr>
        <w:t>a</w:t>
      </w:r>
      <w:r>
        <w:rPr>
          <w:lang w:val="en-ZA"/>
        </w:rPr>
        <w:t>gers in the global financial industry</w:t>
      </w:r>
      <w:r w:rsidR="007969E2">
        <w:rPr>
          <w:lang w:val="en-ZA"/>
        </w:rPr>
        <w:t xml:space="preserve">. </w:t>
      </w:r>
      <w:r>
        <w:rPr>
          <w:lang w:val="en-ZA"/>
        </w:rPr>
        <w:t xml:space="preserve">It was </w:t>
      </w:r>
      <w:r w:rsidR="001D73FA">
        <w:rPr>
          <w:lang w:val="en-ZA"/>
        </w:rPr>
        <w:t>further observed</w:t>
      </w:r>
      <w:r>
        <w:rPr>
          <w:lang w:val="en-ZA"/>
        </w:rPr>
        <w:t xml:space="preserve"> that the number of female fund man</w:t>
      </w:r>
      <w:r w:rsidR="0046753E">
        <w:rPr>
          <w:lang w:val="en-ZA"/>
        </w:rPr>
        <w:t>a</w:t>
      </w:r>
      <w:r>
        <w:rPr>
          <w:lang w:val="en-ZA"/>
        </w:rPr>
        <w:t xml:space="preserve">gers and the number of funds managed by females has been in decline over the last </w:t>
      </w:r>
      <w:r w:rsidR="000960AF">
        <w:rPr>
          <w:lang w:val="en-ZA"/>
        </w:rPr>
        <w:t>three</w:t>
      </w:r>
      <w:r w:rsidR="001D73FA">
        <w:rPr>
          <w:lang w:val="en-ZA"/>
        </w:rPr>
        <w:t xml:space="preserve"> years, explanations for which may lead to this being stopped before female managers become extinct.</w:t>
      </w:r>
    </w:p>
    <w:p w:rsidR="001D73FA" w:rsidRDefault="001D73FA" w:rsidP="00404E63">
      <w:pPr>
        <w:rPr>
          <w:lang w:val="en-ZA"/>
        </w:rPr>
      </w:pPr>
    </w:p>
    <w:p w:rsidR="00865291" w:rsidRDefault="00127F40" w:rsidP="00404E63">
      <w:pPr>
        <w:rPr>
          <w:lang w:val="en-ZA"/>
        </w:rPr>
      </w:pPr>
      <w:r>
        <w:rPr>
          <w:lang w:val="en-ZA"/>
        </w:rPr>
        <w:t>Fu</w:t>
      </w:r>
      <w:r w:rsidR="0037245A">
        <w:rPr>
          <w:lang w:val="en-ZA"/>
        </w:rPr>
        <w:t>r</w:t>
      </w:r>
      <w:r>
        <w:rPr>
          <w:lang w:val="en-ZA"/>
        </w:rPr>
        <w:t xml:space="preserve">ther investigation into </w:t>
      </w:r>
      <w:r w:rsidR="001D73FA">
        <w:rPr>
          <w:lang w:val="en-ZA"/>
        </w:rPr>
        <w:t>the observations made during this research</w:t>
      </w:r>
      <w:r>
        <w:rPr>
          <w:lang w:val="en-ZA"/>
        </w:rPr>
        <w:t xml:space="preserve"> would provide interesting </w:t>
      </w:r>
      <w:r w:rsidR="00527456">
        <w:rPr>
          <w:lang w:val="en-ZA"/>
        </w:rPr>
        <w:t>insight as</w:t>
      </w:r>
      <w:r>
        <w:rPr>
          <w:lang w:val="en-ZA"/>
        </w:rPr>
        <w:t xml:space="preserve"> well </w:t>
      </w:r>
      <w:r w:rsidR="000960AF">
        <w:rPr>
          <w:lang w:val="en-ZA"/>
        </w:rPr>
        <w:t>as</w:t>
      </w:r>
      <w:r w:rsidR="00527456">
        <w:rPr>
          <w:lang w:val="en-ZA"/>
        </w:rPr>
        <w:t>,</w:t>
      </w:r>
      <w:r w:rsidR="000960AF">
        <w:rPr>
          <w:lang w:val="en-ZA"/>
        </w:rPr>
        <w:t xml:space="preserve"> </w:t>
      </w:r>
      <w:r>
        <w:rPr>
          <w:lang w:val="en-ZA"/>
        </w:rPr>
        <w:t>possibly validat</w:t>
      </w:r>
      <w:r w:rsidR="001D73FA">
        <w:rPr>
          <w:lang w:val="en-ZA"/>
        </w:rPr>
        <w:t xml:space="preserve">e </w:t>
      </w:r>
      <w:r>
        <w:rPr>
          <w:lang w:val="en-ZA"/>
        </w:rPr>
        <w:t xml:space="preserve">previous research which indicated that the low presence of females could be due to a tarnished reputation of the financial industry which women are now repelled. </w:t>
      </w:r>
      <w:r w:rsidR="001D73FA">
        <w:rPr>
          <w:lang w:val="en-ZA"/>
        </w:rPr>
        <w:t>A</w:t>
      </w:r>
      <w:r w:rsidR="00404E63" w:rsidRPr="008633D2">
        <w:rPr>
          <w:lang w:val="en-ZA"/>
        </w:rPr>
        <w:t xml:space="preserve"> qualitative analysis on the sentiment of female </w:t>
      </w:r>
      <w:r w:rsidR="001D73FA">
        <w:rPr>
          <w:lang w:val="en-ZA"/>
        </w:rPr>
        <w:t xml:space="preserve">and male </w:t>
      </w:r>
      <w:r w:rsidR="00404E63" w:rsidRPr="008633D2">
        <w:rPr>
          <w:lang w:val="en-ZA"/>
        </w:rPr>
        <w:t xml:space="preserve">fund managers </w:t>
      </w:r>
      <w:r>
        <w:rPr>
          <w:lang w:val="en-ZA"/>
        </w:rPr>
        <w:t>on the outcomes of this research</w:t>
      </w:r>
      <w:r w:rsidR="001D73FA">
        <w:rPr>
          <w:lang w:val="en-ZA"/>
        </w:rPr>
        <w:t xml:space="preserve"> would add great benefit to the validity of the observation’s made</w:t>
      </w:r>
      <w:r>
        <w:rPr>
          <w:lang w:val="en-ZA"/>
        </w:rPr>
        <w:t>.</w:t>
      </w:r>
    </w:p>
    <w:p w:rsidR="00127F40" w:rsidRPr="001D73FA" w:rsidRDefault="00127F40" w:rsidP="00404E63">
      <w:pPr>
        <w:rPr>
          <w:sz w:val="22"/>
          <w:lang w:val="en-ZA"/>
        </w:rPr>
      </w:pPr>
    </w:p>
    <w:p w:rsidR="00127F40" w:rsidRDefault="00404E63" w:rsidP="00404E63">
      <w:pPr>
        <w:rPr>
          <w:i/>
          <w:u w:val="single"/>
          <w:lang w:val="en-ZA"/>
        </w:rPr>
      </w:pPr>
      <w:r w:rsidRPr="00404E63">
        <w:rPr>
          <w:i/>
          <w:u w:val="single"/>
          <w:lang w:val="en-ZA"/>
        </w:rPr>
        <w:t>The financial crisis</w:t>
      </w:r>
    </w:p>
    <w:p w:rsidR="00127F40" w:rsidRDefault="00127F40" w:rsidP="00404E63">
      <w:pPr>
        <w:rPr>
          <w:lang w:val="en-ZA"/>
        </w:rPr>
      </w:pPr>
      <w:r>
        <w:rPr>
          <w:lang w:val="en-ZA"/>
        </w:rPr>
        <w:t xml:space="preserve">In chapter 5, a brief investigation into the possible outperformance of female managed funds during the financial crisis was presented. Observations that female managed funds did outperform male managed funds during the crisis </w:t>
      </w:r>
      <w:r w:rsidR="00DA110B">
        <w:rPr>
          <w:lang w:val="en-ZA"/>
        </w:rPr>
        <w:t>were made but shown to be in</w:t>
      </w:r>
      <w:r>
        <w:rPr>
          <w:lang w:val="en-ZA"/>
        </w:rPr>
        <w:t>significant. Further investigation on a larger sample set, including other countries possibly</w:t>
      </w:r>
      <w:r w:rsidR="00DA110B">
        <w:rPr>
          <w:lang w:val="en-ZA"/>
        </w:rPr>
        <w:t>,</w:t>
      </w:r>
      <w:r>
        <w:rPr>
          <w:lang w:val="en-ZA"/>
        </w:rPr>
        <w:t xml:space="preserve"> may provide deeper insight into the female managed fund performance</w:t>
      </w:r>
      <w:r w:rsidR="00DA110B">
        <w:rPr>
          <w:lang w:val="en-ZA"/>
        </w:rPr>
        <w:t xml:space="preserve"> during periods of crisis. </w:t>
      </w:r>
    </w:p>
    <w:p w:rsidR="00127F40" w:rsidRDefault="0037245A" w:rsidP="00404E63">
      <w:pPr>
        <w:rPr>
          <w:i/>
          <w:u w:val="single"/>
          <w:lang w:val="en-ZA"/>
        </w:rPr>
      </w:pPr>
      <w:r>
        <w:rPr>
          <w:i/>
          <w:u w:val="single"/>
          <w:lang w:val="en-ZA"/>
        </w:rPr>
        <w:t>Multi-managed funds</w:t>
      </w:r>
    </w:p>
    <w:p w:rsidR="007008C0" w:rsidRDefault="00127F40" w:rsidP="007008C0">
      <w:pPr>
        <w:rPr>
          <w:lang w:val="en-ZA"/>
        </w:rPr>
      </w:pPr>
      <w:r>
        <w:rPr>
          <w:lang w:val="en-ZA"/>
        </w:rPr>
        <w:t>The literature reviewed as part of this study highlighted that the performance of firms improved when females were included into boards and upper management</w:t>
      </w:r>
      <w:r w:rsidR="007008C0">
        <w:rPr>
          <w:lang w:val="en-ZA"/>
        </w:rPr>
        <w:t>, increased economic value to the firm as well as lower firm risk was observed</w:t>
      </w:r>
      <w:r>
        <w:rPr>
          <w:lang w:val="en-ZA"/>
        </w:rPr>
        <w:t>. This study investigated the performance of individually managed funds. Further research cou</w:t>
      </w:r>
      <w:r w:rsidR="0037245A">
        <w:rPr>
          <w:lang w:val="en-ZA"/>
        </w:rPr>
        <w:t>l</w:t>
      </w:r>
      <w:r>
        <w:rPr>
          <w:lang w:val="en-ZA"/>
        </w:rPr>
        <w:t>d be done to look at whether increased performance</w:t>
      </w:r>
      <w:r w:rsidR="007008C0">
        <w:rPr>
          <w:lang w:val="en-ZA"/>
        </w:rPr>
        <w:t xml:space="preserve"> is achieved by mixed teams</w:t>
      </w:r>
      <w:r w:rsidR="007969E2">
        <w:rPr>
          <w:lang w:val="en-ZA"/>
        </w:rPr>
        <w:t xml:space="preserve">. </w:t>
      </w:r>
      <w:r w:rsidR="007008C0">
        <w:rPr>
          <w:lang w:val="en-ZA"/>
        </w:rPr>
        <w:t>It would be interesting to see whether teams with mixed genders produce better results than funds ma</w:t>
      </w:r>
      <w:r w:rsidR="006E0A32">
        <w:rPr>
          <w:lang w:val="en-ZA"/>
        </w:rPr>
        <w:t>naged by individuals or teams of</w:t>
      </w:r>
      <w:r w:rsidR="007008C0">
        <w:rPr>
          <w:lang w:val="en-ZA"/>
        </w:rPr>
        <w:t xml:space="preserve"> the same gender.</w:t>
      </w:r>
    </w:p>
    <w:p w:rsidR="00F240A8" w:rsidRDefault="00F240A8" w:rsidP="007008C0">
      <w:pPr>
        <w:rPr>
          <w:lang w:val="en-ZA"/>
        </w:rPr>
      </w:pPr>
    </w:p>
    <w:p w:rsidR="00404E63" w:rsidRDefault="00404E63" w:rsidP="00404E63">
      <w:pPr>
        <w:rPr>
          <w:i/>
          <w:u w:val="single"/>
          <w:lang w:val="en-ZA"/>
        </w:rPr>
      </w:pPr>
      <w:r>
        <w:rPr>
          <w:i/>
          <w:u w:val="single"/>
          <w:lang w:val="en-ZA"/>
        </w:rPr>
        <w:t>Beta as a measure of risk</w:t>
      </w:r>
    </w:p>
    <w:p w:rsidR="0037245A" w:rsidRDefault="00291892" w:rsidP="00404E63">
      <w:pPr>
        <w:rPr>
          <w:lang w:val="en-ZA"/>
        </w:rPr>
      </w:pPr>
      <w:r>
        <w:rPr>
          <w:lang w:val="en-ZA"/>
        </w:rPr>
        <w:t>In t</w:t>
      </w:r>
      <w:r w:rsidR="0037245A">
        <w:rPr>
          <w:lang w:val="en-ZA"/>
        </w:rPr>
        <w:t>his research the assumption that beta is an accurate measure of risk</w:t>
      </w:r>
      <w:r>
        <w:rPr>
          <w:lang w:val="en-ZA"/>
        </w:rPr>
        <w:t xml:space="preserve"> against the market was made</w:t>
      </w:r>
      <w:r w:rsidR="0037245A">
        <w:rPr>
          <w:lang w:val="en-ZA"/>
        </w:rPr>
        <w:t xml:space="preserve">. This may not be appropriate in the case of </w:t>
      </w:r>
      <w:r>
        <w:rPr>
          <w:lang w:val="en-ZA"/>
        </w:rPr>
        <w:t xml:space="preserve">mutual </w:t>
      </w:r>
      <w:r w:rsidR="0037245A">
        <w:rPr>
          <w:lang w:val="en-ZA"/>
        </w:rPr>
        <w:t xml:space="preserve">funds. </w:t>
      </w:r>
      <w:r>
        <w:rPr>
          <w:lang w:val="en-ZA"/>
        </w:rPr>
        <w:t>Similar</w:t>
      </w:r>
      <w:r w:rsidR="0037245A">
        <w:rPr>
          <w:lang w:val="en-ZA"/>
        </w:rPr>
        <w:t xml:space="preserve"> research </w:t>
      </w:r>
      <w:r>
        <w:rPr>
          <w:lang w:val="en-ZA"/>
        </w:rPr>
        <w:t>can</w:t>
      </w:r>
      <w:r w:rsidR="0037245A">
        <w:rPr>
          <w:lang w:val="en-ZA"/>
        </w:rPr>
        <w:t xml:space="preserve"> be conducted using different measures of risk that may provide more appropriate matching between the male and female managed funds that are compared. </w:t>
      </w:r>
    </w:p>
    <w:p w:rsidR="007008C0" w:rsidRDefault="007008C0" w:rsidP="00404E63">
      <w:pPr>
        <w:rPr>
          <w:lang w:val="en-ZA"/>
        </w:rPr>
      </w:pPr>
    </w:p>
    <w:p w:rsidR="00404E63" w:rsidRDefault="00404E63" w:rsidP="00404E63">
      <w:pPr>
        <w:rPr>
          <w:i/>
          <w:u w:val="single"/>
          <w:lang w:val="en-ZA"/>
        </w:rPr>
      </w:pPr>
      <w:r>
        <w:rPr>
          <w:i/>
          <w:u w:val="single"/>
          <w:lang w:val="en-ZA"/>
        </w:rPr>
        <w:t>Sample size</w:t>
      </w:r>
    </w:p>
    <w:p w:rsidR="0037245A" w:rsidRDefault="0037245A" w:rsidP="00404E63">
      <w:pPr>
        <w:rPr>
          <w:lang w:val="en-ZA"/>
        </w:rPr>
      </w:pPr>
      <w:r>
        <w:rPr>
          <w:lang w:val="en-ZA"/>
        </w:rPr>
        <w:t xml:space="preserve">The sample used for this </w:t>
      </w:r>
      <w:r w:rsidR="007008C0">
        <w:rPr>
          <w:lang w:val="en-ZA"/>
        </w:rPr>
        <w:t>research</w:t>
      </w:r>
      <w:r>
        <w:rPr>
          <w:lang w:val="en-ZA"/>
        </w:rPr>
        <w:t xml:space="preserve"> included all</w:t>
      </w:r>
      <w:r w:rsidR="007008C0">
        <w:rPr>
          <w:lang w:val="en-ZA"/>
        </w:rPr>
        <w:t xml:space="preserve"> possible female managed funds, however</w:t>
      </w:r>
      <w:r w:rsidR="0046753E">
        <w:rPr>
          <w:lang w:val="en-ZA"/>
        </w:rPr>
        <w:t>,</w:t>
      </w:r>
      <w:r w:rsidR="007008C0">
        <w:rPr>
          <w:lang w:val="en-ZA"/>
        </w:rPr>
        <w:t xml:space="preserve"> the </w:t>
      </w:r>
      <w:r>
        <w:rPr>
          <w:lang w:val="en-ZA"/>
        </w:rPr>
        <w:t xml:space="preserve">number of funds available </w:t>
      </w:r>
      <w:r w:rsidR="00291892">
        <w:rPr>
          <w:lang w:val="en-ZA"/>
        </w:rPr>
        <w:t>is</w:t>
      </w:r>
      <w:r>
        <w:rPr>
          <w:lang w:val="en-ZA"/>
        </w:rPr>
        <w:t xml:space="preserve"> small and therefore could be a factor in the results observed being </w:t>
      </w:r>
      <w:r w:rsidR="00291892">
        <w:rPr>
          <w:lang w:val="en-ZA"/>
        </w:rPr>
        <w:t xml:space="preserve">largely </w:t>
      </w:r>
      <w:r>
        <w:rPr>
          <w:lang w:val="en-ZA"/>
        </w:rPr>
        <w:t xml:space="preserve">insignificant. As the number of funds managed increases, this research </w:t>
      </w:r>
      <w:r w:rsidR="00291892">
        <w:rPr>
          <w:lang w:val="en-ZA"/>
        </w:rPr>
        <w:t>could</w:t>
      </w:r>
      <w:r>
        <w:rPr>
          <w:lang w:val="en-ZA"/>
        </w:rPr>
        <w:t xml:space="preserve"> be conducted again. Alternatively, the sample could include female fund managers globally instead of just South </w:t>
      </w:r>
      <w:r w:rsidR="007969E2">
        <w:rPr>
          <w:lang w:val="en-ZA"/>
        </w:rPr>
        <w:t>Africa, which</w:t>
      </w:r>
      <w:r>
        <w:rPr>
          <w:lang w:val="en-ZA"/>
        </w:rPr>
        <w:t xml:space="preserve"> would lead to a higher sample</w:t>
      </w:r>
      <w:r w:rsidR="00291892">
        <w:rPr>
          <w:lang w:val="en-ZA"/>
        </w:rPr>
        <w:t xml:space="preserve"> size</w:t>
      </w:r>
      <w:r>
        <w:rPr>
          <w:lang w:val="en-ZA"/>
        </w:rPr>
        <w:t xml:space="preserve">. </w:t>
      </w:r>
    </w:p>
    <w:p w:rsidR="0037245A" w:rsidRDefault="0037245A" w:rsidP="00404E63">
      <w:pPr>
        <w:rPr>
          <w:lang w:val="en-ZA"/>
        </w:rPr>
      </w:pPr>
    </w:p>
    <w:p w:rsidR="00291892" w:rsidRPr="0037245A" w:rsidRDefault="00291892" w:rsidP="00404E63">
      <w:pPr>
        <w:rPr>
          <w:lang w:val="en-ZA"/>
        </w:rPr>
      </w:pPr>
    </w:p>
    <w:p w:rsidR="00A14232" w:rsidRDefault="007008C0" w:rsidP="00A14232">
      <w:pPr>
        <w:rPr>
          <w:i/>
          <w:u w:val="single"/>
          <w:lang w:val="en-ZA"/>
        </w:rPr>
      </w:pPr>
      <w:r>
        <w:rPr>
          <w:i/>
          <w:u w:val="single"/>
          <w:lang w:val="en-ZA"/>
        </w:rPr>
        <w:t>Higher f</w:t>
      </w:r>
      <w:r w:rsidR="00A14232">
        <w:rPr>
          <w:i/>
          <w:u w:val="single"/>
          <w:lang w:val="en-ZA"/>
        </w:rPr>
        <w:t>und size managed by each individual</w:t>
      </w:r>
    </w:p>
    <w:p w:rsidR="00A14232" w:rsidRPr="00DA110B" w:rsidRDefault="00DA110B" w:rsidP="00404E63">
      <w:pPr>
        <w:rPr>
          <w:lang w:val="en-ZA"/>
        </w:rPr>
      </w:pPr>
      <w:r>
        <w:rPr>
          <w:lang w:val="en-ZA"/>
        </w:rPr>
        <w:t>An observation was made as part of this research that individual females and teams of females</w:t>
      </w:r>
      <w:r w:rsidR="00291892">
        <w:rPr>
          <w:lang w:val="en-ZA"/>
        </w:rPr>
        <w:t xml:space="preserve"> on average</w:t>
      </w:r>
      <w:r>
        <w:rPr>
          <w:lang w:val="en-ZA"/>
        </w:rPr>
        <w:t xml:space="preserve"> manage funds of higher sizes than individual</w:t>
      </w:r>
      <w:r w:rsidR="0037245A">
        <w:rPr>
          <w:lang w:val="en-ZA"/>
        </w:rPr>
        <w:t xml:space="preserve"> males and teams of males respectively. Further research </w:t>
      </w:r>
      <w:r w:rsidR="00291892">
        <w:rPr>
          <w:lang w:val="en-ZA"/>
        </w:rPr>
        <w:t>could</w:t>
      </w:r>
      <w:r w:rsidR="0037245A">
        <w:rPr>
          <w:lang w:val="en-ZA"/>
        </w:rPr>
        <w:t xml:space="preserve"> be conducted to explore the reasons for this in</w:t>
      </w:r>
      <w:r w:rsidR="00291892">
        <w:rPr>
          <w:lang w:val="en-ZA"/>
        </w:rPr>
        <w:t xml:space="preserve"> the case of</w:t>
      </w:r>
      <w:r w:rsidR="0037245A">
        <w:rPr>
          <w:lang w:val="en-ZA"/>
        </w:rPr>
        <w:t xml:space="preserve"> South Africa. A possible reason could be that due to the limited number of female managed funds, investors wishing to invest with </w:t>
      </w:r>
      <w:r w:rsidR="00291892">
        <w:rPr>
          <w:lang w:val="en-ZA"/>
        </w:rPr>
        <w:t xml:space="preserve">a </w:t>
      </w:r>
      <w:r w:rsidR="0037245A">
        <w:rPr>
          <w:lang w:val="en-ZA"/>
        </w:rPr>
        <w:t>female</w:t>
      </w:r>
      <w:r w:rsidR="00291892">
        <w:rPr>
          <w:lang w:val="en-ZA"/>
        </w:rPr>
        <w:t xml:space="preserve"> fund manager has</w:t>
      </w:r>
      <w:r w:rsidR="0037245A">
        <w:rPr>
          <w:lang w:val="en-ZA"/>
        </w:rPr>
        <w:t xml:space="preserve"> less of a choice and therefore the funds of these investors are spread over a smaller number of </w:t>
      </w:r>
      <w:r w:rsidR="00291892">
        <w:rPr>
          <w:lang w:val="en-ZA"/>
        </w:rPr>
        <w:t xml:space="preserve">female fund </w:t>
      </w:r>
      <w:r w:rsidR="0037245A">
        <w:rPr>
          <w:lang w:val="en-ZA"/>
        </w:rPr>
        <w:t xml:space="preserve">managers. </w:t>
      </w:r>
    </w:p>
    <w:p w:rsidR="005E3D3D" w:rsidRDefault="005E3D3D" w:rsidP="0043434C">
      <w:pPr>
        <w:rPr>
          <w:lang w:val="en-ZA"/>
        </w:rPr>
      </w:pPr>
    </w:p>
    <w:p w:rsidR="003203B4" w:rsidRPr="008633D2" w:rsidRDefault="003D33CF" w:rsidP="00B406E6">
      <w:pPr>
        <w:pStyle w:val="Heading1"/>
        <w:numPr>
          <w:ilvl w:val="0"/>
          <w:numId w:val="0"/>
        </w:numPr>
        <w:jc w:val="left"/>
        <w:rPr>
          <w:lang w:val="en-ZA"/>
        </w:rPr>
      </w:pPr>
      <w:bookmarkStart w:id="263" w:name="_Toc141172769"/>
      <w:bookmarkStart w:id="264" w:name="_Toc141172841"/>
      <w:bookmarkStart w:id="265" w:name="_Toc141173511"/>
      <w:bookmarkStart w:id="266" w:name="_Toc141173577"/>
      <w:bookmarkStart w:id="267" w:name="_Toc141173623"/>
      <w:bookmarkStart w:id="268" w:name="_Toc458610839"/>
      <w:r w:rsidRPr="008633D2">
        <w:rPr>
          <w:lang w:val="en-ZA"/>
        </w:rPr>
        <w:t>REFERENCES</w:t>
      </w:r>
      <w:bookmarkStart w:id="269" w:name="_Toc423372673"/>
      <w:bookmarkEnd w:id="263"/>
      <w:bookmarkEnd w:id="264"/>
      <w:bookmarkEnd w:id="265"/>
      <w:bookmarkEnd w:id="266"/>
      <w:bookmarkEnd w:id="267"/>
      <w:bookmarkEnd w:id="268"/>
    </w:p>
    <w:p w:rsidR="009540A9" w:rsidRDefault="003203B4" w:rsidP="009540A9">
      <w:pPr>
        <w:pStyle w:val="Bibliography"/>
        <w:ind w:left="720" w:hanging="720"/>
        <w:rPr>
          <w:noProof/>
          <w:lang w:val="en-US"/>
        </w:rPr>
      </w:pPr>
      <w:r w:rsidRPr="008633D2">
        <w:rPr>
          <w:lang w:val="en-ZA"/>
        </w:rPr>
        <w:fldChar w:fldCharType="begin"/>
      </w:r>
      <w:r w:rsidRPr="008633D2">
        <w:rPr>
          <w:lang w:val="en-ZA"/>
        </w:rPr>
        <w:instrText xml:space="preserve"> BIBLIOGRAPHY  \l 1033 </w:instrText>
      </w:r>
      <w:r w:rsidRPr="008633D2">
        <w:rPr>
          <w:lang w:val="en-ZA"/>
        </w:rPr>
        <w:fldChar w:fldCharType="separate"/>
      </w:r>
      <w:r w:rsidR="009540A9">
        <w:rPr>
          <w:noProof/>
          <w:lang w:val="en-US"/>
        </w:rPr>
        <w:t xml:space="preserve">Adams, R. B., &amp; Ferreira, D. (2009). Women in the boardroom and their impact on governance and performance. </w:t>
      </w:r>
      <w:r w:rsidR="009540A9">
        <w:rPr>
          <w:i/>
          <w:iCs/>
          <w:noProof/>
          <w:lang w:val="en-US"/>
        </w:rPr>
        <w:t>Journal of Financial Economics, 94</w:t>
      </w:r>
      <w:r w:rsidR="009540A9">
        <w:rPr>
          <w:noProof/>
          <w:lang w:val="en-US"/>
        </w:rPr>
        <w:t>(2), 291-309.</w:t>
      </w:r>
    </w:p>
    <w:p w:rsidR="009540A9" w:rsidRDefault="009540A9" w:rsidP="009540A9">
      <w:pPr>
        <w:pStyle w:val="Bibliography"/>
        <w:ind w:left="720" w:hanging="720"/>
        <w:rPr>
          <w:noProof/>
          <w:lang w:val="en-US"/>
        </w:rPr>
      </w:pPr>
      <w:r>
        <w:rPr>
          <w:noProof/>
          <w:lang w:val="en-US"/>
        </w:rPr>
        <w:t xml:space="preserve">Aggarwal, R., &amp; Boyson, N. M. (2015, August 29). The performance of female hedge fund managers. </w:t>
      </w:r>
      <w:r>
        <w:rPr>
          <w:i/>
          <w:iCs/>
          <w:noProof/>
          <w:lang w:val="en-US"/>
        </w:rPr>
        <w:t>Review of Financial Economics, Forthcoming</w:t>
      </w:r>
      <w:r>
        <w:rPr>
          <w:noProof/>
          <w:lang w:val="en-US"/>
        </w:rPr>
        <w:t>. Retrieved February 09, 2016, from http://ssrn.com/abstract=2726584</w:t>
      </w:r>
    </w:p>
    <w:p w:rsidR="009540A9" w:rsidRDefault="009540A9" w:rsidP="009540A9">
      <w:pPr>
        <w:pStyle w:val="Bibliography"/>
        <w:ind w:left="720" w:hanging="720"/>
        <w:rPr>
          <w:noProof/>
          <w:lang w:val="en-US"/>
        </w:rPr>
      </w:pPr>
      <w:r>
        <w:rPr>
          <w:noProof/>
          <w:lang w:val="en-US"/>
        </w:rPr>
        <w:t xml:space="preserve">ASISA. (2015, June 30). </w:t>
      </w:r>
      <w:r>
        <w:rPr>
          <w:i/>
          <w:iCs/>
          <w:noProof/>
          <w:lang w:val="en-US"/>
        </w:rPr>
        <w:t>Statistics</w:t>
      </w:r>
      <w:r>
        <w:rPr>
          <w:noProof/>
          <w:lang w:val="en-US"/>
        </w:rPr>
        <w:t>. Retrieved February 09, 2016, from ASISA: http://www.asisa.org.za/en/statistics</w:t>
      </w:r>
    </w:p>
    <w:p w:rsidR="009540A9" w:rsidRDefault="009540A9" w:rsidP="009540A9">
      <w:pPr>
        <w:pStyle w:val="Bibliography"/>
        <w:ind w:left="720" w:hanging="720"/>
        <w:rPr>
          <w:noProof/>
          <w:lang w:val="en-US"/>
        </w:rPr>
      </w:pPr>
      <w:r>
        <w:rPr>
          <w:noProof/>
          <w:lang w:val="en-US"/>
        </w:rPr>
        <w:t xml:space="preserve">Association for Savings and Investment South Africa. (2015). </w:t>
      </w:r>
      <w:r>
        <w:rPr>
          <w:i/>
          <w:iCs/>
          <w:noProof/>
          <w:lang w:val="en-US"/>
        </w:rPr>
        <w:t>Home</w:t>
      </w:r>
      <w:r>
        <w:rPr>
          <w:noProof/>
          <w:lang w:val="en-US"/>
        </w:rPr>
        <w:t>. Retrieved June 28, 2015, from Association for Savings and Investment South Africa: http://asisa.org.za/index.php/en/</w:t>
      </w:r>
    </w:p>
    <w:p w:rsidR="009540A9" w:rsidRDefault="009540A9" w:rsidP="009540A9">
      <w:pPr>
        <w:pStyle w:val="Bibliography"/>
        <w:ind w:left="720" w:hanging="720"/>
        <w:rPr>
          <w:noProof/>
          <w:lang w:val="en-US"/>
        </w:rPr>
      </w:pPr>
      <w:r>
        <w:rPr>
          <w:noProof/>
          <w:lang w:val="en-US"/>
        </w:rPr>
        <w:t xml:space="preserve">Atkinson, S., Baird, S., &amp; Frye, M. (2003). Do female mutual fund managers manage differently. </w:t>
      </w:r>
      <w:r>
        <w:rPr>
          <w:i/>
          <w:iCs/>
          <w:noProof/>
          <w:lang w:val="en-US"/>
        </w:rPr>
        <w:t>The Journal of Financial Research, XXVI</w:t>
      </w:r>
      <w:r>
        <w:rPr>
          <w:noProof/>
          <w:lang w:val="en-US"/>
        </w:rPr>
        <w:t>(1), 1-18.</w:t>
      </w:r>
    </w:p>
    <w:p w:rsidR="009540A9" w:rsidRDefault="009540A9" w:rsidP="009540A9">
      <w:pPr>
        <w:pStyle w:val="Bibliography"/>
        <w:ind w:left="720" w:hanging="720"/>
        <w:rPr>
          <w:noProof/>
          <w:lang w:val="en-US"/>
        </w:rPr>
      </w:pPr>
      <w:r>
        <w:rPr>
          <w:noProof/>
          <w:lang w:val="en-US"/>
        </w:rPr>
        <w:t xml:space="preserve">Babalos, V., Caporale, G. M., &amp; Philippas, N. (2015, September). Gender, style, diversity and their effect on fund performance. </w:t>
      </w:r>
      <w:r>
        <w:rPr>
          <w:i/>
          <w:iCs/>
          <w:noProof/>
          <w:lang w:val="en-US"/>
        </w:rPr>
        <w:t>Research in International Business and Finance, 35</w:t>
      </w:r>
      <w:r>
        <w:rPr>
          <w:noProof/>
          <w:lang w:val="en-US"/>
        </w:rPr>
        <w:t>, 57-74.</w:t>
      </w:r>
    </w:p>
    <w:p w:rsidR="009540A9" w:rsidRDefault="009540A9" w:rsidP="009540A9">
      <w:pPr>
        <w:pStyle w:val="Bibliography"/>
        <w:ind w:left="720" w:hanging="720"/>
        <w:rPr>
          <w:noProof/>
          <w:lang w:val="en-US"/>
        </w:rPr>
      </w:pPr>
      <w:r>
        <w:rPr>
          <w:noProof/>
          <w:lang w:val="en-US"/>
        </w:rPr>
        <w:t xml:space="preserve">Barber, B., &amp; Odean, T. (2001). Boys will be boys: Gender, overconfidence and common stock investment. </w:t>
      </w:r>
      <w:r>
        <w:rPr>
          <w:i/>
          <w:iCs/>
          <w:noProof/>
          <w:lang w:val="en-US"/>
        </w:rPr>
        <w:t>The Quarterly Journal of Economics, 116</w:t>
      </w:r>
      <w:r>
        <w:rPr>
          <w:noProof/>
          <w:lang w:val="en-US"/>
        </w:rPr>
        <w:t>(1), 261-292.</w:t>
      </w:r>
    </w:p>
    <w:p w:rsidR="009540A9" w:rsidRDefault="009540A9" w:rsidP="009540A9">
      <w:pPr>
        <w:pStyle w:val="Bibliography"/>
        <w:ind w:left="720" w:hanging="720"/>
        <w:rPr>
          <w:noProof/>
          <w:lang w:val="en-US"/>
        </w:rPr>
      </w:pPr>
      <w:r>
        <w:rPr>
          <w:noProof/>
          <w:lang w:val="en-US"/>
        </w:rPr>
        <w:t xml:space="preserve">Baxter, R. (2009). </w:t>
      </w:r>
      <w:r>
        <w:rPr>
          <w:i/>
          <w:iCs/>
          <w:noProof/>
          <w:lang w:val="en-US"/>
        </w:rPr>
        <w:t>The global economic crisis and its impact on South Africa and the country’s mining industry.</w:t>
      </w:r>
      <w:r>
        <w:rPr>
          <w:noProof/>
          <w:lang w:val="en-US"/>
        </w:rPr>
        <w:t xml:space="preserve"> South African Reserve Bank, Johannesburg.</w:t>
      </w:r>
    </w:p>
    <w:p w:rsidR="009540A9" w:rsidRDefault="009540A9" w:rsidP="009540A9">
      <w:pPr>
        <w:pStyle w:val="Bibliography"/>
        <w:ind w:left="720" w:hanging="720"/>
        <w:rPr>
          <w:noProof/>
          <w:lang w:val="en-US"/>
        </w:rPr>
      </w:pPr>
      <w:r>
        <w:rPr>
          <w:noProof/>
          <w:lang w:val="en-US"/>
        </w:rPr>
        <w:t xml:space="preserve">Beckmann, D., &amp; Menkhoff, L. (2008). Will women be women? Analyzing the gender difference among financial experts. </w:t>
      </w:r>
      <w:r>
        <w:rPr>
          <w:i/>
          <w:iCs/>
          <w:noProof/>
          <w:lang w:val="en-US"/>
        </w:rPr>
        <w:t>Kyklos, 61</w:t>
      </w:r>
      <w:r>
        <w:rPr>
          <w:noProof/>
          <w:lang w:val="en-US"/>
        </w:rPr>
        <w:t>(3), 364–384.</w:t>
      </w:r>
    </w:p>
    <w:p w:rsidR="009540A9" w:rsidRDefault="009540A9" w:rsidP="009540A9">
      <w:pPr>
        <w:pStyle w:val="Bibliography"/>
        <w:ind w:left="720" w:hanging="720"/>
        <w:rPr>
          <w:noProof/>
          <w:lang w:val="en-US"/>
        </w:rPr>
      </w:pPr>
      <w:r>
        <w:rPr>
          <w:noProof/>
          <w:lang w:val="en-US"/>
        </w:rPr>
        <w:t xml:space="preserve">Berenson, M. L., Levine, D. M., &amp; Krehbiel, T. C. (2009). </w:t>
      </w:r>
      <w:r>
        <w:rPr>
          <w:i/>
          <w:iCs/>
          <w:noProof/>
          <w:lang w:val="en-US"/>
        </w:rPr>
        <w:t>Basic Business Statistics</w:t>
      </w:r>
      <w:r>
        <w:rPr>
          <w:noProof/>
          <w:lang w:val="en-US"/>
        </w:rPr>
        <w:t xml:space="preserve"> (2nd ed.). New Jersey: Pearson Education.</w:t>
      </w:r>
    </w:p>
    <w:p w:rsidR="009540A9" w:rsidRDefault="009540A9" w:rsidP="009540A9">
      <w:pPr>
        <w:pStyle w:val="Bibliography"/>
        <w:ind w:left="720" w:hanging="720"/>
        <w:rPr>
          <w:noProof/>
          <w:lang w:val="en-US"/>
        </w:rPr>
      </w:pPr>
      <w:r>
        <w:rPr>
          <w:noProof/>
          <w:lang w:val="en-US"/>
        </w:rPr>
        <w:t xml:space="preserve">Bertolis, D. E., &amp; Hayes, M. (2014). An investigation into South African general equity unit trust performance during different economic periods. </w:t>
      </w:r>
      <w:r>
        <w:rPr>
          <w:i/>
          <w:iCs/>
          <w:noProof/>
          <w:lang w:val="en-US"/>
        </w:rPr>
        <w:t>South African Acturial Journal, 14</w:t>
      </w:r>
      <w:r>
        <w:rPr>
          <w:noProof/>
          <w:lang w:val="en-US"/>
        </w:rPr>
        <w:t>(1), 73-99.</w:t>
      </w:r>
    </w:p>
    <w:p w:rsidR="009540A9" w:rsidRDefault="009540A9" w:rsidP="009540A9">
      <w:pPr>
        <w:pStyle w:val="Bibliography"/>
        <w:ind w:left="720" w:hanging="720"/>
        <w:rPr>
          <w:noProof/>
          <w:lang w:val="en-US"/>
        </w:rPr>
      </w:pPr>
      <w:r>
        <w:rPr>
          <w:noProof/>
          <w:lang w:val="en-US"/>
        </w:rPr>
        <w:t xml:space="preserve">Bliss, R. T., Potter, M. E., &amp; Schwarz, C. (2011, April 21). Decision Making and Risk Aversion in the Cash Cab. </w:t>
      </w:r>
      <w:r>
        <w:rPr>
          <w:i/>
          <w:iCs/>
          <w:noProof/>
          <w:lang w:val="en-US"/>
        </w:rPr>
        <w:t>Journal of Economic Behavior &amp; Organization, 84</w:t>
      </w:r>
      <w:r>
        <w:rPr>
          <w:noProof/>
          <w:lang w:val="en-US"/>
        </w:rPr>
        <w:t>(1), 163-173.</w:t>
      </w:r>
    </w:p>
    <w:p w:rsidR="009540A9" w:rsidRDefault="009540A9" w:rsidP="009540A9">
      <w:pPr>
        <w:pStyle w:val="Bibliography"/>
        <w:ind w:left="720" w:hanging="720"/>
        <w:rPr>
          <w:noProof/>
          <w:lang w:val="en-US"/>
        </w:rPr>
      </w:pPr>
      <w:r>
        <w:rPr>
          <w:noProof/>
          <w:lang w:val="en-US"/>
        </w:rPr>
        <w:t xml:space="preserve">Bryman, A. (2012). </w:t>
      </w:r>
      <w:r>
        <w:rPr>
          <w:i/>
          <w:iCs/>
          <w:noProof/>
          <w:lang w:val="en-US"/>
        </w:rPr>
        <w:t>Social research methods.</w:t>
      </w:r>
      <w:r>
        <w:rPr>
          <w:noProof/>
          <w:lang w:val="en-US"/>
        </w:rPr>
        <w:t xml:space="preserve"> New York: Oxford University Press Inc.</w:t>
      </w:r>
    </w:p>
    <w:p w:rsidR="009540A9" w:rsidRDefault="009540A9" w:rsidP="009540A9">
      <w:pPr>
        <w:pStyle w:val="Bibliography"/>
        <w:ind w:left="720" w:hanging="720"/>
        <w:rPr>
          <w:noProof/>
          <w:lang w:val="en-US"/>
        </w:rPr>
      </w:pPr>
      <w:r>
        <w:rPr>
          <w:noProof/>
          <w:lang w:val="en-US"/>
        </w:rPr>
        <w:t xml:space="preserve">Byrnes, J. P., Miller, D. C., &amp; Schafer, W. D. (1999). Gender differences in risk taking: A meta-analysis. </w:t>
      </w:r>
      <w:r>
        <w:rPr>
          <w:i/>
          <w:iCs/>
          <w:noProof/>
          <w:lang w:val="en-US"/>
        </w:rPr>
        <w:t>American Psychological Association, 125</w:t>
      </w:r>
      <w:r>
        <w:rPr>
          <w:noProof/>
          <w:lang w:val="en-US"/>
        </w:rPr>
        <w:t>(3), 367-383.</w:t>
      </w:r>
    </w:p>
    <w:p w:rsidR="009540A9" w:rsidRDefault="009540A9" w:rsidP="009540A9">
      <w:pPr>
        <w:pStyle w:val="Bibliography"/>
        <w:ind w:left="720" w:hanging="720"/>
        <w:rPr>
          <w:noProof/>
          <w:lang w:val="en-US"/>
        </w:rPr>
      </w:pPr>
      <w:r>
        <w:rPr>
          <w:noProof/>
          <w:lang w:val="en-US"/>
        </w:rPr>
        <w:t xml:space="preserve">Cabot-Alletzhauser, A. (2008, November 10). </w:t>
      </w:r>
      <w:r>
        <w:rPr>
          <w:i/>
          <w:iCs/>
          <w:noProof/>
          <w:lang w:val="en-US"/>
        </w:rPr>
        <w:t>Uncovering the layers of noise that mask manager skill</w:t>
      </w:r>
      <w:r>
        <w:rPr>
          <w:noProof/>
          <w:lang w:val="en-US"/>
        </w:rPr>
        <w:t>. Retrieved November 12, 2015, from Fin24: http://www.fin24.com/Collective-Insight/Benchmarking-performance/Uncovering-the-layers-of-noise-that-mask-manager-skill-20090825</w:t>
      </w:r>
    </w:p>
    <w:p w:rsidR="009540A9" w:rsidRDefault="009540A9" w:rsidP="009540A9">
      <w:pPr>
        <w:pStyle w:val="Bibliography"/>
        <w:ind w:left="720" w:hanging="720"/>
        <w:jc w:val="left"/>
        <w:rPr>
          <w:noProof/>
          <w:lang w:val="en-US"/>
        </w:rPr>
      </w:pPr>
      <w:r>
        <w:rPr>
          <w:noProof/>
          <w:lang w:val="en-US"/>
        </w:rPr>
        <w:t xml:space="preserve">Cairns, P. (2013, March 11). </w:t>
      </w:r>
      <w:r>
        <w:rPr>
          <w:i/>
          <w:iCs/>
          <w:noProof/>
          <w:lang w:val="en-US"/>
        </w:rPr>
        <w:t>The state of SA's unit trust industry</w:t>
      </w:r>
      <w:r>
        <w:rPr>
          <w:noProof/>
          <w:lang w:val="en-US"/>
        </w:rPr>
        <w:t>. Retrieved February 20, 2015, from Moneyweb: http://www.moneyweb.co.za/moneyweb-south-africa/the-state-of-sas-unit-trust-industry</w:t>
      </w:r>
    </w:p>
    <w:p w:rsidR="009540A9" w:rsidRDefault="009540A9" w:rsidP="009540A9">
      <w:pPr>
        <w:pStyle w:val="Bibliography"/>
        <w:ind w:left="720" w:hanging="720"/>
        <w:rPr>
          <w:noProof/>
          <w:lang w:val="en-US"/>
        </w:rPr>
      </w:pPr>
      <w:r>
        <w:rPr>
          <w:noProof/>
          <w:lang w:val="en-US"/>
        </w:rPr>
        <w:t xml:space="preserve">Chevalier, J., &amp; Ellison, G. (1999). Are some mutual fund managers better than others? Cross-sectional patterns in behavior and performance. </w:t>
      </w:r>
      <w:r>
        <w:rPr>
          <w:i/>
          <w:iCs/>
          <w:noProof/>
          <w:lang w:val="en-US"/>
        </w:rPr>
        <w:t>Journal of Finance, 54</w:t>
      </w:r>
      <w:r>
        <w:rPr>
          <w:noProof/>
          <w:lang w:val="en-US"/>
        </w:rPr>
        <w:t>(3), 875-899.</w:t>
      </w:r>
    </w:p>
    <w:p w:rsidR="009540A9" w:rsidRDefault="009540A9" w:rsidP="009540A9">
      <w:pPr>
        <w:pStyle w:val="Bibliography"/>
        <w:ind w:left="720" w:hanging="720"/>
        <w:jc w:val="left"/>
        <w:rPr>
          <w:noProof/>
          <w:lang w:val="en-US"/>
        </w:rPr>
      </w:pPr>
      <w:r>
        <w:rPr>
          <w:noProof/>
          <w:lang w:val="en-US"/>
        </w:rPr>
        <w:t xml:space="preserve">Colby, L. (2015, September 16). </w:t>
      </w:r>
      <w:r>
        <w:rPr>
          <w:i/>
          <w:iCs/>
          <w:noProof/>
          <w:lang w:val="en-US"/>
        </w:rPr>
        <w:t>Funds cashing in on gender-lens investing trend</w:t>
      </w:r>
      <w:r>
        <w:rPr>
          <w:noProof/>
          <w:lang w:val="en-US"/>
        </w:rPr>
        <w:t>. Retrieved February 02, 2016, from Business Day Live: http://www.bdlive.co.za/business/management/2015/09/16/funds-cashing-in-on-gender-lens-investing-trend</w:t>
      </w:r>
    </w:p>
    <w:p w:rsidR="009540A9" w:rsidRDefault="009540A9" w:rsidP="009540A9">
      <w:pPr>
        <w:pStyle w:val="Bibliography"/>
        <w:ind w:left="720" w:hanging="720"/>
        <w:rPr>
          <w:noProof/>
          <w:lang w:val="en-US"/>
        </w:rPr>
      </w:pPr>
      <w:r>
        <w:rPr>
          <w:noProof/>
          <w:lang w:val="en-US"/>
        </w:rPr>
        <w:t xml:space="preserve">Dezso, C., &amp; Ross, D. (2012). Does female representation in the top management improve firm performance? A panel date investigation. </w:t>
      </w:r>
      <w:r>
        <w:rPr>
          <w:i/>
          <w:iCs/>
          <w:noProof/>
          <w:lang w:val="en-US"/>
        </w:rPr>
        <w:t>Strategic Management Journal, 33</w:t>
      </w:r>
      <w:r>
        <w:rPr>
          <w:noProof/>
          <w:lang w:val="en-US"/>
        </w:rPr>
        <w:t>(9), 1072-1089.</w:t>
      </w:r>
    </w:p>
    <w:p w:rsidR="009540A9" w:rsidRDefault="009540A9" w:rsidP="009540A9">
      <w:pPr>
        <w:pStyle w:val="Bibliography"/>
        <w:ind w:left="720" w:hanging="720"/>
        <w:jc w:val="left"/>
        <w:rPr>
          <w:noProof/>
          <w:lang w:val="en-US"/>
        </w:rPr>
      </w:pPr>
      <w:r>
        <w:rPr>
          <w:noProof/>
          <w:lang w:val="en-US"/>
        </w:rPr>
        <w:t xml:space="preserve">Ding , B., &amp; Wermers, R. (2005, April 27). </w:t>
      </w:r>
      <w:r>
        <w:rPr>
          <w:i/>
          <w:iCs/>
          <w:noProof/>
          <w:lang w:val="en-US"/>
        </w:rPr>
        <w:t>The performance and risk-taking behavior of mutual fund managers and the role of fund directors.</w:t>
      </w:r>
      <w:r>
        <w:rPr>
          <w:noProof/>
          <w:lang w:val="en-US"/>
        </w:rPr>
        <w:t xml:space="preserve"> Working paper, SUNY at Albany, Department of Finance, Albany. Retrieved February 20, 2015, from http://citeseerx.ist.psu.edu/viewdoc/download?doi=10.1.1.397.4185&amp;rep=rep1&amp;type=pdf</w:t>
      </w:r>
    </w:p>
    <w:p w:rsidR="009540A9" w:rsidRDefault="009540A9" w:rsidP="009540A9">
      <w:pPr>
        <w:pStyle w:val="Bibliography"/>
        <w:ind w:left="720" w:hanging="720"/>
        <w:rPr>
          <w:noProof/>
          <w:lang w:val="en-US"/>
        </w:rPr>
      </w:pPr>
      <w:r>
        <w:rPr>
          <w:noProof/>
          <w:lang w:val="en-US"/>
        </w:rPr>
        <w:t xml:space="preserve">Faccio, M., Marchica, M., &amp; Mura, R. (2014). </w:t>
      </w:r>
      <w:r>
        <w:rPr>
          <w:i/>
          <w:iCs/>
          <w:noProof/>
          <w:lang w:val="en-US"/>
        </w:rPr>
        <w:t>CEO Gender, Corporate Risk-Taking and the Efficiency of Capital Allocation.</w:t>
      </w:r>
      <w:r>
        <w:rPr>
          <w:noProof/>
          <w:lang w:val="en-US"/>
        </w:rPr>
        <w:t xml:space="preserve"> University of Manchester, Manchester.</w:t>
      </w:r>
    </w:p>
    <w:p w:rsidR="009540A9" w:rsidRDefault="009540A9" w:rsidP="009540A9">
      <w:pPr>
        <w:pStyle w:val="Bibliography"/>
        <w:ind w:left="720" w:hanging="720"/>
        <w:rPr>
          <w:noProof/>
          <w:lang w:val="en-US"/>
        </w:rPr>
      </w:pPr>
      <w:r>
        <w:rPr>
          <w:noProof/>
          <w:lang w:val="en-US"/>
        </w:rPr>
        <w:t xml:space="preserve">Faff, R., Hallahan, T., &amp; McKenzie, M. (2011). Women and risk tolerance in an ageing world. </w:t>
      </w:r>
      <w:r>
        <w:rPr>
          <w:i/>
          <w:iCs/>
          <w:noProof/>
          <w:lang w:val="en-US"/>
        </w:rPr>
        <w:t>Internal Journal of Accounting and Information Management, 19</w:t>
      </w:r>
      <w:r>
        <w:rPr>
          <w:noProof/>
          <w:lang w:val="en-US"/>
        </w:rPr>
        <w:t>(2), 100-117.</w:t>
      </w:r>
    </w:p>
    <w:p w:rsidR="009540A9" w:rsidRDefault="009540A9" w:rsidP="009540A9">
      <w:pPr>
        <w:pStyle w:val="Bibliography"/>
        <w:ind w:left="720" w:hanging="720"/>
        <w:rPr>
          <w:noProof/>
          <w:lang w:val="en-US"/>
        </w:rPr>
      </w:pPr>
      <w:r>
        <w:rPr>
          <w:noProof/>
          <w:lang w:val="en-US"/>
        </w:rPr>
        <w:t xml:space="preserve">Fama, E. (1970). Efficient Capital Markets: A Review of Theory and Empirical Work. </w:t>
      </w:r>
      <w:r>
        <w:rPr>
          <w:i/>
          <w:iCs/>
          <w:noProof/>
          <w:lang w:val="en-US"/>
        </w:rPr>
        <w:t>The Journal of Finance, 25</w:t>
      </w:r>
      <w:r>
        <w:rPr>
          <w:noProof/>
          <w:lang w:val="en-US"/>
        </w:rPr>
        <w:t>(2), 383-417.</w:t>
      </w:r>
    </w:p>
    <w:p w:rsidR="009540A9" w:rsidRDefault="009540A9" w:rsidP="00685F85">
      <w:pPr>
        <w:pStyle w:val="Bibliography"/>
        <w:ind w:left="720" w:hanging="720"/>
        <w:jc w:val="left"/>
        <w:rPr>
          <w:noProof/>
          <w:lang w:val="en-US"/>
        </w:rPr>
      </w:pPr>
      <w:r>
        <w:rPr>
          <w:noProof/>
          <w:lang w:val="en-US"/>
        </w:rPr>
        <w:t xml:space="preserve">Finweek . (2014, June 18). </w:t>
      </w:r>
      <w:r>
        <w:rPr>
          <w:i/>
          <w:iCs/>
          <w:noProof/>
          <w:lang w:val="en-US"/>
        </w:rPr>
        <w:t>Investment</w:t>
      </w:r>
      <w:r>
        <w:rPr>
          <w:noProof/>
          <w:lang w:val="en-US"/>
        </w:rPr>
        <w:t>. Retrieved F</w:t>
      </w:r>
      <w:r w:rsidR="00685F85">
        <w:rPr>
          <w:noProof/>
          <w:lang w:val="en-US"/>
        </w:rPr>
        <w:t xml:space="preserve">ebruary 20, 2015, from Finweek: </w:t>
      </w:r>
      <w:r>
        <w:rPr>
          <w:noProof/>
          <w:lang w:val="en-US"/>
        </w:rPr>
        <w:t>http://finweek.com/2014/06/18/investment-six-key-steps-choosing-unit-trust-fund/</w:t>
      </w:r>
    </w:p>
    <w:p w:rsidR="009540A9" w:rsidRDefault="009540A9" w:rsidP="009540A9">
      <w:pPr>
        <w:pStyle w:val="Bibliography"/>
        <w:ind w:left="720" w:hanging="720"/>
        <w:jc w:val="left"/>
        <w:rPr>
          <w:noProof/>
          <w:lang w:val="en-US"/>
        </w:rPr>
      </w:pPr>
      <w:r>
        <w:rPr>
          <w:noProof/>
          <w:lang w:val="en-US"/>
        </w:rPr>
        <w:t xml:space="preserve">Foley, S. (2015, February 9). </w:t>
      </w:r>
      <w:r>
        <w:rPr>
          <w:i/>
          <w:iCs/>
          <w:noProof/>
          <w:lang w:val="en-US"/>
        </w:rPr>
        <w:t>Is gender a factor in fund performance.</w:t>
      </w:r>
      <w:r>
        <w:rPr>
          <w:noProof/>
          <w:lang w:val="en-US"/>
        </w:rPr>
        <w:t xml:space="preserve"> Retrieved February 20, 2015, from Financial Times: http://www.ft.com/cms/s/0/92007f04-b035-11e4-92b6-00144feab7de.html#axzz3SMpYXY18</w:t>
      </w:r>
    </w:p>
    <w:p w:rsidR="009540A9" w:rsidRDefault="009540A9" w:rsidP="009540A9">
      <w:pPr>
        <w:pStyle w:val="Bibliography"/>
        <w:ind w:left="720" w:hanging="720"/>
        <w:jc w:val="left"/>
        <w:rPr>
          <w:noProof/>
          <w:lang w:val="en-US"/>
        </w:rPr>
      </w:pPr>
      <w:r>
        <w:rPr>
          <w:noProof/>
          <w:lang w:val="en-US"/>
        </w:rPr>
        <w:t xml:space="preserve">Friis, L. (2003). </w:t>
      </w:r>
      <w:r>
        <w:rPr>
          <w:i/>
          <w:iCs/>
          <w:noProof/>
          <w:lang w:val="en-US"/>
        </w:rPr>
        <w:t>Are some fund managers better than others? The relationship between manager characteristics and fund performance.</w:t>
      </w:r>
      <w:r>
        <w:rPr>
          <w:noProof/>
          <w:lang w:val="en-US"/>
        </w:rPr>
        <w:t xml:space="preserve"> Cape Town: Stellenbosch University. Retrieved June 20, 2015, from http://scholar.sun.ac.za</w:t>
      </w:r>
    </w:p>
    <w:p w:rsidR="009540A9" w:rsidRDefault="009540A9" w:rsidP="009540A9">
      <w:pPr>
        <w:pStyle w:val="Bibliography"/>
        <w:ind w:left="720" w:hanging="720"/>
        <w:jc w:val="left"/>
        <w:rPr>
          <w:noProof/>
          <w:lang w:val="en-US"/>
        </w:rPr>
      </w:pPr>
      <w:r>
        <w:rPr>
          <w:noProof/>
          <w:lang w:val="en-US"/>
        </w:rPr>
        <w:t xml:space="preserve">Grey, J. P. (2005). </w:t>
      </w:r>
      <w:r>
        <w:rPr>
          <w:i/>
          <w:iCs/>
          <w:noProof/>
          <w:lang w:val="en-US"/>
        </w:rPr>
        <w:t>Performance and performance persistence in South African general equity unit trusts, a test of South African market efficiency.</w:t>
      </w:r>
      <w:r>
        <w:rPr>
          <w:noProof/>
          <w:lang w:val="en-US"/>
        </w:rPr>
        <w:t xml:space="preserve"> Doctoral dissertation, University of Cape Town, Department of Finance &amp; Tax, Cape Town. Retrieved June 28, 2015, from https://open.uct.ac.za/handle/11427/10573</w:t>
      </w:r>
    </w:p>
    <w:p w:rsidR="009540A9" w:rsidRDefault="009540A9" w:rsidP="009540A9">
      <w:pPr>
        <w:pStyle w:val="Bibliography"/>
        <w:ind w:left="720" w:hanging="720"/>
        <w:rPr>
          <w:noProof/>
          <w:lang w:val="en-US"/>
        </w:rPr>
      </w:pPr>
      <w:r>
        <w:rPr>
          <w:noProof/>
          <w:lang w:val="en-US"/>
        </w:rPr>
        <w:t xml:space="preserve">Guercio, D. D., &amp; Rueter, J. (2014, August). Mutual fund performance and the incentive to generate alpha. </w:t>
      </w:r>
      <w:r>
        <w:rPr>
          <w:i/>
          <w:iCs/>
          <w:noProof/>
          <w:lang w:val="en-US"/>
        </w:rPr>
        <w:t>The Journal of Finance, 69</w:t>
      </w:r>
      <w:r>
        <w:rPr>
          <w:noProof/>
          <w:lang w:val="en-US"/>
        </w:rPr>
        <w:t>(4), 1673-1704.</w:t>
      </w:r>
    </w:p>
    <w:p w:rsidR="009540A9" w:rsidRDefault="009540A9" w:rsidP="009540A9">
      <w:pPr>
        <w:pStyle w:val="Bibliography"/>
        <w:ind w:left="720" w:hanging="720"/>
        <w:rPr>
          <w:noProof/>
          <w:lang w:val="en-US"/>
        </w:rPr>
      </w:pPr>
      <w:r>
        <w:rPr>
          <w:noProof/>
          <w:lang w:val="en-US"/>
        </w:rPr>
        <w:t xml:space="preserve">Hackethal, A., Haliassos, M., &amp; Jappelli, T. (2012). Financial advisors: A case of babysitters? </w:t>
      </w:r>
      <w:r>
        <w:rPr>
          <w:i/>
          <w:iCs/>
          <w:noProof/>
          <w:lang w:val="en-US"/>
        </w:rPr>
        <w:t>Journal of Banking &amp; Finance, 36</w:t>
      </w:r>
      <w:r>
        <w:rPr>
          <w:noProof/>
          <w:lang w:val="en-US"/>
        </w:rPr>
        <w:t>(2), 509-524.</w:t>
      </w:r>
    </w:p>
    <w:p w:rsidR="009540A9" w:rsidRDefault="009540A9" w:rsidP="009540A9">
      <w:pPr>
        <w:pStyle w:val="Bibliography"/>
        <w:ind w:left="720" w:hanging="720"/>
        <w:rPr>
          <w:noProof/>
          <w:lang w:val="en-US"/>
        </w:rPr>
      </w:pPr>
      <w:r>
        <w:rPr>
          <w:noProof/>
          <w:lang w:val="en-US"/>
        </w:rPr>
        <w:t xml:space="preserve">Hira, T., &amp; Loibl, C. (2008). </w:t>
      </w:r>
      <w:r>
        <w:rPr>
          <w:i/>
          <w:iCs/>
          <w:noProof/>
          <w:lang w:val="en-US"/>
        </w:rPr>
        <w:t>Gender Differences in Investment Behavior.</w:t>
      </w:r>
      <w:r>
        <w:rPr>
          <w:noProof/>
          <w:lang w:val="en-US"/>
        </w:rPr>
        <w:t xml:space="preserve"> Iowa State University. New York: Springer. Retrieved February 25, 2016, from http://www.finrafoundation.org/web/groups/foundation/@foundation/documents/foundation/p118417.pdf</w:t>
      </w:r>
    </w:p>
    <w:p w:rsidR="009540A9" w:rsidRDefault="009540A9" w:rsidP="009540A9">
      <w:pPr>
        <w:pStyle w:val="Bibliography"/>
        <w:ind w:left="720" w:hanging="720"/>
        <w:jc w:val="left"/>
        <w:rPr>
          <w:noProof/>
          <w:lang w:val="en-US"/>
        </w:rPr>
      </w:pPr>
      <w:r>
        <w:rPr>
          <w:noProof/>
          <w:lang w:val="en-US"/>
        </w:rPr>
        <w:t xml:space="preserve">Hübler, O., &amp; Menkhoff, L. (2011). Do women manage smaller funds? </w:t>
      </w:r>
      <w:r>
        <w:rPr>
          <w:i/>
          <w:iCs/>
          <w:noProof/>
          <w:lang w:val="en-US"/>
        </w:rPr>
        <w:t>Scottish Journal of Political Economy, 58</w:t>
      </w:r>
      <w:r>
        <w:rPr>
          <w:noProof/>
          <w:lang w:val="en-US"/>
        </w:rPr>
        <w:t>(1), 107-126. Retrieved February 05, 2016, from http://onlinelibrary.wiley.com/doi/10.1111/j.1467-9485.2010.00537.x/full</w:t>
      </w:r>
    </w:p>
    <w:p w:rsidR="009540A9" w:rsidRDefault="009540A9" w:rsidP="009540A9">
      <w:pPr>
        <w:pStyle w:val="Bibliography"/>
        <w:ind w:left="720" w:hanging="720"/>
        <w:jc w:val="left"/>
        <w:rPr>
          <w:noProof/>
          <w:lang w:val="en-US"/>
        </w:rPr>
      </w:pPr>
      <w:r>
        <w:rPr>
          <w:noProof/>
          <w:lang w:val="en-US"/>
        </w:rPr>
        <w:t xml:space="preserve">International Monetary Fund. (2008, October). </w:t>
      </w:r>
      <w:r>
        <w:rPr>
          <w:i/>
          <w:iCs/>
          <w:noProof/>
          <w:lang w:val="en-US"/>
        </w:rPr>
        <w:t>South Africa: Financial system stability assessment,including report on the observance of standards and codes on the following topic: Securities Regulation.</w:t>
      </w:r>
      <w:r>
        <w:rPr>
          <w:noProof/>
          <w:lang w:val="en-US"/>
        </w:rPr>
        <w:t xml:space="preserve"> Retrieved February 21, 2015, from International Monetary Fund: http://www.imf.org/external/pubs/ft/scr/2008/cr08349.pdf</w:t>
      </w:r>
    </w:p>
    <w:p w:rsidR="009540A9" w:rsidRDefault="009540A9" w:rsidP="00685F85">
      <w:pPr>
        <w:pStyle w:val="Bibliography"/>
        <w:ind w:left="720" w:hanging="720"/>
        <w:jc w:val="left"/>
        <w:rPr>
          <w:noProof/>
          <w:lang w:val="en-US"/>
        </w:rPr>
      </w:pPr>
      <w:r>
        <w:rPr>
          <w:noProof/>
          <w:lang w:val="en-US"/>
        </w:rPr>
        <w:t xml:space="preserve">Investment Company Institute Global. (2014, March 31). </w:t>
      </w:r>
      <w:r>
        <w:rPr>
          <w:i/>
          <w:iCs/>
          <w:noProof/>
          <w:lang w:val="en-US"/>
        </w:rPr>
        <w:t>Global Mutual Fund Industry Experiencing Rapid Growth</w:t>
      </w:r>
      <w:r>
        <w:rPr>
          <w:noProof/>
          <w:lang w:val="en-US"/>
        </w:rPr>
        <w:t>. Retrieved June 28, 2015, from ICI Global:</w:t>
      </w:r>
      <w:r w:rsidR="00685F85">
        <w:rPr>
          <w:noProof/>
          <w:lang w:val="en-US"/>
        </w:rPr>
        <w:t xml:space="preserve"> </w:t>
      </w:r>
      <w:r>
        <w:rPr>
          <w:noProof/>
          <w:lang w:val="en-US"/>
        </w:rPr>
        <w:t>https://www.iciglobal.org/iciglobal/news/news/ci.14_news_icig_</w:t>
      </w:r>
      <w:r w:rsidR="00685F85">
        <w:rPr>
          <w:noProof/>
          <w:lang w:val="en-US"/>
        </w:rPr>
        <w:t xml:space="preserve"> </w:t>
      </w:r>
      <w:r>
        <w:rPr>
          <w:noProof/>
          <w:lang w:val="en-US"/>
        </w:rPr>
        <w:t>globalisation.global</w:t>
      </w:r>
    </w:p>
    <w:p w:rsidR="009540A9" w:rsidRDefault="009540A9" w:rsidP="00685F85">
      <w:pPr>
        <w:pStyle w:val="Bibliography"/>
        <w:ind w:left="720" w:hanging="720"/>
        <w:jc w:val="left"/>
        <w:rPr>
          <w:noProof/>
          <w:lang w:val="en-US"/>
        </w:rPr>
      </w:pPr>
      <w:r>
        <w:rPr>
          <w:noProof/>
          <w:lang w:val="en-US"/>
        </w:rPr>
        <w:t xml:space="preserve">Investor Hub Inc. (2015). </w:t>
      </w:r>
      <w:r>
        <w:rPr>
          <w:i/>
          <w:iCs/>
          <w:noProof/>
          <w:lang w:val="en-US"/>
        </w:rPr>
        <w:t>Stock market definations</w:t>
      </w:r>
      <w:r>
        <w:rPr>
          <w:noProof/>
          <w:lang w:val="en-US"/>
        </w:rPr>
        <w:t>. Retrieved</w:t>
      </w:r>
      <w:r w:rsidR="00685F85">
        <w:rPr>
          <w:noProof/>
          <w:lang w:val="en-US"/>
        </w:rPr>
        <w:t xml:space="preserve"> 06 03, 2015, from InvestorHub: h</w:t>
      </w:r>
      <w:r>
        <w:rPr>
          <w:noProof/>
          <w:lang w:val="en-US"/>
        </w:rPr>
        <w:t>ttp://learn.advfn.com/index.php?title=Stock_Market_</w:t>
      </w:r>
      <w:r w:rsidR="00685F85">
        <w:rPr>
          <w:noProof/>
          <w:lang w:val="en-US"/>
        </w:rPr>
        <w:t xml:space="preserve"> </w:t>
      </w:r>
      <w:r>
        <w:rPr>
          <w:noProof/>
          <w:lang w:val="en-US"/>
        </w:rPr>
        <w:t>Definitions#Introduction_to_the_stock_market_and_investing</w:t>
      </w:r>
    </w:p>
    <w:p w:rsidR="009540A9" w:rsidRDefault="009540A9" w:rsidP="009540A9">
      <w:pPr>
        <w:pStyle w:val="Bibliography"/>
        <w:ind w:left="720" w:hanging="720"/>
        <w:rPr>
          <w:noProof/>
          <w:lang w:val="en-US"/>
        </w:rPr>
      </w:pPr>
      <w:r>
        <w:rPr>
          <w:noProof/>
          <w:lang w:val="en-US"/>
        </w:rPr>
        <w:t xml:space="preserve">Jenson, M. C. (2012). The performance of mutual funds in the period 1945-1964. </w:t>
      </w:r>
      <w:r>
        <w:rPr>
          <w:i/>
          <w:iCs/>
          <w:noProof/>
          <w:lang w:val="en-US"/>
        </w:rPr>
        <w:t>The Journal of Finance, 23</w:t>
      </w:r>
      <w:r>
        <w:rPr>
          <w:noProof/>
          <w:lang w:val="en-US"/>
        </w:rPr>
        <w:t>(2), 389-415.</w:t>
      </w:r>
    </w:p>
    <w:p w:rsidR="009540A9" w:rsidRDefault="009540A9" w:rsidP="009540A9">
      <w:pPr>
        <w:pStyle w:val="Bibliography"/>
        <w:ind w:left="720" w:hanging="720"/>
        <w:rPr>
          <w:noProof/>
          <w:lang w:val="en-US"/>
        </w:rPr>
      </w:pPr>
      <w:r>
        <w:rPr>
          <w:noProof/>
          <w:lang w:val="en-US"/>
        </w:rPr>
        <w:t xml:space="preserve">Jones, M. (2014). </w:t>
      </w:r>
      <w:r>
        <w:rPr>
          <w:i/>
          <w:iCs/>
          <w:noProof/>
          <w:lang w:val="en-US"/>
        </w:rPr>
        <w:t>Women in alternative investments: A marathon, not a sprint.</w:t>
      </w:r>
      <w:r>
        <w:rPr>
          <w:noProof/>
          <w:lang w:val="en-US"/>
        </w:rPr>
        <w:t xml:space="preserve"> Retrieved February 20, 2015, from KPMG: http://www.kpmg-institutes.com/content/dam/kpmg/kpmginstitutes/pdf/2014/women-in-alternative-investments.pdf</w:t>
      </w:r>
    </w:p>
    <w:p w:rsidR="009540A9" w:rsidRDefault="009540A9" w:rsidP="009540A9">
      <w:pPr>
        <w:pStyle w:val="Bibliography"/>
        <w:ind w:left="720" w:hanging="720"/>
        <w:rPr>
          <w:noProof/>
          <w:lang w:val="en-US"/>
        </w:rPr>
      </w:pPr>
      <w:r>
        <w:rPr>
          <w:noProof/>
          <w:lang w:val="en-US"/>
        </w:rPr>
        <w:t xml:space="preserve">Knight, E., &amp; Firer, C. (1989). The performance of south african unit trusts 1977-1986. </w:t>
      </w:r>
      <w:r>
        <w:rPr>
          <w:i/>
          <w:iCs/>
          <w:noProof/>
          <w:lang w:val="en-US"/>
        </w:rPr>
        <w:t>South African Journal of Econmics, 57</w:t>
      </w:r>
      <w:r>
        <w:rPr>
          <w:noProof/>
          <w:lang w:val="en-US"/>
        </w:rPr>
        <w:t>(1), 53-68.</w:t>
      </w:r>
    </w:p>
    <w:p w:rsidR="009540A9" w:rsidRDefault="009540A9" w:rsidP="009540A9">
      <w:pPr>
        <w:pStyle w:val="Bibliography"/>
        <w:ind w:left="720" w:hanging="720"/>
        <w:rPr>
          <w:noProof/>
          <w:lang w:val="en-US"/>
        </w:rPr>
      </w:pPr>
      <w:r>
        <w:rPr>
          <w:noProof/>
          <w:lang w:val="en-US"/>
        </w:rPr>
        <w:t xml:space="preserve">Krige, J., &amp; Fox, M. (2013). Investigating the sources of performance in South African general equity unit trusts. </w:t>
      </w:r>
      <w:r>
        <w:rPr>
          <w:i/>
          <w:iCs/>
          <w:noProof/>
          <w:lang w:val="en-US"/>
        </w:rPr>
        <w:t>Investment Analysts Journal, 42</w:t>
      </w:r>
      <w:r>
        <w:rPr>
          <w:noProof/>
          <w:lang w:val="en-US"/>
        </w:rPr>
        <w:t>(77), 45 - 54.</w:t>
      </w:r>
    </w:p>
    <w:p w:rsidR="009540A9" w:rsidRDefault="009540A9" w:rsidP="009540A9">
      <w:pPr>
        <w:pStyle w:val="Bibliography"/>
        <w:ind w:left="720" w:hanging="720"/>
        <w:rPr>
          <w:noProof/>
          <w:lang w:val="en-US"/>
        </w:rPr>
      </w:pPr>
      <w:r>
        <w:rPr>
          <w:noProof/>
          <w:lang w:val="en-US"/>
        </w:rPr>
        <w:t xml:space="preserve">La Roche, J. (2013, May 23). </w:t>
      </w:r>
      <w:r>
        <w:rPr>
          <w:i/>
          <w:iCs/>
          <w:noProof/>
          <w:lang w:val="en-US"/>
        </w:rPr>
        <w:t>Paul Tudor Jones: Babies are the biggest 'Killer' bf women's trading success</w:t>
      </w:r>
      <w:r>
        <w:rPr>
          <w:noProof/>
          <w:lang w:val="en-US"/>
        </w:rPr>
        <w:t>. Retrieved February 20, 2015, from Business Insider: http://www.businessinsider.com/tudor-jones-babies-killer-to-trading-2013-5</w:t>
      </w:r>
    </w:p>
    <w:p w:rsidR="009540A9" w:rsidRDefault="009540A9" w:rsidP="009540A9">
      <w:pPr>
        <w:pStyle w:val="Bibliography"/>
        <w:ind w:left="720" w:hanging="720"/>
        <w:jc w:val="left"/>
        <w:rPr>
          <w:noProof/>
          <w:lang w:val="en-US"/>
        </w:rPr>
      </w:pPr>
      <w:r>
        <w:rPr>
          <w:noProof/>
          <w:lang w:val="en-US"/>
        </w:rPr>
        <w:t xml:space="preserve">Lester, N., &amp; Corubolo, D. (2015). The sources of South African equity fund performance. </w:t>
      </w:r>
      <w:r>
        <w:rPr>
          <w:i/>
          <w:iCs/>
          <w:noProof/>
          <w:lang w:val="en-US"/>
        </w:rPr>
        <w:t>Actuarial Society of South Africa’s 2015 Convention</w:t>
      </w:r>
      <w:r>
        <w:rPr>
          <w:noProof/>
          <w:lang w:val="en-US"/>
        </w:rPr>
        <w:t xml:space="preserve"> (pp. 140-196). Sandton: Actuarial Society of South Africa. Retrieved February 27, 2016, from http://actuarialsocietyconvention.org.za/wp-content/uploads/2015/11/2015-LesterCorubolo.pdf</w:t>
      </w:r>
    </w:p>
    <w:p w:rsidR="009540A9" w:rsidRDefault="009540A9" w:rsidP="009540A9">
      <w:pPr>
        <w:pStyle w:val="Bibliography"/>
        <w:ind w:left="720" w:hanging="720"/>
        <w:rPr>
          <w:noProof/>
          <w:lang w:val="en-US"/>
        </w:rPr>
      </w:pPr>
      <w:r>
        <w:rPr>
          <w:noProof/>
          <w:lang w:val="en-US"/>
        </w:rPr>
        <w:t xml:space="preserve">Lutton, L. P., &amp; Davis, E. (2015, June 30). </w:t>
      </w:r>
      <w:r>
        <w:rPr>
          <w:i/>
          <w:iCs/>
          <w:noProof/>
          <w:lang w:val="en-US"/>
        </w:rPr>
        <w:t>Fund Managers by Gender.</w:t>
      </w:r>
      <w:r>
        <w:rPr>
          <w:noProof/>
          <w:lang w:val="en-US"/>
        </w:rPr>
        <w:t xml:space="preserve"> MorningStar. Retrieved February 09, 2016, from MorningStar: http://corporate.morningstar.com/US/documents/ResearchPapers/Fund-Managers-by-Gender.pdf</w:t>
      </w:r>
    </w:p>
    <w:p w:rsidR="009540A9" w:rsidRDefault="009540A9" w:rsidP="009540A9">
      <w:pPr>
        <w:pStyle w:val="Bibliography"/>
        <w:ind w:left="720" w:hanging="720"/>
        <w:rPr>
          <w:noProof/>
          <w:lang w:val="en-US"/>
        </w:rPr>
      </w:pPr>
      <w:r>
        <w:rPr>
          <w:noProof/>
          <w:lang w:val="en-US"/>
        </w:rPr>
        <w:t xml:space="preserve">Maxfield, S., &amp; Shapiro, M. (2010). Gender and risk: women, risk taking and risk aversion. </w:t>
      </w:r>
      <w:r>
        <w:rPr>
          <w:i/>
          <w:iCs/>
          <w:noProof/>
          <w:lang w:val="en-US"/>
        </w:rPr>
        <w:t>Gender in Management: An International Journal, 25</w:t>
      </w:r>
      <w:r>
        <w:rPr>
          <w:noProof/>
          <w:lang w:val="en-US"/>
        </w:rPr>
        <w:t>(7), 586-604.</w:t>
      </w:r>
    </w:p>
    <w:p w:rsidR="009540A9" w:rsidRDefault="009540A9" w:rsidP="009540A9">
      <w:pPr>
        <w:pStyle w:val="Bibliography"/>
        <w:ind w:left="720" w:hanging="720"/>
        <w:rPr>
          <w:noProof/>
          <w:lang w:val="en-US"/>
        </w:rPr>
      </w:pPr>
      <w:r>
        <w:rPr>
          <w:noProof/>
          <w:lang w:val="en-US"/>
        </w:rPr>
        <w:t xml:space="preserve">Meyer-Pretorius, M. C., &amp; Wolmarans, H. P. (2006). The unit trust industry in South Africa from 1965 to June 2005: are investors better off? </w:t>
      </w:r>
      <w:r>
        <w:rPr>
          <w:i/>
          <w:iCs/>
          <w:noProof/>
          <w:lang w:val="en-US"/>
        </w:rPr>
        <w:t>Meditari Accountancy Research, 14</w:t>
      </w:r>
      <w:r>
        <w:rPr>
          <w:noProof/>
          <w:lang w:val="en-US"/>
        </w:rPr>
        <w:t>(1), 49-67.</w:t>
      </w:r>
    </w:p>
    <w:p w:rsidR="00685F85" w:rsidRDefault="00685F85" w:rsidP="00685F85">
      <w:pPr>
        <w:rPr>
          <w:lang w:val="en-US"/>
        </w:rPr>
      </w:pPr>
    </w:p>
    <w:p w:rsidR="00685F85" w:rsidRPr="00685F85" w:rsidRDefault="00685F85" w:rsidP="00685F85">
      <w:pPr>
        <w:rPr>
          <w:lang w:val="en-US"/>
        </w:rPr>
      </w:pPr>
    </w:p>
    <w:p w:rsidR="009540A9" w:rsidRDefault="009540A9" w:rsidP="00685F85">
      <w:pPr>
        <w:pStyle w:val="Bibliography"/>
        <w:ind w:left="720" w:hanging="720"/>
        <w:jc w:val="left"/>
        <w:rPr>
          <w:noProof/>
          <w:lang w:val="en-US"/>
        </w:rPr>
      </w:pPr>
      <w:r>
        <w:rPr>
          <w:noProof/>
          <w:lang w:val="en-US"/>
        </w:rPr>
        <w:t xml:space="preserve">Mibiola, O. J. (2013). </w:t>
      </w:r>
      <w:r>
        <w:rPr>
          <w:i/>
          <w:iCs/>
          <w:noProof/>
          <w:lang w:val="en-US"/>
        </w:rPr>
        <w:t>Performance evaluation of unit trusts in South Africa over the last two decades.</w:t>
      </w:r>
      <w:r>
        <w:rPr>
          <w:noProof/>
          <w:lang w:val="en-US"/>
        </w:rPr>
        <w:t xml:space="preserve"> MBA Research Report, University of the Witwaterstrand, Wits Business School, Johannesburg. Retrieved February 24, 2015, from</w:t>
      </w:r>
      <w:r w:rsidR="00685F85">
        <w:rPr>
          <w:noProof/>
          <w:lang w:val="en-US"/>
        </w:rPr>
        <w:t xml:space="preserve"> h</w:t>
      </w:r>
      <w:r>
        <w:rPr>
          <w:noProof/>
          <w:lang w:val="en-US"/>
        </w:rPr>
        <w:t>ttp://wiredspace.wits.ac.za/jspui/bitstream/10539/12959/1</w:t>
      </w:r>
      <w:r w:rsidR="00685F85">
        <w:rPr>
          <w:noProof/>
          <w:lang w:val="en-US"/>
        </w:rPr>
        <w:t xml:space="preserve"> </w:t>
      </w:r>
      <w:r>
        <w:rPr>
          <w:noProof/>
          <w:lang w:val="en-US"/>
        </w:rPr>
        <w:t>/PERFORMANCE%20EVALUATION%20OF%20UNIT%20TRUSTS%20IN%20SOUTH%20AFRICA%20OVER%20THE%20LAST%20TWO%20DECADES.pdf</w:t>
      </w:r>
    </w:p>
    <w:p w:rsidR="009540A9" w:rsidRDefault="009540A9" w:rsidP="009540A9">
      <w:pPr>
        <w:pStyle w:val="Bibliography"/>
        <w:ind w:left="720" w:hanging="720"/>
        <w:rPr>
          <w:noProof/>
          <w:lang w:val="en-US"/>
        </w:rPr>
      </w:pPr>
      <w:r>
        <w:rPr>
          <w:noProof/>
          <w:lang w:val="en-US"/>
        </w:rPr>
        <w:t xml:space="preserve">Muriithi, M., &amp; Muriithi, D. (2015). Influence of gender in the saving culture of Sacco members in Nyandarua County, Kenya. </w:t>
      </w:r>
      <w:r>
        <w:rPr>
          <w:i/>
          <w:iCs/>
          <w:noProof/>
          <w:lang w:val="en-US"/>
        </w:rPr>
        <w:t>Journal of Investment and Management, 4</w:t>
      </w:r>
      <w:r>
        <w:rPr>
          <w:noProof/>
          <w:lang w:val="en-US"/>
        </w:rPr>
        <w:t>(1), 14-24. Retrieved February 22, 2016</w:t>
      </w:r>
    </w:p>
    <w:p w:rsidR="009540A9" w:rsidRDefault="009540A9" w:rsidP="009540A9">
      <w:pPr>
        <w:pStyle w:val="Bibliography"/>
        <w:ind w:left="720" w:hanging="720"/>
        <w:rPr>
          <w:noProof/>
          <w:lang w:val="en-US"/>
        </w:rPr>
      </w:pPr>
      <w:r>
        <w:rPr>
          <w:noProof/>
          <w:lang w:val="en-US"/>
        </w:rPr>
        <w:t xml:space="preserve">Newlands, C. (2015). </w:t>
      </w:r>
      <w:r>
        <w:rPr>
          <w:i/>
          <w:iCs/>
          <w:noProof/>
          <w:lang w:val="en-US"/>
        </w:rPr>
        <w:t>Female fund managers in decline.</w:t>
      </w:r>
      <w:r>
        <w:rPr>
          <w:noProof/>
          <w:lang w:val="en-US"/>
        </w:rPr>
        <w:t xml:space="preserve"> Financial Times. Retrieved February 01, 2016, from http://www.ft.com/cms/s/0/bd951000-a7af-11e4-8e78-00144feab7de.html#axzz3zlkGiDn7</w:t>
      </w:r>
    </w:p>
    <w:p w:rsidR="009540A9" w:rsidRDefault="009540A9" w:rsidP="009540A9">
      <w:pPr>
        <w:pStyle w:val="Bibliography"/>
        <w:ind w:left="720" w:hanging="720"/>
        <w:rPr>
          <w:noProof/>
          <w:lang w:val="en-US"/>
        </w:rPr>
      </w:pPr>
      <w:r>
        <w:rPr>
          <w:noProof/>
          <w:lang w:val="en-US"/>
        </w:rPr>
        <w:t xml:space="preserve">Niessen, A., &amp; Ruenzi, S. (2006). </w:t>
      </w:r>
      <w:r>
        <w:rPr>
          <w:i/>
          <w:iCs/>
          <w:noProof/>
          <w:lang w:val="en-US"/>
        </w:rPr>
        <w:t>Sex matters: Gender and mutual funds.</w:t>
      </w:r>
      <w:r>
        <w:rPr>
          <w:noProof/>
          <w:lang w:val="en-US"/>
        </w:rPr>
        <w:t xml:space="preserve"> University of Cologne.</w:t>
      </w:r>
    </w:p>
    <w:p w:rsidR="009540A9" w:rsidRDefault="009540A9" w:rsidP="009540A9">
      <w:pPr>
        <w:pStyle w:val="Bibliography"/>
        <w:ind w:left="720" w:hanging="720"/>
        <w:rPr>
          <w:noProof/>
          <w:lang w:val="en-US"/>
        </w:rPr>
      </w:pPr>
      <w:r>
        <w:rPr>
          <w:noProof/>
          <w:lang w:val="en-US"/>
        </w:rPr>
        <w:t xml:space="preserve">Niessen-Ruenzi, A., &amp; Ruenzi, S. (2015). </w:t>
      </w:r>
      <w:r>
        <w:rPr>
          <w:i/>
          <w:iCs/>
          <w:noProof/>
          <w:lang w:val="en-US"/>
        </w:rPr>
        <w:t>Sex Matters: Gender Bias in the Mutual Fund Industry.</w:t>
      </w:r>
      <w:r>
        <w:rPr>
          <w:noProof/>
          <w:lang w:val="en-US"/>
        </w:rPr>
        <w:t xml:space="preserve"> University of Mannheim, Department of Finance. Available at SSRN 1957317.</w:t>
      </w:r>
    </w:p>
    <w:p w:rsidR="009540A9" w:rsidRDefault="009540A9" w:rsidP="009540A9">
      <w:pPr>
        <w:pStyle w:val="Bibliography"/>
        <w:ind w:left="720" w:hanging="720"/>
        <w:rPr>
          <w:noProof/>
          <w:lang w:val="en-US"/>
        </w:rPr>
      </w:pPr>
      <w:r>
        <w:rPr>
          <w:noProof/>
          <w:lang w:val="en-US"/>
        </w:rPr>
        <w:t xml:space="preserve">Oakley, J. G. (2000). Gender-based barriers to senior management positions: Understanding the scarcity of female CEOs. </w:t>
      </w:r>
      <w:r>
        <w:rPr>
          <w:i/>
          <w:iCs/>
          <w:noProof/>
          <w:lang w:val="en-US"/>
        </w:rPr>
        <w:t>Journal of Business Ethics, 27</w:t>
      </w:r>
      <w:r>
        <w:rPr>
          <w:noProof/>
          <w:lang w:val="en-US"/>
        </w:rPr>
        <w:t>(4), 321-334.</w:t>
      </w:r>
    </w:p>
    <w:p w:rsidR="009540A9" w:rsidRDefault="009540A9" w:rsidP="009540A9">
      <w:pPr>
        <w:pStyle w:val="Bibliography"/>
        <w:ind w:left="720" w:hanging="720"/>
        <w:rPr>
          <w:noProof/>
          <w:lang w:val="en-US"/>
        </w:rPr>
      </w:pPr>
      <w:r>
        <w:rPr>
          <w:noProof/>
          <w:lang w:val="en-US"/>
        </w:rPr>
        <w:t xml:space="preserve">Oldfield, C. E., &amp; Page, M. J. (1997). Assessing portfolio performance: The case of South African Unit Trusts. </w:t>
      </w:r>
      <w:r>
        <w:rPr>
          <w:i/>
          <w:iCs/>
          <w:noProof/>
          <w:lang w:val="en-US"/>
        </w:rPr>
        <w:t>Investment Analysts Journal, 26</w:t>
      </w:r>
      <w:r>
        <w:rPr>
          <w:noProof/>
          <w:lang w:val="en-US"/>
        </w:rPr>
        <w:t>(44), 25-41.</w:t>
      </w:r>
    </w:p>
    <w:p w:rsidR="009540A9" w:rsidRDefault="009540A9" w:rsidP="009540A9">
      <w:pPr>
        <w:pStyle w:val="Bibliography"/>
        <w:ind w:left="720" w:hanging="720"/>
        <w:rPr>
          <w:noProof/>
          <w:lang w:val="en-US"/>
        </w:rPr>
      </w:pPr>
      <w:r>
        <w:rPr>
          <w:noProof/>
          <w:lang w:val="en-US"/>
        </w:rPr>
        <w:t xml:space="preserve">Perryman, A. A., Fernando, G. D., &amp; Tripathy, A. (2016). Do gender differences persist? An examination of gender diversity on firm performance, risk, and executive compensation. </w:t>
      </w:r>
      <w:r>
        <w:rPr>
          <w:i/>
          <w:iCs/>
          <w:noProof/>
          <w:lang w:val="en-US"/>
        </w:rPr>
        <w:t>Journal of Business Research, 69</w:t>
      </w:r>
      <w:r>
        <w:rPr>
          <w:noProof/>
          <w:lang w:val="en-US"/>
        </w:rPr>
        <w:t>(2), 579–586.</w:t>
      </w:r>
    </w:p>
    <w:p w:rsidR="009540A9" w:rsidRDefault="009540A9" w:rsidP="00685F85">
      <w:pPr>
        <w:pStyle w:val="Bibliography"/>
        <w:ind w:left="720" w:hanging="720"/>
        <w:rPr>
          <w:noProof/>
          <w:lang w:val="en-US"/>
        </w:rPr>
      </w:pPr>
      <w:r>
        <w:rPr>
          <w:noProof/>
          <w:lang w:val="en-US"/>
        </w:rPr>
        <w:t xml:space="preserve">Pham, T. (2015). </w:t>
      </w:r>
      <w:r>
        <w:rPr>
          <w:i/>
          <w:iCs/>
          <w:noProof/>
          <w:lang w:val="en-US"/>
        </w:rPr>
        <w:t>The effect of manager gen</w:t>
      </w:r>
      <w:r w:rsidR="00685F85">
        <w:rPr>
          <w:i/>
          <w:iCs/>
          <w:noProof/>
          <w:lang w:val="en-US"/>
        </w:rPr>
        <w:t>der on hedge fund risk and perf</w:t>
      </w:r>
      <w:r>
        <w:rPr>
          <w:i/>
          <w:iCs/>
          <w:noProof/>
          <w:lang w:val="en-US"/>
        </w:rPr>
        <w:t>o</w:t>
      </w:r>
      <w:r w:rsidR="00685F85">
        <w:rPr>
          <w:i/>
          <w:iCs/>
          <w:noProof/>
          <w:lang w:val="en-US"/>
        </w:rPr>
        <w:t>r</w:t>
      </w:r>
      <w:r>
        <w:rPr>
          <w:i/>
          <w:iCs/>
          <w:noProof/>
          <w:lang w:val="en-US"/>
        </w:rPr>
        <w:t>mance.</w:t>
      </w:r>
      <w:r>
        <w:rPr>
          <w:noProof/>
          <w:lang w:val="en-US"/>
        </w:rPr>
        <w:t xml:space="preserve"> MBA research report, Aalto University, Department of Finance. Retrieved February 09, 2016, from https://aaltodoc.aalto.fi/handle</w:t>
      </w:r>
      <w:r w:rsidR="00685F85">
        <w:rPr>
          <w:noProof/>
          <w:lang w:val="en-US"/>
        </w:rPr>
        <w:t xml:space="preserve"> </w:t>
      </w:r>
      <w:r>
        <w:rPr>
          <w:noProof/>
          <w:lang w:val="en-US"/>
        </w:rPr>
        <w:t>/123456789/19309</w:t>
      </w:r>
    </w:p>
    <w:p w:rsidR="009540A9" w:rsidRDefault="009540A9" w:rsidP="009540A9">
      <w:pPr>
        <w:pStyle w:val="Bibliography"/>
        <w:ind w:left="720" w:hanging="720"/>
        <w:rPr>
          <w:noProof/>
          <w:lang w:val="en-US"/>
        </w:rPr>
      </w:pPr>
      <w:r>
        <w:rPr>
          <w:noProof/>
          <w:lang w:val="en-US"/>
        </w:rPr>
        <w:t xml:space="preserve">Pillay, B. (2014). </w:t>
      </w:r>
      <w:r>
        <w:rPr>
          <w:i/>
          <w:iCs/>
          <w:noProof/>
          <w:lang w:val="en-US"/>
        </w:rPr>
        <w:t>The Capital Asset Pricing Model as a tool for investment decisions in South Africa.</w:t>
      </w:r>
      <w:r>
        <w:rPr>
          <w:noProof/>
          <w:lang w:val="en-US"/>
        </w:rPr>
        <w:t xml:space="preserve"> MBA research report, University of Witwatersrand, Wits Business School, Johannesburg.</w:t>
      </w:r>
    </w:p>
    <w:p w:rsidR="009540A9" w:rsidRDefault="009540A9" w:rsidP="009540A9">
      <w:pPr>
        <w:pStyle w:val="Bibliography"/>
        <w:ind w:left="720" w:hanging="720"/>
        <w:rPr>
          <w:noProof/>
          <w:lang w:val="en-US"/>
        </w:rPr>
      </w:pPr>
      <w:r>
        <w:rPr>
          <w:noProof/>
          <w:lang w:val="en-US"/>
        </w:rPr>
        <w:t xml:space="preserve">Plantier, L. C. (2014). Globalisation and the global growth of long-term mutual funds. </w:t>
      </w:r>
      <w:r>
        <w:rPr>
          <w:i/>
          <w:iCs/>
          <w:noProof/>
          <w:lang w:val="en-US"/>
        </w:rPr>
        <w:t>ICI Global Research Perspective, 1</w:t>
      </w:r>
      <w:r>
        <w:rPr>
          <w:noProof/>
          <w:lang w:val="en-US"/>
        </w:rPr>
        <w:t>(1), 1-40.</w:t>
      </w:r>
    </w:p>
    <w:p w:rsidR="009540A9" w:rsidRDefault="009540A9" w:rsidP="009540A9">
      <w:pPr>
        <w:pStyle w:val="Bibliography"/>
        <w:ind w:left="720" w:hanging="720"/>
        <w:rPr>
          <w:noProof/>
          <w:lang w:val="en-US"/>
        </w:rPr>
      </w:pPr>
      <w:r>
        <w:rPr>
          <w:noProof/>
          <w:lang w:val="en-US"/>
        </w:rPr>
        <w:t xml:space="preserve">Powell, M., &amp; Ansic, D. (1997). Gender differences in risk behaviour in financial decision-making: An experimental analysis. </w:t>
      </w:r>
      <w:r>
        <w:rPr>
          <w:i/>
          <w:iCs/>
          <w:noProof/>
          <w:lang w:val="en-US"/>
        </w:rPr>
        <w:t>Journal of Econmic Psychology, 18</w:t>
      </w:r>
      <w:r>
        <w:rPr>
          <w:noProof/>
          <w:lang w:val="en-US"/>
        </w:rPr>
        <w:t>(1), 605-628.</w:t>
      </w:r>
    </w:p>
    <w:p w:rsidR="009540A9" w:rsidRDefault="009540A9" w:rsidP="009540A9">
      <w:pPr>
        <w:pStyle w:val="Bibliography"/>
        <w:ind w:left="720" w:hanging="720"/>
        <w:rPr>
          <w:noProof/>
          <w:lang w:val="en-US"/>
        </w:rPr>
      </w:pPr>
      <w:r>
        <w:rPr>
          <w:noProof/>
          <w:lang w:val="en-US"/>
        </w:rPr>
        <w:t xml:space="preserve">Roberts, P., Priest, H., &amp; Traynor, M. (2006, July). Reliability and validity in research. </w:t>
      </w:r>
      <w:r>
        <w:rPr>
          <w:i/>
          <w:iCs/>
          <w:noProof/>
          <w:lang w:val="en-US"/>
        </w:rPr>
        <w:t>Nursing Standard, 20</w:t>
      </w:r>
      <w:r>
        <w:rPr>
          <w:noProof/>
          <w:lang w:val="en-US"/>
        </w:rPr>
        <w:t>(44), 41-45.</w:t>
      </w:r>
    </w:p>
    <w:p w:rsidR="009540A9" w:rsidRDefault="009540A9" w:rsidP="009540A9">
      <w:pPr>
        <w:pStyle w:val="Bibliography"/>
        <w:ind w:left="720" w:hanging="720"/>
        <w:jc w:val="left"/>
        <w:rPr>
          <w:noProof/>
          <w:lang w:val="en-US"/>
        </w:rPr>
      </w:pPr>
      <w:r>
        <w:rPr>
          <w:noProof/>
          <w:lang w:val="en-US"/>
        </w:rPr>
        <w:t xml:space="preserve">Ruiters, S. (2015, June 23). </w:t>
      </w:r>
      <w:r>
        <w:rPr>
          <w:i/>
          <w:iCs/>
          <w:noProof/>
          <w:lang w:val="en-US"/>
        </w:rPr>
        <w:t>Staggering growth for SA unit trust industry</w:t>
      </w:r>
      <w:r>
        <w:rPr>
          <w:noProof/>
          <w:lang w:val="en-US"/>
        </w:rPr>
        <w:t>. Retrieved June 28, 2015, from FA News: http://www.fanews.co.za/article/investments</w:t>
      </w:r>
      <w:r w:rsidR="00685F85">
        <w:rPr>
          <w:noProof/>
          <w:lang w:val="en-US"/>
        </w:rPr>
        <w:t xml:space="preserve"> </w:t>
      </w:r>
      <w:r>
        <w:rPr>
          <w:noProof/>
          <w:lang w:val="en-US"/>
        </w:rPr>
        <w:t>/8/general/1133/staggering-growth-for-sa-unit-trust-industry/18182</w:t>
      </w:r>
    </w:p>
    <w:p w:rsidR="009540A9" w:rsidRDefault="009540A9" w:rsidP="009540A9">
      <w:pPr>
        <w:pStyle w:val="Bibliography"/>
        <w:ind w:left="720" w:hanging="720"/>
        <w:rPr>
          <w:noProof/>
          <w:lang w:val="en-US"/>
        </w:rPr>
      </w:pPr>
      <w:r>
        <w:rPr>
          <w:noProof/>
          <w:lang w:val="en-US"/>
        </w:rPr>
        <w:t xml:space="preserve">Sharenet (Pty) Ltd. (2015). </w:t>
      </w:r>
      <w:r>
        <w:rPr>
          <w:i/>
          <w:iCs/>
          <w:noProof/>
          <w:lang w:val="en-US"/>
        </w:rPr>
        <w:t>What are Unit Trusts?</w:t>
      </w:r>
      <w:r>
        <w:rPr>
          <w:noProof/>
          <w:lang w:val="en-US"/>
        </w:rPr>
        <w:t xml:space="preserve"> Retrieved February 20, 2015, from Sharenet: http://www.sharenet.co.za/free/library/ut_01.htm</w:t>
      </w:r>
    </w:p>
    <w:p w:rsidR="009540A9" w:rsidRDefault="009540A9" w:rsidP="009540A9">
      <w:pPr>
        <w:pStyle w:val="Bibliography"/>
        <w:ind w:left="720" w:hanging="720"/>
        <w:rPr>
          <w:noProof/>
          <w:lang w:val="en-US"/>
        </w:rPr>
      </w:pPr>
      <w:r>
        <w:rPr>
          <w:noProof/>
          <w:lang w:val="en-US"/>
        </w:rPr>
        <w:t xml:space="preserve">Simons, K. (1998, October). Risk-Adjusted performance of mutual funds. </w:t>
      </w:r>
      <w:r>
        <w:rPr>
          <w:i/>
          <w:iCs/>
          <w:noProof/>
          <w:lang w:val="en-US"/>
        </w:rPr>
        <w:t>New England Economic Review, 9</w:t>
      </w:r>
      <w:r>
        <w:rPr>
          <w:noProof/>
          <w:lang w:val="en-US"/>
        </w:rPr>
        <w:t>(10), 33-48.</w:t>
      </w:r>
    </w:p>
    <w:p w:rsidR="009540A9" w:rsidRDefault="009540A9" w:rsidP="00685F85">
      <w:pPr>
        <w:pStyle w:val="Bibliography"/>
        <w:ind w:left="720" w:hanging="720"/>
        <w:rPr>
          <w:noProof/>
          <w:lang w:val="en-US"/>
        </w:rPr>
      </w:pPr>
      <w:r>
        <w:rPr>
          <w:noProof/>
          <w:lang w:val="en-US"/>
        </w:rPr>
        <w:t xml:space="preserve">Slovic, P. (1966, March). Risk taking in children: Age and sex differences. </w:t>
      </w:r>
      <w:r>
        <w:rPr>
          <w:i/>
          <w:iCs/>
          <w:noProof/>
          <w:lang w:val="en-US"/>
        </w:rPr>
        <w:t>Child Development, 37</w:t>
      </w:r>
      <w:r>
        <w:rPr>
          <w:noProof/>
          <w:lang w:val="en-US"/>
        </w:rPr>
        <w:t>(1), 169-176.</w:t>
      </w:r>
    </w:p>
    <w:p w:rsidR="009540A9" w:rsidRDefault="009540A9" w:rsidP="00685F85">
      <w:pPr>
        <w:pStyle w:val="Bibliography"/>
        <w:ind w:left="720" w:hanging="720"/>
        <w:rPr>
          <w:noProof/>
          <w:lang w:val="en-US"/>
        </w:rPr>
      </w:pPr>
      <w:r>
        <w:rPr>
          <w:noProof/>
          <w:lang w:val="en-US"/>
        </w:rPr>
        <w:t xml:space="preserve">Stanlib. (2013, January 01). </w:t>
      </w:r>
      <w:r>
        <w:rPr>
          <w:i/>
          <w:iCs/>
          <w:noProof/>
          <w:lang w:val="en-US"/>
        </w:rPr>
        <w:t>ASISA fund reclassification.</w:t>
      </w:r>
      <w:r>
        <w:rPr>
          <w:noProof/>
          <w:lang w:val="en-US"/>
        </w:rPr>
        <w:t xml:space="preserve"> Retrieved February 09, 2016, from StanLib: http://www.stanlib.com/newsatstanlib/Documents/</w:t>
      </w:r>
      <w:r w:rsidR="00685F85">
        <w:rPr>
          <w:noProof/>
          <w:lang w:val="en-US"/>
        </w:rPr>
        <w:t xml:space="preserve"> </w:t>
      </w:r>
      <w:r>
        <w:rPr>
          <w:noProof/>
          <w:lang w:val="en-US"/>
        </w:rPr>
        <w:t>ASISAClassification4.pdf</w:t>
      </w:r>
    </w:p>
    <w:p w:rsidR="009540A9" w:rsidRDefault="009540A9" w:rsidP="00685F85">
      <w:pPr>
        <w:pStyle w:val="Bibliography"/>
        <w:ind w:left="720" w:hanging="720"/>
        <w:rPr>
          <w:noProof/>
          <w:lang w:val="en-US"/>
        </w:rPr>
      </w:pPr>
      <w:r>
        <w:rPr>
          <w:noProof/>
          <w:lang w:val="en-US"/>
        </w:rPr>
        <w:t xml:space="preserve">Statistics SA. (2014). </w:t>
      </w:r>
      <w:r>
        <w:rPr>
          <w:i/>
          <w:iCs/>
          <w:noProof/>
          <w:lang w:val="en-US"/>
        </w:rPr>
        <w:t>Gross domestic product : Third quarter 2014.</w:t>
      </w:r>
      <w:r>
        <w:rPr>
          <w:noProof/>
          <w:lang w:val="en-US"/>
        </w:rPr>
        <w:t xml:space="preserve"> Retrieved February 21, 2015, from http://beta2.statssa.gov.za/publications/P0441/</w:t>
      </w:r>
      <w:r w:rsidR="00685F85">
        <w:rPr>
          <w:noProof/>
          <w:lang w:val="en-US"/>
        </w:rPr>
        <w:t xml:space="preserve"> </w:t>
      </w:r>
      <w:r>
        <w:rPr>
          <w:noProof/>
          <w:lang w:val="en-US"/>
        </w:rPr>
        <w:t>P04413rdQuarter2014.pdf</w:t>
      </w:r>
    </w:p>
    <w:p w:rsidR="009540A9" w:rsidRDefault="009540A9" w:rsidP="009540A9">
      <w:pPr>
        <w:pStyle w:val="Bibliography"/>
        <w:ind w:left="720" w:hanging="720"/>
        <w:rPr>
          <w:noProof/>
          <w:lang w:val="en-US"/>
        </w:rPr>
      </w:pPr>
      <w:r>
        <w:rPr>
          <w:noProof/>
          <w:lang w:val="en-US"/>
        </w:rPr>
        <w:t xml:space="preserve">Sundén, A., &amp; Surette, B. (1998). Gender differences in the allocation of assets in retirement savings plans. </w:t>
      </w:r>
      <w:r>
        <w:rPr>
          <w:i/>
          <w:iCs/>
          <w:noProof/>
          <w:lang w:val="en-US"/>
        </w:rPr>
        <w:t>The American Economic Review, 88</w:t>
      </w:r>
      <w:r>
        <w:rPr>
          <w:noProof/>
          <w:lang w:val="en-US"/>
        </w:rPr>
        <w:t>(2), 207-211.</w:t>
      </w:r>
    </w:p>
    <w:p w:rsidR="009540A9" w:rsidRDefault="009540A9" w:rsidP="00685F85">
      <w:pPr>
        <w:pStyle w:val="Bibliography"/>
        <w:ind w:left="720" w:hanging="720"/>
        <w:rPr>
          <w:noProof/>
          <w:lang w:val="en-US"/>
        </w:rPr>
      </w:pPr>
      <w:r>
        <w:rPr>
          <w:noProof/>
          <w:lang w:val="en-US"/>
        </w:rPr>
        <w:t xml:space="preserve">Trading Economics. (2016, February 01). </w:t>
      </w:r>
      <w:r>
        <w:rPr>
          <w:i/>
          <w:iCs/>
          <w:noProof/>
          <w:lang w:val="en-US"/>
        </w:rPr>
        <w:t>South Africa leading economic index</w:t>
      </w:r>
      <w:r>
        <w:rPr>
          <w:noProof/>
          <w:lang w:val="en-US"/>
        </w:rPr>
        <w:t>. Retrieved February 27, 2016, from Trading Economics: http://www.tradingeconomics.com/south-africa/leading-economic-index</w:t>
      </w:r>
    </w:p>
    <w:p w:rsidR="009540A9" w:rsidRDefault="009540A9" w:rsidP="009540A9">
      <w:pPr>
        <w:pStyle w:val="Bibliography"/>
        <w:ind w:left="720" w:hanging="720"/>
        <w:rPr>
          <w:noProof/>
          <w:lang w:val="en-US"/>
        </w:rPr>
      </w:pPr>
      <w:r>
        <w:rPr>
          <w:noProof/>
          <w:lang w:val="en-US"/>
        </w:rPr>
        <w:t xml:space="preserve">VirginiaTech. (2012). </w:t>
      </w:r>
      <w:r>
        <w:rPr>
          <w:i/>
          <w:iCs/>
          <w:noProof/>
          <w:lang w:val="en-US"/>
        </w:rPr>
        <w:t>Women's Wealth and Philanthropy</w:t>
      </w:r>
      <w:r>
        <w:rPr>
          <w:noProof/>
          <w:lang w:val="en-US"/>
        </w:rPr>
        <w:t>. Retrieved February 25, 2016, from VirginiaTech: http://www.wlp.givingto.vt.edu/wealth/index.html</w:t>
      </w:r>
    </w:p>
    <w:p w:rsidR="009540A9" w:rsidRDefault="009540A9" w:rsidP="009540A9">
      <w:pPr>
        <w:pStyle w:val="Bibliography"/>
        <w:ind w:left="720" w:hanging="720"/>
        <w:rPr>
          <w:noProof/>
          <w:lang w:val="en-US"/>
        </w:rPr>
      </w:pPr>
      <w:r>
        <w:rPr>
          <w:noProof/>
          <w:lang w:val="en-US"/>
        </w:rPr>
        <w:t xml:space="preserve">Whitaker, E. A., Bokemeiner, J. L., &amp; Loveridge, S. (2013, March). Interactional associations of gender on savings behavior: showing gender’s continued influence on economic action. </w:t>
      </w:r>
      <w:r>
        <w:rPr>
          <w:i/>
          <w:iCs/>
          <w:noProof/>
          <w:lang w:val="en-US"/>
        </w:rPr>
        <w:t>Journal of Family and Economic Issues, 34</w:t>
      </w:r>
      <w:r>
        <w:rPr>
          <w:noProof/>
          <w:lang w:val="en-US"/>
        </w:rPr>
        <w:t>(1), 105-119.</w:t>
      </w:r>
    </w:p>
    <w:p w:rsidR="009540A9" w:rsidRPr="009540A9" w:rsidRDefault="009540A9" w:rsidP="009540A9">
      <w:pPr>
        <w:rPr>
          <w:lang w:val="en-US"/>
        </w:rPr>
      </w:pPr>
    </w:p>
    <w:p w:rsidR="009540A9" w:rsidRDefault="009540A9" w:rsidP="009540A9">
      <w:pPr>
        <w:pStyle w:val="Bibliography"/>
        <w:ind w:left="720" w:hanging="720"/>
        <w:rPr>
          <w:noProof/>
          <w:lang w:val="en-US"/>
        </w:rPr>
      </w:pPr>
      <w:r>
        <w:rPr>
          <w:noProof/>
          <w:lang w:val="en-US"/>
        </w:rPr>
        <w:t xml:space="preserve">Yartey, C. A. (2008, February 18). </w:t>
      </w:r>
      <w:r>
        <w:rPr>
          <w:i/>
          <w:iCs/>
          <w:noProof/>
          <w:lang w:val="en-US"/>
        </w:rPr>
        <w:t>The determinants of stock market development in emerging economies: Is South Africa different?</w:t>
      </w:r>
      <w:r>
        <w:rPr>
          <w:noProof/>
          <w:lang w:val="en-US"/>
        </w:rPr>
        <w:t xml:space="preserve"> Working Paper, International Monetary Fund, African Department. Retrieved February 24, 2015, from papers.ssrn.com</w:t>
      </w:r>
    </w:p>
    <w:p w:rsidR="005B1D27" w:rsidRPr="008633D2" w:rsidRDefault="003203B4" w:rsidP="009540A9">
      <w:pPr>
        <w:pStyle w:val="Bibliography"/>
        <w:ind w:left="720" w:hanging="720"/>
        <w:rPr>
          <w:lang w:val="en-ZA"/>
        </w:rPr>
      </w:pPr>
      <w:r w:rsidRPr="008633D2">
        <w:rPr>
          <w:lang w:val="en-ZA"/>
        </w:rPr>
        <w:fldChar w:fldCharType="end"/>
      </w:r>
      <w:bookmarkEnd w:id="269"/>
    </w:p>
    <w:p w:rsidR="003666A5" w:rsidRDefault="003666A5" w:rsidP="000D7554">
      <w:pPr>
        <w:pStyle w:val="Heading1"/>
        <w:numPr>
          <w:ilvl w:val="0"/>
          <w:numId w:val="0"/>
        </w:numPr>
        <w:rPr>
          <w:lang w:val="en-ZA"/>
        </w:rPr>
        <w:sectPr w:rsidR="003666A5" w:rsidSect="00C95BB9">
          <w:endnotePr>
            <w:numFmt w:val="decimal"/>
          </w:endnotePr>
          <w:pgSz w:w="11907" w:h="16840" w:code="9"/>
          <w:pgMar w:top="1729" w:right="1298" w:bottom="1582" w:left="1871" w:header="720" w:footer="720" w:gutter="0"/>
          <w:cols w:space="720"/>
          <w:docGrid w:linePitch="360"/>
        </w:sectPr>
      </w:pPr>
      <w:bookmarkStart w:id="270" w:name="_Ref35965785"/>
      <w:bookmarkStart w:id="271" w:name="_Toc141172770"/>
      <w:bookmarkStart w:id="272" w:name="_Toc141172842"/>
      <w:bookmarkStart w:id="273" w:name="_Toc141173512"/>
      <w:bookmarkStart w:id="274" w:name="_Toc141173578"/>
      <w:bookmarkStart w:id="275" w:name="_Toc141173624"/>
    </w:p>
    <w:p w:rsidR="000D7554" w:rsidRPr="008633D2" w:rsidRDefault="00685F85" w:rsidP="00A21BAE">
      <w:pPr>
        <w:pStyle w:val="Heading1"/>
        <w:numPr>
          <w:ilvl w:val="0"/>
          <w:numId w:val="0"/>
        </w:numPr>
        <w:rPr>
          <w:lang w:val="en-ZA"/>
        </w:rPr>
      </w:pPr>
      <w:bookmarkStart w:id="276" w:name="_Toc458610840"/>
      <w:bookmarkEnd w:id="270"/>
      <w:bookmarkEnd w:id="271"/>
      <w:bookmarkEnd w:id="272"/>
      <w:bookmarkEnd w:id="273"/>
      <w:bookmarkEnd w:id="274"/>
      <w:bookmarkEnd w:id="275"/>
      <w:r>
        <w:rPr>
          <w:noProof/>
          <w:lang w:val="en-ZA" w:eastAsia="en-ZA"/>
        </w:rPr>
        <mc:AlternateContent>
          <mc:Choice Requires="wps">
            <w:drawing>
              <wp:anchor distT="0" distB="0" distL="114300" distR="114300" simplePos="0" relativeHeight="251660800" behindDoc="0" locked="0" layoutInCell="1" allowOverlap="1" wp14:anchorId="5F828928" wp14:editId="6369FCE3">
                <wp:simplePos x="0" y="0"/>
                <wp:positionH relativeFrom="column">
                  <wp:posOffset>568325</wp:posOffset>
                </wp:positionH>
                <wp:positionV relativeFrom="paragraph">
                  <wp:posOffset>5156200</wp:posOffset>
                </wp:positionV>
                <wp:extent cx="7066915" cy="635"/>
                <wp:effectExtent l="0" t="0" r="635" b="11430"/>
                <wp:wrapTight wrapText="bothSides">
                  <wp:wrapPolygon edited="0">
                    <wp:start x="0" y="0"/>
                    <wp:lineTo x="0" y="21396"/>
                    <wp:lineTo x="21544" y="21396"/>
                    <wp:lineTo x="21544" y="0"/>
                    <wp:lineTo x="0" y="0"/>
                  </wp:wrapPolygon>
                </wp:wrapTight>
                <wp:docPr id="21" name="Text Box 21"/>
                <wp:cNvGraphicFramePr/>
                <a:graphic xmlns:a="http://schemas.openxmlformats.org/drawingml/2006/main">
                  <a:graphicData uri="http://schemas.microsoft.com/office/word/2010/wordprocessingShape">
                    <wps:wsp>
                      <wps:cNvSpPr txBox="1"/>
                      <wps:spPr>
                        <a:xfrm>
                          <a:off x="0" y="0"/>
                          <a:ext cx="7066915" cy="635"/>
                        </a:xfrm>
                        <a:prstGeom prst="rect">
                          <a:avLst/>
                        </a:prstGeom>
                        <a:noFill/>
                        <a:ln>
                          <a:noFill/>
                        </a:ln>
                        <a:effectLst/>
                      </wps:spPr>
                      <wps:txbx>
                        <w:txbxContent>
                          <w:p w:rsidR="00E52E42" w:rsidRPr="00E52E42" w:rsidRDefault="00E52E42" w:rsidP="00685F85">
                            <w:pPr>
                              <w:pStyle w:val="Caption"/>
                              <w:spacing w:line="240" w:lineRule="auto"/>
                              <w:jc w:val="center"/>
                            </w:pPr>
                            <w:bookmarkStart w:id="277" w:name="_Toc458610893"/>
                            <w:r w:rsidRPr="00E52E42">
                              <w:t xml:space="preserve">Figure </w:t>
                            </w:r>
                            <w:r w:rsidRPr="00E52E42">
                              <w:fldChar w:fldCharType="begin"/>
                            </w:r>
                            <w:r w:rsidRPr="00E52E42">
                              <w:instrText xml:space="preserve"> SEQ Figure \* ARABIC </w:instrText>
                            </w:r>
                            <w:r w:rsidRPr="00E52E42">
                              <w:fldChar w:fldCharType="separate"/>
                            </w:r>
                            <w:r w:rsidR="00C456D9">
                              <w:rPr>
                                <w:noProof/>
                              </w:rPr>
                              <w:t>9</w:t>
                            </w:r>
                            <w:r w:rsidRPr="00E52E42">
                              <w:fldChar w:fldCharType="end"/>
                            </w:r>
                            <w:r w:rsidRPr="00E52E42">
                              <w:t>: ASISA Classification of funds in South Africa</w:t>
                            </w:r>
                            <w:bookmarkEnd w:id="277"/>
                          </w:p>
                          <w:p w:rsidR="00E52E42" w:rsidRPr="00E52E42" w:rsidRDefault="00E52E42" w:rsidP="00685F85">
                            <w:pPr>
                              <w:spacing w:line="240" w:lineRule="auto"/>
                              <w:jc w:val="center"/>
                              <w:rPr>
                                <w:b/>
                              </w:rPr>
                            </w:pPr>
                            <w:r w:rsidRPr="00E52E42">
                              <w:rPr>
                                <w:b/>
                              </w:rPr>
                              <w:t xml:space="preserve">(Source : </w:t>
                            </w:r>
                            <w:sdt>
                              <w:sdtPr>
                                <w:rPr>
                                  <w:b/>
                                </w:rPr>
                                <w:id w:val="-1654596578"/>
                                <w:citation/>
                              </w:sdtPr>
                              <w:sdtEndPr/>
                              <w:sdtContent>
                                <w:r w:rsidRPr="00E52E42">
                                  <w:rPr>
                                    <w:b/>
                                  </w:rPr>
                                  <w:fldChar w:fldCharType="begin"/>
                                </w:r>
                                <w:r w:rsidRPr="00E52E42">
                                  <w:rPr>
                                    <w:b/>
                                    <w:lang w:val="en-US"/>
                                  </w:rPr>
                                  <w:instrText xml:space="preserve"> CITATION Sta13 \l 1033 </w:instrText>
                                </w:r>
                                <w:r w:rsidRPr="00E52E42">
                                  <w:rPr>
                                    <w:b/>
                                  </w:rPr>
                                  <w:fldChar w:fldCharType="separate"/>
                                </w:r>
                                <w:r w:rsidRPr="00E52E42">
                                  <w:rPr>
                                    <w:b/>
                                    <w:noProof/>
                                    <w:lang w:val="en-US"/>
                                  </w:rPr>
                                  <w:t>(Stanlib, 2013)</w:t>
                                </w:r>
                                <w:r w:rsidRPr="00E52E42">
                                  <w:rPr>
                                    <w:b/>
                                  </w:rPr>
                                  <w:fldChar w:fldCharType="end"/>
                                </w:r>
                              </w:sdtContent>
                            </w:sdt>
                            <w:r w:rsidRPr="00E52E42">
                              <w:rPr>
                                <w:b/>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F828928" id="Text Box 21" o:spid="_x0000_s1027" type="#_x0000_t202" style="position:absolute;left:0;text-align:left;margin-left:44.75pt;margin-top:406pt;width:556.45pt;height:.05pt;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" filled="f" stroked="f">
                <v:textbox style="mso-fit-shape-to-text:t" inset="0,0,0,0">
                  <w:txbxContent>
                    <w:p w:rsidR="00E52E42" w:rsidRPr="00E52E42" w:rsidRDefault="00E52E42" w:rsidP="00685F85">
                      <w:pPr>
                        <w:pStyle w:val="Caption"/>
                        <w:spacing w:line="240" w:lineRule="auto"/>
                        <w:jc w:val="center"/>
                      </w:pPr>
                      <w:bookmarkStart w:id="278" w:name="_Toc458610893"/>
                      <w:r w:rsidRPr="00E52E42">
                        <w:t xml:space="preserve">Figure </w:t>
                      </w:r>
                      <w:r w:rsidRPr="00E52E42">
                        <w:fldChar w:fldCharType="begin"/>
                      </w:r>
                      <w:r w:rsidRPr="00E52E42">
                        <w:instrText xml:space="preserve"> SEQ Figure \* ARABIC </w:instrText>
                      </w:r>
                      <w:r w:rsidRPr="00E52E42">
                        <w:fldChar w:fldCharType="separate"/>
                      </w:r>
                      <w:r w:rsidR="00C456D9">
                        <w:rPr>
                          <w:noProof/>
                        </w:rPr>
                        <w:t>9</w:t>
                      </w:r>
                      <w:r w:rsidRPr="00E52E42">
                        <w:fldChar w:fldCharType="end"/>
                      </w:r>
                      <w:r w:rsidRPr="00E52E42">
                        <w:t>: ASISA Classification of funds in South Africa</w:t>
                      </w:r>
                      <w:bookmarkEnd w:id="278"/>
                    </w:p>
                    <w:p w:rsidR="00E52E42" w:rsidRPr="00E52E42" w:rsidRDefault="00E52E42" w:rsidP="00685F85">
                      <w:pPr>
                        <w:spacing w:line="240" w:lineRule="auto"/>
                        <w:jc w:val="center"/>
                        <w:rPr>
                          <w:b/>
                        </w:rPr>
                      </w:pPr>
                      <w:r w:rsidRPr="00E52E42">
                        <w:rPr>
                          <w:b/>
                        </w:rPr>
                        <w:t xml:space="preserve">(Source : </w:t>
                      </w:r>
                      <w:sdt>
                        <w:sdtPr>
                          <w:rPr>
                            <w:b/>
                          </w:rPr>
                          <w:id w:val="-1654596578"/>
                          <w:citation/>
                        </w:sdtPr>
                        <w:sdtEndPr/>
                        <w:sdtContent>
                          <w:r w:rsidRPr="00E52E42">
                            <w:rPr>
                              <w:b/>
                            </w:rPr>
                            <w:fldChar w:fldCharType="begin"/>
                          </w:r>
                          <w:r w:rsidRPr="00E52E42">
                            <w:rPr>
                              <w:b/>
                              <w:lang w:val="en-US"/>
                            </w:rPr>
                            <w:instrText xml:space="preserve"> CITATION Sta13 \l 1033 </w:instrText>
                          </w:r>
                          <w:r w:rsidRPr="00E52E42">
                            <w:rPr>
                              <w:b/>
                            </w:rPr>
                            <w:fldChar w:fldCharType="separate"/>
                          </w:r>
                          <w:r w:rsidRPr="00E52E42">
                            <w:rPr>
                              <w:b/>
                              <w:noProof/>
                              <w:lang w:val="en-US"/>
                            </w:rPr>
                            <w:t>(Stanlib, 2013)</w:t>
                          </w:r>
                          <w:r w:rsidRPr="00E52E42">
                            <w:rPr>
                              <w:b/>
                            </w:rPr>
                            <w:fldChar w:fldCharType="end"/>
                          </w:r>
                        </w:sdtContent>
                      </w:sdt>
                      <w:r w:rsidRPr="00E52E42">
                        <w:rPr>
                          <w:b/>
                        </w:rPr>
                        <w:t>)</w:t>
                      </w:r>
                    </w:p>
                  </w:txbxContent>
                </v:textbox>
                <w10:wrap type="tight"/>
              </v:shape>
            </w:pict>
          </mc:Fallback>
        </mc:AlternateContent>
      </w:r>
      <w:r w:rsidR="00E52E42" w:rsidRPr="008633D2">
        <w:rPr>
          <w:noProof/>
          <w:lang w:val="en-ZA" w:eastAsia="en-ZA"/>
        </w:rPr>
        <w:drawing>
          <wp:anchor distT="0" distB="0" distL="114300" distR="114300" simplePos="0" relativeHeight="251658752" behindDoc="1" locked="0" layoutInCell="1" allowOverlap="1" wp14:anchorId="530274CE" wp14:editId="5D380234">
            <wp:simplePos x="0" y="0"/>
            <wp:positionH relativeFrom="column">
              <wp:posOffset>678180</wp:posOffset>
            </wp:positionH>
            <wp:positionV relativeFrom="paragraph">
              <wp:posOffset>558165</wp:posOffset>
            </wp:positionV>
            <wp:extent cx="7066915" cy="4850765"/>
            <wp:effectExtent l="0" t="0" r="635" b="6985"/>
            <wp:wrapTight wrapText="bothSides">
              <wp:wrapPolygon edited="0">
                <wp:start x="0" y="0"/>
                <wp:lineTo x="0" y="21546"/>
                <wp:lineTo x="21544" y="21546"/>
                <wp:lineTo x="21544"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lum contrast="20000"/>
                      <a:extLst>
                        <a:ext uri="{28A0092B-C50C-407E-A947-70E740481C1C}">
                          <a14:useLocalDpi xmlns:a14="http://schemas.microsoft.com/office/drawing/2010/main" val="0"/>
                        </a:ext>
                      </a:extLst>
                    </a:blip>
                    <a:srcRect/>
                    <a:stretch>
                      <a:fillRect/>
                    </a:stretch>
                  </pic:blipFill>
                  <pic:spPr bwMode="auto">
                    <a:xfrm>
                      <a:off x="0" y="0"/>
                      <a:ext cx="7066915" cy="4850765"/>
                    </a:xfrm>
                    <a:prstGeom prst="rect">
                      <a:avLst/>
                    </a:prstGeom>
                    <a:noFill/>
                    <a:ln>
                      <a:noFill/>
                    </a:ln>
                  </pic:spPr>
                </pic:pic>
              </a:graphicData>
            </a:graphic>
            <wp14:sizeRelH relativeFrom="page">
              <wp14:pctWidth>0</wp14:pctWidth>
            </wp14:sizeRelH>
            <wp14:sizeRelV relativeFrom="page">
              <wp14:pctHeight>0</wp14:pctHeight>
            </wp14:sizeRelV>
          </wp:anchor>
        </w:drawing>
      </w:r>
      <w:r w:rsidR="000D7554" w:rsidRPr="008633D2">
        <w:rPr>
          <w:lang w:val="en-ZA"/>
        </w:rPr>
        <w:t>APPENDIX A</w:t>
      </w:r>
      <w:bookmarkEnd w:id="276"/>
      <w:r w:rsidR="000D7554" w:rsidRPr="008633D2">
        <w:rPr>
          <w:lang w:val="en-ZA"/>
        </w:rPr>
        <w:t xml:space="preserve"> </w:t>
      </w:r>
    </w:p>
    <w:p w:rsidR="000D7554" w:rsidRPr="008633D2" w:rsidRDefault="000D7554" w:rsidP="000D7554">
      <w:pPr>
        <w:pStyle w:val="Heading1"/>
        <w:numPr>
          <w:ilvl w:val="0"/>
          <w:numId w:val="0"/>
        </w:numPr>
        <w:rPr>
          <w:lang w:val="en-ZA"/>
        </w:rPr>
      </w:pPr>
      <w:bookmarkStart w:id="279" w:name="_Toc458610841"/>
      <w:bookmarkStart w:id="280" w:name="_Ref25718292"/>
      <w:bookmarkStart w:id="281" w:name="_Toc141172768"/>
      <w:bookmarkStart w:id="282" w:name="_Toc141172840"/>
      <w:bookmarkStart w:id="283" w:name="_Toc141173510"/>
      <w:bookmarkStart w:id="284" w:name="_Toc141173576"/>
      <w:bookmarkStart w:id="285" w:name="_Toc141173622"/>
      <w:r w:rsidRPr="008633D2">
        <w:rPr>
          <w:lang w:val="en-ZA"/>
        </w:rPr>
        <w:t>APPENDIX B</w:t>
      </w:r>
      <w:bookmarkEnd w:id="279"/>
    </w:p>
    <w:p w:rsidR="003D4232" w:rsidRPr="008633D2" w:rsidRDefault="003D4232" w:rsidP="003D4232">
      <w:pPr>
        <w:pStyle w:val="Heading2"/>
        <w:numPr>
          <w:ilvl w:val="0"/>
          <w:numId w:val="0"/>
        </w:numPr>
        <w:rPr>
          <w:lang w:val="en-ZA"/>
        </w:rPr>
      </w:pPr>
      <w:bookmarkStart w:id="286" w:name="_Toc458610842"/>
      <w:r w:rsidRPr="008633D2">
        <w:rPr>
          <w:lang w:val="en-ZA"/>
        </w:rPr>
        <w:t>Consistency matrix</w:t>
      </w:r>
      <w:bookmarkEnd w:id="280"/>
      <w:bookmarkEnd w:id="281"/>
      <w:bookmarkEnd w:id="282"/>
      <w:bookmarkEnd w:id="283"/>
      <w:bookmarkEnd w:id="284"/>
      <w:bookmarkEnd w:id="285"/>
      <w:bookmarkEnd w:id="286"/>
    </w:p>
    <w:p w:rsidR="00195AF0" w:rsidRPr="008633D2" w:rsidRDefault="00195AF0" w:rsidP="00195AF0">
      <w:pPr>
        <w:pStyle w:val="Caption"/>
        <w:rPr>
          <w:lang w:val="en-ZA"/>
        </w:rPr>
      </w:pPr>
      <w:bookmarkStart w:id="287" w:name="_Toc192476090"/>
      <w:bookmarkStart w:id="288" w:name="_Toc423372681"/>
      <w:bookmarkStart w:id="289" w:name="_Toc458610862"/>
      <w:r w:rsidRPr="008633D2">
        <w:rPr>
          <w:lang w:val="en-ZA"/>
        </w:rPr>
        <w:t xml:space="preserve">Table </w:t>
      </w:r>
      <w:r w:rsidR="00CB6094" w:rsidRPr="008633D2">
        <w:rPr>
          <w:lang w:val="en-ZA"/>
        </w:rPr>
        <w:fldChar w:fldCharType="begin"/>
      </w:r>
      <w:r w:rsidR="00CB6094" w:rsidRPr="008633D2">
        <w:rPr>
          <w:lang w:val="en-ZA"/>
        </w:rPr>
        <w:instrText xml:space="preserve"> SEQ Table \* ARABIC </w:instrText>
      </w:r>
      <w:r w:rsidR="00CB6094" w:rsidRPr="008633D2">
        <w:rPr>
          <w:lang w:val="en-ZA"/>
        </w:rPr>
        <w:fldChar w:fldCharType="separate"/>
      </w:r>
      <w:r w:rsidR="00C456D9">
        <w:rPr>
          <w:noProof/>
          <w:lang w:val="en-ZA"/>
        </w:rPr>
        <w:t>17</w:t>
      </w:r>
      <w:r w:rsidR="00CB6094" w:rsidRPr="008633D2">
        <w:rPr>
          <w:lang w:val="en-ZA"/>
        </w:rPr>
        <w:fldChar w:fldCharType="end"/>
      </w:r>
      <w:r w:rsidRPr="008633D2">
        <w:rPr>
          <w:lang w:val="en-ZA"/>
        </w:rPr>
        <w:t>: Consistency matrix</w:t>
      </w:r>
      <w:bookmarkEnd w:id="287"/>
      <w:bookmarkEnd w:id="288"/>
      <w:bookmarkEnd w:id="289"/>
    </w:p>
    <w:tbl>
      <w:tblPr>
        <w:tblW w:w="51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54"/>
        <w:gridCol w:w="1842"/>
        <w:gridCol w:w="3163"/>
        <w:gridCol w:w="2850"/>
        <w:gridCol w:w="1347"/>
        <w:gridCol w:w="1381"/>
      </w:tblGrid>
      <w:tr w:rsidR="00195AF0" w:rsidRPr="008633D2" w:rsidTr="00F85F4C">
        <w:trPr>
          <w:cantSplit/>
          <w:tblHeader/>
        </w:trPr>
        <w:tc>
          <w:tcPr>
            <w:tcW w:w="5000" w:type="pct"/>
            <w:gridSpan w:val="6"/>
          </w:tcPr>
          <w:p w:rsidR="00195AF0" w:rsidRPr="008633D2" w:rsidRDefault="00195AF0" w:rsidP="00F85F4C">
            <w:pPr>
              <w:pStyle w:val="normaltableresearch"/>
              <w:rPr>
                <w:b/>
                <w:bCs/>
                <w:sz w:val="22"/>
                <w:lang w:val="en-ZA"/>
              </w:rPr>
            </w:pPr>
            <w:r w:rsidRPr="008633D2">
              <w:rPr>
                <w:b/>
                <w:bCs/>
                <w:sz w:val="22"/>
                <w:lang w:val="en-ZA"/>
              </w:rPr>
              <w:t>Does the performance of unit trusts managed by female fund managers in South Africa exceed that of their male counterparts?</w:t>
            </w:r>
          </w:p>
        </w:tc>
      </w:tr>
      <w:tr w:rsidR="00195AF0" w:rsidRPr="008633D2" w:rsidTr="00F85F4C">
        <w:trPr>
          <w:cantSplit/>
          <w:tblHeader/>
        </w:trPr>
        <w:tc>
          <w:tcPr>
            <w:tcW w:w="1283" w:type="pct"/>
          </w:tcPr>
          <w:p w:rsidR="00195AF0" w:rsidRPr="008633D2" w:rsidRDefault="00195AF0" w:rsidP="00F85F4C">
            <w:pPr>
              <w:pStyle w:val="normaltableresearch"/>
              <w:jc w:val="center"/>
              <w:rPr>
                <w:b/>
                <w:bCs/>
                <w:sz w:val="22"/>
                <w:lang w:val="en-ZA"/>
              </w:rPr>
            </w:pPr>
            <w:r w:rsidRPr="008633D2">
              <w:rPr>
                <w:b/>
                <w:bCs/>
                <w:sz w:val="22"/>
                <w:lang w:val="en-ZA"/>
              </w:rPr>
              <w:t>Main- Problem</w:t>
            </w:r>
          </w:p>
        </w:tc>
        <w:tc>
          <w:tcPr>
            <w:tcW w:w="647" w:type="pct"/>
          </w:tcPr>
          <w:p w:rsidR="00195AF0" w:rsidRPr="008633D2" w:rsidRDefault="00195AF0" w:rsidP="00F85F4C">
            <w:pPr>
              <w:pStyle w:val="normaltableresearch"/>
              <w:jc w:val="center"/>
              <w:rPr>
                <w:b/>
                <w:bCs/>
                <w:sz w:val="22"/>
                <w:lang w:val="en-ZA"/>
              </w:rPr>
            </w:pPr>
            <w:r w:rsidRPr="008633D2">
              <w:rPr>
                <w:b/>
                <w:bCs/>
                <w:sz w:val="22"/>
                <w:lang w:val="en-ZA"/>
              </w:rPr>
              <w:t>Literature Review</w:t>
            </w:r>
          </w:p>
        </w:tc>
        <w:tc>
          <w:tcPr>
            <w:tcW w:w="1111" w:type="pct"/>
          </w:tcPr>
          <w:p w:rsidR="00195AF0" w:rsidRPr="008633D2" w:rsidRDefault="00195AF0" w:rsidP="00F85F4C">
            <w:pPr>
              <w:pStyle w:val="normaltableresearch"/>
              <w:jc w:val="center"/>
              <w:rPr>
                <w:b/>
                <w:bCs/>
                <w:sz w:val="22"/>
                <w:lang w:val="en-ZA"/>
              </w:rPr>
            </w:pPr>
            <w:r w:rsidRPr="008633D2">
              <w:rPr>
                <w:b/>
                <w:bCs/>
                <w:sz w:val="22"/>
                <w:lang w:val="en-ZA"/>
              </w:rPr>
              <w:t xml:space="preserve">Hypotheses </w:t>
            </w:r>
          </w:p>
        </w:tc>
        <w:tc>
          <w:tcPr>
            <w:tcW w:w="1001" w:type="pct"/>
          </w:tcPr>
          <w:p w:rsidR="00195AF0" w:rsidRPr="008633D2" w:rsidRDefault="00195AF0" w:rsidP="00F85F4C">
            <w:pPr>
              <w:pStyle w:val="normaltableresearch"/>
              <w:jc w:val="center"/>
              <w:rPr>
                <w:b/>
                <w:bCs/>
                <w:sz w:val="22"/>
                <w:lang w:val="en-ZA"/>
              </w:rPr>
            </w:pPr>
            <w:r w:rsidRPr="008633D2">
              <w:rPr>
                <w:b/>
                <w:bCs/>
                <w:sz w:val="22"/>
                <w:lang w:val="en-ZA"/>
              </w:rPr>
              <w:t>Source of data</w:t>
            </w:r>
          </w:p>
        </w:tc>
        <w:tc>
          <w:tcPr>
            <w:tcW w:w="473" w:type="pct"/>
          </w:tcPr>
          <w:p w:rsidR="00195AF0" w:rsidRPr="008633D2" w:rsidRDefault="00195AF0" w:rsidP="00F85F4C">
            <w:pPr>
              <w:pStyle w:val="normaltableresearch"/>
              <w:jc w:val="center"/>
              <w:rPr>
                <w:b/>
                <w:bCs/>
                <w:sz w:val="22"/>
                <w:lang w:val="en-ZA"/>
              </w:rPr>
            </w:pPr>
            <w:r w:rsidRPr="008633D2">
              <w:rPr>
                <w:b/>
                <w:bCs/>
                <w:sz w:val="22"/>
                <w:lang w:val="en-ZA"/>
              </w:rPr>
              <w:t>Type of data</w:t>
            </w:r>
          </w:p>
        </w:tc>
        <w:tc>
          <w:tcPr>
            <w:tcW w:w="485" w:type="pct"/>
          </w:tcPr>
          <w:p w:rsidR="00195AF0" w:rsidRPr="008633D2" w:rsidRDefault="00195AF0" w:rsidP="00F85F4C">
            <w:pPr>
              <w:pStyle w:val="normaltableresearch"/>
              <w:jc w:val="center"/>
              <w:rPr>
                <w:b/>
                <w:bCs/>
                <w:sz w:val="22"/>
                <w:lang w:val="en-ZA"/>
              </w:rPr>
            </w:pPr>
            <w:r w:rsidRPr="008633D2">
              <w:rPr>
                <w:b/>
                <w:bCs/>
                <w:sz w:val="22"/>
                <w:lang w:val="en-ZA"/>
              </w:rPr>
              <w:t>Analysis</w:t>
            </w:r>
          </w:p>
        </w:tc>
      </w:tr>
      <w:tr w:rsidR="00195AF0" w:rsidRPr="008633D2" w:rsidTr="00F85F4C">
        <w:trPr>
          <w:cantSplit/>
        </w:trPr>
        <w:tc>
          <w:tcPr>
            <w:tcW w:w="1283" w:type="pct"/>
          </w:tcPr>
          <w:p w:rsidR="00195AF0" w:rsidRPr="008633D2" w:rsidRDefault="00195AF0" w:rsidP="00F85F4C">
            <w:pPr>
              <w:jc w:val="left"/>
              <w:rPr>
                <w:color w:val="333399"/>
                <w:sz w:val="22"/>
                <w:lang w:val="en-ZA"/>
              </w:rPr>
            </w:pPr>
            <w:r w:rsidRPr="008633D2">
              <w:rPr>
                <w:lang w:val="en-ZA"/>
              </w:rPr>
              <w:t xml:space="preserve">Establish whether the performance of unit trusts managed by female fund managers exceeds that of comparable unit trusts managed by male fund managers in South Africa or not. </w:t>
            </w:r>
          </w:p>
        </w:tc>
        <w:tc>
          <w:tcPr>
            <w:tcW w:w="647" w:type="pct"/>
          </w:tcPr>
          <w:p w:rsidR="00195AF0" w:rsidRPr="008633D2" w:rsidRDefault="003323B7" w:rsidP="00F85F4C">
            <w:pPr>
              <w:pStyle w:val="normaltableresearch"/>
              <w:rPr>
                <w:sz w:val="24"/>
                <w:lang w:val="en-ZA"/>
              </w:rPr>
            </w:pPr>
            <w:sdt>
              <w:sdtPr>
                <w:rPr>
                  <w:sz w:val="24"/>
                  <w:lang w:val="en-ZA"/>
                </w:rPr>
                <w:id w:val="-504976396"/>
                <w:citation/>
              </w:sdtPr>
              <w:sdtEndPr/>
              <w:sdtContent>
                <w:r w:rsidR="00195AF0" w:rsidRPr="008633D2">
                  <w:rPr>
                    <w:sz w:val="24"/>
                    <w:lang w:val="en-ZA"/>
                  </w:rPr>
                  <w:fldChar w:fldCharType="begin"/>
                </w:r>
                <w:r w:rsidR="00195AF0" w:rsidRPr="008633D2">
                  <w:rPr>
                    <w:sz w:val="24"/>
                    <w:lang w:val="en-ZA"/>
                  </w:rPr>
                  <w:instrText xml:space="preserve"> CITATION Che99 \l 1033 </w:instrText>
                </w:r>
                <w:r w:rsidR="00195AF0" w:rsidRPr="008633D2">
                  <w:rPr>
                    <w:sz w:val="24"/>
                    <w:lang w:val="en-ZA"/>
                  </w:rPr>
                  <w:fldChar w:fldCharType="separate"/>
                </w:r>
                <w:r w:rsidR="00195AF0" w:rsidRPr="008633D2">
                  <w:rPr>
                    <w:sz w:val="24"/>
                    <w:lang w:val="en-ZA"/>
                  </w:rPr>
                  <w:t>(Chevalier &amp; Ellison, 1999)</w:t>
                </w:r>
                <w:r w:rsidR="00195AF0" w:rsidRPr="008633D2">
                  <w:rPr>
                    <w:sz w:val="24"/>
                    <w:lang w:val="en-ZA"/>
                  </w:rPr>
                  <w:fldChar w:fldCharType="end"/>
                </w:r>
              </w:sdtContent>
            </w:sdt>
            <w:r w:rsidR="00195AF0" w:rsidRPr="008633D2">
              <w:rPr>
                <w:sz w:val="24"/>
                <w:lang w:val="en-ZA"/>
              </w:rPr>
              <w:t xml:space="preserve">, </w:t>
            </w:r>
            <w:sdt>
              <w:sdtPr>
                <w:rPr>
                  <w:sz w:val="24"/>
                  <w:lang w:val="en-ZA"/>
                </w:rPr>
                <w:id w:val="513195665"/>
                <w:citation/>
              </w:sdtPr>
              <w:sdtEndPr/>
              <w:sdtContent>
                <w:r w:rsidR="00195AF0" w:rsidRPr="008633D2">
                  <w:rPr>
                    <w:sz w:val="24"/>
                    <w:lang w:val="en-ZA"/>
                  </w:rPr>
                  <w:fldChar w:fldCharType="begin"/>
                </w:r>
                <w:r w:rsidR="00195AF0" w:rsidRPr="008633D2">
                  <w:rPr>
                    <w:sz w:val="24"/>
                    <w:lang w:val="en-ZA"/>
                  </w:rPr>
                  <w:instrText xml:space="preserve"> CITATION Atk03 \l 1033 </w:instrText>
                </w:r>
                <w:r w:rsidR="00195AF0" w:rsidRPr="008633D2">
                  <w:rPr>
                    <w:sz w:val="24"/>
                    <w:lang w:val="en-ZA"/>
                  </w:rPr>
                  <w:fldChar w:fldCharType="separate"/>
                </w:r>
                <w:r w:rsidR="00195AF0" w:rsidRPr="008633D2">
                  <w:rPr>
                    <w:sz w:val="24"/>
                    <w:lang w:val="en-ZA"/>
                  </w:rPr>
                  <w:t>(Atkinson, Baird, &amp; Frye, 2003)</w:t>
                </w:r>
                <w:r w:rsidR="00195AF0" w:rsidRPr="008633D2">
                  <w:rPr>
                    <w:sz w:val="24"/>
                    <w:lang w:val="en-ZA"/>
                  </w:rPr>
                  <w:fldChar w:fldCharType="end"/>
                </w:r>
              </w:sdtContent>
            </w:sdt>
            <w:r w:rsidR="00195AF0" w:rsidRPr="008633D2">
              <w:rPr>
                <w:sz w:val="24"/>
                <w:lang w:val="en-ZA"/>
              </w:rPr>
              <w:t>,</w:t>
            </w:r>
            <w:sdt>
              <w:sdtPr>
                <w:rPr>
                  <w:sz w:val="24"/>
                  <w:lang w:val="en-ZA"/>
                </w:rPr>
                <w:id w:val="-738480591"/>
                <w:citation/>
              </w:sdtPr>
              <w:sdtEndPr/>
              <w:sdtContent>
                <w:r w:rsidR="00195AF0" w:rsidRPr="008633D2">
                  <w:rPr>
                    <w:sz w:val="24"/>
                    <w:lang w:val="en-ZA"/>
                  </w:rPr>
                  <w:fldChar w:fldCharType="begin"/>
                </w:r>
                <w:r w:rsidR="005B7BCE">
                  <w:rPr>
                    <w:sz w:val="24"/>
                    <w:lang w:val="en-ZA"/>
                  </w:rPr>
                  <w:instrText xml:space="preserve">CITATION Nie06 \l 1033 </w:instrText>
                </w:r>
                <w:r w:rsidR="00195AF0" w:rsidRPr="008633D2">
                  <w:rPr>
                    <w:sz w:val="24"/>
                    <w:lang w:val="en-ZA"/>
                  </w:rPr>
                  <w:fldChar w:fldCharType="separate"/>
                </w:r>
                <w:r w:rsidR="005B7BCE">
                  <w:rPr>
                    <w:noProof/>
                    <w:sz w:val="24"/>
                    <w:lang w:val="en-ZA"/>
                  </w:rPr>
                  <w:t xml:space="preserve"> </w:t>
                </w:r>
                <w:r w:rsidR="005B7BCE" w:rsidRPr="005B7BCE">
                  <w:rPr>
                    <w:noProof/>
                    <w:sz w:val="24"/>
                    <w:lang w:val="en-ZA"/>
                  </w:rPr>
                  <w:t>(Niessen &amp; Ruenzi, 2006)</w:t>
                </w:r>
                <w:r w:rsidR="00195AF0" w:rsidRPr="008633D2">
                  <w:rPr>
                    <w:sz w:val="24"/>
                    <w:lang w:val="en-ZA"/>
                  </w:rPr>
                  <w:fldChar w:fldCharType="end"/>
                </w:r>
              </w:sdtContent>
            </w:sdt>
            <w:r w:rsidR="00195AF0" w:rsidRPr="008633D2">
              <w:rPr>
                <w:sz w:val="24"/>
                <w:lang w:val="en-ZA"/>
              </w:rPr>
              <w:t>,</w:t>
            </w:r>
            <w:sdt>
              <w:sdtPr>
                <w:rPr>
                  <w:sz w:val="24"/>
                  <w:lang w:val="en-ZA"/>
                </w:rPr>
                <w:id w:val="455139900"/>
                <w:citation/>
              </w:sdtPr>
              <w:sdtEndPr/>
              <w:sdtContent>
                <w:r w:rsidR="00195AF0" w:rsidRPr="008633D2">
                  <w:rPr>
                    <w:sz w:val="24"/>
                    <w:lang w:val="en-ZA"/>
                  </w:rPr>
                  <w:fldChar w:fldCharType="begin"/>
                </w:r>
                <w:r w:rsidR="005B7BCE">
                  <w:rPr>
                    <w:sz w:val="24"/>
                    <w:lang w:val="en-ZA"/>
                  </w:rPr>
                  <w:instrText xml:space="preserve">CITATION Din05 \l 1033 </w:instrText>
                </w:r>
                <w:r w:rsidR="00195AF0" w:rsidRPr="008633D2">
                  <w:rPr>
                    <w:sz w:val="24"/>
                    <w:lang w:val="en-ZA"/>
                  </w:rPr>
                  <w:fldChar w:fldCharType="separate"/>
                </w:r>
                <w:r w:rsidR="005B7BCE">
                  <w:rPr>
                    <w:noProof/>
                    <w:sz w:val="24"/>
                    <w:lang w:val="en-ZA"/>
                  </w:rPr>
                  <w:t xml:space="preserve"> </w:t>
                </w:r>
                <w:r w:rsidR="005B7BCE" w:rsidRPr="005B7BCE">
                  <w:rPr>
                    <w:noProof/>
                    <w:sz w:val="24"/>
                    <w:lang w:val="en-ZA"/>
                  </w:rPr>
                  <w:t>(Ding &amp; Wermers, 2005)</w:t>
                </w:r>
                <w:r w:rsidR="00195AF0" w:rsidRPr="008633D2">
                  <w:rPr>
                    <w:sz w:val="24"/>
                    <w:lang w:val="en-ZA"/>
                  </w:rPr>
                  <w:fldChar w:fldCharType="end"/>
                </w:r>
              </w:sdtContent>
            </w:sdt>
          </w:p>
        </w:tc>
        <w:tc>
          <w:tcPr>
            <w:tcW w:w="1111" w:type="pct"/>
          </w:tcPr>
          <w:p w:rsidR="00195AF0" w:rsidRPr="008633D2" w:rsidRDefault="00195AF0" w:rsidP="00F85F4C">
            <w:pPr>
              <w:pStyle w:val="normaltableresearch"/>
              <w:rPr>
                <w:sz w:val="24"/>
                <w:lang w:val="en-ZA"/>
              </w:rPr>
            </w:pPr>
            <w:r w:rsidRPr="008633D2">
              <w:rPr>
                <w:sz w:val="24"/>
                <w:lang w:val="en-ZA"/>
              </w:rPr>
              <w:t>Do female managed unit trusts outperform male managed unit trusts in South Africa?</w:t>
            </w:r>
          </w:p>
        </w:tc>
        <w:tc>
          <w:tcPr>
            <w:tcW w:w="1001" w:type="pct"/>
          </w:tcPr>
          <w:p w:rsidR="00195AF0" w:rsidRPr="008633D2" w:rsidRDefault="00195AF0" w:rsidP="00F85F4C">
            <w:pPr>
              <w:pStyle w:val="normaltableresearch"/>
              <w:spacing w:before="120" w:after="120"/>
              <w:rPr>
                <w:sz w:val="24"/>
                <w:lang w:val="en-ZA"/>
              </w:rPr>
            </w:pPr>
            <w:r w:rsidRPr="008633D2">
              <w:rPr>
                <w:sz w:val="24"/>
                <w:lang w:val="en-ZA"/>
              </w:rPr>
              <w:t>MorningStar and the JSE</w:t>
            </w:r>
          </w:p>
        </w:tc>
        <w:tc>
          <w:tcPr>
            <w:tcW w:w="473" w:type="pct"/>
          </w:tcPr>
          <w:p w:rsidR="00195AF0" w:rsidRPr="008633D2" w:rsidRDefault="00195AF0" w:rsidP="00F85F4C">
            <w:pPr>
              <w:pStyle w:val="normaltableresearch"/>
              <w:rPr>
                <w:sz w:val="24"/>
                <w:lang w:val="en-ZA"/>
              </w:rPr>
            </w:pPr>
            <w:r w:rsidRPr="008633D2">
              <w:rPr>
                <w:sz w:val="24"/>
                <w:lang w:val="en-ZA"/>
              </w:rPr>
              <w:t>Ratio</w:t>
            </w:r>
          </w:p>
        </w:tc>
        <w:tc>
          <w:tcPr>
            <w:tcW w:w="485" w:type="pct"/>
          </w:tcPr>
          <w:p w:rsidR="00195AF0" w:rsidRPr="008633D2" w:rsidRDefault="007A5FD1" w:rsidP="007A5FD1">
            <w:pPr>
              <w:pStyle w:val="normaltableresearch"/>
              <w:spacing w:before="120" w:after="120"/>
              <w:rPr>
                <w:sz w:val="24"/>
                <w:lang w:val="en-ZA"/>
              </w:rPr>
            </w:pPr>
            <w:r>
              <w:rPr>
                <w:sz w:val="24"/>
                <w:lang w:val="en-ZA"/>
              </w:rPr>
              <w:t>The data is</w:t>
            </w:r>
            <w:r w:rsidR="00195AF0" w:rsidRPr="008633D2">
              <w:rPr>
                <w:sz w:val="24"/>
                <w:lang w:val="en-ZA"/>
              </w:rPr>
              <w:t xml:space="preserve"> directly compared.</w:t>
            </w:r>
          </w:p>
        </w:tc>
      </w:tr>
    </w:tbl>
    <w:p w:rsidR="00195AF0" w:rsidRPr="008633D2" w:rsidRDefault="00195AF0" w:rsidP="00627ABD">
      <w:pPr>
        <w:rPr>
          <w:color w:val="333399"/>
          <w:lang w:val="en-ZA"/>
        </w:rPr>
      </w:pPr>
    </w:p>
    <w:sectPr w:rsidR="00195AF0" w:rsidRPr="008633D2" w:rsidSect="003666A5">
      <w:headerReference w:type="even" r:id="rId22"/>
      <w:endnotePr>
        <w:numFmt w:val="decimal"/>
      </w:endnotePr>
      <w:pgSz w:w="16840" w:h="11907" w:orient="landscape" w:code="9"/>
      <w:pgMar w:top="1298" w:right="1582" w:bottom="1871" w:left="172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23B7" w:rsidRDefault="003323B7">
      <w:r>
        <w:separator/>
      </w:r>
    </w:p>
  </w:endnote>
  <w:endnote w:type="continuationSeparator" w:id="0">
    <w:p w:rsidR="003323B7" w:rsidRDefault="003323B7">
      <w:r>
        <w:continuationSeparator/>
      </w:r>
    </w:p>
  </w:endnote>
  <w:endnote w:type="continuationNotice" w:id="1">
    <w:p w:rsidR="003323B7" w:rsidRDefault="003323B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W1)">
    <w:altName w:val="Arial"/>
    <w:charset w:val="00"/>
    <w:family w:val="swiss"/>
    <w:pitch w:val="variable"/>
    <w:sig w:usb0="00000000" w:usb1="8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Univers 45 Light">
    <w:altName w:val="Univers 45 Light"/>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0E0" w:rsidRDefault="005270E0" w:rsidP="009245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270E0" w:rsidRDefault="005270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0E0" w:rsidRDefault="005270E0" w:rsidP="00924577">
    <w:pPr>
      <w:pStyle w:val="Footer"/>
      <w:framePr w:wrap="around" w:vAnchor="text" w:hAnchor="margin" w:xAlign="center" w:y="1"/>
      <w:rPr>
        <w:rStyle w:val="PageNumber"/>
        <w:sz w:val="18"/>
      </w:rPr>
    </w:pPr>
    <w:r>
      <w:rPr>
        <w:rStyle w:val="PageNumber"/>
        <w:sz w:val="18"/>
      </w:rPr>
      <w:fldChar w:fldCharType="begin"/>
    </w:r>
    <w:r>
      <w:rPr>
        <w:rStyle w:val="PageNumber"/>
        <w:sz w:val="18"/>
      </w:rPr>
      <w:instrText xml:space="preserve">PAGE  </w:instrText>
    </w:r>
    <w:r>
      <w:rPr>
        <w:rStyle w:val="PageNumber"/>
        <w:sz w:val="18"/>
      </w:rPr>
      <w:fldChar w:fldCharType="separate"/>
    </w:r>
    <w:r w:rsidR="005F2182">
      <w:rPr>
        <w:rStyle w:val="PageNumber"/>
        <w:noProof/>
        <w:sz w:val="18"/>
      </w:rPr>
      <w:t>x</w:t>
    </w:r>
    <w:r>
      <w:rPr>
        <w:rStyle w:val="PageNumber"/>
        <w:sz w:val="18"/>
      </w:rPr>
      <w:fldChar w:fldCharType="end"/>
    </w:r>
  </w:p>
  <w:p w:rsidR="005270E0" w:rsidRDefault="005270E0">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0E0" w:rsidRDefault="005270E0" w:rsidP="00924577">
    <w:pPr>
      <w:pStyle w:val="Footer"/>
      <w:framePr w:wrap="around" w:vAnchor="text" w:hAnchor="margin" w:xAlign="center" w:y="1"/>
      <w:rPr>
        <w:rStyle w:val="PageNumber"/>
        <w:sz w:val="18"/>
      </w:rPr>
    </w:pPr>
    <w:r>
      <w:rPr>
        <w:rStyle w:val="PageNumber"/>
        <w:sz w:val="18"/>
      </w:rPr>
      <w:fldChar w:fldCharType="begin"/>
    </w:r>
    <w:r>
      <w:rPr>
        <w:rStyle w:val="PageNumber"/>
        <w:sz w:val="18"/>
      </w:rPr>
      <w:instrText xml:space="preserve">PAGE  </w:instrText>
    </w:r>
    <w:r>
      <w:rPr>
        <w:rStyle w:val="PageNumber"/>
        <w:sz w:val="18"/>
      </w:rPr>
      <w:fldChar w:fldCharType="separate"/>
    </w:r>
    <w:r w:rsidR="005F2182">
      <w:rPr>
        <w:rStyle w:val="PageNumber"/>
        <w:noProof/>
        <w:sz w:val="18"/>
      </w:rPr>
      <w:t>79</w:t>
    </w:r>
    <w:r>
      <w:rPr>
        <w:rStyle w:val="PageNumber"/>
        <w:sz w:val="18"/>
      </w:rPr>
      <w:fldChar w:fldCharType="end"/>
    </w:r>
  </w:p>
  <w:p w:rsidR="005270E0" w:rsidRDefault="005270E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23B7" w:rsidRDefault="003323B7">
      <w:r>
        <w:separator/>
      </w:r>
    </w:p>
  </w:footnote>
  <w:footnote w:type="continuationSeparator" w:id="0">
    <w:p w:rsidR="003323B7" w:rsidRDefault="003323B7">
      <w:r>
        <w:continuationSeparator/>
      </w:r>
    </w:p>
  </w:footnote>
  <w:footnote w:type="continuationNotice" w:id="1">
    <w:p w:rsidR="003323B7" w:rsidRDefault="003323B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A1A" w:rsidRDefault="00AF5A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0E0" w:rsidRDefault="005270E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A8DED66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3135A0"/>
    <w:multiLevelType w:val="hybridMultilevel"/>
    <w:tmpl w:val="F2985FC2"/>
    <w:lvl w:ilvl="0" w:tplc="E90634E2">
      <w:start w:val="1"/>
      <w:numFmt w:val="bullet"/>
      <w:lvlText w:val=""/>
      <w:lvlJc w:val="left"/>
      <w:pPr>
        <w:ind w:left="720" w:hanging="360"/>
      </w:pPr>
      <w:rPr>
        <w:rFonts w:ascii="Wingdings" w:hAnsi="Wingdings" w:hint="default"/>
        <w:sz w:val="32"/>
        <w:szCs w:val="32"/>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78D4EB3"/>
    <w:multiLevelType w:val="multilevel"/>
    <w:tmpl w:val="C9F207A4"/>
    <w:lvl w:ilvl="0">
      <w:start w:val="1"/>
      <w:numFmt w:val="decimal"/>
      <w:pStyle w:val="Heading1"/>
      <w:lvlText w:val="CHAPTER %1."/>
      <w:lvlJc w:val="left"/>
      <w:pPr>
        <w:ind w:left="1920" w:hanging="360"/>
      </w:pPr>
      <w:rPr>
        <w:rFonts w:hint="default"/>
      </w:rPr>
    </w:lvl>
    <w:lvl w:ilvl="1">
      <w:start w:val="1"/>
      <w:numFmt w:val="decimal"/>
      <w:pStyle w:val="Heading2"/>
      <w:lvlText w:val="%1.%2"/>
      <w:lvlJc w:val="left"/>
      <w:pPr>
        <w:tabs>
          <w:tab w:val="num" w:pos="720"/>
        </w:tabs>
        <w:ind w:left="0" w:firstLine="0"/>
      </w:pPr>
      <w:rPr>
        <w:rFonts w:hint="default"/>
      </w:rPr>
    </w:lvl>
    <w:lvl w:ilvl="2">
      <w:start w:val="1"/>
      <w:numFmt w:val="decimal"/>
      <w:pStyle w:val="Heading3"/>
      <w:lvlText w:val="%1.%2.%3"/>
      <w:lvlJc w:val="left"/>
      <w:pPr>
        <w:tabs>
          <w:tab w:val="num" w:pos="1606"/>
        </w:tabs>
        <w:ind w:left="1606" w:hanging="754"/>
      </w:pPr>
      <w:rPr>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Heading4"/>
      <w:lvlText w:val="%4."/>
      <w:lvlJc w:val="left"/>
      <w:pPr>
        <w:tabs>
          <w:tab w:val="num" w:pos="2268"/>
        </w:tabs>
        <w:ind w:left="2268" w:hanging="794"/>
      </w:pPr>
      <w:rPr>
        <w:rFonts w:ascii="Times New Roman" w:hAnsi="Times New Roman" w:hint="default"/>
        <w:b w:val="0"/>
        <w:i w:val="0"/>
        <w:sz w:val="20"/>
      </w:rPr>
    </w:lvl>
    <w:lvl w:ilvl="4">
      <w:start w:val="1"/>
      <w:numFmt w:val="lowerRoman"/>
      <w:pStyle w:val="Heading5"/>
      <w:lvlText w:val="%5."/>
      <w:lvlJc w:val="left"/>
      <w:pPr>
        <w:tabs>
          <w:tab w:val="num" w:pos="3045"/>
        </w:tabs>
        <w:ind w:left="0" w:firstLine="2325"/>
      </w:pPr>
      <w:rPr>
        <w:rFonts w:ascii="Times New Roman" w:hAnsi="Times New Roman" w:hint="default"/>
        <w:b w:val="0"/>
        <w:i w:val="0"/>
        <w:sz w:val="20"/>
      </w:rPr>
    </w:lvl>
    <w:lvl w:ilvl="5">
      <w:start w:val="1"/>
      <w:numFmt w:val="decimal"/>
      <w:pStyle w:val="Heading6"/>
      <w:lvlText w:val="%1.%2.%3.%4.%5.%6"/>
      <w:lvlJc w:val="left"/>
      <w:pPr>
        <w:tabs>
          <w:tab w:val="num" w:pos="0"/>
        </w:tabs>
        <w:ind w:left="0" w:firstLine="0"/>
      </w:pPr>
      <w:rPr>
        <w:rFonts w:hint="default"/>
      </w:rPr>
    </w:lvl>
    <w:lvl w:ilvl="6">
      <w:start w:val="1"/>
      <w:numFmt w:val="decimal"/>
      <w:pStyle w:val="Heading7"/>
      <w:lvlText w:val="%1.%2.%3.%4.%5.%6.%7"/>
      <w:lvlJc w:val="left"/>
      <w:pPr>
        <w:tabs>
          <w:tab w:val="num" w:pos="0"/>
        </w:tabs>
        <w:ind w:left="0" w:firstLine="0"/>
      </w:pPr>
      <w:rPr>
        <w:rFonts w:hint="default"/>
      </w:rPr>
    </w:lvl>
    <w:lvl w:ilvl="7">
      <w:start w:val="1"/>
      <w:numFmt w:val="decimal"/>
      <w:pStyle w:val="Heading8"/>
      <w:lvlText w:val="%1.%2.%3.%4.%5.%6.%7.%8"/>
      <w:lvlJc w:val="left"/>
      <w:pPr>
        <w:tabs>
          <w:tab w:val="num" w:pos="0"/>
        </w:tabs>
        <w:ind w:left="0" w:firstLine="0"/>
      </w:pPr>
      <w:rPr>
        <w:rFonts w:hint="default"/>
      </w:rPr>
    </w:lvl>
    <w:lvl w:ilvl="8">
      <w:start w:val="1"/>
      <w:numFmt w:val="decimal"/>
      <w:pStyle w:val="Heading9"/>
      <w:lvlText w:val="%1.%2.%3.%4.%5.%6.%7.%8.%9"/>
      <w:lvlJc w:val="left"/>
      <w:pPr>
        <w:tabs>
          <w:tab w:val="num" w:pos="0"/>
        </w:tabs>
        <w:ind w:left="0" w:firstLine="0"/>
      </w:pPr>
      <w:rPr>
        <w:rFonts w:hint="default"/>
      </w:rPr>
    </w:lvl>
  </w:abstractNum>
  <w:abstractNum w:abstractNumId="3" w15:restartNumberingAfterBreak="0">
    <w:nsid w:val="09330C9D"/>
    <w:multiLevelType w:val="hybridMultilevel"/>
    <w:tmpl w:val="62A4BFD8"/>
    <w:lvl w:ilvl="0" w:tplc="422C24BC">
      <w:start w:val="1"/>
      <w:numFmt w:val="bullet"/>
      <w:pStyle w:val="indentbullet"/>
      <w:lvlText w:val=""/>
      <w:lvlJc w:val="left"/>
      <w:pPr>
        <w:tabs>
          <w:tab w:val="num" w:pos="1296"/>
        </w:tabs>
        <w:ind w:left="1296" w:hanging="360"/>
      </w:pPr>
      <w:rPr>
        <w:rFonts w:ascii="Symbol" w:hAnsi="Symbol" w:hint="default"/>
      </w:rPr>
    </w:lvl>
    <w:lvl w:ilvl="1" w:tplc="04090003" w:tentative="1">
      <w:start w:val="1"/>
      <w:numFmt w:val="bullet"/>
      <w:lvlText w:val="o"/>
      <w:lvlJc w:val="left"/>
      <w:pPr>
        <w:tabs>
          <w:tab w:val="num" w:pos="2016"/>
        </w:tabs>
        <w:ind w:left="2016" w:hanging="360"/>
      </w:pPr>
      <w:rPr>
        <w:rFonts w:ascii="Courier New" w:hAnsi="Courier New" w:hint="default"/>
      </w:rPr>
    </w:lvl>
    <w:lvl w:ilvl="2" w:tplc="04090005" w:tentative="1">
      <w:start w:val="1"/>
      <w:numFmt w:val="bullet"/>
      <w:lvlText w:val=""/>
      <w:lvlJc w:val="left"/>
      <w:pPr>
        <w:tabs>
          <w:tab w:val="num" w:pos="2736"/>
        </w:tabs>
        <w:ind w:left="2736" w:hanging="360"/>
      </w:pPr>
      <w:rPr>
        <w:rFonts w:ascii="Wingdings" w:hAnsi="Wingdings" w:hint="default"/>
      </w:rPr>
    </w:lvl>
    <w:lvl w:ilvl="3" w:tplc="04090001" w:tentative="1">
      <w:start w:val="1"/>
      <w:numFmt w:val="bullet"/>
      <w:lvlText w:val=""/>
      <w:lvlJc w:val="left"/>
      <w:pPr>
        <w:tabs>
          <w:tab w:val="num" w:pos="3456"/>
        </w:tabs>
        <w:ind w:left="3456" w:hanging="360"/>
      </w:pPr>
      <w:rPr>
        <w:rFonts w:ascii="Symbol" w:hAnsi="Symbol" w:hint="default"/>
      </w:rPr>
    </w:lvl>
    <w:lvl w:ilvl="4" w:tplc="04090003" w:tentative="1">
      <w:start w:val="1"/>
      <w:numFmt w:val="bullet"/>
      <w:lvlText w:val="o"/>
      <w:lvlJc w:val="left"/>
      <w:pPr>
        <w:tabs>
          <w:tab w:val="num" w:pos="4176"/>
        </w:tabs>
        <w:ind w:left="4176" w:hanging="360"/>
      </w:pPr>
      <w:rPr>
        <w:rFonts w:ascii="Courier New" w:hAnsi="Courier New" w:hint="default"/>
      </w:rPr>
    </w:lvl>
    <w:lvl w:ilvl="5" w:tplc="04090005" w:tentative="1">
      <w:start w:val="1"/>
      <w:numFmt w:val="bullet"/>
      <w:lvlText w:val=""/>
      <w:lvlJc w:val="left"/>
      <w:pPr>
        <w:tabs>
          <w:tab w:val="num" w:pos="4896"/>
        </w:tabs>
        <w:ind w:left="4896" w:hanging="360"/>
      </w:pPr>
      <w:rPr>
        <w:rFonts w:ascii="Wingdings" w:hAnsi="Wingdings" w:hint="default"/>
      </w:rPr>
    </w:lvl>
    <w:lvl w:ilvl="6" w:tplc="04090001" w:tentative="1">
      <w:start w:val="1"/>
      <w:numFmt w:val="bullet"/>
      <w:lvlText w:val=""/>
      <w:lvlJc w:val="left"/>
      <w:pPr>
        <w:tabs>
          <w:tab w:val="num" w:pos="5616"/>
        </w:tabs>
        <w:ind w:left="5616" w:hanging="360"/>
      </w:pPr>
      <w:rPr>
        <w:rFonts w:ascii="Symbol" w:hAnsi="Symbol" w:hint="default"/>
      </w:rPr>
    </w:lvl>
    <w:lvl w:ilvl="7" w:tplc="04090003" w:tentative="1">
      <w:start w:val="1"/>
      <w:numFmt w:val="bullet"/>
      <w:lvlText w:val="o"/>
      <w:lvlJc w:val="left"/>
      <w:pPr>
        <w:tabs>
          <w:tab w:val="num" w:pos="6336"/>
        </w:tabs>
        <w:ind w:left="6336" w:hanging="360"/>
      </w:pPr>
      <w:rPr>
        <w:rFonts w:ascii="Courier New" w:hAnsi="Courier New" w:hint="default"/>
      </w:rPr>
    </w:lvl>
    <w:lvl w:ilvl="8" w:tplc="04090005" w:tentative="1">
      <w:start w:val="1"/>
      <w:numFmt w:val="bullet"/>
      <w:lvlText w:val=""/>
      <w:lvlJc w:val="left"/>
      <w:pPr>
        <w:tabs>
          <w:tab w:val="num" w:pos="7056"/>
        </w:tabs>
        <w:ind w:left="7056" w:hanging="360"/>
      </w:pPr>
      <w:rPr>
        <w:rFonts w:ascii="Wingdings" w:hAnsi="Wingdings" w:hint="default"/>
      </w:rPr>
    </w:lvl>
  </w:abstractNum>
  <w:abstractNum w:abstractNumId="4" w15:restartNumberingAfterBreak="0">
    <w:nsid w:val="0EF04F8D"/>
    <w:multiLevelType w:val="hybridMultilevel"/>
    <w:tmpl w:val="298643AC"/>
    <w:lvl w:ilvl="0" w:tplc="1C090005">
      <w:start w:val="1"/>
      <w:numFmt w:val="bullet"/>
      <w:lvlText w:val=""/>
      <w:lvlJc w:val="left"/>
      <w:pPr>
        <w:ind w:left="644" w:hanging="360"/>
      </w:pPr>
      <w:rPr>
        <w:rFonts w:ascii="Wingdings" w:hAnsi="Wingdings" w:hint="default"/>
      </w:rPr>
    </w:lvl>
    <w:lvl w:ilvl="1" w:tplc="1C090003" w:tentative="1">
      <w:start w:val="1"/>
      <w:numFmt w:val="bullet"/>
      <w:lvlText w:val="o"/>
      <w:lvlJc w:val="left"/>
      <w:pPr>
        <w:ind w:left="1364" w:hanging="360"/>
      </w:pPr>
      <w:rPr>
        <w:rFonts w:ascii="Courier New" w:hAnsi="Courier New" w:cs="Courier New" w:hint="default"/>
      </w:rPr>
    </w:lvl>
    <w:lvl w:ilvl="2" w:tplc="1C090005" w:tentative="1">
      <w:start w:val="1"/>
      <w:numFmt w:val="bullet"/>
      <w:lvlText w:val=""/>
      <w:lvlJc w:val="left"/>
      <w:pPr>
        <w:ind w:left="2084" w:hanging="360"/>
      </w:pPr>
      <w:rPr>
        <w:rFonts w:ascii="Wingdings" w:hAnsi="Wingdings" w:hint="default"/>
      </w:rPr>
    </w:lvl>
    <w:lvl w:ilvl="3" w:tplc="1C090001" w:tentative="1">
      <w:start w:val="1"/>
      <w:numFmt w:val="bullet"/>
      <w:lvlText w:val=""/>
      <w:lvlJc w:val="left"/>
      <w:pPr>
        <w:ind w:left="2804" w:hanging="360"/>
      </w:pPr>
      <w:rPr>
        <w:rFonts w:ascii="Symbol" w:hAnsi="Symbol" w:hint="default"/>
      </w:rPr>
    </w:lvl>
    <w:lvl w:ilvl="4" w:tplc="1C090003" w:tentative="1">
      <w:start w:val="1"/>
      <w:numFmt w:val="bullet"/>
      <w:lvlText w:val="o"/>
      <w:lvlJc w:val="left"/>
      <w:pPr>
        <w:ind w:left="3524" w:hanging="360"/>
      </w:pPr>
      <w:rPr>
        <w:rFonts w:ascii="Courier New" w:hAnsi="Courier New" w:cs="Courier New" w:hint="default"/>
      </w:rPr>
    </w:lvl>
    <w:lvl w:ilvl="5" w:tplc="1C090005" w:tentative="1">
      <w:start w:val="1"/>
      <w:numFmt w:val="bullet"/>
      <w:lvlText w:val=""/>
      <w:lvlJc w:val="left"/>
      <w:pPr>
        <w:ind w:left="4244" w:hanging="360"/>
      </w:pPr>
      <w:rPr>
        <w:rFonts w:ascii="Wingdings" w:hAnsi="Wingdings" w:hint="default"/>
      </w:rPr>
    </w:lvl>
    <w:lvl w:ilvl="6" w:tplc="1C090001" w:tentative="1">
      <w:start w:val="1"/>
      <w:numFmt w:val="bullet"/>
      <w:lvlText w:val=""/>
      <w:lvlJc w:val="left"/>
      <w:pPr>
        <w:ind w:left="4964" w:hanging="360"/>
      </w:pPr>
      <w:rPr>
        <w:rFonts w:ascii="Symbol" w:hAnsi="Symbol" w:hint="default"/>
      </w:rPr>
    </w:lvl>
    <w:lvl w:ilvl="7" w:tplc="1C090003" w:tentative="1">
      <w:start w:val="1"/>
      <w:numFmt w:val="bullet"/>
      <w:lvlText w:val="o"/>
      <w:lvlJc w:val="left"/>
      <w:pPr>
        <w:ind w:left="5684" w:hanging="360"/>
      </w:pPr>
      <w:rPr>
        <w:rFonts w:ascii="Courier New" w:hAnsi="Courier New" w:cs="Courier New" w:hint="default"/>
      </w:rPr>
    </w:lvl>
    <w:lvl w:ilvl="8" w:tplc="1C090005" w:tentative="1">
      <w:start w:val="1"/>
      <w:numFmt w:val="bullet"/>
      <w:lvlText w:val=""/>
      <w:lvlJc w:val="left"/>
      <w:pPr>
        <w:ind w:left="6404" w:hanging="360"/>
      </w:pPr>
      <w:rPr>
        <w:rFonts w:ascii="Wingdings" w:hAnsi="Wingdings" w:hint="default"/>
      </w:rPr>
    </w:lvl>
  </w:abstractNum>
  <w:abstractNum w:abstractNumId="5" w15:restartNumberingAfterBreak="0">
    <w:nsid w:val="2651299A"/>
    <w:multiLevelType w:val="hybridMultilevel"/>
    <w:tmpl w:val="91C4B8D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26F96645"/>
    <w:multiLevelType w:val="hybridMultilevel"/>
    <w:tmpl w:val="82F45424"/>
    <w:lvl w:ilvl="0" w:tplc="1C090009">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7466251"/>
    <w:multiLevelType w:val="hybridMultilevel"/>
    <w:tmpl w:val="E94CA88A"/>
    <w:lvl w:ilvl="0" w:tplc="166A2076">
      <w:start w:val="1"/>
      <w:numFmt w:val="bullet"/>
      <w:pStyle w:val="Style1"/>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360"/>
        </w:tabs>
        <w:ind w:left="-360" w:hanging="360"/>
      </w:pPr>
    </w:lvl>
    <w:lvl w:ilvl="2" w:tplc="561A7828">
      <w:start w:val="1"/>
      <w:numFmt w:val="bullet"/>
      <w:lvlText w:val=""/>
      <w:lvlJc w:val="left"/>
      <w:pPr>
        <w:tabs>
          <w:tab w:val="num" w:pos="360"/>
        </w:tabs>
        <w:ind w:left="360" w:hanging="360"/>
      </w:pPr>
      <w:rPr>
        <w:rFonts w:ascii="Wingdings" w:hAnsi="Wingdings" w:hint="default"/>
      </w:rPr>
    </w:lvl>
    <w:lvl w:ilvl="3" w:tplc="04090001" w:tentative="1">
      <w:start w:val="1"/>
      <w:numFmt w:val="bullet"/>
      <w:lvlText w:val=""/>
      <w:lvlJc w:val="left"/>
      <w:pPr>
        <w:tabs>
          <w:tab w:val="num" w:pos="1080"/>
        </w:tabs>
        <w:ind w:left="1080" w:hanging="360"/>
      </w:pPr>
      <w:rPr>
        <w:rFonts w:ascii="Symbol" w:hAnsi="Symbol" w:hint="default"/>
      </w:rPr>
    </w:lvl>
    <w:lvl w:ilvl="4" w:tplc="04090003" w:tentative="1">
      <w:start w:val="1"/>
      <w:numFmt w:val="bullet"/>
      <w:lvlText w:val="o"/>
      <w:lvlJc w:val="left"/>
      <w:pPr>
        <w:tabs>
          <w:tab w:val="num" w:pos="1800"/>
        </w:tabs>
        <w:ind w:left="1800" w:hanging="360"/>
      </w:pPr>
      <w:rPr>
        <w:rFonts w:ascii="Courier New" w:hAnsi="Courier New" w:hint="default"/>
      </w:rPr>
    </w:lvl>
    <w:lvl w:ilvl="5" w:tplc="04090005" w:tentative="1">
      <w:start w:val="1"/>
      <w:numFmt w:val="bullet"/>
      <w:lvlText w:val=""/>
      <w:lvlJc w:val="left"/>
      <w:pPr>
        <w:tabs>
          <w:tab w:val="num" w:pos="2520"/>
        </w:tabs>
        <w:ind w:left="2520" w:hanging="360"/>
      </w:pPr>
      <w:rPr>
        <w:rFonts w:ascii="Wingdings" w:hAnsi="Wingdings" w:hint="default"/>
      </w:rPr>
    </w:lvl>
    <w:lvl w:ilvl="6" w:tplc="04090001" w:tentative="1">
      <w:start w:val="1"/>
      <w:numFmt w:val="bullet"/>
      <w:lvlText w:val=""/>
      <w:lvlJc w:val="left"/>
      <w:pPr>
        <w:tabs>
          <w:tab w:val="num" w:pos="3240"/>
        </w:tabs>
        <w:ind w:left="3240" w:hanging="360"/>
      </w:pPr>
      <w:rPr>
        <w:rFonts w:ascii="Symbol" w:hAnsi="Symbol" w:hint="default"/>
      </w:rPr>
    </w:lvl>
    <w:lvl w:ilvl="7" w:tplc="04090003" w:tentative="1">
      <w:start w:val="1"/>
      <w:numFmt w:val="bullet"/>
      <w:lvlText w:val="o"/>
      <w:lvlJc w:val="left"/>
      <w:pPr>
        <w:tabs>
          <w:tab w:val="num" w:pos="3960"/>
        </w:tabs>
        <w:ind w:left="3960" w:hanging="360"/>
      </w:pPr>
      <w:rPr>
        <w:rFonts w:ascii="Courier New" w:hAnsi="Courier New" w:hint="default"/>
      </w:rPr>
    </w:lvl>
    <w:lvl w:ilvl="8" w:tplc="04090005" w:tentative="1">
      <w:start w:val="1"/>
      <w:numFmt w:val="bullet"/>
      <w:lvlText w:val=""/>
      <w:lvlJc w:val="left"/>
      <w:pPr>
        <w:tabs>
          <w:tab w:val="num" w:pos="4680"/>
        </w:tabs>
        <w:ind w:left="4680" w:hanging="360"/>
      </w:pPr>
      <w:rPr>
        <w:rFonts w:ascii="Wingdings" w:hAnsi="Wingdings" w:hint="default"/>
      </w:rPr>
    </w:lvl>
  </w:abstractNum>
  <w:abstractNum w:abstractNumId="8" w15:restartNumberingAfterBreak="0">
    <w:nsid w:val="2CDF2BB6"/>
    <w:multiLevelType w:val="hybridMultilevel"/>
    <w:tmpl w:val="13A899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FCE292C"/>
    <w:multiLevelType w:val="hybridMultilevel"/>
    <w:tmpl w:val="8D80FC12"/>
    <w:lvl w:ilvl="0" w:tplc="F1FE2E1A">
      <w:start w:val="1"/>
      <w:numFmt w:val="decimal"/>
      <w:pStyle w:val="number"/>
      <w:lvlText w:val="%1)"/>
      <w:lvlJc w:val="left"/>
      <w:pPr>
        <w:tabs>
          <w:tab w:val="num" w:pos="360"/>
        </w:tabs>
        <w:ind w:left="360" w:hanging="360"/>
      </w:pPr>
      <w:rPr>
        <w:rFonts w:hint="default"/>
      </w:rPr>
    </w:lvl>
    <w:lvl w:ilvl="1" w:tplc="85884E18">
      <w:start w:val="1"/>
      <w:numFmt w:val="lowerLetter"/>
      <w:lvlText w:val="%2)"/>
      <w:lvlJc w:val="left"/>
      <w:pPr>
        <w:tabs>
          <w:tab w:val="num" w:pos="576"/>
        </w:tabs>
        <w:ind w:left="576" w:hanging="360"/>
      </w:pPr>
      <w:rPr>
        <w:rFonts w:hint="default"/>
      </w:rPr>
    </w:lvl>
    <w:lvl w:ilvl="2" w:tplc="0409001B" w:tentative="1">
      <w:start w:val="1"/>
      <w:numFmt w:val="lowerRoman"/>
      <w:lvlText w:val="%3."/>
      <w:lvlJc w:val="right"/>
      <w:pPr>
        <w:tabs>
          <w:tab w:val="num" w:pos="1296"/>
        </w:tabs>
        <w:ind w:left="1296" w:hanging="180"/>
      </w:pPr>
    </w:lvl>
    <w:lvl w:ilvl="3" w:tplc="0409000F" w:tentative="1">
      <w:start w:val="1"/>
      <w:numFmt w:val="decimal"/>
      <w:lvlText w:val="%4."/>
      <w:lvlJc w:val="left"/>
      <w:pPr>
        <w:tabs>
          <w:tab w:val="num" w:pos="2016"/>
        </w:tabs>
        <w:ind w:left="2016" w:hanging="360"/>
      </w:pPr>
    </w:lvl>
    <w:lvl w:ilvl="4" w:tplc="04090019" w:tentative="1">
      <w:start w:val="1"/>
      <w:numFmt w:val="lowerLetter"/>
      <w:lvlText w:val="%5."/>
      <w:lvlJc w:val="left"/>
      <w:pPr>
        <w:tabs>
          <w:tab w:val="num" w:pos="2736"/>
        </w:tabs>
        <w:ind w:left="2736" w:hanging="360"/>
      </w:pPr>
    </w:lvl>
    <w:lvl w:ilvl="5" w:tplc="0409001B" w:tentative="1">
      <w:start w:val="1"/>
      <w:numFmt w:val="lowerRoman"/>
      <w:lvlText w:val="%6."/>
      <w:lvlJc w:val="right"/>
      <w:pPr>
        <w:tabs>
          <w:tab w:val="num" w:pos="3456"/>
        </w:tabs>
        <w:ind w:left="3456" w:hanging="180"/>
      </w:pPr>
    </w:lvl>
    <w:lvl w:ilvl="6" w:tplc="0409000F" w:tentative="1">
      <w:start w:val="1"/>
      <w:numFmt w:val="decimal"/>
      <w:lvlText w:val="%7."/>
      <w:lvlJc w:val="left"/>
      <w:pPr>
        <w:tabs>
          <w:tab w:val="num" w:pos="4176"/>
        </w:tabs>
        <w:ind w:left="4176" w:hanging="360"/>
      </w:pPr>
    </w:lvl>
    <w:lvl w:ilvl="7" w:tplc="04090019" w:tentative="1">
      <w:start w:val="1"/>
      <w:numFmt w:val="lowerLetter"/>
      <w:lvlText w:val="%8."/>
      <w:lvlJc w:val="left"/>
      <w:pPr>
        <w:tabs>
          <w:tab w:val="num" w:pos="4896"/>
        </w:tabs>
        <w:ind w:left="4896" w:hanging="360"/>
      </w:pPr>
    </w:lvl>
    <w:lvl w:ilvl="8" w:tplc="0409001B" w:tentative="1">
      <w:start w:val="1"/>
      <w:numFmt w:val="lowerRoman"/>
      <w:lvlText w:val="%9."/>
      <w:lvlJc w:val="right"/>
      <w:pPr>
        <w:tabs>
          <w:tab w:val="num" w:pos="5616"/>
        </w:tabs>
        <w:ind w:left="5616" w:hanging="180"/>
      </w:pPr>
    </w:lvl>
  </w:abstractNum>
  <w:abstractNum w:abstractNumId="10" w15:restartNumberingAfterBreak="0">
    <w:nsid w:val="33F73DBC"/>
    <w:multiLevelType w:val="hybridMultilevel"/>
    <w:tmpl w:val="4D6E0A14"/>
    <w:lvl w:ilvl="0" w:tplc="1C090009">
      <w:start w:val="1"/>
      <w:numFmt w:val="bullet"/>
      <w:lvlText w:val=""/>
      <w:lvlJc w:val="left"/>
      <w:pPr>
        <w:ind w:left="720" w:hanging="360"/>
      </w:pPr>
      <w:rPr>
        <w:rFonts w:ascii="Wingdings" w:hAnsi="Wingdings" w:hint="default"/>
      </w:rPr>
    </w:lvl>
    <w:lvl w:ilvl="1" w:tplc="1C090005">
      <w:start w:val="1"/>
      <w:numFmt w:val="bullet"/>
      <w:lvlText w:val=""/>
      <w:lvlJc w:val="left"/>
      <w:pPr>
        <w:ind w:left="1440" w:hanging="360"/>
      </w:pPr>
      <w:rPr>
        <w:rFonts w:ascii="Wingdings" w:hAnsi="Wingdings"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3BCD6E52"/>
    <w:multiLevelType w:val="singleLevel"/>
    <w:tmpl w:val="93907D12"/>
    <w:lvl w:ilvl="0">
      <w:start w:val="1"/>
      <w:numFmt w:val="lowerRoman"/>
      <w:pStyle w:val="Sub3"/>
      <w:lvlText w:val="(%1)"/>
      <w:lvlJc w:val="right"/>
      <w:pPr>
        <w:tabs>
          <w:tab w:val="num" w:pos="567"/>
        </w:tabs>
        <w:ind w:left="567" w:hanging="397"/>
      </w:pPr>
      <w:rPr>
        <w:u w:val="none"/>
      </w:rPr>
    </w:lvl>
  </w:abstractNum>
  <w:abstractNum w:abstractNumId="12" w15:restartNumberingAfterBreak="0">
    <w:nsid w:val="3D9C47C3"/>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3" w15:restartNumberingAfterBreak="0">
    <w:nsid w:val="4B5F3DBF"/>
    <w:multiLevelType w:val="hybridMultilevel"/>
    <w:tmpl w:val="4FBC66E6"/>
    <w:lvl w:ilvl="0" w:tplc="94CCBFD6">
      <w:start w:val="1"/>
      <w:numFmt w:val="bullet"/>
      <w:lvlText w:val=""/>
      <w:lvlJc w:val="left"/>
      <w:pPr>
        <w:ind w:left="360" w:hanging="360"/>
      </w:pPr>
      <w:rPr>
        <w:rFonts w:ascii="Wingdings" w:hAnsi="Wingdings" w:hint="default"/>
        <w:sz w:val="32"/>
        <w:szCs w:val="32"/>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4" w15:restartNumberingAfterBreak="0">
    <w:nsid w:val="511F566A"/>
    <w:multiLevelType w:val="hybridMultilevel"/>
    <w:tmpl w:val="D1A09286"/>
    <w:lvl w:ilvl="0" w:tplc="1C090009">
      <w:start w:val="1"/>
      <w:numFmt w:val="bullet"/>
      <w:lvlText w:val=""/>
      <w:lvlJc w:val="left"/>
      <w:pPr>
        <w:ind w:left="360" w:hanging="360"/>
      </w:pPr>
      <w:rPr>
        <w:rFonts w:ascii="Wingdings" w:hAnsi="Wingdings" w:hint="default"/>
      </w:rPr>
    </w:lvl>
    <w:lvl w:ilvl="1" w:tplc="1C090001">
      <w:start w:val="1"/>
      <w:numFmt w:val="bullet"/>
      <w:lvlText w:val=""/>
      <w:lvlJc w:val="left"/>
      <w:pPr>
        <w:ind w:left="1080" w:hanging="360"/>
      </w:pPr>
      <w:rPr>
        <w:rFonts w:ascii="Symbol" w:hAnsi="Symbol"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5" w15:restartNumberingAfterBreak="0">
    <w:nsid w:val="554E5863"/>
    <w:multiLevelType w:val="hybridMultilevel"/>
    <w:tmpl w:val="2E32B17A"/>
    <w:lvl w:ilvl="0" w:tplc="1C090009">
      <w:start w:val="1"/>
      <w:numFmt w:val="bullet"/>
      <w:lvlText w:val=""/>
      <w:lvlJc w:val="left"/>
      <w:pPr>
        <w:ind w:left="360" w:hanging="360"/>
      </w:pPr>
      <w:rPr>
        <w:rFonts w:ascii="Wingdings" w:hAnsi="Wingdings" w:hint="default"/>
      </w:rPr>
    </w:lvl>
    <w:lvl w:ilvl="1" w:tplc="1C09000D">
      <w:start w:val="1"/>
      <w:numFmt w:val="bullet"/>
      <w:lvlText w:val=""/>
      <w:lvlJc w:val="left"/>
      <w:pPr>
        <w:ind w:left="1080" w:hanging="360"/>
      </w:pPr>
      <w:rPr>
        <w:rFonts w:ascii="Wingdings" w:hAnsi="Wingdings"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6" w15:restartNumberingAfterBreak="0">
    <w:nsid w:val="5A1D4447"/>
    <w:multiLevelType w:val="hybridMultilevel"/>
    <w:tmpl w:val="E9225326"/>
    <w:lvl w:ilvl="0" w:tplc="62D295C6">
      <w:start w:val="1"/>
      <w:numFmt w:val="decimal"/>
      <w:pStyle w:val="indentbulletattachment"/>
      <w:lvlText w:val="%1."/>
      <w:lvlJc w:val="left"/>
      <w:pPr>
        <w:tabs>
          <w:tab w:val="num" w:pos="1224"/>
        </w:tabs>
        <w:ind w:left="1224" w:hanging="360"/>
      </w:pPr>
      <w:rPr>
        <w:rFonts w:hint="default"/>
      </w:rPr>
    </w:lvl>
    <w:lvl w:ilvl="1" w:tplc="04090019" w:tentative="1">
      <w:start w:val="1"/>
      <w:numFmt w:val="lowerLetter"/>
      <w:lvlText w:val="%2."/>
      <w:lvlJc w:val="left"/>
      <w:pPr>
        <w:tabs>
          <w:tab w:val="num" w:pos="1944"/>
        </w:tabs>
        <w:ind w:left="1944" w:hanging="360"/>
      </w:pPr>
    </w:lvl>
    <w:lvl w:ilvl="2" w:tplc="0409001B" w:tentative="1">
      <w:start w:val="1"/>
      <w:numFmt w:val="lowerRoman"/>
      <w:lvlText w:val="%3."/>
      <w:lvlJc w:val="right"/>
      <w:pPr>
        <w:tabs>
          <w:tab w:val="num" w:pos="2664"/>
        </w:tabs>
        <w:ind w:left="2664" w:hanging="180"/>
      </w:pPr>
    </w:lvl>
    <w:lvl w:ilvl="3" w:tplc="0409000F" w:tentative="1">
      <w:start w:val="1"/>
      <w:numFmt w:val="decimal"/>
      <w:lvlText w:val="%4."/>
      <w:lvlJc w:val="left"/>
      <w:pPr>
        <w:tabs>
          <w:tab w:val="num" w:pos="3384"/>
        </w:tabs>
        <w:ind w:left="3384" w:hanging="360"/>
      </w:pPr>
    </w:lvl>
    <w:lvl w:ilvl="4" w:tplc="04090019" w:tentative="1">
      <w:start w:val="1"/>
      <w:numFmt w:val="lowerLetter"/>
      <w:lvlText w:val="%5."/>
      <w:lvlJc w:val="left"/>
      <w:pPr>
        <w:tabs>
          <w:tab w:val="num" w:pos="4104"/>
        </w:tabs>
        <w:ind w:left="4104" w:hanging="360"/>
      </w:pPr>
    </w:lvl>
    <w:lvl w:ilvl="5" w:tplc="0409001B" w:tentative="1">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17" w15:restartNumberingAfterBreak="0">
    <w:nsid w:val="5D597929"/>
    <w:multiLevelType w:val="multilevel"/>
    <w:tmpl w:val="E2FC5F62"/>
    <w:lvl w:ilvl="0">
      <w:start w:val="1"/>
      <w:numFmt w:val="bullet"/>
      <w:pStyle w:val="bullet"/>
      <w:lvlText w:val=""/>
      <w:lvlJc w:val="left"/>
      <w:pPr>
        <w:tabs>
          <w:tab w:val="num" w:pos="1080"/>
        </w:tabs>
        <w:ind w:left="1080" w:hanging="360"/>
      </w:pPr>
      <w:rPr>
        <w:rFonts w:ascii="Symbol" w:hAnsi="Symbol" w:hint="default"/>
      </w:rPr>
    </w:lvl>
    <w:lvl w:ilvl="1">
      <w:start w:val="1"/>
      <w:numFmt w:val="decimal"/>
      <w:lvlText w:val="%1.%2"/>
      <w:lvlJc w:val="left"/>
      <w:pPr>
        <w:tabs>
          <w:tab w:val="num" w:pos="1440"/>
        </w:tabs>
        <w:ind w:left="720" w:firstLine="0"/>
      </w:pPr>
    </w:lvl>
    <w:lvl w:ilvl="2">
      <w:start w:val="1"/>
      <w:numFmt w:val="decimal"/>
      <w:lvlText w:val="%1.%2.%3"/>
      <w:lvlJc w:val="left"/>
      <w:pPr>
        <w:tabs>
          <w:tab w:val="num" w:pos="2194"/>
        </w:tabs>
        <w:ind w:left="2194" w:hanging="754"/>
      </w:pPr>
      <w:rPr>
        <w:rFonts w:ascii="Times New Roman" w:hAnsi="Times New Roman" w:hint="default"/>
        <w:b w:val="0"/>
        <w:i w:val="0"/>
        <w:sz w:val="20"/>
        <w:u w:val="none"/>
      </w:rPr>
    </w:lvl>
    <w:lvl w:ilvl="3">
      <w:start w:val="1"/>
      <w:numFmt w:val="decimal"/>
      <w:lvlText w:val="%1.%2.%3.%4"/>
      <w:lvlJc w:val="left"/>
      <w:pPr>
        <w:tabs>
          <w:tab w:val="num" w:pos="2988"/>
        </w:tabs>
        <w:ind w:left="2988" w:hanging="794"/>
      </w:pPr>
      <w:rPr>
        <w:rFonts w:ascii="Times New Roman" w:hAnsi="Times New Roman" w:hint="default"/>
        <w:b w:val="0"/>
        <w:i w:val="0"/>
        <w:sz w:val="20"/>
      </w:rPr>
    </w:lvl>
    <w:lvl w:ilvl="4">
      <w:start w:val="1"/>
      <w:numFmt w:val="decimal"/>
      <w:lvlText w:val="%1.%2.%3.%4.%5"/>
      <w:lvlJc w:val="left"/>
      <w:pPr>
        <w:tabs>
          <w:tab w:val="num" w:pos="3765"/>
        </w:tabs>
        <w:ind w:left="720" w:firstLine="2325"/>
      </w:pPr>
      <w:rPr>
        <w:rFonts w:ascii="Times New Roman" w:hAnsi="Times New Roman" w:hint="default"/>
        <w:b w:val="0"/>
        <w:i w:val="0"/>
        <w:sz w:val="20"/>
      </w:rPr>
    </w:lvl>
    <w:lvl w:ilvl="5">
      <w:start w:val="1"/>
      <w:numFmt w:val="decimal"/>
      <w:lvlText w:val="%1.%2.%3.%4.%5.%6"/>
      <w:lvlJc w:val="left"/>
      <w:pPr>
        <w:tabs>
          <w:tab w:val="num" w:pos="720"/>
        </w:tabs>
        <w:ind w:left="720" w:firstLine="0"/>
      </w:pPr>
    </w:lvl>
    <w:lvl w:ilvl="6">
      <w:start w:val="1"/>
      <w:numFmt w:val="decimal"/>
      <w:lvlText w:val="%1.%2.%3.%4.%5.%6.%7"/>
      <w:lvlJc w:val="left"/>
      <w:pPr>
        <w:tabs>
          <w:tab w:val="num" w:pos="720"/>
        </w:tabs>
        <w:ind w:left="720" w:firstLine="0"/>
      </w:pPr>
    </w:lvl>
    <w:lvl w:ilvl="7">
      <w:start w:val="1"/>
      <w:numFmt w:val="decimal"/>
      <w:lvlText w:val="%1.%2.%3.%4.%5.%6.%7.%8"/>
      <w:lvlJc w:val="left"/>
      <w:pPr>
        <w:tabs>
          <w:tab w:val="num" w:pos="720"/>
        </w:tabs>
        <w:ind w:left="720" w:firstLine="0"/>
      </w:pPr>
    </w:lvl>
    <w:lvl w:ilvl="8">
      <w:start w:val="1"/>
      <w:numFmt w:val="decimal"/>
      <w:lvlText w:val="%1.%2.%3.%4.%5.%6.%7.%8.%9"/>
      <w:lvlJc w:val="left"/>
      <w:pPr>
        <w:tabs>
          <w:tab w:val="num" w:pos="720"/>
        </w:tabs>
        <w:ind w:left="720" w:firstLine="0"/>
      </w:pPr>
    </w:lvl>
  </w:abstractNum>
  <w:abstractNum w:abstractNumId="18" w15:restartNumberingAfterBreak="0">
    <w:nsid w:val="5DDF07EE"/>
    <w:multiLevelType w:val="hybridMultilevel"/>
    <w:tmpl w:val="A740B4BE"/>
    <w:lvl w:ilvl="0" w:tplc="1C090005">
      <w:start w:val="1"/>
      <w:numFmt w:val="bullet"/>
      <w:lvlText w:val=""/>
      <w:lvlJc w:val="left"/>
      <w:pPr>
        <w:ind w:left="644" w:hanging="360"/>
      </w:pPr>
      <w:rPr>
        <w:rFonts w:ascii="Wingdings" w:hAnsi="Wingdings" w:hint="default"/>
        <w:sz w:val="32"/>
        <w:szCs w:val="32"/>
      </w:rPr>
    </w:lvl>
    <w:lvl w:ilvl="1" w:tplc="1C090003">
      <w:start w:val="1"/>
      <w:numFmt w:val="bullet"/>
      <w:lvlText w:val="o"/>
      <w:lvlJc w:val="left"/>
      <w:pPr>
        <w:ind w:left="1364" w:hanging="360"/>
      </w:pPr>
      <w:rPr>
        <w:rFonts w:ascii="Courier New" w:hAnsi="Courier New" w:cs="Courier New" w:hint="default"/>
      </w:rPr>
    </w:lvl>
    <w:lvl w:ilvl="2" w:tplc="1C090005" w:tentative="1">
      <w:start w:val="1"/>
      <w:numFmt w:val="bullet"/>
      <w:lvlText w:val=""/>
      <w:lvlJc w:val="left"/>
      <w:pPr>
        <w:ind w:left="2084" w:hanging="360"/>
      </w:pPr>
      <w:rPr>
        <w:rFonts w:ascii="Wingdings" w:hAnsi="Wingdings" w:hint="default"/>
      </w:rPr>
    </w:lvl>
    <w:lvl w:ilvl="3" w:tplc="1C090001" w:tentative="1">
      <w:start w:val="1"/>
      <w:numFmt w:val="bullet"/>
      <w:lvlText w:val=""/>
      <w:lvlJc w:val="left"/>
      <w:pPr>
        <w:ind w:left="2804" w:hanging="360"/>
      </w:pPr>
      <w:rPr>
        <w:rFonts w:ascii="Symbol" w:hAnsi="Symbol" w:hint="default"/>
      </w:rPr>
    </w:lvl>
    <w:lvl w:ilvl="4" w:tplc="1C090003" w:tentative="1">
      <w:start w:val="1"/>
      <w:numFmt w:val="bullet"/>
      <w:lvlText w:val="o"/>
      <w:lvlJc w:val="left"/>
      <w:pPr>
        <w:ind w:left="3524" w:hanging="360"/>
      </w:pPr>
      <w:rPr>
        <w:rFonts w:ascii="Courier New" w:hAnsi="Courier New" w:cs="Courier New" w:hint="default"/>
      </w:rPr>
    </w:lvl>
    <w:lvl w:ilvl="5" w:tplc="1C090005" w:tentative="1">
      <w:start w:val="1"/>
      <w:numFmt w:val="bullet"/>
      <w:lvlText w:val=""/>
      <w:lvlJc w:val="left"/>
      <w:pPr>
        <w:ind w:left="4244" w:hanging="360"/>
      </w:pPr>
      <w:rPr>
        <w:rFonts w:ascii="Wingdings" w:hAnsi="Wingdings" w:hint="default"/>
      </w:rPr>
    </w:lvl>
    <w:lvl w:ilvl="6" w:tplc="1C090001" w:tentative="1">
      <w:start w:val="1"/>
      <w:numFmt w:val="bullet"/>
      <w:lvlText w:val=""/>
      <w:lvlJc w:val="left"/>
      <w:pPr>
        <w:ind w:left="4964" w:hanging="360"/>
      </w:pPr>
      <w:rPr>
        <w:rFonts w:ascii="Symbol" w:hAnsi="Symbol" w:hint="default"/>
      </w:rPr>
    </w:lvl>
    <w:lvl w:ilvl="7" w:tplc="1C090003" w:tentative="1">
      <w:start w:val="1"/>
      <w:numFmt w:val="bullet"/>
      <w:lvlText w:val="o"/>
      <w:lvlJc w:val="left"/>
      <w:pPr>
        <w:ind w:left="5684" w:hanging="360"/>
      </w:pPr>
      <w:rPr>
        <w:rFonts w:ascii="Courier New" w:hAnsi="Courier New" w:cs="Courier New" w:hint="default"/>
      </w:rPr>
    </w:lvl>
    <w:lvl w:ilvl="8" w:tplc="1C090005" w:tentative="1">
      <w:start w:val="1"/>
      <w:numFmt w:val="bullet"/>
      <w:lvlText w:val=""/>
      <w:lvlJc w:val="left"/>
      <w:pPr>
        <w:ind w:left="6404" w:hanging="360"/>
      </w:pPr>
      <w:rPr>
        <w:rFonts w:ascii="Wingdings" w:hAnsi="Wingdings" w:hint="default"/>
      </w:rPr>
    </w:lvl>
  </w:abstractNum>
  <w:abstractNum w:abstractNumId="19" w15:restartNumberingAfterBreak="0">
    <w:nsid w:val="6297160E"/>
    <w:multiLevelType w:val="singleLevel"/>
    <w:tmpl w:val="82EC1892"/>
    <w:lvl w:ilvl="0">
      <w:start w:val="1"/>
      <w:numFmt w:val="lowerLetter"/>
      <w:pStyle w:val="Sub1"/>
      <w:lvlText w:val="(%1)"/>
      <w:lvlJc w:val="left"/>
      <w:pPr>
        <w:tabs>
          <w:tab w:val="num" w:pos="567"/>
        </w:tabs>
        <w:ind w:left="567" w:hanging="567"/>
      </w:pPr>
      <w:rPr>
        <w:u w:val="none"/>
      </w:rPr>
    </w:lvl>
  </w:abstractNum>
  <w:abstractNum w:abstractNumId="20" w15:restartNumberingAfterBreak="0">
    <w:nsid w:val="666D3C65"/>
    <w:multiLevelType w:val="hybridMultilevel"/>
    <w:tmpl w:val="748CA338"/>
    <w:lvl w:ilvl="0" w:tplc="08BA467C">
      <w:start w:val="1"/>
      <w:numFmt w:val="lowerLetter"/>
      <w:pStyle w:val="numberalpha"/>
      <w:lvlText w:val="%1)"/>
      <w:lvlJc w:val="left"/>
      <w:pPr>
        <w:tabs>
          <w:tab w:val="num" w:pos="360"/>
        </w:tabs>
        <w:ind w:left="360" w:hanging="360"/>
      </w:pPr>
      <w:rPr>
        <w:rFonts w:hint="default"/>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21" w15:restartNumberingAfterBreak="0">
    <w:nsid w:val="7262698E"/>
    <w:multiLevelType w:val="singleLevel"/>
    <w:tmpl w:val="0B84373E"/>
    <w:lvl w:ilvl="0">
      <w:start w:val="27"/>
      <w:numFmt w:val="lowerLetter"/>
      <w:pStyle w:val="Sub2"/>
      <w:lvlText w:val="(%1)"/>
      <w:lvlJc w:val="left"/>
      <w:pPr>
        <w:tabs>
          <w:tab w:val="num" w:pos="567"/>
        </w:tabs>
        <w:ind w:left="567" w:hanging="567"/>
      </w:pPr>
      <w:rPr>
        <w:u w:val="none"/>
      </w:rPr>
    </w:lvl>
  </w:abstractNum>
  <w:abstractNum w:abstractNumId="22" w15:restartNumberingAfterBreak="0">
    <w:nsid w:val="7C1B59B3"/>
    <w:multiLevelType w:val="hybridMultilevel"/>
    <w:tmpl w:val="2834E0B8"/>
    <w:lvl w:ilvl="0" w:tplc="1C09000F">
      <w:start w:val="1"/>
      <w:numFmt w:val="decimal"/>
      <w:lvlText w:val="%1."/>
      <w:lvlJc w:val="left"/>
      <w:pPr>
        <w:ind w:left="862" w:hanging="360"/>
      </w:pPr>
      <w:rPr>
        <w:rFonts w:hint="default"/>
      </w:rPr>
    </w:lvl>
    <w:lvl w:ilvl="1" w:tplc="1C090003" w:tentative="1">
      <w:start w:val="1"/>
      <w:numFmt w:val="bullet"/>
      <w:lvlText w:val="o"/>
      <w:lvlJc w:val="left"/>
      <w:pPr>
        <w:ind w:left="1582" w:hanging="360"/>
      </w:pPr>
      <w:rPr>
        <w:rFonts w:ascii="Courier New" w:hAnsi="Courier New" w:cs="Courier New" w:hint="default"/>
      </w:rPr>
    </w:lvl>
    <w:lvl w:ilvl="2" w:tplc="1C090005" w:tentative="1">
      <w:start w:val="1"/>
      <w:numFmt w:val="bullet"/>
      <w:lvlText w:val=""/>
      <w:lvlJc w:val="left"/>
      <w:pPr>
        <w:ind w:left="2302" w:hanging="360"/>
      </w:pPr>
      <w:rPr>
        <w:rFonts w:ascii="Wingdings" w:hAnsi="Wingdings" w:hint="default"/>
      </w:rPr>
    </w:lvl>
    <w:lvl w:ilvl="3" w:tplc="1C090001" w:tentative="1">
      <w:start w:val="1"/>
      <w:numFmt w:val="bullet"/>
      <w:lvlText w:val=""/>
      <w:lvlJc w:val="left"/>
      <w:pPr>
        <w:ind w:left="3022" w:hanging="360"/>
      </w:pPr>
      <w:rPr>
        <w:rFonts w:ascii="Symbol" w:hAnsi="Symbol" w:hint="default"/>
      </w:rPr>
    </w:lvl>
    <w:lvl w:ilvl="4" w:tplc="1C090003" w:tentative="1">
      <w:start w:val="1"/>
      <w:numFmt w:val="bullet"/>
      <w:lvlText w:val="o"/>
      <w:lvlJc w:val="left"/>
      <w:pPr>
        <w:ind w:left="3742" w:hanging="360"/>
      </w:pPr>
      <w:rPr>
        <w:rFonts w:ascii="Courier New" w:hAnsi="Courier New" w:cs="Courier New" w:hint="default"/>
      </w:rPr>
    </w:lvl>
    <w:lvl w:ilvl="5" w:tplc="1C090005" w:tentative="1">
      <w:start w:val="1"/>
      <w:numFmt w:val="bullet"/>
      <w:lvlText w:val=""/>
      <w:lvlJc w:val="left"/>
      <w:pPr>
        <w:ind w:left="4462" w:hanging="360"/>
      </w:pPr>
      <w:rPr>
        <w:rFonts w:ascii="Wingdings" w:hAnsi="Wingdings" w:hint="default"/>
      </w:rPr>
    </w:lvl>
    <w:lvl w:ilvl="6" w:tplc="1C090001" w:tentative="1">
      <w:start w:val="1"/>
      <w:numFmt w:val="bullet"/>
      <w:lvlText w:val=""/>
      <w:lvlJc w:val="left"/>
      <w:pPr>
        <w:ind w:left="5182" w:hanging="360"/>
      </w:pPr>
      <w:rPr>
        <w:rFonts w:ascii="Symbol" w:hAnsi="Symbol" w:hint="default"/>
      </w:rPr>
    </w:lvl>
    <w:lvl w:ilvl="7" w:tplc="1C090003" w:tentative="1">
      <w:start w:val="1"/>
      <w:numFmt w:val="bullet"/>
      <w:lvlText w:val="o"/>
      <w:lvlJc w:val="left"/>
      <w:pPr>
        <w:ind w:left="5902" w:hanging="360"/>
      </w:pPr>
      <w:rPr>
        <w:rFonts w:ascii="Courier New" w:hAnsi="Courier New" w:cs="Courier New" w:hint="default"/>
      </w:rPr>
    </w:lvl>
    <w:lvl w:ilvl="8" w:tplc="1C090005" w:tentative="1">
      <w:start w:val="1"/>
      <w:numFmt w:val="bullet"/>
      <w:lvlText w:val=""/>
      <w:lvlJc w:val="left"/>
      <w:pPr>
        <w:ind w:left="6622" w:hanging="360"/>
      </w:pPr>
      <w:rPr>
        <w:rFonts w:ascii="Wingdings" w:hAnsi="Wingdings" w:hint="default"/>
      </w:rPr>
    </w:lvl>
  </w:abstractNum>
  <w:abstractNum w:abstractNumId="23" w15:restartNumberingAfterBreak="0">
    <w:nsid w:val="7F2B746D"/>
    <w:multiLevelType w:val="hybridMultilevel"/>
    <w:tmpl w:val="6D1E78C2"/>
    <w:lvl w:ilvl="0" w:tplc="2DB60F2A">
      <w:start w:val="1"/>
      <w:numFmt w:val="bullet"/>
      <w:pStyle w:val="bullet0"/>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7"/>
  </w:num>
  <w:num w:numId="3">
    <w:abstractNumId w:val="23"/>
  </w:num>
  <w:num w:numId="4">
    <w:abstractNumId w:val="17"/>
  </w:num>
  <w:num w:numId="5">
    <w:abstractNumId w:val="0"/>
  </w:num>
  <w:num w:numId="6">
    <w:abstractNumId w:val="16"/>
  </w:num>
  <w:num w:numId="7">
    <w:abstractNumId w:val="19"/>
  </w:num>
  <w:num w:numId="8">
    <w:abstractNumId w:val="21"/>
  </w:num>
  <w:num w:numId="9">
    <w:abstractNumId w:val="11"/>
  </w:num>
  <w:num w:numId="10">
    <w:abstractNumId w:val="9"/>
  </w:num>
  <w:num w:numId="11">
    <w:abstractNumId w:val="20"/>
  </w:num>
  <w:num w:numId="12">
    <w:abstractNumId w:val="2"/>
  </w:num>
  <w:num w:numId="13">
    <w:abstractNumId w:val="12"/>
  </w:num>
  <w:num w:numId="14">
    <w:abstractNumId w:val="5"/>
  </w:num>
  <w:num w:numId="15">
    <w:abstractNumId w:val="13"/>
  </w:num>
  <w:num w:numId="16">
    <w:abstractNumId w:val="22"/>
  </w:num>
  <w:num w:numId="17">
    <w:abstractNumId w:val="8"/>
  </w:num>
  <w:num w:numId="18">
    <w:abstractNumId w:val="6"/>
  </w:num>
  <w:num w:numId="19">
    <w:abstractNumId w:val="15"/>
  </w:num>
  <w:num w:numId="20">
    <w:abstractNumId w:val="14"/>
  </w:num>
  <w:num w:numId="21">
    <w:abstractNumId w:val="10"/>
  </w:num>
  <w:num w:numId="22">
    <w:abstractNumId w:val="4"/>
  </w:num>
  <w:num w:numId="23">
    <w:abstractNumId w:val="1"/>
  </w:num>
  <w:num w:numId="24">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activeWritingStyle w:appName="MSWord" w:lang="en-GB" w:vendorID="64" w:dllVersion="131077" w:nlCheck="1" w:checkStyle="1"/>
  <w:activeWritingStyle w:appName="MSWord" w:lang="en-US" w:vendorID="64" w:dllVersion="131077" w:nlCheck="1" w:checkStyle="1"/>
  <w:activeWritingStyle w:appName="MSWord" w:lang="en-GB" w:vendorID="64" w:dllVersion="131078" w:nlCheck="1" w:checkStyle="0"/>
  <w:activeWritingStyle w:appName="MSWord" w:lang="en-US" w:vendorID="64" w:dllVersion="131078" w:nlCheck="1" w:checkStyle="0"/>
  <w:activeWritingStyle w:appName="MSWord" w:lang="en-ZA" w:vendorID="64" w:dllVersion="131078" w:nlCheck="1" w:checkStyle="0"/>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Layout" w:val="&lt;ENLayout&gt;&lt;Style&gt;APA 6th&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s>
  <w:rsids>
    <w:rsidRoot w:val="00896D5C"/>
    <w:rsid w:val="000025E8"/>
    <w:rsid w:val="000050D3"/>
    <w:rsid w:val="000064FB"/>
    <w:rsid w:val="00007523"/>
    <w:rsid w:val="000115F1"/>
    <w:rsid w:val="000143DB"/>
    <w:rsid w:val="00015DEF"/>
    <w:rsid w:val="0002073C"/>
    <w:rsid w:val="00023558"/>
    <w:rsid w:val="00024C95"/>
    <w:rsid w:val="00030AB2"/>
    <w:rsid w:val="00035DD1"/>
    <w:rsid w:val="00036CA8"/>
    <w:rsid w:val="00036DD0"/>
    <w:rsid w:val="00041838"/>
    <w:rsid w:val="00041963"/>
    <w:rsid w:val="00042FFA"/>
    <w:rsid w:val="000442A1"/>
    <w:rsid w:val="00051B16"/>
    <w:rsid w:val="00055FEC"/>
    <w:rsid w:val="00056F45"/>
    <w:rsid w:val="000734C2"/>
    <w:rsid w:val="0007384F"/>
    <w:rsid w:val="00075E78"/>
    <w:rsid w:val="00077ECB"/>
    <w:rsid w:val="00084A6F"/>
    <w:rsid w:val="0009065A"/>
    <w:rsid w:val="00093481"/>
    <w:rsid w:val="000960AF"/>
    <w:rsid w:val="000A2CBF"/>
    <w:rsid w:val="000B24CB"/>
    <w:rsid w:val="000B71CD"/>
    <w:rsid w:val="000B791F"/>
    <w:rsid w:val="000C7CFD"/>
    <w:rsid w:val="000D370E"/>
    <w:rsid w:val="000D4B39"/>
    <w:rsid w:val="000D4D3C"/>
    <w:rsid w:val="000D6EBA"/>
    <w:rsid w:val="000D7554"/>
    <w:rsid w:val="000E1B67"/>
    <w:rsid w:val="000E2C30"/>
    <w:rsid w:val="000F0BEF"/>
    <w:rsid w:val="000F7D16"/>
    <w:rsid w:val="00100FE4"/>
    <w:rsid w:val="001021E3"/>
    <w:rsid w:val="001140DB"/>
    <w:rsid w:val="00123401"/>
    <w:rsid w:val="001248F7"/>
    <w:rsid w:val="001256C1"/>
    <w:rsid w:val="00127F40"/>
    <w:rsid w:val="00131128"/>
    <w:rsid w:val="00134263"/>
    <w:rsid w:val="0013597B"/>
    <w:rsid w:val="00141A37"/>
    <w:rsid w:val="00145925"/>
    <w:rsid w:val="001512FD"/>
    <w:rsid w:val="001535D8"/>
    <w:rsid w:val="00156863"/>
    <w:rsid w:val="00174861"/>
    <w:rsid w:val="00183E85"/>
    <w:rsid w:val="00186A68"/>
    <w:rsid w:val="00187AE9"/>
    <w:rsid w:val="00192DD0"/>
    <w:rsid w:val="00195AF0"/>
    <w:rsid w:val="001A1331"/>
    <w:rsid w:val="001A4CAE"/>
    <w:rsid w:val="001B6637"/>
    <w:rsid w:val="001C4351"/>
    <w:rsid w:val="001C6121"/>
    <w:rsid w:val="001D73FA"/>
    <w:rsid w:val="001D7AAF"/>
    <w:rsid w:val="001E1990"/>
    <w:rsid w:val="001E29E8"/>
    <w:rsid w:val="002003E0"/>
    <w:rsid w:val="0021035F"/>
    <w:rsid w:val="00210D1E"/>
    <w:rsid w:val="0021735F"/>
    <w:rsid w:val="00226D7C"/>
    <w:rsid w:val="002308E7"/>
    <w:rsid w:val="0023262B"/>
    <w:rsid w:val="00233C8B"/>
    <w:rsid w:val="00236C60"/>
    <w:rsid w:val="002374FA"/>
    <w:rsid w:val="002430E6"/>
    <w:rsid w:val="002433E3"/>
    <w:rsid w:val="00246085"/>
    <w:rsid w:val="00247FF1"/>
    <w:rsid w:val="00252325"/>
    <w:rsid w:val="00257A7B"/>
    <w:rsid w:val="00270DE8"/>
    <w:rsid w:val="00277829"/>
    <w:rsid w:val="002838A6"/>
    <w:rsid w:val="00291847"/>
    <w:rsid w:val="00291892"/>
    <w:rsid w:val="002934B0"/>
    <w:rsid w:val="002A1AE3"/>
    <w:rsid w:val="002A2585"/>
    <w:rsid w:val="002A31A3"/>
    <w:rsid w:val="002A33BE"/>
    <w:rsid w:val="002A5102"/>
    <w:rsid w:val="002A5E76"/>
    <w:rsid w:val="002B2A12"/>
    <w:rsid w:val="002B2C5B"/>
    <w:rsid w:val="002B74BB"/>
    <w:rsid w:val="002C5859"/>
    <w:rsid w:val="002C7DDC"/>
    <w:rsid w:val="002D282A"/>
    <w:rsid w:val="002D35CC"/>
    <w:rsid w:val="002E0D5F"/>
    <w:rsid w:val="002E75F3"/>
    <w:rsid w:val="002E77DD"/>
    <w:rsid w:val="002F5692"/>
    <w:rsid w:val="002F67C5"/>
    <w:rsid w:val="002F696F"/>
    <w:rsid w:val="00302B54"/>
    <w:rsid w:val="003065D8"/>
    <w:rsid w:val="0031175A"/>
    <w:rsid w:val="003203B4"/>
    <w:rsid w:val="0032469B"/>
    <w:rsid w:val="0032543B"/>
    <w:rsid w:val="00325DF8"/>
    <w:rsid w:val="00331D3B"/>
    <w:rsid w:val="003323B7"/>
    <w:rsid w:val="00342930"/>
    <w:rsid w:val="0035051A"/>
    <w:rsid w:val="00355B53"/>
    <w:rsid w:val="00360D76"/>
    <w:rsid w:val="0036572D"/>
    <w:rsid w:val="003666A5"/>
    <w:rsid w:val="0037245A"/>
    <w:rsid w:val="0037707B"/>
    <w:rsid w:val="00382E9B"/>
    <w:rsid w:val="003847B5"/>
    <w:rsid w:val="00390952"/>
    <w:rsid w:val="00393897"/>
    <w:rsid w:val="00397FC2"/>
    <w:rsid w:val="003A12F5"/>
    <w:rsid w:val="003A24AC"/>
    <w:rsid w:val="003A3308"/>
    <w:rsid w:val="003A3B52"/>
    <w:rsid w:val="003A6387"/>
    <w:rsid w:val="003A6F41"/>
    <w:rsid w:val="003B1BB1"/>
    <w:rsid w:val="003B3FA5"/>
    <w:rsid w:val="003B484A"/>
    <w:rsid w:val="003B7907"/>
    <w:rsid w:val="003C6C1E"/>
    <w:rsid w:val="003D0752"/>
    <w:rsid w:val="003D2C75"/>
    <w:rsid w:val="003D2F9A"/>
    <w:rsid w:val="003D316E"/>
    <w:rsid w:val="003D33CF"/>
    <w:rsid w:val="003D4232"/>
    <w:rsid w:val="003E3D9D"/>
    <w:rsid w:val="003E4E9B"/>
    <w:rsid w:val="003E73B4"/>
    <w:rsid w:val="003F077B"/>
    <w:rsid w:val="003F1320"/>
    <w:rsid w:val="003F4CF5"/>
    <w:rsid w:val="00400306"/>
    <w:rsid w:val="00404E63"/>
    <w:rsid w:val="00406A36"/>
    <w:rsid w:val="0041299D"/>
    <w:rsid w:val="0042071E"/>
    <w:rsid w:val="00421FEB"/>
    <w:rsid w:val="00422792"/>
    <w:rsid w:val="0042454C"/>
    <w:rsid w:val="0042726A"/>
    <w:rsid w:val="00430783"/>
    <w:rsid w:val="00432D80"/>
    <w:rsid w:val="0043346C"/>
    <w:rsid w:val="0043434C"/>
    <w:rsid w:val="00436706"/>
    <w:rsid w:val="004375F4"/>
    <w:rsid w:val="004405DA"/>
    <w:rsid w:val="0044202E"/>
    <w:rsid w:val="00442B1B"/>
    <w:rsid w:val="0044395A"/>
    <w:rsid w:val="00444611"/>
    <w:rsid w:val="0044489A"/>
    <w:rsid w:val="004448A6"/>
    <w:rsid w:val="004449CD"/>
    <w:rsid w:val="00462380"/>
    <w:rsid w:val="00465756"/>
    <w:rsid w:val="004674D9"/>
    <w:rsid w:val="0046753E"/>
    <w:rsid w:val="0047002F"/>
    <w:rsid w:val="004706DE"/>
    <w:rsid w:val="004719C2"/>
    <w:rsid w:val="00474E72"/>
    <w:rsid w:val="004801DF"/>
    <w:rsid w:val="00482765"/>
    <w:rsid w:val="0049039E"/>
    <w:rsid w:val="004907EC"/>
    <w:rsid w:val="00495C59"/>
    <w:rsid w:val="004A2821"/>
    <w:rsid w:val="004A3DC6"/>
    <w:rsid w:val="004C1BEB"/>
    <w:rsid w:val="004C70A3"/>
    <w:rsid w:val="004C79D2"/>
    <w:rsid w:val="004D2368"/>
    <w:rsid w:val="004D2D5C"/>
    <w:rsid w:val="004D6B09"/>
    <w:rsid w:val="004E352D"/>
    <w:rsid w:val="004E68CB"/>
    <w:rsid w:val="004F092C"/>
    <w:rsid w:val="004F7551"/>
    <w:rsid w:val="004F7B9F"/>
    <w:rsid w:val="00505B81"/>
    <w:rsid w:val="00512397"/>
    <w:rsid w:val="00513CDE"/>
    <w:rsid w:val="00515E0B"/>
    <w:rsid w:val="00516AA4"/>
    <w:rsid w:val="0051718F"/>
    <w:rsid w:val="0052124D"/>
    <w:rsid w:val="00525513"/>
    <w:rsid w:val="005262B5"/>
    <w:rsid w:val="00526B31"/>
    <w:rsid w:val="005270E0"/>
    <w:rsid w:val="00527456"/>
    <w:rsid w:val="00530D05"/>
    <w:rsid w:val="005324A1"/>
    <w:rsid w:val="0053396E"/>
    <w:rsid w:val="005344EF"/>
    <w:rsid w:val="00535444"/>
    <w:rsid w:val="00540E39"/>
    <w:rsid w:val="0054183A"/>
    <w:rsid w:val="0054491B"/>
    <w:rsid w:val="00545044"/>
    <w:rsid w:val="005522C6"/>
    <w:rsid w:val="00560CAF"/>
    <w:rsid w:val="00560F3F"/>
    <w:rsid w:val="00562653"/>
    <w:rsid w:val="00562953"/>
    <w:rsid w:val="00563A1B"/>
    <w:rsid w:val="005652E1"/>
    <w:rsid w:val="00566D37"/>
    <w:rsid w:val="00572A08"/>
    <w:rsid w:val="00575A99"/>
    <w:rsid w:val="005835D5"/>
    <w:rsid w:val="005844DF"/>
    <w:rsid w:val="00586A28"/>
    <w:rsid w:val="00591A26"/>
    <w:rsid w:val="005979DE"/>
    <w:rsid w:val="005A0A49"/>
    <w:rsid w:val="005A1CFA"/>
    <w:rsid w:val="005A7A1A"/>
    <w:rsid w:val="005B091F"/>
    <w:rsid w:val="005B0F51"/>
    <w:rsid w:val="005B1D27"/>
    <w:rsid w:val="005B38D0"/>
    <w:rsid w:val="005B5FE1"/>
    <w:rsid w:val="005B7BCE"/>
    <w:rsid w:val="005C146F"/>
    <w:rsid w:val="005C2EA9"/>
    <w:rsid w:val="005C413D"/>
    <w:rsid w:val="005D125A"/>
    <w:rsid w:val="005D166C"/>
    <w:rsid w:val="005D1727"/>
    <w:rsid w:val="005D463C"/>
    <w:rsid w:val="005D5A17"/>
    <w:rsid w:val="005D698F"/>
    <w:rsid w:val="005D6CE1"/>
    <w:rsid w:val="005E05B5"/>
    <w:rsid w:val="005E3D3D"/>
    <w:rsid w:val="005E5901"/>
    <w:rsid w:val="005E7016"/>
    <w:rsid w:val="005E7A98"/>
    <w:rsid w:val="005E7CFA"/>
    <w:rsid w:val="005F080A"/>
    <w:rsid w:val="005F2182"/>
    <w:rsid w:val="005F2E9A"/>
    <w:rsid w:val="00603E20"/>
    <w:rsid w:val="00604B80"/>
    <w:rsid w:val="00610150"/>
    <w:rsid w:val="00615DF6"/>
    <w:rsid w:val="00617197"/>
    <w:rsid w:val="00623255"/>
    <w:rsid w:val="00627ABD"/>
    <w:rsid w:val="006300A4"/>
    <w:rsid w:val="00630E8D"/>
    <w:rsid w:val="00634F5B"/>
    <w:rsid w:val="0063563B"/>
    <w:rsid w:val="00635F52"/>
    <w:rsid w:val="0064228B"/>
    <w:rsid w:val="006463A2"/>
    <w:rsid w:val="00646874"/>
    <w:rsid w:val="00646B08"/>
    <w:rsid w:val="00652091"/>
    <w:rsid w:val="00655A3A"/>
    <w:rsid w:val="00660A6C"/>
    <w:rsid w:val="006655AB"/>
    <w:rsid w:val="00665C6C"/>
    <w:rsid w:val="00674D3C"/>
    <w:rsid w:val="0068341F"/>
    <w:rsid w:val="00684860"/>
    <w:rsid w:val="00685F85"/>
    <w:rsid w:val="0069011F"/>
    <w:rsid w:val="00696B88"/>
    <w:rsid w:val="006A1B56"/>
    <w:rsid w:val="006A46AD"/>
    <w:rsid w:val="006A6559"/>
    <w:rsid w:val="006B4363"/>
    <w:rsid w:val="006B4A93"/>
    <w:rsid w:val="006C0340"/>
    <w:rsid w:val="006D0151"/>
    <w:rsid w:val="006E0A32"/>
    <w:rsid w:val="006E57F0"/>
    <w:rsid w:val="006E642F"/>
    <w:rsid w:val="006F07D6"/>
    <w:rsid w:val="006F2C0B"/>
    <w:rsid w:val="006F4984"/>
    <w:rsid w:val="007008C0"/>
    <w:rsid w:val="00701423"/>
    <w:rsid w:val="007161F7"/>
    <w:rsid w:val="00720C92"/>
    <w:rsid w:val="00723343"/>
    <w:rsid w:val="00724124"/>
    <w:rsid w:val="007274B6"/>
    <w:rsid w:val="0073045E"/>
    <w:rsid w:val="00733D5A"/>
    <w:rsid w:val="00734215"/>
    <w:rsid w:val="00735873"/>
    <w:rsid w:val="00736BA3"/>
    <w:rsid w:val="007372C2"/>
    <w:rsid w:val="00743CC7"/>
    <w:rsid w:val="00754961"/>
    <w:rsid w:val="00755DA4"/>
    <w:rsid w:val="00756D76"/>
    <w:rsid w:val="00762E3D"/>
    <w:rsid w:val="00765326"/>
    <w:rsid w:val="007707D4"/>
    <w:rsid w:val="00772504"/>
    <w:rsid w:val="0077375C"/>
    <w:rsid w:val="007763FA"/>
    <w:rsid w:val="00780CC2"/>
    <w:rsid w:val="00783A56"/>
    <w:rsid w:val="00786697"/>
    <w:rsid w:val="00791448"/>
    <w:rsid w:val="007928B6"/>
    <w:rsid w:val="00795F66"/>
    <w:rsid w:val="007969E2"/>
    <w:rsid w:val="00797295"/>
    <w:rsid w:val="007A14B9"/>
    <w:rsid w:val="007A1944"/>
    <w:rsid w:val="007A452D"/>
    <w:rsid w:val="007A5FD1"/>
    <w:rsid w:val="007A6437"/>
    <w:rsid w:val="007A6E8F"/>
    <w:rsid w:val="007B6018"/>
    <w:rsid w:val="007C4C18"/>
    <w:rsid w:val="007C4E0C"/>
    <w:rsid w:val="007D1DDB"/>
    <w:rsid w:val="007D2D06"/>
    <w:rsid w:val="007D2FB0"/>
    <w:rsid w:val="007D306A"/>
    <w:rsid w:val="007D75AE"/>
    <w:rsid w:val="007E2C3F"/>
    <w:rsid w:val="007E2DBE"/>
    <w:rsid w:val="007E4D0C"/>
    <w:rsid w:val="007E6230"/>
    <w:rsid w:val="007E640E"/>
    <w:rsid w:val="007E7BB9"/>
    <w:rsid w:val="007F325B"/>
    <w:rsid w:val="007F7693"/>
    <w:rsid w:val="00802D16"/>
    <w:rsid w:val="00804365"/>
    <w:rsid w:val="00807A8E"/>
    <w:rsid w:val="00807C89"/>
    <w:rsid w:val="00814DA8"/>
    <w:rsid w:val="0081598E"/>
    <w:rsid w:val="00822EBF"/>
    <w:rsid w:val="0082666C"/>
    <w:rsid w:val="00827927"/>
    <w:rsid w:val="00832AB1"/>
    <w:rsid w:val="00834ED9"/>
    <w:rsid w:val="00837F23"/>
    <w:rsid w:val="00840E50"/>
    <w:rsid w:val="00842C3F"/>
    <w:rsid w:val="00845CB3"/>
    <w:rsid w:val="008468AA"/>
    <w:rsid w:val="00862906"/>
    <w:rsid w:val="008633D2"/>
    <w:rsid w:val="00865291"/>
    <w:rsid w:val="0086555A"/>
    <w:rsid w:val="00873FF6"/>
    <w:rsid w:val="00876C2B"/>
    <w:rsid w:val="00890075"/>
    <w:rsid w:val="00896874"/>
    <w:rsid w:val="00896D5C"/>
    <w:rsid w:val="008A5E3B"/>
    <w:rsid w:val="008A7314"/>
    <w:rsid w:val="008B2ED4"/>
    <w:rsid w:val="008B40C3"/>
    <w:rsid w:val="008B7966"/>
    <w:rsid w:val="008C4D3A"/>
    <w:rsid w:val="008C7F24"/>
    <w:rsid w:val="008D08D6"/>
    <w:rsid w:val="008D18C4"/>
    <w:rsid w:val="008D55E2"/>
    <w:rsid w:val="008D7AD4"/>
    <w:rsid w:val="008F0745"/>
    <w:rsid w:val="009041C2"/>
    <w:rsid w:val="0090421F"/>
    <w:rsid w:val="009044A0"/>
    <w:rsid w:val="009057E8"/>
    <w:rsid w:val="00910D8A"/>
    <w:rsid w:val="009114FD"/>
    <w:rsid w:val="009129F7"/>
    <w:rsid w:val="00914FA9"/>
    <w:rsid w:val="00921C9B"/>
    <w:rsid w:val="0092221D"/>
    <w:rsid w:val="00922BCD"/>
    <w:rsid w:val="00923A53"/>
    <w:rsid w:val="00924577"/>
    <w:rsid w:val="009251E3"/>
    <w:rsid w:val="00927F39"/>
    <w:rsid w:val="0093055D"/>
    <w:rsid w:val="00930DD0"/>
    <w:rsid w:val="009337F8"/>
    <w:rsid w:val="00933D7A"/>
    <w:rsid w:val="00933E3E"/>
    <w:rsid w:val="0093504E"/>
    <w:rsid w:val="00941A4D"/>
    <w:rsid w:val="00941E78"/>
    <w:rsid w:val="0094293B"/>
    <w:rsid w:val="00951E22"/>
    <w:rsid w:val="00952AEE"/>
    <w:rsid w:val="00953B1F"/>
    <w:rsid w:val="009540A9"/>
    <w:rsid w:val="00956FB3"/>
    <w:rsid w:val="00956FF3"/>
    <w:rsid w:val="00960DAA"/>
    <w:rsid w:val="009615CF"/>
    <w:rsid w:val="009652E3"/>
    <w:rsid w:val="00966273"/>
    <w:rsid w:val="00972DE8"/>
    <w:rsid w:val="00975434"/>
    <w:rsid w:val="00977840"/>
    <w:rsid w:val="00980116"/>
    <w:rsid w:val="0098261F"/>
    <w:rsid w:val="009871F3"/>
    <w:rsid w:val="00987349"/>
    <w:rsid w:val="00993AE9"/>
    <w:rsid w:val="00994D34"/>
    <w:rsid w:val="00995748"/>
    <w:rsid w:val="00995F68"/>
    <w:rsid w:val="00996DE2"/>
    <w:rsid w:val="009A718C"/>
    <w:rsid w:val="009A7834"/>
    <w:rsid w:val="009B3BBB"/>
    <w:rsid w:val="009B489A"/>
    <w:rsid w:val="009B4D93"/>
    <w:rsid w:val="009B671B"/>
    <w:rsid w:val="009C1C24"/>
    <w:rsid w:val="009C727C"/>
    <w:rsid w:val="009D11BD"/>
    <w:rsid w:val="009E180E"/>
    <w:rsid w:val="009E2998"/>
    <w:rsid w:val="009E2BD1"/>
    <w:rsid w:val="009E2F37"/>
    <w:rsid w:val="009E3876"/>
    <w:rsid w:val="009F34B4"/>
    <w:rsid w:val="00A04ABB"/>
    <w:rsid w:val="00A057D0"/>
    <w:rsid w:val="00A07672"/>
    <w:rsid w:val="00A11C48"/>
    <w:rsid w:val="00A1318E"/>
    <w:rsid w:val="00A141B4"/>
    <w:rsid w:val="00A14232"/>
    <w:rsid w:val="00A15BE5"/>
    <w:rsid w:val="00A173D3"/>
    <w:rsid w:val="00A21BAE"/>
    <w:rsid w:val="00A22F5A"/>
    <w:rsid w:val="00A23749"/>
    <w:rsid w:val="00A24008"/>
    <w:rsid w:val="00A27D9F"/>
    <w:rsid w:val="00A32FF9"/>
    <w:rsid w:val="00A447BF"/>
    <w:rsid w:val="00A45D97"/>
    <w:rsid w:val="00A5248F"/>
    <w:rsid w:val="00A5338A"/>
    <w:rsid w:val="00A5489A"/>
    <w:rsid w:val="00A57084"/>
    <w:rsid w:val="00A606F5"/>
    <w:rsid w:val="00A703B3"/>
    <w:rsid w:val="00A71D85"/>
    <w:rsid w:val="00A73159"/>
    <w:rsid w:val="00A80F9D"/>
    <w:rsid w:val="00A820EE"/>
    <w:rsid w:val="00A82845"/>
    <w:rsid w:val="00A8679B"/>
    <w:rsid w:val="00A940B2"/>
    <w:rsid w:val="00A97428"/>
    <w:rsid w:val="00A976E7"/>
    <w:rsid w:val="00A977E8"/>
    <w:rsid w:val="00AA03E5"/>
    <w:rsid w:val="00AA0883"/>
    <w:rsid w:val="00AA3C41"/>
    <w:rsid w:val="00AA4870"/>
    <w:rsid w:val="00AB4291"/>
    <w:rsid w:val="00AB43C7"/>
    <w:rsid w:val="00AB6094"/>
    <w:rsid w:val="00AC0A64"/>
    <w:rsid w:val="00AC30D5"/>
    <w:rsid w:val="00AC4044"/>
    <w:rsid w:val="00AC5E3C"/>
    <w:rsid w:val="00AD00AB"/>
    <w:rsid w:val="00AD2129"/>
    <w:rsid w:val="00AD7CC3"/>
    <w:rsid w:val="00AE1DBB"/>
    <w:rsid w:val="00AE2C26"/>
    <w:rsid w:val="00AE4990"/>
    <w:rsid w:val="00AE6AC2"/>
    <w:rsid w:val="00AF1EDF"/>
    <w:rsid w:val="00AF5052"/>
    <w:rsid w:val="00AF556A"/>
    <w:rsid w:val="00AF5A1A"/>
    <w:rsid w:val="00B01CDB"/>
    <w:rsid w:val="00B02346"/>
    <w:rsid w:val="00B1103A"/>
    <w:rsid w:val="00B15C18"/>
    <w:rsid w:val="00B15E1F"/>
    <w:rsid w:val="00B16958"/>
    <w:rsid w:val="00B20100"/>
    <w:rsid w:val="00B21619"/>
    <w:rsid w:val="00B24553"/>
    <w:rsid w:val="00B246F8"/>
    <w:rsid w:val="00B24C1B"/>
    <w:rsid w:val="00B31226"/>
    <w:rsid w:val="00B355C6"/>
    <w:rsid w:val="00B406E6"/>
    <w:rsid w:val="00B42334"/>
    <w:rsid w:val="00B43EFF"/>
    <w:rsid w:val="00B46A8C"/>
    <w:rsid w:val="00B51CB9"/>
    <w:rsid w:val="00B60390"/>
    <w:rsid w:val="00B60D1D"/>
    <w:rsid w:val="00B711A8"/>
    <w:rsid w:val="00B7349D"/>
    <w:rsid w:val="00B75EFB"/>
    <w:rsid w:val="00B85ADC"/>
    <w:rsid w:val="00B85DE7"/>
    <w:rsid w:val="00B8621B"/>
    <w:rsid w:val="00B93126"/>
    <w:rsid w:val="00B968CC"/>
    <w:rsid w:val="00BA104A"/>
    <w:rsid w:val="00BA6522"/>
    <w:rsid w:val="00BA7D69"/>
    <w:rsid w:val="00BB0657"/>
    <w:rsid w:val="00BB1724"/>
    <w:rsid w:val="00BB5793"/>
    <w:rsid w:val="00BB5EA5"/>
    <w:rsid w:val="00BC247E"/>
    <w:rsid w:val="00BC3347"/>
    <w:rsid w:val="00BC489A"/>
    <w:rsid w:val="00BD129C"/>
    <w:rsid w:val="00BD67B4"/>
    <w:rsid w:val="00BE0FB7"/>
    <w:rsid w:val="00BE2F99"/>
    <w:rsid w:val="00BE67F5"/>
    <w:rsid w:val="00BF65A8"/>
    <w:rsid w:val="00C12A9F"/>
    <w:rsid w:val="00C17AAE"/>
    <w:rsid w:val="00C40EA0"/>
    <w:rsid w:val="00C41C23"/>
    <w:rsid w:val="00C43D72"/>
    <w:rsid w:val="00C456D9"/>
    <w:rsid w:val="00C51C58"/>
    <w:rsid w:val="00C52761"/>
    <w:rsid w:val="00C56CED"/>
    <w:rsid w:val="00C57BEE"/>
    <w:rsid w:val="00C60554"/>
    <w:rsid w:val="00C65C60"/>
    <w:rsid w:val="00C65EFF"/>
    <w:rsid w:val="00C74007"/>
    <w:rsid w:val="00C74ACF"/>
    <w:rsid w:val="00C80A68"/>
    <w:rsid w:val="00C873BE"/>
    <w:rsid w:val="00C91099"/>
    <w:rsid w:val="00C95BB9"/>
    <w:rsid w:val="00C96CE8"/>
    <w:rsid w:val="00CA15FA"/>
    <w:rsid w:val="00CA1EE3"/>
    <w:rsid w:val="00CB1431"/>
    <w:rsid w:val="00CB5DD1"/>
    <w:rsid w:val="00CB6094"/>
    <w:rsid w:val="00CC0208"/>
    <w:rsid w:val="00CC3D54"/>
    <w:rsid w:val="00CC6274"/>
    <w:rsid w:val="00CC7F51"/>
    <w:rsid w:val="00CD0ED4"/>
    <w:rsid w:val="00CD56CA"/>
    <w:rsid w:val="00CE0E7F"/>
    <w:rsid w:val="00CE7A48"/>
    <w:rsid w:val="00CF0CB4"/>
    <w:rsid w:val="00CF285F"/>
    <w:rsid w:val="00CF5E7A"/>
    <w:rsid w:val="00CF6519"/>
    <w:rsid w:val="00CF6C27"/>
    <w:rsid w:val="00CF6ECB"/>
    <w:rsid w:val="00D000B1"/>
    <w:rsid w:val="00D016A4"/>
    <w:rsid w:val="00D0550E"/>
    <w:rsid w:val="00D05A2E"/>
    <w:rsid w:val="00D05F8D"/>
    <w:rsid w:val="00D06992"/>
    <w:rsid w:val="00D06A36"/>
    <w:rsid w:val="00D1146B"/>
    <w:rsid w:val="00D15BCE"/>
    <w:rsid w:val="00D15FAE"/>
    <w:rsid w:val="00D16A09"/>
    <w:rsid w:val="00D16BC3"/>
    <w:rsid w:val="00D21005"/>
    <w:rsid w:val="00D21C04"/>
    <w:rsid w:val="00D21D55"/>
    <w:rsid w:val="00D250DF"/>
    <w:rsid w:val="00D25533"/>
    <w:rsid w:val="00D263CC"/>
    <w:rsid w:val="00D31954"/>
    <w:rsid w:val="00D36938"/>
    <w:rsid w:val="00D401E7"/>
    <w:rsid w:val="00D450F2"/>
    <w:rsid w:val="00D57616"/>
    <w:rsid w:val="00D6197B"/>
    <w:rsid w:val="00D67BEB"/>
    <w:rsid w:val="00D7049B"/>
    <w:rsid w:val="00D72135"/>
    <w:rsid w:val="00D746E0"/>
    <w:rsid w:val="00D833EF"/>
    <w:rsid w:val="00D85665"/>
    <w:rsid w:val="00D87F9B"/>
    <w:rsid w:val="00D95BE9"/>
    <w:rsid w:val="00DA110B"/>
    <w:rsid w:val="00DA23CB"/>
    <w:rsid w:val="00DA2820"/>
    <w:rsid w:val="00DA29C3"/>
    <w:rsid w:val="00DA5185"/>
    <w:rsid w:val="00DA5374"/>
    <w:rsid w:val="00DA768F"/>
    <w:rsid w:val="00DB09D1"/>
    <w:rsid w:val="00DB3059"/>
    <w:rsid w:val="00DC395A"/>
    <w:rsid w:val="00DC44BD"/>
    <w:rsid w:val="00DD1F58"/>
    <w:rsid w:val="00DD2364"/>
    <w:rsid w:val="00DD3ACD"/>
    <w:rsid w:val="00DD3D9D"/>
    <w:rsid w:val="00DD40A9"/>
    <w:rsid w:val="00DD4AE2"/>
    <w:rsid w:val="00DE08C8"/>
    <w:rsid w:val="00DE0F07"/>
    <w:rsid w:val="00DE174E"/>
    <w:rsid w:val="00DE58B6"/>
    <w:rsid w:val="00DE7D6F"/>
    <w:rsid w:val="00DF02D2"/>
    <w:rsid w:val="00DF1C19"/>
    <w:rsid w:val="00DF75C1"/>
    <w:rsid w:val="00E0037F"/>
    <w:rsid w:val="00E00A9E"/>
    <w:rsid w:val="00E16A78"/>
    <w:rsid w:val="00E206BE"/>
    <w:rsid w:val="00E26773"/>
    <w:rsid w:val="00E30AD3"/>
    <w:rsid w:val="00E3114B"/>
    <w:rsid w:val="00E31686"/>
    <w:rsid w:val="00E3317B"/>
    <w:rsid w:val="00E34069"/>
    <w:rsid w:val="00E4170C"/>
    <w:rsid w:val="00E44A60"/>
    <w:rsid w:val="00E453F8"/>
    <w:rsid w:val="00E50ED6"/>
    <w:rsid w:val="00E52E42"/>
    <w:rsid w:val="00E5508E"/>
    <w:rsid w:val="00E57BDB"/>
    <w:rsid w:val="00E600D5"/>
    <w:rsid w:val="00E622E8"/>
    <w:rsid w:val="00E6461C"/>
    <w:rsid w:val="00E67898"/>
    <w:rsid w:val="00E73996"/>
    <w:rsid w:val="00E8131A"/>
    <w:rsid w:val="00E83B87"/>
    <w:rsid w:val="00E86A82"/>
    <w:rsid w:val="00E92DB4"/>
    <w:rsid w:val="00E95583"/>
    <w:rsid w:val="00EA0382"/>
    <w:rsid w:val="00EA2221"/>
    <w:rsid w:val="00EA33D2"/>
    <w:rsid w:val="00EA4182"/>
    <w:rsid w:val="00EB0C6D"/>
    <w:rsid w:val="00EB7191"/>
    <w:rsid w:val="00EC4C67"/>
    <w:rsid w:val="00EC65A4"/>
    <w:rsid w:val="00ED0783"/>
    <w:rsid w:val="00ED0C17"/>
    <w:rsid w:val="00ED3142"/>
    <w:rsid w:val="00ED56EF"/>
    <w:rsid w:val="00ED61B2"/>
    <w:rsid w:val="00ED7F2C"/>
    <w:rsid w:val="00ED7F94"/>
    <w:rsid w:val="00EE17F1"/>
    <w:rsid w:val="00EE23F6"/>
    <w:rsid w:val="00EF25E4"/>
    <w:rsid w:val="00EF2828"/>
    <w:rsid w:val="00EF7F3D"/>
    <w:rsid w:val="00F11726"/>
    <w:rsid w:val="00F126A7"/>
    <w:rsid w:val="00F15798"/>
    <w:rsid w:val="00F235F0"/>
    <w:rsid w:val="00F240A8"/>
    <w:rsid w:val="00F24F80"/>
    <w:rsid w:val="00F26EB2"/>
    <w:rsid w:val="00F32EA0"/>
    <w:rsid w:val="00F33D79"/>
    <w:rsid w:val="00F422B9"/>
    <w:rsid w:val="00F42F71"/>
    <w:rsid w:val="00F55CCC"/>
    <w:rsid w:val="00F56EB0"/>
    <w:rsid w:val="00F67145"/>
    <w:rsid w:val="00F70A0E"/>
    <w:rsid w:val="00F72E59"/>
    <w:rsid w:val="00F75BB3"/>
    <w:rsid w:val="00F82ECE"/>
    <w:rsid w:val="00F85F4C"/>
    <w:rsid w:val="00F86D7E"/>
    <w:rsid w:val="00F87E5A"/>
    <w:rsid w:val="00F906EB"/>
    <w:rsid w:val="00F924EE"/>
    <w:rsid w:val="00F929DB"/>
    <w:rsid w:val="00F979D9"/>
    <w:rsid w:val="00FA1F4F"/>
    <w:rsid w:val="00FA6C8B"/>
    <w:rsid w:val="00FB5A60"/>
    <w:rsid w:val="00FB761E"/>
    <w:rsid w:val="00FC0643"/>
    <w:rsid w:val="00FC352F"/>
    <w:rsid w:val="00FD093B"/>
    <w:rsid w:val="00FD1B3A"/>
    <w:rsid w:val="00FD45F1"/>
    <w:rsid w:val="00FD52FA"/>
    <w:rsid w:val="00FE107F"/>
    <w:rsid w:val="00FE2B7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D19CFA8"/>
  <w15:docId w15:val="{568C4334-B5DC-4F8E-82ED-FBB4DD137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3142"/>
    <w:pPr>
      <w:spacing w:before="240" w:after="240" w:line="360" w:lineRule="auto"/>
      <w:jc w:val="both"/>
    </w:pPr>
    <w:rPr>
      <w:rFonts w:ascii="Arial" w:hAnsi="Arial"/>
      <w:sz w:val="24"/>
      <w:szCs w:val="24"/>
      <w:lang w:val="en-GB" w:eastAsia="en-US"/>
    </w:rPr>
  </w:style>
  <w:style w:type="paragraph" w:styleId="Heading1">
    <w:name w:val="heading 1"/>
    <w:basedOn w:val="Normal"/>
    <w:next w:val="Normal"/>
    <w:link w:val="Heading1Char"/>
    <w:qFormat/>
    <w:rsid w:val="0035051A"/>
    <w:pPr>
      <w:keepNext/>
      <w:pageBreakBefore/>
      <w:numPr>
        <w:numId w:val="12"/>
      </w:numPr>
      <w:spacing w:before="480"/>
      <w:ind w:left="357" w:hanging="357"/>
      <w:outlineLvl w:val="0"/>
    </w:pPr>
    <w:rPr>
      <w:rFonts w:cs="Arial"/>
      <w:b/>
      <w:bCs/>
      <w:kern w:val="32"/>
      <w:sz w:val="32"/>
      <w:szCs w:val="32"/>
    </w:rPr>
  </w:style>
  <w:style w:type="paragraph" w:styleId="Heading2">
    <w:name w:val="heading 2"/>
    <w:basedOn w:val="Normal"/>
    <w:next w:val="Normal"/>
    <w:qFormat/>
    <w:rsid w:val="007372C2"/>
    <w:pPr>
      <w:keepNext/>
      <w:numPr>
        <w:ilvl w:val="1"/>
        <w:numId w:val="12"/>
      </w:numPr>
      <w:spacing w:before="480"/>
      <w:jc w:val="left"/>
      <w:outlineLvl w:val="1"/>
    </w:pPr>
    <w:rPr>
      <w:rFonts w:ascii="Arial (W1)" w:hAnsi="Arial (W1)"/>
      <w:b/>
      <w:bCs/>
      <w:sz w:val="28"/>
      <w:szCs w:val="28"/>
    </w:rPr>
  </w:style>
  <w:style w:type="paragraph" w:styleId="Heading3">
    <w:name w:val="heading 3"/>
    <w:basedOn w:val="Normal"/>
    <w:next w:val="Normal"/>
    <w:qFormat/>
    <w:rsid w:val="00733D5A"/>
    <w:pPr>
      <w:keepNext/>
      <w:numPr>
        <w:ilvl w:val="2"/>
        <w:numId w:val="12"/>
      </w:numPr>
      <w:spacing w:before="480"/>
      <w:ind w:left="851" w:hanging="851"/>
      <w:outlineLvl w:val="2"/>
    </w:pPr>
    <w:rPr>
      <w:rFonts w:cs="Arial"/>
      <w:b/>
      <w:bCs/>
      <w:i/>
      <w:iCs/>
    </w:rPr>
  </w:style>
  <w:style w:type="paragraph" w:styleId="Heading4">
    <w:name w:val="heading 4"/>
    <w:basedOn w:val="Normal"/>
    <w:next w:val="Normal"/>
    <w:rsid w:val="00ED3142"/>
    <w:pPr>
      <w:keepNext/>
      <w:numPr>
        <w:ilvl w:val="3"/>
        <w:numId w:val="12"/>
      </w:numPr>
      <w:tabs>
        <w:tab w:val="left" w:pos="900"/>
      </w:tabs>
      <w:outlineLvl w:val="3"/>
    </w:pPr>
    <w:rPr>
      <w:rFonts w:cs="Arial"/>
      <w:b/>
      <w:bCs/>
      <w:i/>
      <w:iCs/>
    </w:rPr>
  </w:style>
  <w:style w:type="paragraph" w:styleId="Heading5">
    <w:name w:val="heading 5"/>
    <w:basedOn w:val="Normal"/>
    <w:next w:val="Normal"/>
    <w:rsid w:val="00ED3142"/>
    <w:pPr>
      <w:keepNext/>
      <w:numPr>
        <w:ilvl w:val="4"/>
        <w:numId w:val="12"/>
      </w:numPr>
      <w:tabs>
        <w:tab w:val="left" w:pos="2340"/>
      </w:tabs>
      <w:jc w:val="left"/>
      <w:outlineLvl w:val="4"/>
    </w:pPr>
    <w:rPr>
      <w:b/>
      <w:bCs/>
    </w:rPr>
  </w:style>
  <w:style w:type="paragraph" w:styleId="Heading6">
    <w:name w:val="heading 6"/>
    <w:basedOn w:val="Normal"/>
    <w:next w:val="Normal"/>
    <w:rsid w:val="00ED3142"/>
    <w:pPr>
      <w:keepNext/>
      <w:numPr>
        <w:ilvl w:val="5"/>
        <w:numId w:val="12"/>
      </w:numPr>
      <w:outlineLvl w:val="5"/>
    </w:pPr>
  </w:style>
  <w:style w:type="paragraph" w:styleId="Heading7">
    <w:name w:val="heading 7"/>
    <w:basedOn w:val="Normal"/>
    <w:next w:val="Normal"/>
    <w:rsid w:val="00ED3142"/>
    <w:pPr>
      <w:numPr>
        <w:ilvl w:val="6"/>
        <w:numId w:val="12"/>
      </w:numPr>
      <w:outlineLvl w:val="6"/>
    </w:pPr>
    <w:rPr>
      <w:rFonts w:ascii="Times New Roman" w:hAnsi="Times New Roman"/>
    </w:rPr>
  </w:style>
  <w:style w:type="paragraph" w:styleId="Heading8">
    <w:name w:val="heading 8"/>
    <w:basedOn w:val="Normal"/>
    <w:next w:val="Normal"/>
    <w:rsid w:val="00ED3142"/>
    <w:pPr>
      <w:numPr>
        <w:ilvl w:val="7"/>
        <w:numId w:val="12"/>
      </w:numPr>
      <w:outlineLvl w:val="7"/>
    </w:pPr>
    <w:rPr>
      <w:rFonts w:ascii="Times New Roman" w:hAnsi="Times New Roman"/>
      <w:i/>
      <w:iCs/>
    </w:rPr>
  </w:style>
  <w:style w:type="paragraph" w:styleId="Heading9">
    <w:name w:val="heading 9"/>
    <w:basedOn w:val="Normal"/>
    <w:next w:val="Normal"/>
    <w:rsid w:val="00ED3142"/>
    <w:pPr>
      <w:numPr>
        <w:ilvl w:val="8"/>
        <w:numId w:val="12"/>
      </w:numPr>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left"/>
    </w:pPr>
  </w:style>
  <w:style w:type="paragraph" w:styleId="Header">
    <w:name w:val="header"/>
    <w:basedOn w:val="Normal"/>
    <w:pPr>
      <w:tabs>
        <w:tab w:val="center" w:pos="4320"/>
        <w:tab w:val="right" w:pos="8640"/>
      </w:tabs>
      <w:jc w:val="center"/>
    </w:pPr>
    <w:rPr>
      <w:rFonts w:cs="Arial"/>
      <w:b/>
      <w:bCs/>
      <w:sz w:val="40"/>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2">
    <w:name w:val="Body Text 2"/>
    <w:basedOn w:val="Normal"/>
    <w:pPr>
      <w:spacing w:before="60" w:after="60" w:line="264" w:lineRule="auto"/>
    </w:pPr>
  </w:style>
  <w:style w:type="paragraph" w:styleId="Title">
    <w:name w:val="Title"/>
    <w:basedOn w:val="Normal"/>
    <w:pPr>
      <w:spacing w:before="0" w:after="0" w:line="240" w:lineRule="auto"/>
      <w:jc w:val="center"/>
    </w:pPr>
    <w:rPr>
      <w:rFonts w:ascii="Times New Roman" w:hAnsi="Times New Roman"/>
      <w:b/>
      <w:szCs w:val="20"/>
    </w:rPr>
  </w:style>
  <w:style w:type="paragraph" w:styleId="BodyText3">
    <w:name w:val="Body Text 3"/>
    <w:basedOn w:val="Normal"/>
    <w:rPr>
      <w:color w:val="FF0000"/>
    </w:rPr>
  </w:style>
  <w:style w:type="paragraph" w:styleId="TOC1">
    <w:name w:val="toc 1"/>
    <w:basedOn w:val="Normal"/>
    <w:next w:val="Normal"/>
    <w:autoRedefine/>
    <w:uiPriority w:val="39"/>
    <w:rsid w:val="0035051A"/>
    <w:pPr>
      <w:keepNext/>
      <w:tabs>
        <w:tab w:val="right" w:leader="dot" w:pos="8494"/>
      </w:tabs>
      <w:spacing w:before="360" w:line="240" w:lineRule="auto"/>
    </w:pPr>
    <w:rPr>
      <w:b/>
      <w:noProof/>
      <w:sz w:val="28"/>
    </w:rPr>
  </w:style>
  <w:style w:type="paragraph" w:styleId="TOC2">
    <w:name w:val="toc 2"/>
    <w:basedOn w:val="Normal"/>
    <w:next w:val="Normal"/>
    <w:autoRedefine/>
    <w:uiPriority w:val="39"/>
    <w:rsid w:val="003D33CF"/>
    <w:pPr>
      <w:tabs>
        <w:tab w:val="right" w:leader="dot" w:pos="8505"/>
      </w:tabs>
      <w:spacing w:before="80" w:after="0" w:line="240" w:lineRule="auto"/>
      <w:ind w:left="720" w:right="566" w:hanging="720"/>
    </w:pPr>
    <w:rPr>
      <w:smallCaps/>
      <w:noProof/>
    </w:rPr>
  </w:style>
  <w:style w:type="paragraph" w:styleId="TOC3">
    <w:name w:val="toc 3"/>
    <w:basedOn w:val="Normal"/>
    <w:next w:val="Normal"/>
    <w:autoRedefine/>
    <w:uiPriority w:val="39"/>
    <w:pPr>
      <w:spacing w:before="0" w:after="0" w:line="240" w:lineRule="auto"/>
      <w:ind w:firstLine="720"/>
      <w:jc w:val="left"/>
    </w:pPr>
    <w:rPr>
      <w:rFonts w:cs="Arial"/>
      <w:smallCaps/>
      <w:noProof/>
      <w:sz w:val="20"/>
    </w:rPr>
  </w:style>
  <w:style w:type="paragraph" w:styleId="TOC4">
    <w:name w:val="toc 4"/>
    <w:basedOn w:val="Normal"/>
    <w:next w:val="Normal"/>
    <w:autoRedefine/>
    <w:uiPriority w:val="39"/>
    <w:pPr>
      <w:ind w:left="600"/>
    </w:pPr>
  </w:style>
  <w:style w:type="paragraph" w:styleId="TOC5">
    <w:name w:val="toc 5"/>
    <w:basedOn w:val="Normal"/>
    <w:next w:val="Normal"/>
    <w:autoRedefine/>
    <w:uiPriority w:val="39"/>
    <w:pPr>
      <w:ind w:left="800"/>
    </w:pPr>
  </w:style>
  <w:style w:type="paragraph" w:styleId="TOC6">
    <w:name w:val="toc 6"/>
    <w:basedOn w:val="Normal"/>
    <w:next w:val="Normal"/>
    <w:autoRedefine/>
    <w:uiPriority w:val="39"/>
    <w:pPr>
      <w:ind w:left="1000"/>
    </w:pPr>
  </w:style>
  <w:style w:type="paragraph" w:styleId="TOC7">
    <w:name w:val="toc 7"/>
    <w:basedOn w:val="Normal"/>
    <w:next w:val="Normal"/>
    <w:autoRedefine/>
    <w:uiPriority w:val="39"/>
    <w:pPr>
      <w:ind w:left="1200"/>
    </w:pPr>
  </w:style>
  <w:style w:type="paragraph" w:styleId="TOC8">
    <w:name w:val="toc 8"/>
    <w:basedOn w:val="Normal"/>
    <w:next w:val="Normal"/>
    <w:autoRedefine/>
    <w:uiPriority w:val="39"/>
    <w:pPr>
      <w:ind w:left="1400"/>
    </w:pPr>
  </w:style>
  <w:style w:type="paragraph" w:styleId="TOC9">
    <w:name w:val="toc 9"/>
    <w:basedOn w:val="Normal"/>
    <w:next w:val="Normal"/>
    <w:autoRedefine/>
    <w:uiPriority w:val="39"/>
    <w:pPr>
      <w:ind w:left="1600"/>
    </w:pPr>
  </w:style>
  <w:style w:type="paragraph" w:customStyle="1" w:styleId="bullet0">
    <w:name w:val="bullet"/>
    <w:basedOn w:val="Normal"/>
    <w:pPr>
      <w:numPr>
        <w:numId w:val="3"/>
      </w:numPr>
      <w:spacing w:before="0" w:after="60"/>
      <w:jc w:val="left"/>
    </w:pPr>
  </w:style>
  <w:style w:type="paragraph" w:customStyle="1" w:styleId="pre-headerspace">
    <w:name w:val="pre-header space"/>
    <w:basedOn w:val="BodyText"/>
    <w:pPr>
      <w:spacing w:before="0" w:after="0" w:line="240" w:lineRule="auto"/>
    </w:pPr>
  </w:style>
  <w:style w:type="character" w:styleId="Hyperlink">
    <w:name w:val="Hyperlink"/>
    <w:uiPriority w:val="99"/>
    <w:rPr>
      <w:color w:val="0000FF"/>
      <w:u w:val="single"/>
    </w:rPr>
  </w:style>
  <w:style w:type="paragraph" w:styleId="Caption">
    <w:name w:val="caption"/>
    <w:basedOn w:val="Normal"/>
    <w:next w:val="Normal"/>
    <w:qFormat/>
    <w:rsid w:val="00B24553"/>
    <w:rPr>
      <w:b/>
      <w:bCs/>
    </w:rPr>
  </w:style>
  <w:style w:type="paragraph" w:customStyle="1" w:styleId="indentbullet">
    <w:name w:val="indent bullet"/>
    <w:basedOn w:val="Normal"/>
    <w:pPr>
      <w:numPr>
        <w:numId w:val="1"/>
      </w:numPr>
      <w:ind w:left="1224" w:right="864"/>
    </w:pPr>
    <w:rPr>
      <w:i/>
      <w:iCs/>
    </w:rPr>
  </w:style>
  <w:style w:type="paragraph" w:customStyle="1" w:styleId="indentnormal">
    <w:name w:val="indent normal"/>
    <w:basedOn w:val="indentbullet"/>
    <w:pPr>
      <w:numPr>
        <w:numId w:val="0"/>
      </w:numPr>
      <w:ind w:left="864"/>
    </w:pPr>
  </w:style>
  <w:style w:type="paragraph" w:customStyle="1" w:styleId="TableNormal1">
    <w:name w:val="Table Normal1"/>
    <w:basedOn w:val="Normal"/>
    <w:pPr>
      <w:spacing w:before="60" w:after="60" w:line="288" w:lineRule="auto"/>
      <w:jc w:val="left"/>
    </w:pPr>
  </w:style>
  <w:style w:type="paragraph" w:styleId="BodyTextIndent2">
    <w:name w:val="Body Text Indent 2"/>
    <w:basedOn w:val="Normal"/>
    <w:pPr>
      <w:spacing w:before="0" w:after="0" w:line="240" w:lineRule="auto"/>
      <w:ind w:left="720"/>
      <w:jc w:val="left"/>
    </w:pPr>
    <w:rPr>
      <w:rFonts w:ascii="Times New Roman" w:hAnsi="Times New Roman"/>
      <w:bCs/>
      <w:szCs w:val="20"/>
    </w:rPr>
  </w:style>
  <w:style w:type="paragraph" w:customStyle="1" w:styleId="Style1">
    <w:name w:val="Style1"/>
    <w:basedOn w:val="Normal"/>
    <w:pPr>
      <w:numPr>
        <w:numId w:val="2"/>
      </w:numPr>
    </w:pPr>
  </w:style>
  <w:style w:type="paragraph" w:customStyle="1" w:styleId="indentnormalattachment">
    <w:name w:val="indent normal attachment"/>
    <w:basedOn w:val="indentnormal"/>
    <w:rPr>
      <w:i w:val="0"/>
    </w:rPr>
  </w:style>
  <w:style w:type="paragraph" w:customStyle="1" w:styleId="indentbulletattachment">
    <w:name w:val="indent bullet attachment"/>
    <w:basedOn w:val="indentnormalattachment"/>
    <w:pPr>
      <w:numPr>
        <w:numId w:val="6"/>
      </w:numPr>
      <w:spacing w:before="120" w:after="120"/>
      <w:jc w:val="left"/>
    </w:pPr>
  </w:style>
  <w:style w:type="paragraph" w:styleId="BlockText">
    <w:name w:val="Block Text"/>
    <w:basedOn w:val="Normal"/>
    <w:pPr>
      <w:spacing w:after="120"/>
      <w:ind w:left="1440" w:right="1440"/>
    </w:pPr>
  </w:style>
  <w:style w:type="paragraph" w:customStyle="1" w:styleId="bullet">
    <w:name w:val="b ullet"/>
    <w:basedOn w:val="Footer"/>
    <w:pPr>
      <w:numPr>
        <w:numId w:val="4"/>
      </w:numPr>
      <w:tabs>
        <w:tab w:val="clear" w:pos="1080"/>
        <w:tab w:val="clear" w:pos="4320"/>
        <w:tab w:val="clear" w:pos="8640"/>
      </w:tabs>
      <w:ind w:left="547"/>
    </w:pPr>
  </w:style>
  <w:style w:type="paragraph" w:styleId="FootnoteText">
    <w:name w:val="footnote text"/>
    <w:basedOn w:val="Normal"/>
    <w:semiHidden/>
    <w:pPr>
      <w:spacing w:before="0" w:after="0" w:line="240" w:lineRule="auto"/>
    </w:pPr>
    <w:rPr>
      <w:sz w:val="16"/>
      <w:szCs w:val="20"/>
    </w:rPr>
  </w:style>
  <w:style w:type="character" w:styleId="FootnoteReference">
    <w:name w:val="footnote reference"/>
    <w:semiHidden/>
    <w:rPr>
      <w:vertAlign w:val="superscript"/>
    </w:rPr>
  </w:style>
  <w:style w:type="paragraph" w:styleId="BodyTextIndent">
    <w:name w:val="Body Text Indent"/>
    <w:basedOn w:val="Normal"/>
    <w:pPr>
      <w:spacing w:before="0" w:after="0" w:line="240" w:lineRule="auto"/>
      <w:ind w:left="1440"/>
      <w:jc w:val="left"/>
    </w:pPr>
    <w:rPr>
      <w:rFonts w:ascii="Times New Roman" w:hAnsi="Times New Roman" w:cs="Arial"/>
      <w:sz w:val="18"/>
    </w:rPr>
  </w:style>
  <w:style w:type="paragraph" w:styleId="BodyTextIndent3">
    <w:name w:val="Body Text Indent 3"/>
    <w:basedOn w:val="Normal"/>
    <w:pPr>
      <w:ind w:left="1440" w:hanging="1080"/>
    </w:pPr>
  </w:style>
  <w:style w:type="paragraph" w:customStyle="1" w:styleId="number">
    <w:name w:val="number"/>
    <w:basedOn w:val="Normal"/>
    <w:pPr>
      <w:numPr>
        <w:numId w:val="10"/>
      </w:numPr>
    </w:pPr>
  </w:style>
  <w:style w:type="paragraph" w:customStyle="1" w:styleId="FrontPage">
    <w:name w:val="Front Page"/>
    <w:basedOn w:val="Normal"/>
    <w:pPr>
      <w:spacing w:before="0" w:after="0" w:line="240" w:lineRule="auto"/>
      <w:jc w:val="center"/>
    </w:pPr>
    <w:rPr>
      <w:b/>
      <w:szCs w:val="20"/>
    </w:rPr>
  </w:style>
  <w:style w:type="paragraph" w:styleId="EndnoteText">
    <w:name w:val="endnote text"/>
    <w:basedOn w:val="Normal"/>
    <w:semiHidden/>
    <w:pPr>
      <w:spacing w:line="264" w:lineRule="auto"/>
    </w:pPr>
    <w:rPr>
      <w:szCs w:val="20"/>
    </w:rPr>
  </w:style>
  <w:style w:type="character" w:styleId="EndnoteReference">
    <w:name w:val="endnote reference"/>
    <w:semiHidden/>
    <w:rPr>
      <w:vertAlign w:val="superscript"/>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pPr>
    <w:rPr>
      <w:rFonts w:ascii="Courier New" w:eastAsia="Courier New" w:hAnsi="Courier New" w:cs="Courier New"/>
      <w:sz w:val="20"/>
      <w:szCs w:val="20"/>
    </w:rPr>
  </w:style>
  <w:style w:type="paragraph" w:customStyle="1" w:styleId="TableNormal2">
    <w:name w:val="Table Normal2"/>
    <w:basedOn w:val="Normal"/>
    <w:pPr>
      <w:spacing w:before="80" w:after="80" w:line="312" w:lineRule="auto"/>
      <w:jc w:val="left"/>
    </w:pPr>
    <w:rPr>
      <w:rFonts w:ascii="Times New Roman" w:hAnsi="Times New Roman"/>
    </w:rPr>
  </w:style>
  <w:style w:type="paragraph" w:styleId="NormalWeb">
    <w:name w:val="Normal (Web)"/>
    <w:basedOn w:val="Normal"/>
    <w:uiPriority w:val="99"/>
    <w:pPr>
      <w:spacing w:before="100" w:beforeAutospacing="1" w:after="100" w:afterAutospacing="1" w:line="240" w:lineRule="auto"/>
      <w:jc w:val="left"/>
    </w:pPr>
    <w:rPr>
      <w:rFonts w:ascii="Times New Roman" w:hAnsi="Times New Roman"/>
    </w:rPr>
  </w:style>
  <w:style w:type="paragraph" w:customStyle="1" w:styleId="objectinserted">
    <w:name w:val="object inserted"/>
    <w:basedOn w:val="Normal"/>
    <w:pPr>
      <w:keepNext/>
      <w:spacing w:before="120" w:after="0" w:line="240" w:lineRule="auto"/>
      <w:jc w:val="center"/>
    </w:pPr>
    <w:rPr>
      <w:rFonts w:ascii="Times New Roman" w:hAnsi="Times New Roman"/>
    </w:rPr>
  </w:style>
  <w:style w:type="paragraph" w:customStyle="1" w:styleId="BodyText4">
    <w:name w:val="Body Text 4"/>
    <w:basedOn w:val="Normal"/>
    <w:pPr>
      <w:spacing w:before="0" w:line="240" w:lineRule="auto"/>
      <w:ind w:left="2268"/>
    </w:pPr>
    <w:rPr>
      <w:szCs w:val="20"/>
      <w:lang w:val="en-ZA"/>
    </w:rPr>
  </w:style>
  <w:style w:type="paragraph" w:customStyle="1" w:styleId="BodyText5">
    <w:name w:val="Body Text 5"/>
    <w:basedOn w:val="Normal"/>
    <w:pPr>
      <w:spacing w:before="0" w:line="240" w:lineRule="auto"/>
      <w:ind w:left="2835"/>
    </w:pPr>
    <w:rPr>
      <w:szCs w:val="20"/>
      <w:lang w:val="en-ZA"/>
    </w:rPr>
  </w:style>
  <w:style w:type="paragraph" w:customStyle="1" w:styleId="BodyText6">
    <w:name w:val="Body Text 6"/>
    <w:basedOn w:val="Normal"/>
    <w:pPr>
      <w:spacing w:before="0" w:line="240" w:lineRule="auto"/>
      <w:ind w:left="3402"/>
    </w:pPr>
    <w:rPr>
      <w:szCs w:val="20"/>
      <w:lang w:val="en-ZA"/>
    </w:rPr>
  </w:style>
  <w:style w:type="paragraph" w:customStyle="1" w:styleId="BodyText7">
    <w:name w:val="Body Text 7"/>
    <w:basedOn w:val="Normal"/>
    <w:pPr>
      <w:spacing w:before="0" w:line="240" w:lineRule="auto"/>
      <w:ind w:left="3969"/>
    </w:pPr>
    <w:rPr>
      <w:szCs w:val="20"/>
      <w:lang w:val="en-ZA"/>
    </w:rPr>
  </w:style>
  <w:style w:type="paragraph" w:customStyle="1" w:styleId="BodyText8">
    <w:name w:val="Body Text 8"/>
    <w:basedOn w:val="Normal"/>
    <w:pPr>
      <w:spacing w:before="0" w:line="240" w:lineRule="auto"/>
      <w:ind w:left="4536"/>
    </w:pPr>
    <w:rPr>
      <w:szCs w:val="20"/>
      <w:lang w:val="en-ZA"/>
    </w:rPr>
  </w:style>
  <w:style w:type="paragraph" w:customStyle="1" w:styleId="BodyText9">
    <w:name w:val="Body Text 9"/>
    <w:basedOn w:val="Normal"/>
    <w:pPr>
      <w:spacing w:before="0" w:line="240" w:lineRule="auto"/>
      <w:ind w:left="5103"/>
    </w:pPr>
    <w:rPr>
      <w:szCs w:val="20"/>
      <w:lang w:val="en-ZA"/>
    </w:rPr>
  </w:style>
  <w:style w:type="paragraph" w:customStyle="1" w:styleId="FootnoteSeparator">
    <w:name w:val="Footnote Separator"/>
    <w:basedOn w:val="Footer"/>
    <w:pPr>
      <w:pBdr>
        <w:top w:val="single" w:sz="4" w:space="1" w:color="auto"/>
      </w:pBdr>
      <w:spacing w:before="0" w:after="0" w:line="240" w:lineRule="auto"/>
    </w:pPr>
    <w:rPr>
      <w:szCs w:val="20"/>
    </w:rPr>
  </w:style>
  <w:style w:type="paragraph" w:styleId="List">
    <w:name w:val="List"/>
    <w:basedOn w:val="Heading1"/>
    <w:next w:val="BodyText"/>
    <w:pPr>
      <w:keepNext w:val="0"/>
      <w:numPr>
        <w:numId w:val="0"/>
      </w:numPr>
      <w:tabs>
        <w:tab w:val="num" w:pos="567"/>
      </w:tabs>
      <w:spacing w:before="0" w:line="240" w:lineRule="auto"/>
      <w:ind w:left="567" w:hanging="567"/>
    </w:pPr>
    <w:rPr>
      <w:rFonts w:cs="Times New Roman"/>
      <w:bCs w:val="0"/>
      <w:caps/>
      <w:kern w:val="0"/>
      <w:sz w:val="28"/>
      <w:szCs w:val="20"/>
      <w:lang w:val="en-ZA"/>
    </w:rPr>
  </w:style>
  <w:style w:type="paragraph" w:styleId="List2">
    <w:name w:val="List 2"/>
    <w:basedOn w:val="Heading2"/>
    <w:next w:val="BodyText2"/>
    <w:pPr>
      <w:keepNext w:val="0"/>
      <w:numPr>
        <w:ilvl w:val="0"/>
        <w:numId w:val="0"/>
      </w:numPr>
      <w:tabs>
        <w:tab w:val="num" w:pos="1134"/>
      </w:tabs>
      <w:spacing w:before="0" w:line="240" w:lineRule="auto"/>
      <w:ind w:left="1134" w:hanging="1134"/>
      <w:jc w:val="both"/>
    </w:pPr>
    <w:rPr>
      <w:bCs w:val="0"/>
      <w:sz w:val="24"/>
      <w:szCs w:val="20"/>
      <w:lang w:val="en-ZA"/>
    </w:rPr>
  </w:style>
  <w:style w:type="paragraph" w:styleId="List3">
    <w:name w:val="List 3"/>
    <w:basedOn w:val="Heading3"/>
    <w:next w:val="BodyText3"/>
    <w:pPr>
      <w:keepNext w:val="0"/>
      <w:numPr>
        <w:ilvl w:val="0"/>
        <w:numId w:val="0"/>
      </w:numPr>
      <w:tabs>
        <w:tab w:val="num" w:pos="1701"/>
      </w:tabs>
      <w:spacing w:before="0" w:line="240" w:lineRule="auto"/>
      <w:ind w:left="1701" w:hanging="1701"/>
    </w:pPr>
    <w:rPr>
      <w:rFonts w:cs="Times New Roman"/>
      <w:b w:val="0"/>
      <w:bCs w:val="0"/>
      <w:i w:val="0"/>
      <w:iCs w:val="0"/>
      <w:lang w:val="en-ZA"/>
    </w:rPr>
  </w:style>
  <w:style w:type="paragraph" w:styleId="List4">
    <w:name w:val="List 4"/>
    <w:basedOn w:val="Heading4"/>
    <w:next w:val="BodyText4"/>
    <w:pPr>
      <w:keepNext w:val="0"/>
      <w:numPr>
        <w:ilvl w:val="0"/>
        <w:numId w:val="0"/>
      </w:numPr>
      <w:tabs>
        <w:tab w:val="num" w:pos="2268"/>
      </w:tabs>
      <w:spacing w:before="0" w:line="240" w:lineRule="auto"/>
      <w:ind w:left="2268" w:hanging="2268"/>
    </w:pPr>
    <w:rPr>
      <w:rFonts w:cs="Times New Roman"/>
      <w:b w:val="0"/>
      <w:bCs w:val="0"/>
      <w:i w:val="0"/>
      <w:iCs w:val="0"/>
      <w:szCs w:val="20"/>
      <w:lang w:val="en-ZA"/>
    </w:rPr>
  </w:style>
  <w:style w:type="paragraph" w:styleId="List5">
    <w:name w:val="List 5"/>
    <w:basedOn w:val="Heading5"/>
    <w:next w:val="BodyText5"/>
    <w:pPr>
      <w:keepNext w:val="0"/>
      <w:numPr>
        <w:ilvl w:val="0"/>
        <w:numId w:val="0"/>
      </w:numPr>
      <w:tabs>
        <w:tab w:val="clear" w:pos="2340"/>
        <w:tab w:val="num" w:pos="2268"/>
        <w:tab w:val="num" w:pos="2835"/>
      </w:tabs>
      <w:spacing w:before="0" w:line="240" w:lineRule="auto"/>
      <w:ind w:left="2835" w:hanging="2835"/>
      <w:jc w:val="both"/>
    </w:pPr>
    <w:rPr>
      <w:b w:val="0"/>
      <w:bCs w:val="0"/>
      <w:szCs w:val="20"/>
      <w:lang w:val="en-ZA"/>
    </w:rPr>
  </w:style>
  <w:style w:type="paragraph" w:customStyle="1" w:styleId="List6">
    <w:name w:val="List 6"/>
    <w:basedOn w:val="Heading6"/>
    <w:next w:val="BodyText6"/>
    <w:pPr>
      <w:keepNext w:val="0"/>
      <w:numPr>
        <w:ilvl w:val="0"/>
        <w:numId w:val="0"/>
      </w:numPr>
      <w:tabs>
        <w:tab w:val="num" w:pos="3402"/>
      </w:tabs>
      <w:spacing w:before="0" w:line="240" w:lineRule="auto"/>
      <w:ind w:left="3402" w:hanging="3402"/>
    </w:pPr>
    <w:rPr>
      <w:szCs w:val="20"/>
      <w:lang w:val="en-ZA"/>
    </w:rPr>
  </w:style>
  <w:style w:type="paragraph" w:customStyle="1" w:styleId="List7">
    <w:name w:val="List 7"/>
    <w:basedOn w:val="Heading7"/>
    <w:next w:val="BodyText7"/>
    <w:pPr>
      <w:numPr>
        <w:ilvl w:val="0"/>
        <w:numId w:val="0"/>
      </w:numPr>
      <w:tabs>
        <w:tab w:val="num" w:pos="3175"/>
      </w:tabs>
      <w:spacing w:before="0" w:line="240" w:lineRule="auto"/>
      <w:ind w:left="3175" w:hanging="3175"/>
    </w:pPr>
    <w:rPr>
      <w:rFonts w:ascii="Arial" w:hAnsi="Arial"/>
      <w:szCs w:val="20"/>
      <w:lang w:val="en-ZA"/>
    </w:rPr>
  </w:style>
  <w:style w:type="paragraph" w:styleId="NormalIndent">
    <w:name w:val="Normal Indent"/>
    <w:basedOn w:val="Normal"/>
    <w:pPr>
      <w:spacing w:before="0" w:after="0" w:line="240" w:lineRule="auto"/>
      <w:ind w:left="720"/>
    </w:pPr>
    <w:rPr>
      <w:szCs w:val="20"/>
      <w:lang w:val="en-ZA"/>
    </w:rPr>
  </w:style>
  <w:style w:type="paragraph" w:customStyle="1" w:styleId="SubHeading">
    <w:name w:val="Sub Heading"/>
    <w:basedOn w:val="Normal"/>
    <w:next w:val="BodyTextIndent"/>
    <w:pPr>
      <w:keepNext/>
      <w:pBdr>
        <w:bottom w:val="single" w:sz="6" w:space="3" w:color="auto"/>
      </w:pBdr>
      <w:spacing w:line="240" w:lineRule="auto"/>
      <w:jc w:val="right"/>
    </w:pPr>
    <w:rPr>
      <w:b/>
      <w:smallCaps/>
      <w:sz w:val="28"/>
      <w:szCs w:val="20"/>
      <w:lang w:val="en-ZA"/>
    </w:rPr>
  </w:style>
  <w:style w:type="paragraph" w:customStyle="1" w:styleId="Sub1">
    <w:name w:val="Sub1"/>
    <w:basedOn w:val="Normal"/>
    <w:next w:val="Normal"/>
    <w:pPr>
      <w:numPr>
        <w:numId w:val="7"/>
      </w:numPr>
      <w:spacing w:before="0" w:after="0" w:line="240" w:lineRule="auto"/>
    </w:pPr>
    <w:rPr>
      <w:szCs w:val="20"/>
      <w:lang w:val="en-ZA"/>
    </w:rPr>
  </w:style>
  <w:style w:type="paragraph" w:customStyle="1" w:styleId="Sub2">
    <w:name w:val="Sub2"/>
    <w:basedOn w:val="Normal"/>
    <w:next w:val="Normal"/>
    <w:pPr>
      <w:numPr>
        <w:numId w:val="8"/>
      </w:numPr>
      <w:spacing w:before="0" w:after="0" w:line="240" w:lineRule="auto"/>
      <w:ind w:left="1134"/>
    </w:pPr>
    <w:rPr>
      <w:szCs w:val="20"/>
      <w:lang w:val="en-ZA"/>
    </w:rPr>
  </w:style>
  <w:style w:type="paragraph" w:customStyle="1" w:styleId="Sub3">
    <w:name w:val="Sub3"/>
    <w:basedOn w:val="Normal"/>
    <w:next w:val="Normal"/>
    <w:pPr>
      <w:numPr>
        <w:numId w:val="9"/>
      </w:numPr>
      <w:spacing w:before="0" w:after="0" w:line="240" w:lineRule="auto"/>
    </w:pPr>
    <w:rPr>
      <w:szCs w:val="20"/>
      <w:lang w:val="en-ZA"/>
    </w:rPr>
  </w:style>
  <w:style w:type="paragraph" w:customStyle="1" w:styleId="TableofContents">
    <w:name w:val="Table of Contents"/>
    <w:basedOn w:val="Normal"/>
    <w:next w:val="Normal"/>
    <w:pPr>
      <w:keepNext/>
      <w:pBdr>
        <w:top w:val="double" w:sz="4" w:space="3" w:color="auto"/>
        <w:left w:val="double" w:sz="4" w:space="4" w:color="auto"/>
        <w:bottom w:val="double" w:sz="4" w:space="3" w:color="auto"/>
        <w:right w:val="double" w:sz="4" w:space="4" w:color="auto"/>
      </w:pBdr>
      <w:shd w:val="pct10" w:color="auto" w:fill="FFFFFF"/>
      <w:spacing w:before="0" w:after="0" w:line="240" w:lineRule="auto"/>
      <w:jc w:val="center"/>
    </w:pPr>
    <w:rPr>
      <w:b/>
      <w:smallCaps/>
      <w:sz w:val="32"/>
      <w:szCs w:val="20"/>
      <w:lang w:val="en-ZA"/>
    </w:rPr>
  </w:style>
  <w:style w:type="character" w:styleId="Emphasis">
    <w:name w:val="Emphasis"/>
    <w:rPr>
      <w:i/>
      <w:iCs/>
    </w:rPr>
  </w:style>
  <w:style w:type="paragraph" w:customStyle="1" w:styleId="StyleHeading3NotItalic">
    <w:name w:val="Style Heading 3 + Not Italic"/>
    <w:basedOn w:val="Heading3"/>
    <w:pPr>
      <w:keepNext w:val="0"/>
      <w:numPr>
        <w:ilvl w:val="0"/>
        <w:numId w:val="0"/>
      </w:numPr>
      <w:tabs>
        <w:tab w:val="num" w:pos="360"/>
      </w:tabs>
      <w:spacing w:before="0" w:line="240" w:lineRule="auto"/>
      <w:ind w:left="360" w:hanging="360"/>
    </w:pPr>
    <w:rPr>
      <w:rFonts w:cs="Times New Roman"/>
      <w:b w:val="0"/>
      <w:bCs w:val="0"/>
      <w:iCs w:val="0"/>
      <w:lang w:val="en-ZA"/>
    </w:rPr>
  </w:style>
  <w:style w:type="character" w:styleId="FollowedHyperlink">
    <w:name w:val="FollowedHyperlink"/>
    <w:uiPriority w:val="99"/>
    <w:rPr>
      <w:color w:val="800080"/>
      <w:u w:val="single"/>
    </w:rPr>
  </w:style>
  <w:style w:type="paragraph" w:customStyle="1" w:styleId="normaltableresearch">
    <w:name w:val="normal table research"/>
    <w:basedOn w:val="TableNormal1"/>
    <w:rPr>
      <w:sz w:val="20"/>
    </w:rPr>
  </w:style>
  <w:style w:type="paragraph" w:customStyle="1" w:styleId="normalreference">
    <w:name w:val="normal reference"/>
    <w:basedOn w:val="Normal"/>
    <w:pPr>
      <w:spacing w:before="480" w:after="480"/>
      <w:jc w:val="left"/>
    </w:pPr>
  </w:style>
  <w:style w:type="paragraph" w:styleId="ListBullet">
    <w:name w:val="List Bullet"/>
    <w:basedOn w:val="Normal"/>
    <w:autoRedefine/>
    <w:pPr>
      <w:numPr>
        <w:numId w:val="5"/>
      </w:numPr>
      <w:spacing w:before="0" w:after="0" w:line="240" w:lineRule="auto"/>
      <w:jc w:val="left"/>
    </w:pPr>
    <w:rPr>
      <w:sz w:val="22"/>
      <w:szCs w:val="20"/>
      <w:lang w:val="en-ZA"/>
    </w:rPr>
  </w:style>
  <w:style w:type="paragraph" w:customStyle="1" w:styleId="figureheading">
    <w:name w:val="figure heading"/>
    <w:basedOn w:val="Footer"/>
    <w:pPr>
      <w:keepNext/>
      <w:tabs>
        <w:tab w:val="clear" w:pos="4320"/>
        <w:tab w:val="clear" w:pos="8640"/>
      </w:tabs>
      <w:spacing w:after="0" w:line="288" w:lineRule="auto"/>
    </w:pPr>
    <w:rPr>
      <w:b/>
      <w:bCs/>
      <w:sz w:val="22"/>
      <w:u w:val="single"/>
    </w:rPr>
  </w:style>
  <w:style w:type="character" w:customStyle="1" w:styleId="emailstyle15">
    <w:name w:val="emailstyle15"/>
    <w:rPr>
      <w:rFonts w:ascii="Arial" w:hAnsi="Arial" w:cs="Arial"/>
      <w:color w:val="000000"/>
      <w:sz w:val="20"/>
    </w:rPr>
  </w:style>
  <w:style w:type="paragraph" w:styleId="TableofFigures">
    <w:name w:val="table of figures"/>
    <w:basedOn w:val="Normal"/>
    <w:next w:val="Normal"/>
    <w:uiPriority w:val="99"/>
    <w:rsid w:val="00DA5374"/>
  </w:style>
  <w:style w:type="paragraph" w:customStyle="1" w:styleId="numberalpha">
    <w:name w:val="number alpha"/>
    <w:basedOn w:val="Normal"/>
    <w:pPr>
      <w:numPr>
        <w:numId w:val="11"/>
      </w:numPr>
    </w:pPr>
  </w:style>
  <w:style w:type="paragraph" w:styleId="BalloonText">
    <w:name w:val="Balloon Text"/>
    <w:basedOn w:val="Normal"/>
    <w:semiHidden/>
    <w:rsid w:val="003B7907"/>
    <w:rPr>
      <w:rFonts w:ascii="Tahoma" w:hAnsi="Tahoma" w:cs="Tahoma"/>
      <w:sz w:val="16"/>
      <w:szCs w:val="16"/>
    </w:rPr>
  </w:style>
  <w:style w:type="numbering" w:styleId="111111">
    <w:name w:val="Outline List 2"/>
    <w:aliases w:val="WBS Research Report"/>
    <w:basedOn w:val="NoList"/>
    <w:rsid w:val="00C91099"/>
    <w:pPr>
      <w:numPr>
        <w:numId w:val="13"/>
      </w:numPr>
    </w:pPr>
  </w:style>
  <w:style w:type="paragraph" w:customStyle="1" w:styleId="Pa6">
    <w:name w:val="Pa6"/>
    <w:basedOn w:val="Normal"/>
    <w:next w:val="Normal"/>
    <w:uiPriority w:val="99"/>
    <w:rsid w:val="0051718F"/>
    <w:pPr>
      <w:autoSpaceDE w:val="0"/>
      <w:autoSpaceDN w:val="0"/>
      <w:adjustRightInd w:val="0"/>
      <w:spacing w:before="0" w:after="0" w:line="191" w:lineRule="atLeast"/>
      <w:jc w:val="left"/>
    </w:pPr>
    <w:rPr>
      <w:rFonts w:ascii="Univers 45 Light" w:hAnsi="Univers 45 Light"/>
      <w:lang w:val="en-ZA" w:eastAsia="en-ZA"/>
    </w:rPr>
  </w:style>
  <w:style w:type="paragraph" w:styleId="ListParagraph">
    <w:name w:val="List Paragraph"/>
    <w:basedOn w:val="Normal"/>
    <w:uiPriority w:val="34"/>
    <w:rsid w:val="0051718F"/>
    <w:pPr>
      <w:spacing w:after="480"/>
      <w:ind w:left="720"/>
      <w:contextualSpacing/>
    </w:pPr>
  </w:style>
  <w:style w:type="table" w:styleId="MediumShading1">
    <w:name w:val="Medium Shading 1"/>
    <w:basedOn w:val="TableNormal"/>
    <w:uiPriority w:val="63"/>
    <w:rsid w:val="00195AF0"/>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styleId="Bibliography">
    <w:name w:val="Bibliography"/>
    <w:basedOn w:val="Normal"/>
    <w:next w:val="Normal"/>
    <w:uiPriority w:val="37"/>
    <w:unhideWhenUsed/>
    <w:rsid w:val="00195AF0"/>
    <w:pPr>
      <w:spacing w:after="480"/>
    </w:pPr>
  </w:style>
  <w:style w:type="character" w:customStyle="1" w:styleId="Heading1Char">
    <w:name w:val="Heading 1 Char"/>
    <w:basedOn w:val="DefaultParagraphFont"/>
    <w:link w:val="Heading1"/>
    <w:uiPriority w:val="9"/>
    <w:rsid w:val="00195AF0"/>
    <w:rPr>
      <w:rFonts w:ascii="Arial" w:hAnsi="Arial" w:cs="Arial"/>
      <w:b/>
      <w:bCs/>
      <w:kern w:val="32"/>
      <w:sz w:val="32"/>
      <w:szCs w:val="32"/>
      <w:lang w:val="en-GB" w:eastAsia="en-US"/>
    </w:rPr>
  </w:style>
  <w:style w:type="paragraph" w:customStyle="1" w:styleId="xl68">
    <w:name w:val="xl68"/>
    <w:basedOn w:val="Normal"/>
    <w:rsid w:val="00535444"/>
    <w:pPr>
      <w:spacing w:before="100" w:beforeAutospacing="1" w:after="100" w:afterAutospacing="1" w:line="240" w:lineRule="auto"/>
      <w:jc w:val="left"/>
    </w:pPr>
    <w:rPr>
      <w:rFonts w:cs="Arial"/>
      <w:lang w:val="en-ZA" w:eastAsia="en-ZA"/>
    </w:rPr>
  </w:style>
  <w:style w:type="paragraph" w:customStyle="1" w:styleId="xl70">
    <w:name w:val="xl70"/>
    <w:basedOn w:val="Normal"/>
    <w:rsid w:val="00535444"/>
    <w:pPr>
      <w:pBdr>
        <w:top w:val="single" w:sz="4" w:space="0" w:color="auto"/>
        <w:left w:val="single" w:sz="4" w:space="0" w:color="auto"/>
        <w:bottom w:val="single" w:sz="4" w:space="0" w:color="auto"/>
        <w:right w:val="single" w:sz="4" w:space="0" w:color="auto"/>
      </w:pBdr>
      <w:shd w:val="clear" w:color="000000" w:fill="366092"/>
      <w:spacing w:before="100" w:beforeAutospacing="1" w:after="100" w:afterAutospacing="1" w:line="240" w:lineRule="auto"/>
      <w:jc w:val="center"/>
      <w:textAlignment w:val="center"/>
    </w:pPr>
    <w:rPr>
      <w:rFonts w:cs="Arial"/>
      <w:b/>
      <w:bCs/>
      <w:color w:val="FFFFFF"/>
      <w:lang w:val="en-ZA" w:eastAsia="en-ZA"/>
    </w:rPr>
  </w:style>
  <w:style w:type="paragraph" w:customStyle="1" w:styleId="xl71">
    <w:name w:val="xl71"/>
    <w:basedOn w:val="Normal"/>
    <w:rsid w:val="00535444"/>
    <w:pPr>
      <w:pBdr>
        <w:top w:val="single" w:sz="4" w:space="0" w:color="auto"/>
        <w:left w:val="single" w:sz="4" w:space="0" w:color="auto"/>
        <w:bottom w:val="single" w:sz="4" w:space="0" w:color="auto"/>
      </w:pBdr>
      <w:shd w:val="clear" w:color="000000" w:fill="366092"/>
      <w:spacing w:before="100" w:beforeAutospacing="1" w:after="100" w:afterAutospacing="1" w:line="240" w:lineRule="auto"/>
      <w:jc w:val="center"/>
      <w:textAlignment w:val="center"/>
    </w:pPr>
    <w:rPr>
      <w:rFonts w:cs="Arial"/>
      <w:b/>
      <w:bCs/>
      <w:color w:val="FFFFFF"/>
      <w:lang w:val="en-ZA" w:eastAsia="en-ZA"/>
    </w:rPr>
  </w:style>
  <w:style w:type="paragraph" w:customStyle="1" w:styleId="xl72">
    <w:name w:val="xl72"/>
    <w:basedOn w:val="Normal"/>
    <w:rsid w:val="00535444"/>
    <w:pPr>
      <w:pBdr>
        <w:top w:val="single" w:sz="4" w:space="0" w:color="auto"/>
        <w:bottom w:val="single" w:sz="4" w:space="0" w:color="auto"/>
      </w:pBdr>
      <w:shd w:val="clear" w:color="000000" w:fill="366092"/>
      <w:spacing w:before="100" w:beforeAutospacing="1" w:after="100" w:afterAutospacing="1" w:line="240" w:lineRule="auto"/>
      <w:jc w:val="center"/>
      <w:textAlignment w:val="center"/>
    </w:pPr>
    <w:rPr>
      <w:rFonts w:cs="Arial"/>
      <w:b/>
      <w:bCs/>
      <w:color w:val="FFFFFF"/>
      <w:lang w:val="en-ZA" w:eastAsia="en-ZA"/>
    </w:rPr>
  </w:style>
  <w:style w:type="paragraph" w:customStyle="1" w:styleId="xl73">
    <w:name w:val="xl73"/>
    <w:basedOn w:val="Normal"/>
    <w:rsid w:val="00535444"/>
    <w:pPr>
      <w:pBdr>
        <w:top w:val="single" w:sz="4" w:space="0" w:color="auto"/>
        <w:bottom w:val="single" w:sz="4" w:space="0" w:color="auto"/>
        <w:right w:val="single" w:sz="4" w:space="0" w:color="auto"/>
      </w:pBdr>
      <w:shd w:val="clear" w:color="000000" w:fill="366092"/>
      <w:spacing w:before="100" w:beforeAutospacing="1" w:after="100" w:afterAutospacing="1" w:line="240" w:lineRule="auto"/>
      <w:jc w:val="center"/>
      <w:textAlignment w:val="center"/>
    </w:pPr>
    <w:rPr>
      <w:rFonts w:cs="Arial"/>
      <w:b/>
      <w:bCs/>
      <w:color w:val="FFFFFF"/>
      <w:lang w:val="en-ZA" w:eastAsia="en-ZA"/>
    </w:rPr>
  </w:style>
  <w:style w:type="paragraph" w:customStyle="1" w:styleId="xl74">
    <w:name w:val="xl74"/>
    <w:basedOn w:val="Normal"/>
    <w:rsid w:val="005354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Times New Roman" w:hAnsi="Times New Roman"/>
      <w:lang w:val="en-ZA" w:eastAsia="en-ZA"/>
    </w:rPr>
  </w:style>
  <w:style w:type="paragraph" w:customStyle="1" w:styleId="xl75">
    <w:name w:val="xl75"/>
    <w:basedOn w:val="Normal"/>
    <w:rsid w:val="00535444"/>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left"/>
      <w:textAlignment w:val="center"/>
    </w:pPr>
    <w:rPr>
      <w:rFonts w:ascii="Times New Roman" w:hAnsi="Times New Roman"/>
      <w:lang w:val="en-ZA" w:eastAsia="en-ZA"/>
    </w:rPr>
  </w:style>
  <w:style w:type="paragraph" w:customStyle="1" w:styleId="xl76">
    <w:name w:val="xl76"/>
    <w:basedOn w:val="Normal"/>
    <w:rsid w:val="00535444"/>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jc w:val="left"/>
      <w:textAlignment w:val="center"/>
    </w:pPr>
    <w:rPr>
      <w:rFonts w:ascii="Times New Roman" w:hAnsi="Times New Roman"/>
      <w:lang w:val="en-ZA" w:eastAsia="en-ZA"/>
    </w:rPr>
  </w:style>
  <w:style w:type="paragraph" w:customStyle="1" w:styleId="xl77">
    <w:name w:val="xl77"/>
    <w:basedOn w:val="Normal"/>
    <w:rsid w:val="005354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Times New Roman" w:hAnsi="Times New Roman"/>
      <w:lang w:val="en-ZA" w:eastAsia="en-ZA"/>
    </w:rPr>
  </w:style>
  <w:style w:type="character" w:styleId="PlaceholderText">
    <w:name w:val="Placeholder Text"/>
    <w:basedOn w:val="DefaultParagraphFont"/>
    <w:uiPriority w:val="99"/>
    <w:semiHidden/>
    <w:rsid w:val="00A24008"/>
    <w:rPr>
      <w:color w:val="808080"/>
    </w:rPr>
  </w:style>
  <w:style w:type="character" w:styleId="CommentReference">
    <w:name w:val="annotation reference"/>
    <w:basedOn w:val="DefaultParagraphFont"/>
    <w:semiHidden/>
    <w:unhideWhenUsed/>
    <w:rsid w:val="000D4D3C"/>
    <w:rPr>
      <w:sz w:val="16"/>
      <w:szCs w:val="16"/>
    </w:rPr>
  </w:style>
  <w:style w:type="paragraph" w:styleId="CommentText">
    <w:name w:val="annotation text"/>
    <w:basedOn w:val="Normal"/>
    <w:link w:val="CommentTextChar"/>
    <w:unhideWhenUsed/>
    <w:rsid w:val="000D4D3C"/>
    <w:pPr>
      <w:spacing w:line="240" w:lineRule="auto"/>
    </w:pPr>
    <w:rPr>
      <w:sz w:val="20"/>
      <w:szCs w:val="20"/>
    </w:rPr>
  </w:style>
  <w:style w:type="character" w:customStyle="1" w:styleId="CommentTextChar">
    <w:name w:val="Comment Text Char"/>
    <w:basedOn w:val="DefaultParagraphFont"/>
    <w:link w:val="CommentText"/>
    <w:rsid w:val="000D4D3C"/>
    <w:rPr>
      <w:rFonts w:ascii="Arial" w:hAnsi="Arial"/>
      <w:lang w:val="en-GB" w:eastAsia="en-US"/>
    </w:rPr>
  </w:style>
  <w:style w:type="paragraph" w:styleId="CommentSubject">
    <w:name w:val="annotation subject"/>
    <w:basedOn w:val="CommentText"/>
    <w:next w:val="CommentText"/>
    <w:link w:val="CommentSubjectChar"/>
    <w:semiHidden/>
    <w:unhideWhenUsed/>
    <w:rsid w:val="0046753E"/>
    <w:rPr>
      <w:b/>
      <w:bCs/>
    </w:rPr>
  </w:style>
  <w:style w:type="character" w:customStyle="1" w:styleId="CommentSubjectChar">
    <w:name w:val="Comment Subject Char"/>
    <w:basedOn w:val="CommentTextChar"/>
    <w:link w:val="CommentSubject"/>
    <w:semiHidden/>
    <w:rsid w:val="0046753E"/>
    <w:rPr>
      <w:rFonts w:ascii="Arial" w:hAnsi="Arial"/>
      <w:b/>
      <w:bCs/>
      <w:lang w:val="en-GB" w:eastAsia="en-US"/>
    </w:rPr>
  </w:style>
  <w:style w:type="paragraph" w:styleId="Revision">
    <w:name w:val="Revision"/>
    <w:hidden/>
    <w:uiPriority w:val="99"/>
    <w:semiHidden/>
    <w:rsid w:val="00AF5A1A"/>
    <w:rPr>
      <w:rFonts w:ascii="Arial" w:hAnsi="Arial"/>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54126">
      <w:bodyDiv w:val="1"/>
      <w:marLeft w:val="0"/>
      <w:marRight w:val="0"/>
      <w:marTop w:val="0"/>
      <w:marBottom w:val="0"/>
      <w:divBdr>
        <w:top w:val="none" w:sz="0" w:space="0" w:color="auto"/>
        <w:left w:val="none" w:sz="0" w:space="0" w:color="auto"/>
        <w:bottom w:val="none" w:sz="0" w:space="0" w:color="auto"/>
        <w:right w:val="none" w:sz="0" w:space="0" w:color="auto"/>
      </w:divBdr>
    </w:div>
    <w:div w:id="16005496">
      <w:bodyDiv w:val="1"/>
      <w:marLeft w:val="0"/>
      <w:marRight w:val="0"/>
      <w:marTop w:val="0"/>
      <w:marBottom w:val="0"/>
      <w:divBdr>
        <w:top w:val="none" w:sz="0" w:space="0" w:color="auto"/>
        <w:left w:val="none" w:sz="0" w:space="0" w:color="auto"/>
        <w:bottom w:val="none" w:sz="0" w:space="0" w:color="auto"/>
        <w:right w:val="none" w:sz="0" w:space="0" w:color="auto"/>
      </w:divBdr>
    </w:div>
    <w:div w:id="27414058">
      <w:bodyDiv w:val="1"/>
      <w:marLeft w:val="0"/>
      <w:marRight w:val="0"/>
      <w:marTop w:val="0"/>
      <w:marBottom w:val="0"/>
      <w:divBdr>
        <w:top w:val="none" w:sz="0" w:space="0" w:color="auto"/>
        <w:left w:val="none" w:sz="0" w:space="0" w:color="auto"/>
        <w:bottom w:val="none" w:sz="0" w:space="0" w:color="auto"/>
        <w:right w:val="none" w:sz="0" w:space="0" w:color="auto"/>
      </w:divBdr>
    </w:div>
    <w:div w:id="49963360">
      <w:bodyDiv w:val="1"/>
      <w:marLeft w:val="0"/>
      <w:marRight w:val="0"/>
      <w:marTop w:val="0"/>
      <w:marBottom w:val="0"/>
      <w:divBdr>
        <w:top w:val="none" w:sz="0" w:space="0" w:color="auto"/>
        <w:left w:val="none" w:sz="0" w:space="0" w:color="auto"/>
        <w:bottom w:val="none" w:sz="0" w:space="0" w:color="auto"/>
        <w:right w:val="none" w:sz="0" w:space="0" w:color="auto"/>
      </w:divBdr>
    </w:div>
    <w:div w:id="63260889">
      <w:bodyDiv w:val="1"/>
      <w:marLeft w:val="0"/>
      <w:marRight w:val="0"/>
      <w:marTop w:val="0"/>
      <w:marBottom w:val="0"/>
      <w:divBdr>
        <w:top w:val="none" w:sz="0" w:space="0" w:color="auto"/>
        <w:left w:val="none" w:sz="0" w:space="0" w:color="auto"/>
        <w:bottom w:val="none" w:sz="0" w:space="0" w:color="auto"/>
        <w:right w:val="none" w:sz="0" w:space="0" w:color="auto"/>
      </w:divBdr>
    </w:div>
    <w:div w:id="72970702">
      <w:bodyDiv w:val="1"/>
      <w:marLeft w:val="0"/>
      <w:marRight w:val="0"/>
      <w:marTop w:val="0"/>
      <w:marBottom w:val="0"/>
      <w:divBdr>
        <w:top w:val="none" w:sz="0" w:space="0" w:color="auto"/>
        <w:left w:val="none" w:sz="0" w:space="0" w:color="auto"/>
        <w:bottom w:val="none" w:sz="0" w:space="0" w:color="auto"/>
        <w:right w:val="none" w:sz="0" w:space="0" w:color="auto"/>
      </w:divBdr>
    </w:div>
    <w:div w:id="73017532">
      <w:bodyDiv w:val="1"/>
      <w:marLeft w:val="0"/>
      <w:marRight w:val="0"/>
      <w:marTop w:val="0"/>
      <w:marBottom w:val="0"/>
      <w:divBdr>
        <w:top w:val="none" w:sz="0" w:space="0" w:color="auto"/>
        <w:left w:val="none" w:sz="0" w:space="0" w:color="auto"/>
        <w:bottom w:val="none" w:sz="0" w:space="0" w:color="auto"/>
        <w:right w:val="none" w:sz="0" w:space="0" w:color="auto"/>
      </w:divBdr>
    </w:div>
    <w:div w:id="77336193">
      <w:bodyDiv w:val="1"/>
      <w:marLeft w:val="0"/>
      <w:marRight w:val="0"/>
      <w:marTop w:val="0"/>
      <w:marBottom w:val="0"/>
      <w:divBdr>
        <w:top w:val="none" w:sz="0" w:space="0" w:color="auto"/>
        <w:left w:val="none" w:sz="0" w:space="0" w:color="auto"/>
        <w:bottom w:val="none" w:sz="0" w:space="0" w:color="auto"/>
        <w:right w:val="none" w:sz="0" w:space="0" w:color="auto"/>
      </w:divBdr>
    </w:div>
    <w:div w:id="81687791">
      <w:bodyDiv w:val="1"/>
      <w:marLeft w:val="0"/>
      <w:marRight w:val="0"/>
      <w:marTop w:val="0"/>
      <w:marBottom w:val="0"/>
      <w:divBdr>
        <w:top w:val="none" w:sz="0" w:space="0" w:color="auto"/>
        <w:left w:val="none" w:sz="0" w:space="0" w:color="auto"/>
        <w:bottom w:val="none" w:sz="0" w:space="0" w:color="auto"/>
        <w:right w:val="none" w:sz="0" w:space="0" w:color="auto"/>
      </w:divBdr>
    </w:div>
    <w:div w:id="101414198">
      <w:bodyDiv w:val="1"/>
      <w:marLeft w:val="0"/>
      <w:marRight w:val="0"/>
      <w:marTop w:val="0"/>
      <w:marBottom w:val="0"/>
      <w:divBdr>
        <w:top w:val="none" w:sz="0" w:space="0" w:color="auto"/>
        <w:left w:val="none" w:sz="0" w:space="0" w:color="auto"/>
        <w:bottom w:val="none" w:sz="0" w:space="0" w:color="auto"/>
        <w:right w:val="none" w:sz="0" w:space="0" w:color="auto"/>
      </w:divBdr>
    </w:div>
    <w:div w:id="124009064">
      <w:bodyDiv w:val="1"/>
      <w:marLeft w:val="0"/>
      <w:marRight w:val="0"/>
      <w:marTop w:val="0"/>
      <w:marBottom w:val="0"/>
      <w:divBdr>
        <w:top w:val="none" w:sz="0" w:space="0" w:color="auto"/>
        <w:left w:val="none" w:sz="0" w:space="0" w:color="auto"/>
        <w:bottom w:val="none" w:sz="0" w:space="0" w:color="auto"/>
        <w:right w:val="none" w:sz="0" w:space="0" w:color="auto"/>
      </w:divBdr>
    </w:div>
    <w:div w:id="126747940">
      <w:bodyDiv w:val="1"/>
      <w:marLeft w:val="0"/>
      <w:marRight w:val="0"/>
      <w:marTop w:val="0"/>
      <w:marBottom w:val="0"/>
      <w:divBdr>
        <w:top w:val="none" w:sz="0" w:space="0" w:color="auto"/>
        <w:left w:val="none" w:sz="0" w:space="0" w:color="auto"/>
        <w:bottom w:val="none" w:sz="0" w:space="0" w:color="auto"/>
        <w:right w:val="none" w:sz="0" w:space="0" w:color="auto"/>
      </w:divBdr>
    </w:div>
    <w:div w:id="137460841">
      <w:bodyDiv w:val="1"/>
      <w:marLeft w:val="0"/>
      <w:marRight w:val="0"/>
      <w:marTop w:val="0"/>
      <w:marBottom w:val="0"/>
      <w:divBdr>
        <w:top w:val="none" w:sz="0" w:space="0" w:color="auto"/>
        <w:left w:val="none" w:sz="0" w:space="0" w:color="auto"/>
        <w:bottom w:val="none" w:sz="0" w:space="0" w:color="auto"/>
        <w:right w:val="none" w:sz="0" w:space="0" w:color="auto"/>
      </w:divBdr>
    </w:div>
    <w:div w:id="141390161">
      <w:bodyDiv w:val="1"/>
      <w:marLeft w:val="0"/>
      <w:marRight w:val="0"/>
      <w:marTop w:val="0"/>
      <w:marBottom w:val="0"/>
      <w:divBdr>
        <w:top w:val="none" w:sz="0" w:space="0" w:color="auto"/>
        <w:left w:val="none" w:sz="0" w:space="0" w:color="auto"/>
        <w:bottom w:val="none" w:sz="0" w:space="0" w:color="auto"/>
        <w:right w:val="none" w:sz="0" w:space="0" w:color="auto"/>
      </w:divBdr>
    </w:div>
    <w:div w:id="143475920">
      <w:bodyDiv w:val="1"/>
      <w:marLeft w:val="0"/>
      <w:marRight w:val="0"/>
      <w:marTop w:val="0"/>
      <w:marBottom w:val="0"/>
      <w:divBdr>
        <w:top w:val="none" w:sz="0" w:space="0" w:color="auto"/>
        <w:left w:val="none" w:sz="0" w:space="0" w:color="auto"/>
        <w:bottom w:val="none" w:sz="0" w:space="0" w:color="auto"/>
        <w:right w:val="none" w:sz="0" w:space="0" w:color="auto"/>
      </w:divBdr>
    </w:div>
    <w:div w:id="154272471">
      <w:bodyDiv w:val="1"/>
      <w:marLeft w:val="0"/>
      <w:marRight w:val="0"/>
      <w:marTop w:val="0"/>
      <w:marBottom w:val="0"/>
      <w:divBdr>
        <w:top w:val="none" w:sz="0" w:space="0" w:color="auto"/>
        <w:left w:val="none" w:sz="0" w:space="0" w:color="auto"/>
        <w:bottom w:val="none" w:sz="0" w:space="0" w:color="auto"/>
        <w:right w:val="none" w:sz="0" w:space="0" w:color="auto"/>
      </w:divBdr>
    </w:div>
    <w:div w:id="160706583">
      <w:bodyDiv w:val="1"/>
      <w:marLeft w:val="0"/>
      <w:marRight w:val="0"/>
      <w:marTop w:val="0"/>
      <w:marBottom w:val="0"/>
      <w:divBdr>
        <w:top w:val="none" w:sz="0" w:space="0" w:color="auto"/>
        <w:left w:val="none" w:sz="0" w:space="0" w:color="auto"/>
        <w:bottom w:val="none" w:sz="0" w:space="0" w:color="auto"/>
        <w:right w:val="none" w:sz="0" w:space="0" w:color="auto"/>
      </w:divBdr>
    </w:div>
    <w:div w:id="182407000">
      <w:bodyDiv w:val="1"/>
      <w:marLeft w:val="0"/>
      <w:marRight w:val="0"/>
      <w:marTop w:val="0"/>
      <w:marBottom w:val="0"/>
      <w:divBdr>
        <w:top w:val="none" w:sz="0" w:space="0" w:color="auto"/>
        <w:left w:val="none" w:sz="0" w:space="0" w:color="auto"/>
        <w:bottom w:val="none" w:sz="0" w:space="0" w:color="auto"/>
        <w:right w:val="none" w:sz="0" w:space="0" w:color="auto"/>
      </w:divBdr>
    </w:div>
    <w:div w:id="188959745">
      <w:bodyDiv w:val="1"/>
      <w:marLeft w:val="0"/>
      <w:marRight w:val="0"/>
      <w:marTop w:val="0"/>
      <w:marBottom w:val="0"/>
      <w:divBdr>
        <w:top w:val="none" w:sz="0" w:space="0" w:color="auto"/>
        <w:left w:val="none" w:sz="0" w:space="0" w:color="auto"/>
        <w:bottom w:val="none" w:sz="0" w:space="0" w:color="auto"/>
        <w:right w:val="none" w:sz="0" w:space="0" w:color="auto"/>
      </w:divBdr>
    </w:div>
    <w:div w:id="208080049">
      <w:bodyDiv w:val="1"/>
      <w:marLeft w:val="0"/>
      <w:marRight w:val="0"/>
      <w:marTop w:val="0"/>
      <w:marBottom w:val="0"/>
      <w:divBdr>
        <w:top w:val="none" w:sz="0" w:space="0" w:color="auto"/>
        <w:left w:val="none" w:sz="0" w:space="0" w:color="auto"/>
        <w:bottom w:val="none" w:sz="0" w:space="0" w:color="auto"/>
        <w:right w:val="none" w:sz="0" w:space="0" w:color="auto"/>
      </w:divBdr>
    </w:div>
    <w:div w:id="210650397">
      <w:bodyDiv w:val="1"/>
      <w:marLeft w:val="0"/>
      <w:marRight w:val="0"/>
      <w:marTop w:val="0"/>
      <w:marBottom w:val="0"/>
      <w:divBdr>
        <w:top w:val="none" w:sz="0" w:space="0" w:color="auto"/>
        <w:left w:val="none" w:sz="0" w:space="0" w:color="auto"/>
        <w:bottom w:val="none" w:sz="0" w:space="0" w:color="auto"/>
        <w:right w:val="none" w:sz="0" w:space="0" w:color="auto"/>
      </w:divBdr>
    </w:div>
    <w:div w:id="219827222">
      <w:bodyDiv w:val="1"/>
      <w:marLeft w:val="0"/>
      <w:marRight w:val="0"/>
      <w:marTop w:val="0"/>
      <w:marBottom w:val="0"/>
      <w:divBdr>
        <w:top w:val="none" w:sz="0" w:space="0" w:color="auto"/>
        <w:left w:val="none" w:sz="0" w:space="0" w:color="auto"/>
        <w:bottom w:val="none" w:sz="0" w:space="0" w:color="auto"/>
        <w:right w:val="none" w:sz="0" w:space="0" w:color="auto"/>
      </w:divBdr>
    </w:div>
    <w:div w:id="228612972">
      <w:bodyDiv w:val="1"/>
      <w:marLeft w:val="0"/>
      <w:marRight w:val="0"/>
      <w:marTop w:val="0"/>
      <w:marBottom w:val="0"/>
      <w:divBdr>
        <w:top w:val="none" w:sz="0" w:space="0" w:color="auto"/>
        <w:left w:val="none" w:sz="0" w:space="0" w:color="auto"/>
        <w:bottom w:val="none" w:sz="0" w:space="0" w:color="auto"/>
        <w:right w:val="none" w:sz="0" w:space="0" w:color="auto"/>
      </w:divBdr>
    </w:div>
    <w:div w:id="237326154">
      <w:bodyDiv w:val="1"/>
      <w:marLeft w:val="0"/>
      <w:marRight w:val="0"/>
      <w:marTop w:val="0"/>
      <w:marBottom w:val="0"/>
      <w:divBdr>
        <w:top w:val="none" w:sz="0" w:space="0" w:color="auto"/>
        <w:left w:val="none" w:sz="0" w:space="0" w:color="auto"/>
        <w:bottom w:val="none" w:sz="0" w:space="0" w:color="auto"/>
        <w:right w:val="none" w:sz="0" w:space="0" w:color="auto"/>
      </w:divBdr>
    </w:div>
    <w:div w:id="255989373">
      <w:bodyDiv w:val="1"/>
      <w:marLeft w:val="0"/>
      <w:marRight w:val="0"/>
      <w:marTop w:val="0"/>
      <w:marBottom w:val="0"/>
      <w:divBdr>
        <w:top w:val="none" w:sz="0" w:space="0" w:color="auto"/>
        <w:left w:val="none" w:sz="0" w:space="0" w:color="auto"/>
        <w:bottom w:val="none" w:sz="0" w:space="0" w:color="auto"/>
        <w:right w:val="none" w:sz="0" w:space="0" w:color="auto"/>
      </w:divBdr>
    </w:div>
    <w:div w:id="259611234">
      <w:bodyDiv w:val="1"/>
      <w:marLeft w:val="0"/>
      <w:marRight w:val="0"/>
      <w:marTop w:val="0"/>
      <w:marBottom w:val="0"/>
      <w:divBdr>
        <w:top w:val="none" w:sz="0" w:space="0" w:color="auto"/>
        <w:left w:val="none" w:sz="0" w:space="0" w:color="auto"/>
        <w:bottom w:val="none" w:sz="0" w:space="0" w:color="auto"/>
        <w:right w:val="none" w:sz="0" w:space="0" w:color="auto"/>
      </w:divBdr>
    </w:div>
    <w:div w:id="259799440">
      <w:bodyDiv w:val="1"/>
      <w:marLeft w:val="0"/>
      <w:marRight w:val="0"/>
      <w:marTop w:val="0"/>
      <w:marBottom w:val="0"/>
      <w:divBdr>
        <w:top w:val="none" w:sz="0" w:space="0" w:color="auto"/>
        <w:left w:val="none" w:sz="0" w:space="0" w:color="auto"/>
        <w:bottom w:val="none" w:sz="0" w:space="0" w:color="auto"/>
        <w:right w:val="none" w:sz="0" w:space="0" w:color="auto"/>
      </w:divBdr>
    </w:div>
    <w:div w:id="260921327">
      <w:bodyDiv w:val="1"/>
      <w:marLeft w:val="0"/>
      <w:marRight w:val="0"/>
      <w:marTop w:val="0"/>
      <w:marBottom w:val="0"/>
      <w:divBdr>
        <w:top w:val="none" w:sz="0" w:space="0" w:color="auto"/>
        <w:left w:val="none" w:sz="0" w:space="0" w:color="auto"/>
        <w:bottom w:val="none" w:sz="0" w:space="0" w:color="auto"/>
        <w:right w:val="none" w:sz="0" w:space="0" w:color="auto"/>
      </w:divBdr>
    </w:div>
    <w:div w:id="270866251">
      <w:bodyDiv w:val="1"/>
      <w:marLeft w:val="0"/>
      <w:marRight w:val="0"/>
      <w:marTop w:val="0"/>
      <w:marBottom w:val="0"/>
      <w:divBdr>
        <w:top w:val="none" w:sz="0" w:space="0" w:color="auto"/>
        <w:left w:val="none" w:sz="0" w:space="0" w:color="auto"/>
        <w:bottom w:val="none" w:sz="0" w:space="0" w:color="auto"/>
        <w:right w:val="none" w:sz="0" w:space="0" w:color="auto"/>
      </w:divBdr>
    </w:div>
    <w:div w:id="271983914">
      <w:bodyDiv w:val="1"/>
      <w:marLeft w:val="0"/>
      <w:marRight w:val="0"/>
      <w:marTop w:val="0"/>
      <w:marBottom w:val="0"/>
      <w:divBdr>
        <w:top w:val="none" w:sz="0" w:space="0" w:color="auto"/>
        <w:left w:val="none" w:sz="0" w:space="0" w:color="auto"/>
        <w:bottom w:val="none" w:sz="0" w:space="0" w:color="auto"/>
        <w:right w:val="none" w:sz="0" w:space="0" w:color="auto"/>
      </w:divBdr>
    </w:div>
    <w:div w:id="273710740">
      <w:bodyDiv w:val="1"/>
      <w:marLeft w:val="0"/>
      <w:marRight w:val="0"/>
      <w:marTop w:val="0"/>
      <w:marBottom w:val="0"/>
      <w:divBdr>
        <w:top w:val="none" w:sz="0" w:space="0" w:color="auto"/>
        <w:left w:val="none" w:sz="0" w:space="0" w:color="auto"/>
        <w:bottom w:val="none" w:sz="0" w:space="0" w:color="auto"/>
        <w:right w:val="none" w:sz="0" w:space="0" w:color="auto"/>
      </w:divBdr>
    </w:div>
    <w:div w:id="303433636">
      <w:bodyDiv w:val="1"/>
      <w:marLeft w:val="0"/>
      <w:marRight w:val="0"/>
      <w:marTop w:val="0"/>
      <w:marBottom w:val="0"/>
      <w:divBdr>
        <w:top w:val="none" w:sz="0" w:space="0" w:color="auto"/>
        <w:left w:val="none" w:sz="0" w:space="0" w:color="auto"/>
        <w:bottom w:val="none" w:sz="0" w:space="0" w:color="auto"/>
        <w:right w:val="none" w:sz="0" w:space="0" w:color="auto"/>
      </w:divBdr>
    </w:div>
    <w:div w:id="304553774">
      <w:bodyDiv w:val="1"/>
      <w:marLeft w:val="0"/>
      <w:marRight w:val="0"/>
      <w:marTop w:val="0"/>
      <w:marBottom w:val="0"/>
      <w:divBdr>
        <w:top w:val="none" w:sz="0" w:space="0" w:color="auto"/>
        <w:left w:val="none" w:sz="0" w:space="0" w:color="auto"/>
        <w:bottom w:val="none" w:sz="0" w:space="0" w:color="auto"/>
        <w:right w:val="none" w:sz="0" w:space="0" w:color="auto"/>
      </w:divBdr>
    </w:div>
    <w:div w:id="373699283">
      <w:bodyDiv w:val="1"/>
      <w:marLeft w:val="0"/>
      <w:marRight w:val="0"/>
      <w:marTop w:val="0"/>
      <w:marBottom w:val="0"/>
      <w:divBdr>
        <w:top w:val="none" w:sz="0" w:space="0" w:color="auto"/>
        <w:left w:val="none" w:sz="0" w:space="0" w:color="auto"/>
        <w:bottom w:val="none" w:sz="0" w:space="0" w:color="auto"/>
        <w:right w:val="none" w:sz="0" w:space="0" w:color="auto"/>
      </w:divBdr>
    </w:div>
    <w:div w:id="375275190">
      <w:bodyDiv w:val="1"/>
      <w:marLeft w:val="0"/>
      <w:marRight w:val="0"/>
      <w:marTop w:val="0"/>
      <w:marBottom w:val="0"/>
      <w:divBdr>
        <w:top w:val="none" w:sz="0" w:space="0" w:color="auto"/>
        <w:left w:val="none" w:sz="0" w:space="0" w:color="auto"/>
        <w:bottom w:val="none" w:sz="0" w:space="0" w:color="auto"/>
        <w:right w:val="none" w:sz="0" w:space="0" w:color="auto"/>
      </w:divBdr>
    </w:div>
    <w:div w:id="380911085">
      <w:bodyDiv w:val="1"/>
      <w:marLeft w:val="0"/>
      <w:marRight w:val="0"/>
      <w:marTop w:val="0"/>
      <w:marBottom w:val="0"/>
      <w:divBdr>
        <w:top w:val="none" w:sz="0" w:space="0" w:color="auto"/>
        <w:left w:val="none" w:sz="0" w:space="0" w:color="auto"/>
        <w:bottom w:val="none" w:sz="0" w:space="0" w:color="auto"/>
        <w:right w:val="none" w:sz="0" w:space="0" w:color="auto"/>
      </w:divBdr>
    </w:div>
    <w:div w:id="389426950">
      <w:bodyDiv w:val="1"/>
      <w:marLeft w:val="0"/>
      <w:marRight w:val="0"/>
      <w:marTop w:val="0"/>
      <w:marBottom w:val="0"/>
      <w:divBdr>
        <w:top w:val="none" w:sz="0" w:space="0" w:color="auto"/>
        <w:left w:val="none" w:sz="0" w:space="0" w:color="auto"/>
        <w:bottom w:val="none" w:sz="0" w:space="0" w:color="auto"/>
        <w:right w:val="none" w:sz="0" w:space="0" w:color="auto"/>
      </w:divBdr>
    </w:div>
    <w:div w:id="406807271">
      <w:bodyDiv w:val="1"/>
      <w:marLeft w:val="0"/>
      <w:marRight w:val="0"/>
      <w:marTop w:val="0"/>
      <w:marBottom w:val="0"/>
      <w:divBdr>
        <w:top w:val="none" w:sz="0" w:space="0" w:color="auto"/>
        <w:left w:val="none" w:sz="0" w:space="0" w:color="auto"/>
        <w:bottom w:val="none" w:sz="0" w:space="0" w:color="auto"/>
        <w:right w:val="none" w:sz="0" w:space="0" w:color="auto"/>
      </w:divBdr>
    </w:div>
    <w:div w:id="411896548">
      <w:bodyDiv w:val="1"/>
      <w:marLeft w:val="0"/>
      <w:marRight w:val="0"/>
      <w:marTop w:val="0"/>
      <w:marBottom w:val="0"/>
      <w:divBdr>
        <w:top w:val="none" w:sz="0" w:space="0" w:color="auto"/>
        <w:left w:val="none" w:sz="0" w:space="0" w:color="auto"/>
        <w:bottom w:val="none" w:sz="0" w:space="0" w:color="auto"/>
        <w:right w:val="none" w:sz="0" w:space="0" w:color="auto"/>
      </w:divBdr>
    </w:div>
    <w:div w:id="413820318">
      <w:bodyDiv w:val="1"/>
      <w:marLeft w:val="0"/>
      <w:marRight w:val="0"/>
      <w:marTop w:val="0"/>
      <w:marBottom w:val="0"/>
      <w:divBdr>
        <w:top w:val="none" w:sz="0" w:space="0" w:color="auto"/>
        <w:left w:val="none" w:sz="0" w:space="0" w:color="auto"/>
        <w:bottom w:val="none" w:sz="0" w:space="0" w:color="auto"/>
        <w:right w:val="none" w:sz="0" w:space="0" w:color="auto"/>
      </w:divBdr>
    </w:div>
    <w:div w:id="419373026">
      <w:bodyDiv w:val="1"/>
      <w:marLeft w:val="0"/>
      <w:marRight w:val="0"/>
      <w:marTop w:val="0"/>
      <w:marBottom w:val="0"/>
      <w:divBdr>
        <w:top w:val="none" w:sz="0" w:space="0" w:color="auto"/>
        <w:left w:val="none" w:sz="0" w:space="0" w:color="auto"/>
        <w:bottom w:val="none" w:sz="0" w:space="0" w:color="auto"/>
        <w:right w:val="none" w:sz="0" w:space="0" w:color="auto"/>
      </w:divBdr>
    </w:div>
    <w:div w:id="455298610">
      <w:bodyDiv w:val="1"/>
      <w:marLeft w:val="0"/>
      <w:marRight w:val="0"/>
      <w:marTop w:val="0"/>
      <w:marBottom w:val="0"/>
      <w:divBdr>
        <w:top w:val="none" w:sz="0" w:space="0" w:color="auto"/>
        <w:left w:val="none" w:sz="0" w:space="0" w:color="auto"/>
        <w:bottom w:val="none" w:sz="0" w:space="0" w:color="auto"/>
        <w:right w:val="none" w:sz="0" w:space="0" w:color="auto"/>
      </w:divBdr>
    </w:div>
    <w:div w:id="456995467">
      <w:bodyDiv w:val="1"/>
      <w:marLeft w:val="0"/>
      <w:marRight w:val="0"/>
      <w:marTop w:val="0"/>
      <w:marBottom w:val="0"/>
      <w:divBdr>
        <w:top w:val="none" w:sz="0" w:space="0" w:color="auto"/>
        <w:left w:val="none" w:sz="0" w:space="0" w:color="auto"/>
        <w:bottom w:val="none" w:sz="0" w:space="0" w:color="auto"/>
        <w:right w:val="none" w:sz="0" w:space="0" w:color="auto"/>
      </w:divBdr>
    </w:div>
    <w:div w:id="469637949">
      <w:bodyDiv w:val="1"/>
      <w:marLeft w:val="0"/>
      <w:marRight w:val="0"/>
      <w:marTop w:val="0"/>
      <w:marBottom w:val="0"/>
      <w:divBdr>
        <w:top w:val="none" w:sz="0" w:space="0" w:color="auto"/>
        <w:left w:val="none" w:sz="0" w:space="0" w:color="auto"/>
        <w:bottom w:val="none" w:sz="0" w:space="0" w:color="auto"/>
        <w:right w:val="none" w:sz="0" w:space="0" w:color="auto"/>
      </w:divBdr>
    </w:div>
    <w:div w:id="476800331">
      <w:bodyDiv w:val="1"/>
      <w:marLeft w:val="0"/>
      <w:marRight w:val="0"/>
      <w:marTop w:val="0"/>
      <w:marBottom w:val="0"/>
      <w:divBdr>
        <w:top w:val="none" w:sz="0" w:space="0" w:color="auto"/>
        <w:left w:val="none" w:sz="0" w:space="0" w:color="auto"/>
        <w:bottom w:val="none" w:sz="0" w:space="0" w:color="auto"/>
        <w:right w:val="none" w:sz="0" w:space="0" w:color="auto"/>
      </w:divBdr>
    </w:div>
    <w:div w:id="481242786">
      <w:bodyDiv w:val="1"/>
      <w:marLeft w:val="0"/>
      <w:marRight w:val="0"/>
      <w:marTop w:val="0"/>
      <w:marBottom w:val="0"/>
      <w:divBdr>
        <w:top w:val="none" w:sz="0" w:space="0" w:color="auto"/>
        <w:left w:val="none" w:sz="0" w:space="0" w:color="auto"/>
        <w:bottom w:val="none" w:sz="0" w:space="0" w:color="auto"/>
        <w:right w:val="none" w:sz="0" w:space="0" w:color="auto"/>
      </w:divBdr>
    </w:div>
    <w:div w:id="482476231">
      <w:bodyDiv w:val="1"/>
      <w:marLeft w:val="0"/>
      <w:marRight w:val="0"/>
      <w:marTop w:val="0"/>
      <w:marBottom w:val="0"/>
      <w:divBdr>
        <w:top w:val="none" w:sz="0" w:space="0" w:color="auto"/>
        <w:left w:val="none" w:sz="0" w:space="0" w:color="auto"/>
        <w:bottom w:val="none" w:sz="0" w:space="0" w:color="auto"/>
        <w:right w:val="none" w:sz="0" w:space="0" w:color="auto"/>
      </w:divBdr>
    </w:div>
    <w:div w:id="485976328">
      <w:bodyDiv w:val="1"/>
      <w:marLeft w:val="0"/>
      <w:marRight w:val="0"/>
      <w:marTop w:val="0"/>
      <w:marBottom w:val="0"/>
      <w:divBdr>
        <w:top w:val="none" w:sz="0" w:space="0" w:color="auto"/>
        <w:left w:val="none" w:sz="0" w:space="0" w:color="auto"/>
        <w:bottom w:val="none" w:sz="0" w:space="0" w:color="auto"/>
        <w:right w:val="none" w:sz="0" w:space="0" w:color="auto"/>
      </w:divBdr>
    </w:div>
    <w:div w:id="514463687">
      <w:bodyDiv w:val="1"/>
      <w:marLeft w:val="0"/>
      <w:marRight w:val="0"/>
      <w:marTop w:val="0"/>
      <w:marBottom w:val="0"/>
      <w:divBdr>
        <w:top w:val="none" w:sz="0" w:space="0" w:color="auto"/>
        <w:left w:val="none" w:sz="0" w:space="0" w:color="auto"/>
        <w:bottom w:val="none" w:sz="0" w:space="0" w:color="auto"/>
        <w:right w:val="none" w:sz="0" w:space="0" w:color="auto"/>
      </w:divBdr>
    </w:div>
    <w:div w:id="541134529">
      <w:bodyDiv w:val="1"/>
      <w:marLeft w:val="0"/>
      <w:marRight w:val="0"/>
      <w:marTop w:val="0"/>
      <w:marBottom w:val="0"/>
      <w:divBdr>
        <w:top w:val="none" w:sz="0" w:space="0" w:color="auto"/>
        <w:left w:val="none" w:sz="0" w:space="0" w:color="auto"/>
        <w:bottom w:val="none" w:sz="0" w:space="0" w:color="auto"/>
        <w:right w:val="none" w:sz="0" w:space="0" w:color="auto"/>
      </w:divBdr>
    </w:div>
    <w:div w:id="544759884">
      <w:bodyDiv w:val="1"/>
      <w:marLeft w:val="0"/>
      <w:marRight w:val="0"/>
      <w:marTop w:val="0"/>
      <w:marBottom w:val="0"/>
      <w:divBdr>
        <w:top w:val="none" w:sz="0" w:space="0" w:color="auto"/>
        <w:left w:val="none" w:sz="0" w:space="0" w:color="auto"/>
        <w:bottom w:val="none" w:sz="0" w:space="0" w:color="auto"/>
        <w:right w:val="none" w:sz="0" w:space="0" w:color="auto"/>
      </w:divBdr>
    </w:div>
    <w:div w:id="599290314">
      <w:bodyDiv w:val="1"/>
      <w:marLeft w:val="0"/>
      <w:marRight w:val="0"/>
      <w:marTop w:val="0"/>
      <w:marBottom w:val="0"/>
      <w:divBdr>
        <w:top w:val="none" w:sz="0" w:space="0" w:color="auto"/>
        <w:left w:val="none" w:sz="0" w:space="0" w:color="auto"/>
        <w:bottom w:val="none" w:sz="0" w:space="0" w:color="auto"/>
        <w:right w:val="none" w:sz="0" w:space="0" w:color="auto"/>
      </w:divBdr>
    </w:div>
    <w:div w:id="602962423">
      <w:bodyDiv w:val="1"/>
      <w:marLeft w:val="0"/>
      <w:marRight w:val="0"/>
      <w:marTop w:val="0"/>
      <w:marBottom w:val="0"/>
      <w:divBdr>
        <w:top w:val="none" w:sz="0" w:space="0" w:color="auto"/>
        <w:left w:val="none" w:sz="0" w:space="0" w:color="auto"/>
        <w:bottom w:val="none" w:sz="0" w:space="0" w:color="auto"/>
        <w:right w:val="none" w:sz="0" w:space="0" w:color="auto"/>
      </w:divBdr>
    </w:div>
    <w:div w:id="607395902">
      <w:bodyDiv w:val="1"/>
      <w:marLeft w:val="0"/>
      <w:marRight w:val="0"/>
      <w:marTop w:val="0"/>
      <w:marBottom w:val="0"/>
      <w:divBdr>
        <w:top w:val="none" w:sz="0" w:space="0" w:color="auto"/>
        <w:left w:val="none" w:sz="0" w:space="0" w:color="auto"/>
        <w:bottom w:val="none" w:sz="0" w:space="0" w:color="auto"/>
        <w:right w:val="none" w:sz="0" w:space="0" w:color="auto"/>
      </w:divBdr>
    </w:div>
    <w:div w:id="616986804">
      <w:bodyDiv w:val="1"/>
      <w:marLeft w:val="0"/>
      <w:marRight w:val="0"/>
      <w:marTop w:val="0"/>
      <w:marBottom w:val="0"/>
      <w:divBdr>
        <w:top w:val="none" w:sz="0" w:space="0" w:color="auto"/>
        <w:left w:val="none" w:sz="0" w:space="0" w:color="auto"/>
        <w:bottom w:val="none" w:sz="0" w:space="0" w:color="auto"/>
        <w:right w:val="none" w:sz="0" w:space="0" w:color="auto"/>
      </w:divBdr>
    </w:div>
    <w:div w:id="620916080">
      <w:bodyDiv w:val="1"/>
      <w:marLeft w:val="0"/>
      <w:marRight w:val="0"/>
      <w:marTop w:val="0"/>
      <w:marBottom w:val="0"/>
      <w:divBdr>
        <w:top w:val="none" w:sz="0" w:space="0" w:color="auto"/>
        <w:left w:val="none" w:sz="0" w:space="0" w:color="auto"/>
        <w:bottom w:val="none" w:sz="0" w:space="0" w:color="auto"/>
        <w:right w:val="none" w:sz="0" w:space="0" w:color="auto"/>
      </w:divBdr>
    </w:div>
    <w:div w:id="652758616">
      <w:bodyDiv w:val="1"/>
      <w:marLeft w:val="0"/>
      <w:marRight w:val="0"/>
      <w:marTop w:val="0"/>
      <w:marBottom w:val="0"/>
      <w:divBdr>
        <w:top w:val="none" w:sz="0" w:space="0" w:color="auto"/>
        <w:left w:val="none" w:sz="0" w:space="0" w:color="auto"/>
        <w:bottom w:val="none" w:sz="0" w:space="0" w:color="auto"/>
        <w:right w:val="none" w:sz="0" w:space="0" w:color="auto"/>
      </w:divBdr>
    </w:div>
    <w:div w:id="665980389">
      <w:bodyDiv w:val="1"/>
      <w:marLeft w:val="0"/>
      <w:marRight w:val="0"/>
      <w:marTop w:val="0"/>
      <w:marBottom w:val="0"/>
      <w:divBdr>
        <w:top w:val="none" w:sz="0" w:space="0" w:color="auto"/>
        <w:left w:val="none" w:sz="0" w:space="0" w:color="auto"/>
        <w:bottom w:val="none" w:sz="0" w:space="0" w:color="auto"/>
        <w:right w:val="none" w:sz="0" w:space="0" w:color="auto"/>
      </w:divBdr>
    </w:div>
    <w:div w:id="666709428">
      <w:bodyDiv w:val="1"/>
      <w:marLeft w:val="0"/>
      <w:marRight w:val="0"/>
      <w:marTop w:val="0"/>
      <w:marBottom w:val="0"/>
      <w:divBdr>
        <w:top w:val="none" w:sz="0" w:space="0" w:color="auto"/>
        <w:left w:val="none" w:sz="0" w:space="0" w:color="auto"/>
        <w:bottom w:val="none" w:sz="0" w:space="0" w:color="auto"/>
        <w:right w:val="none" w:sz="0" w:space="0" w:color="auto"/>
      </w:divBdr>
    </w:div>
    <w:div w:id="666903421">
      <w:bodyDiv w:val="1"/>
      <w:marLeft w:val="0"/>
      <w:marRight w:val="0"/>
      <w:marTop w:val="0"/>
      <w:marBottom w:val="0"/>
      <w:divBdr>
        <w:top w:val="none" w:sz="0" w:space="0" w:color="auto"/>
        <w:left w:val="none" w:sz="0" w:space="0" w:color="auto"/>
        <w:bottom w:val="none" w:sz="0" w:space="0" w:color="auto"/>
        <w:right w:val="none" w:sz="0" w:space="0" w:color="auto"/>
      </w:divBdr>
    </w:div>
    <w:div w:id="674654693">
      <w:bodyDiv w:val="1"/>
      <w:marLeft w:val="0"/>
      <w:marRight w:val="0"/>
      <w:marTop w:val="0"/>
      <w:marBottom w:val="0"/>
      <w:divBdr>
        <w:top w:val="none" w:sz="0" w:space="0" w:color="auto"/>
        <w:left w:val="none" w:sz="0" w:space="0" w:color="auto"/>
        <w:bottom w:val="none" w:sz="0" w:space="0" w:color="auto"/>
        <w:right w:val="none" w:sz="0" w:space="0" w:color="auto"/>
      </w:divBdr>
    </w:div>
    <w:div w:id="697047114">
      <w:bodyDiv w:val="1"/>
      <w:marLeft w:val="0"/>
      <w:marRight w:val="0"/>
      <w:marTop w:val="0"/>
      <w:marBottom w:val="0"/>
      <w:divBdr>
        <w:top w:val="none" w:sz="0" w:space="0" w:color="auto"/>
        <w:left w:val="none" w:sz="0" w:space="0" w:color="auto"/>
        <w:bottom w:val="none" w:sz="0" w:space="0" w:color="auto"/>
        <w:right w:val="none" w:sz="0" w:space="0" w:color="auto"/>
      </w:divBdr>
    </w:div>
    <w:div w:id="701320081">
      <w:bodyDiv w:val="1"/>
      <w:marLeft w:val="0"/>
      <w:marRight w:val="0"/>
      <w:marTop w:val="0"/>
      <w:marBottom w:val="0"/>
      <w:divBdr>
        <w:top w:val="none" w:sz="0" w:space="0" w:color="auto"/>
        <w:left w:val="none" w:sz="0" w:space="0" w:color="auto"/>
        <w:bottom w:val="none" w:sz="0" w:space="0" w:color="auto"/>
        <w:right w:val="none" w:sz="0" w:space="0" w:color="auto"/>
      </w:divBdr>
    </w:div>
    <w:div w:id="703944903">
      <w:bodyDiv w:val="1"/>
      <w:marLeft w:val="0"/>
      <w:marRight w:val="0"/>
      <w:marTop w:val="0"/>
      <w:marBottom w:val="0"/>
      <w:divBdr>
        <w:top w:val="none" w:sz="0" w:space="0" w:color="auto"/>
        <w:left w:val="none" w:sz="0" w:space="0" w:color="auto"/>
        <w:bottom w:val="none" w:sz="0" w:space="0" w:color="auto"/>
        <w:right w:val="none" w:sz="0" w:space="0" w:color="auto"/>
      </w:divBdr>
    </w:div>
    <w:div w:id="704670495">
      <w:bodyDiv w:val="1"/>
      <w:marLeft w:val="0"/>
      <w:marRight w:val="0"/>
      <w:marTop w:val="0"/>
      <w:marBottom w:val="0"/>
      <w:divBdr>
        <w:top w:val="none" w:sz="0" w:space="0" w:color="auto"/>
        <w:left w:val="none" w:sz="0" w:space="0" w:color="auto"/>
        <w:bottom w:val="none" w:sz="0" w:space="0" w:color="auto"/>
        <w:right w:val="none" w:sz="0" w:space="0" w:color="auto"/>
      </w:divBdr>
    </w:div>
    <w:div w:id="711073596">
      <w:bodyDiv w:val="1"/>
      <w:marLeft w:val="0"/>
      <w:marRight w:val="0"/>
      <w:marTop w:val="0"/>
      <w:marBottom w:val="0"/>
      <w:divBdr>
        <w:top w:val="none" w:sz="0" w:space="0" w:color="auto"/>
        <w:left w:val="none" w:sz="0" w:space="0" w:color="auto"/>
        <w:bottom w:val="none" w:sz="0" w:space="0" w:color="auto"/>
        <w:right w:val="none" w:sz="0" w:space="0" w:color="auto"/>
      </w:divBdr>
    </w:div>
    <w:div w:id="716704544">
      <w:bodyDiv w:val="1"/>
      <w:marLeft w:val="0"/>
      <w:marRight w:val="0"/>
      <w:marTop w:val="0"/>
      <w:marBottom w:val="0"/>
      <w:divBdr>
        <w:top w:val="none" w:sz="0" w:space="0" w:color="auto"/>
        <w:left w:val="none" w:sz="0" w:space="0" w:color="auto"/>
        <w:bottom w:val="none" w:sz="0" w:space="0" w:color="auto"/>
        <w:right w:val="none" w:sz="0" w:space="0" w:color="auto"/>
      </w:divBdr>
    </w:div>
    <w:div w:id="753405553">
      <w:bodyDiv w:val="1"/>
      <w:marLeft w:val="0"/>
      <w:marRight w:val="0"/>
      <w:marTop w:val="0"/>
      <w:marBottom w:val="0"/>
      <w:divBdr>
        <w:top w:val="none" w:sz="0" w:space="0" w:color="auto"/>
        <w:left w:val="none" w:sz="0" w:space="0" w:color="auto"/>
        <w:bottom w:val="none" w:sz="0" w:space="0" w:color="auto"/>
        <w:right w:val="none" w:sz="0" w:space="0" w:color="auto"/>
      </w:divBdr>
    </w:div>
    <w:div w:id="756902329">
      <w:bodyDiv w:val="1"/>
      <w:marLeft w:val="0"/>
      <w:marRight w:val="0"/>
      <w:marTop w:val="0"/>
      <w:marBottom w:val="0"/>
      <w:divBdr>
        <w:top w:val="none" w:sz="0" w:space="0" w:color="auto"/>
        <w:left w:val="none" w:sz="0" w:space="0" w:color="auto"/>
        <w:bottom w:val="none" w:sz="0" w:space="0" w:color="auto"/>
        <w:right w:val="none" w:sz="0" w:space="0" w:color="auto"/>
      </w:divBdr>
    </w:div>
    <w:div w:id="771708313">
      <w:bodyDiv w:val="1"/>
      <w:marLeft w:val="0"/>
      <w:marRight w:val="0"/>
      <w:marTop w:val="0"/>
      <w:marBottom w:val="0"/>
      <w:divBdr>
        <w:top w:val="none" w:sz="0" w:space="0" w:color="auto"/>
        <w:left w:val="none" w:sz="0" w:space="0" w:color="auto"/>
        <w:bottom w:val="none" w:sz="0" w:space="0" w:color="auto"/>
        <w:right w:val="none" w:sz="0" w:space="0" w:color="auto"/>
      </w:divBdr>
    </w:div>
    <w:div w:id="776560842">
      <w:bodyDiv w:val="1"/>
      <w:marLeft w:val="0"/>
      <w:marRight w:val="0"/>
      <w:marTop w:val="0"/>
      <w:marBottom w:val="0"/>
      <w:divBdr>
        <w:top w:val="none" w:sz="0" w:space="0" w:color="auto"/>
        <w:left w:val="none" w:sz="0" w:space="0" w:color="auto"/>
        <w:bottom w:val="none" w:sz="0" w:space="0" w:color="auto"/>
        <w:right w:val="none" w:sz="0" w:space="0" w:color="auto"/>
      </w:divBdr>
    </w:div>
    <w:div w:id="804007928">
      <w:bodyDiv w:val="1"/>
      <w:marLeft w:val="0"/>
      <w:marRight w:val="0"/>
      <w:marTop w:val="0"/>
      <w:marBottom w:val="0"/>
      <w:divBdr>
        <w:top w:val="none" w:sz="0" w:space="0" w:color="auto"/>
        <w:left w:val="none" w:sz="0" w:space="0" w:color="auto"/>
        <w:bottom w:val="none" w:sz="0" w:space="0" w:color="auto"/>
        <w:right w:val="none" w:sz="0" w:space="0" w:color="auto"/>
      </w:divBdr>
    </w:div>
    <w:div w:id="805002697">
      <w:bodyDiv w:val="1"/>
      <w:marLeft w:val="0"/>
      <w:marRight w:val="0"/>
      <w:marTop w:val="0"/>
      <w:marBottom w:val="0"/>
      <w:divBdr>
        <w:top w:val="none" w:sz="0" w:space="0" w:color="auto"/>
        <w:left w:val="none" w:sz="0" w:space="0" w:color="auto"/>
        <w:bottom w:val="none" w:sz="0" w:space="0" w:color="auto"/>
        <w:right w:val="none" w:sz="0" w:space="0" w:color="auto"/>
      </w:divBdr>
    </w:div>
    <w:div w:id="817497862">
      <w:bodyDiv w:val="1"/>
      <w:marLeft w:val="0"/>
      <w:marRight w:val="0"/>
      <w:marTop w:val="0"/>
      <w:marBottom w:val="0"/>
      <w:divBdr>
        <w:top w:val="none" w:sz="0" w:space="0" w:color="auto"/>
        <w:left w:val="none" w:sz="0" w:space="0" w:color="auto"/>
        <w:bottom w:val="none" w:sz="0" w:space="0" w:color="auto"/>
        <w:right w:val="none" w:sz="0" w:space="0" w:color="auto"/>
      </w:divBdr>
    </w:div>
    <w:div w:id="817695380">
      <w:bodyDiv w:val="1"/>
      <w:marLeft w:val="0"/>
      <w:marRight w:val="0"/>
      <w:marTop w:val="0"/>
      <w:marBottom w:val="0"/>
      <w:divBdr>
        <w:top w:val="none" w:sz="0" w:space="0" w:color="auto"/>
        <w:left w:val="none" w:sz="0" w:space="0" w:color="auto"/>
        <w:bottom w:val="none" w:sz="0" w:space="0" w:color="auto"/>
        <w:right w:val="none" w:sz="0" w:space="0" w:color="auto"/>
      </w:divBdr>
    </w:div>
    <w:div w:id="819080588">
      <w:bodyDiv w:val="1"/>
      <w:marLeft w:val="0"/>
      <w:marRight w:val="0"/>
      <w:marTop w:val="0"/>
      <w:marBottom w:val="0"/>
      <w:divBdr>
        <w:top w:val="none" w:sz="0" w:space="0" w:color="auto"/>
        <w:left w:val="none" w:sz="0" w:space="0" w:color="auto"/>
        <w:bottom w:val="none" w:sz="0" w:space="0" w:color="auto"/>
        <w:right w:val="none" w:sz="0" w:space="0" w:color="auto"/>
      </w:divBdr>
    </w:div>
    <w:div w:id="825514708">
      <w:bodyDiv w:val="1"/>
      <w:marLeft w:val="0"/>
      <w:marRight w:val="0"/>
      <w:marTop w:val="0"/>
      <w:marBottom w:val="0"/>
      <w:divBdr>
        <w:top w:val="none" w:sz="0" w:space="0" w:color="auto"/>
        <w:left w:val="none" w:sz="0" w:space="0" w:color="auto"/>
        <w:bottom w:val="none" w:sz="0" w:space="0" w:color="auto"/>
        <w:right w:val="none" w:sz="0" w:space="0" w:color="auto"/>
      </w:divBdr>
    </w:div>
    <w:div w:id="833952515">
      <w:bodyDiv w:val="1"/>
      <w:marLeft w:val="0"/>
      <w:marRight w:val="0"/>
      <w:marTop w:val="0"/>
      <w:marBottom w:val="0"/>
      <w:divBdr>
        <w:top w:val="none" w:sz="0" w:space="0" w:color="auto"/>
        <w:left w:val="none" w:sz="0" w:space="0" w:color="auto"/>
        <w:bottom w:val="none" w:sz="0" w:space="0" w:color="auto"/>
        <w:right w:val="none" w:sz="0" w:space="0" w:color="auto"/>
      </w:divBdr>
    </w:div>
    <w:div w:id="846016087">
      <w:bodyDiv w:val="1"/>
      <w:marLeft w:val="0"/>
      <w:marRight w:val="0"/>
      <w:marTop w:val="0"/>
      <w:marBottom w:val="0"/>
      <w:divBdr>
        <w:top w:val="none" w:sz="0" w:space="0" w:color="auto"/>
        <w:left w:val="none" w:sz="0" w:space="0" w:color="auto"/>
        <w:bottom w:val="none" w:sz="0" w:space="0" w:color="auto"/>
        <w:right w:val="none" w:sz="0" w:space="0" w:color="auto"/>
      </w:divBdr>
    </w:div>
    <w:div w:id="853760948">
      <w:bodyDiv w:val="1"/>
      <w:marLeft w:val="0"/>
      <w:marRight w:val="0"/>
      <w:marTop w:val="0"/>
      <w:marBottom w:val="0"/>
      <w:divBdr>
        <w:top w:val="none" w:sz="0" w:space="0" w:color="auto"/>
        <w:left w:val="none" w:sz="0" w:space="0" w:color="auto"/>
        <w:bottom w:val="none" w:sz="0" w:space="0" w:color="auto"/>
        <w:right w:val="none" w:sz="0" w:space="0" w:color="auto"/>
      </w:divBdr>
    </w:div>
    <w:div w:id="872697258">
      <w:bodyDiv w:val="1"/>
      <w:marLeft w:val="0"/>
      <w:marRight w:val="0"/>
      <w:marTop w:val="0"/>
      <w:marBottom w:val="0"/>
      <w:divBdr>
        <w:top w:val="none" w:sz="0" w:space="0" w:color="auto"/>
        <w:left w:val="none" w:sz="0" w:space="0" w:color="auto"/>
        <w:bottom w:val="none" w:sz="0" w:space="0" w:color="auto"/>
        <w:right w:val="none" w:sz="0" w:space="0" w:color="auto"/>
      </w:divBdr>
    </w:div>
    <w:div w:id="890582784">
      <w:bodyDiv w:val="1"/>
      <w:marLeft w:val="0"/>
      <w:marRight w:val="0"/>
      <w:marTop w:val="0"/>
      <w:marBottom w:val="0"/>
      <w:divBdr>
        <w:top w:val="none" w:sz="0" w:space="0" w:color="auto"/>
        <w:left w:val="none" w:sz="0" w:space="0" w:color="auto"/>
        <w:bottom w:val="none" w:sz="0" w:space="0" w:color="auto"/>
        <w:right w:val="none" w:sz="0" w:space="0" w:color="auto"/>
      </w:divBdr>
    </w:div>
    <w:div w:id="892892149">
      <w:bodyDiv w:val="1"/>
      <w:marLeft w:val="0"/>
      <w:marRight w:val="0"/>
      <w:marTop w:val="0"/>
      <w:marBottom w:val="0"/>
      <w:divBdr>
        <w:top w:val="none" w:sz="0" w:space="0" w:color="auto"/>
        <w:left w:val="none" w:sz="0" w:space="0" w:color="auto"/>
        <w:bottom w:val="none" w:sz="0" w:space="0" w:color="auto"/>
        <w:right w:val="none" w:sz="0" w:space="0" w:color="auto"/>
      </w:divBdr>
    </w:div>
    <w:div w:id="902759805">
      <w:bodyDiv w:val="1"/>
      <w:marLeft w:val="0"/>
      <w:marRight w:val="0"/>
      <w:marTop w:val="0"/>
      <w:marBottom w:val="0"/>
      <w:divBdr>
        <w:top w:val="none" w:sz="0" w:space="0" w:color="auto"/>
        <w:left w:val="none" w:sz="0" w:space="0" w:color="auto"/>
        <w:bottom w:val="none" w:sz="0" w:space="0" w:color="auto"/>
        <w:right w:val="none" w:sz="0" w:space="0" w:color="auto"/>
      </w:divBdr>
    </w:div>
    <w:div w:id="912737797">
      <w:bodyDiv w:val="1"/>
      <w:marLeft w:val="0"/>
      <w:marRight w:val="0"/>
      <w:marTop w:val="0"/>
      <w:marBottom w:val="0"/>
      <w:divBdr>
        <w:top w:val="none" w:sz="0" w:space="0" w:color="auto"/>
        <w:left w:val="none" w:sz="0" w:space="0" w:color="auto"/>
        <w:bottom w:val="none" w:sz="0" w:space="0" w:color="auto"/>
        <w:right w:val="none" w:sz="0" w:space="0" w:color="auto"/>
      </w:divBdr>
    </w:div>
    <w:div w:id="914120696">
      <w:bodyDiv w:val="1"/>
      <w:marLeft w:val="0"/>
      <w:marRight w:val="0"/>
      <w:marTop w:val="0"/>
      <w:marBottom w:val="0"/>
      <w:divBdr>
        <w:top w:val="none" w:sz="0" w:space="0" w:color="auto"/>
        <w:left w:val="none" w:sz="0" w:space="0" w:color="auto"/>
        <w:bottom w:val="none" w:sz="0" w:space="0" w:color="auto"/>
        <w:right w:val="none" w:sz="0" w:space="0" w:color="auto"/>
      </w:divBdr>
    </w:div>
    <w:div w:id="966859218">
      <w:bodyDiv w:val="1"/>
      <w:marLeft w:val="0"/>
      <w:marRight w:val="0"/>
      <w:marTop w:val="0"/>
      <w:marBottom w:val="0"/>
      <w:divBdr>
        <w:top w:val="none" w:sz="0" w:space="0" w:color="auto"/>
        <w:left w:val="none" w:sz="0" w:space="0" w:color="auto"/>
        <w:bottom w:val="none" w:sz="0" w:space="0" w:color="auto"/>
        <w:right w:val="none" w:sz="0" w:space="0" w:color="auto"/>
      </w:divBdr>
    </w:div>
    <w:div w:id="969287788">
      <w:bodyDiv w:val="1"/>
      <w:marLeft w:val="0"/>
      <w:marRight w:val="0"/>
      <w:marTop w:val="0"/>
      <w:marBottom w:val="0"/>
      <w:divBdr>
        <w:top w:val="none" w:sz="0" w:space="0" w:color="auto"/>
        <w:left w:val="none" w:sz="0" w:space="0" w:color="auto"/>
        <w:bottom w:val="none" w:sz="0" w:space="0" w:color="auto"/>
        <w:right w:val="none" w:sz="0" w:space="0" w:color="auto"/>
      </w:divBdr>
    </w:div>
    <w:div w:id="971786647">
      <w:bodyDiv w:val="1"/>
      <w:marLeft w:val="0"/>
      <w:marRight w:val="0"/>
      <w:marTop w:val="0"/>
      <w:marBottom w:val="0"/>
      <w:divBdr>
        <w:top w:val="none" w:sz="0" w:space="0" w:color="auto"/>
        <w:left w:val="none" w:sz="0" w:space="0" w:color="auto"/>
        <w:bottom w:val="none" w:sz="0" w:space="0" w:color="auto"/>
        <w:right w:val="none" w:sz="0" w:space="0" w:color="auto"/>
      </w:divBdr>
    </w:div>
    <w:div w:id="984704532">
      <w:bodyDiv w:val="1"/>
      <w:marLeft w:val="0"/>
      <w:marRight w:val="0"/>
      <w:marTop w:val="0"/>
      <w:marBottom w:val="0"/>
      <w:divBdr>
        <w:top w:val="none" w:sz="0" w:space="0" w:color="auto"/>
        <w:left w:val="none" w:sz="0" w:space="0" w:color="auto"/>
        <w:bottom w:val="none" w:sz="0" w:space="0" w:color="auto"/>
        <w:right w:val="none" w:sz="0" w:space="0" w:color="auto"/>
      </w:divBdr>
    </w:div>
    <w:div w:id="991061389">
      <w:bodyDiv w:val="1"/>
      <w:marLeft w:val="0"/>
      <w:marRight w:val="0"/>
      <w:marTop w:val="0"/>
      <w:marBottom w:val="0"/>
      <w:divBdr>
        <w:top w:val="none" w:sz="0" w:space="0" w:color="auto"/>
        <w:left w:val="none" w:sz="0" w:space="0" w:color="auto"/>
        <w:bottom w:val="none" w:sz="0" w:space="0" w:color="auto"/>
        <w:right w:val="none" w:sz="0" w:space="0" w:color="auto"/>
      </w:divBdr>
    </w:div>
    <w:div w:id="992369145">
      <w:bodyDiv w:val="1"/>
      <w:marLeft w:val="0"/>
      <w:marRight w:val="0"/>
      <w:marTop w:val="0"/>
      <w:marBottom w:val="0"/>
      <w:divBdr>
        <w:top w:val="none" w:sz="0" w:space="0" w:color="auto"/>
        <w:left w:val="none" w:sz="0" w:space="0" w:color="auto"/>
        <w:bottom w:val="none" w:sz="0" w:space="0" w:color="auto"/>
        <w:right w:val="none" w:sz="0" w:space="0" w:color="auto"/>
      </w:divBdr>
    </w:div>
    <w:div w:id="995499324">
      <w:bodyDiv w:val="1"/>
      <w:marLeft w:val="0"/>
      <w:marRight w:val="0"/>
      <w:marTop w:val="0"/>
      <w:marBottom w:val="0"/>
      <w:divBdr>
        <w:top w:val="none" w:sz="0" w:space="0" w:color="auto"/>
        <w:left w:val="none" w:sz="0" w:space="0" w:color="auto"/>
        <w:bottom w:val="none" w:sz="0" w:space="0" w:color="auto"/>
        <w:right w:val="none" w:sz="0" w:space="0" w:color="auto"/>
      </w:divBdr>
    </w:div>
    <w:div w:id="1013651195">
      <w:bodyDiv w:val="1"/>
      <w:marLeft w:val="0"/>
      <w:marRight w:val="0"/>
      <w:marTop w:val="0"/>
      <w:marBottom w:val="0"/>
      <w:divBdr>
        <w:top w:val="none" w:sz="0" w:space="0" w:color="auto"/>
        <w:left w:val="none" w:sz="0" w:space="0" w:color="auto"/>
        <w:bottom w:val="none" w:sz="0" w:space="0" w:color="auto"/>
        <w:right w:val="none" w:sz="0" w:space="0" w:color="auto"/>
      </w:divBdr>
    </w:div>
    <w:div w:id="1040937964">
      <w:bodyDiv w:val="1"/>
      <w:marLeft w:val="0"/>
      <w:marRight w:val="0"/>
      <w:marTop w:val="0"/>
      <w:marBottom w:val="0"/>
      <w:divBdr>
        <w:top w:val="none" w:sz="0" w:space="0" w:color="auto"/>
        <w:left w:val="none" w:sz="0" w:space="0" w:color="auto"/>
        <w:bottom w:val="none" w:sz="0" w:space="0" w:color="auto"/>
        <w:right w:val="none" w:sz="0" w:space="0" w:color="auto"/>
      </w:divBdr>
    </w:div>
    <w:div w:id="1042827805">
      <w:bodyDiv w:val="1"/>
      <w:marLeft w:val="0"/>
      <w:marRight w:val="0"/>
      <w:marTop w:val="0"/>
      <w:marBottom w:val="0"/>
      <w:divBdr>
        <w:top w:val="none" w:sz="0" w:space="0" w:color="auto"/>
        <w:left w:val="none" w:sz="0" w:space="0" w:color="auto"/>
        <w:bottom w:val="none" w:sz="0" w:space="0" w:color="auto"/>
        <w:right w:val="none" w:sz="0" w:space="0" w:color="auto"/>
      </w:divBdr>
    </w:div>
    <w:div w:id="1047876613">
      <w:bodyDiv w:val="1"/>
      <w:marLeft w:val="0"/>
      <w:marRight w:val="0"/>
      <w:marTop w:val="0"/>
      <w:marBottom w:val="0"/>
      <w:divBdr>
        <w:top w:val="none" w:sz="0" w:space="0" w:color="auto"/>
        <w:left w:val="none" w:sz="0" w:space="0" w:color="auto"/>
        <w:bottom w:val="none" w:sz="0" w:space="0" w:color="auto"/>
        <w:right w:val="none" w:sz="0" w:space="0" w:color="auto"/>
      </w:divBdr>
    </w:div>
    <w:div w:id="1049574459">
      <w:bodyDiv w:val="1"/>
      <w:marLeft w:val="0"/>
      <w:marRight w:val="0"/>
      <w:marTop w:val="0"/>
      <w:marBottom w:val="0"/>
      <w:divBdr>
        <w:top w:val="none" w:sz="0" w:space="0" w:color="auto"/>
        <w:left w:val="none" w:sz="0" w:space="0" w:color="auto"/>
        <w:bottom w:val="none" w:sz="0" w:space="0" w:color="auto"/>
        <w:right w:val="none" w:sz="0" w:space="0" w:color="auto"/>
      </w:divBdr>
    </w:div>
    <w:div w:id="1055658426">
      <w:bodyDiv w:val="1"/>
      <w:marLeft w:val="0"/>
      <w:marRight w:val="0"/>
      <w:marTop w:val="0"/>
      <w:marBottom w:val="0"/>
      <w:divBdr>
        <w:top w:val="none" w:sz="0" w:space="0" w:color="auto"/>
        <w:left w:val="none" w:sz="0" w:space="0" w:color="auto"/>
        <w:bottom w:val="none" w:sz="0" w:space="0" w:color="auto"/>
        <w:right w:val="none" w:sz="0" w:space="0" w:color="auto"/>
      </w:divBdr>
    </w:div>
    <w:div w:id="1062631135">
      <w:bodyDiv w:val="1"/>
      <w:marLeft w:val="0"/>
      <w:marRight w:val="0"/>
      <w:marTop w:val="0"/>
      <w:marBottom w:val="0"/>
      <w:divBdr>
        <w:top w:val="none" w:sz="0" w:space="0" w:color="auto"/>
        <w:left w:val="none" w:sz="0" w:space="0" w:color="auto"/>
        <w:bottom w:val="none" w:sz="0" w:space="0" w:color="auto"/>
        <w:right w:val="none" w:sz="0" w:space="0" w:color="auto"/>
      </w:divBdr>
    </w:div>
    <w:div w:id="1064333519">
      <w:bodyDiv w:val="1"/>
      <w:marLeft w:val="0"/>
      <w:marRight w:val="0"/>
      <w:marTop w:val="0"/>
      <w:marBottom w:val="0"/>
      <w:divBdr>
        <w:top w:val="none" w:sz="0" w:space="0" w:color="auto"/>
        <w:left w:val="none" w:sz="0" w:space="0" w:color="auto"/>
        <w:bottom w:val="none" w:sz="0" w:space="0" w:color="auto"/>
        <w:right w:val="none" w:sz="0" w:space="0" w:color="auto"/>
      </w:divBdr>
    </w:div>
    <w:div w:id="1069498724">
      <w:bodyDiv w:val="1"/>
      <w:marLeft w:val="0"/>
      <w:marRight w:val="0"/>
      <w:marTop w:val="0"/>
      <w:marBottom w:val="0"/>
      <w:divBdr>
        <w:top w:val="none" w:sz="0" w:space="0" w:color="auto"/>
        <w:left w:val="none" w:sz="0" w:space="0" w:color="auto"/>
        <w:bottom w:val="none" w:sz="0" w:space="0" w:color="auto"/>
        <w:right w:val="none" w:sz="0" w:space="0" w:color="auto"/>
      </w:divBdr>
    </w:div>
    <w:div w:id="1070469381">
      <w:bodyDiv w:val="1"/>
      <w:marLeft w:val="0"/>
      <w:marRight w:val="0"/>
      <w:marTop w:val="0"/>
      <w:marBottom w:val="0"/>
      <w:divBdr>
        <w:top w:val="none" w:sz="0" w:space="0" w:color="auto"/>
        <w:left w:val="none" w:sz="0" w:space="0" w:color="auto"/>
        <w:bottom w:val="none" w:sz="0" w:space="0" w:color="auto"/>
        <w:right w:val="none" w:sz="0" w:space="0" w:color="auto"/>
      </w:divBdr>
    </w:div>
    <w:div w:id="1071585022">
      <w:bodyDiv w:val="1"/>
      <w:marLeft w:val="0"/>
      <w:marRight w:val="0"/>
      <w:marTop w:val="0"/>
      <w:marBottom w:val="0"/>
      <w:divBdr>
        <w:top w:val="none" w:sz="0" w:space="0" w:color="auto"/>
        <w:left w:val="none" w:sz="0" w:space="0" w:color="auto"/>
        <w:bottom w:val="none" w:sz="0" w:space="0" w:color="auto"/>
        <w:right w:val="none" w:sz="0" w:space="0" w:color="auto"/>
      </w:divBdr>
    </w:div>
    <w:div w:id="1145123943">
      <w:bodyDiv w:val="1"/>
      <w:marLeft w:val="0"/>
      <w:marRight w:val="0"/>
      <w:marTop w:val="0"/>
      <w:marBottom w:val="0"/>
      <w:divBdr>
        <w:top w:val="none" w:sz="0" w:space="0" w:color="auto"/>
        <w:left w:val="none" w:sz="0" w:space="0" w:color="auto"/>
        <w:bottom w:val="none" w:sz="0" w:space="0" w:color="auto"/>
        <w:right w:val="none" w:sz="0" w:space="0" w:color="auto"/>
      </w:divBdr>
    </w:div>
    <w:div w:id="1157958482">
      <w:bodyDiv w:val="1"/>
      <w:marLeft w:val="0"/>
      <w:marRight w:val="0"/>
      <w:marTop w:val="0"/>
      <w:marBottom w:val="0"/>
      <w:divBdr>
        <w:top w:val="none" w:sz="0" w:space="0" w:color="auto"/>
        <w:left w:val="none" w:sz="0" w:space="0" w:color="auto"/>
        <w:bottom w:val="none" w:sz="0" w:space="0" w:color="auto"/>
        <w:right w:val="none" w:sz="0" w:space="0" w:color="auto"/>
      </w:divBdr>
    </w:div>
    <w:div w:id="1161241885">
      <w:bodyDiv w:val="1"/>
      <w:marLeft w:val="0"/>
      <w:marRight w:val="0"/>
      <w:marTop w:val="0"/>
      <w:marBottom w:val="0"/>
      <w:divBdr>
        <w:top w:val="none" w:sz="0" w:space="0" w:color="auto"/>
        <w:left w:val="none" w:sz="0" w:space="0" w:color="auto"/>
        <w:bottom w:val="none" w:sz="0" w:space="0" w:color="auto"/>
        <w:right w:val="none" w:sz="0" w:space="0" w:color="auto"/>
      </w:divBdr>
    </w:div>
    <w:div w:id="1168709958">
      <w:bodyDiv w:val="1"/>
      <w:marLeft w:val="0"/>
      <w:marRight w:val="0"/>
      <w:marTop w:val="0"/>
      <w:marBottom w:val="0"/>
      <w:divBdr>
        <w:top w:val="none" w:sz="0" w:space="0" w:color="auto"/>
        <w:left w:val="none" w:sz="0" w:space="0" w:color="auto"/>
        <w:bottom w:val="none" w:sz="0" w:space="0" w:color="auto"/>
        <w:right w:val="none" w:sz="0" w:space="0" w:color="auto"/>
      </w:divBdr>
    </w:div>
    <w:div w:id="1179195609">
      <w:bodyDiv w:val="1"/>
      <w:marLeft w:val="0"/>
      <w:marRight w:val="0"/>
      <w:marTop w:val="0"/>
      <w:marBottom w:val="0"/>
      <w:divBdr>
        <w:top w:val="none" w:sz="0" w:space="0" w:color="auto"/>
        <w:left w:val="none" w:sz="0" w:space="0" w:color="auto"/>
        <w:bottom w:val="none" w:sz="0" w:space="0" w:color="auto"/>
        <w:right w:val="none" w:sz="0" w:space="0" w:color="auto"/>
      </w:divBdr>
    </w:div>
    <w:div w:id="1182207873">
      <w:bodyDiv w:val="1"/>
      <w:marLeft w:val="0"/>
      <w:marRight w:val="0"/>
      <w:marTop w:val="0"/>
      <w:marBottom w:val="0"/>
      <w:divBdr>
        <w:top w:val="none" w:sz="0" w:space="0" w:color="auto"/>
        <w:left w:val="none" w:sz="0" w:space="0" w:color="auto"/>
        <w:bottom w:val="none" w:sz="0" w:space="0" w:color="auto"/>
        <w:right w:val="none" w:sz="0" w:space="0" w:color="auto"/>
      </w:divBdr>
    </w:div>
    <w:div w:id="1183663004">
      <w:bodyDiv w:val="1"/>
      <w:marLeft w:val="0"/>
      <w:marRight w:val="0"/>
      <w:marTop w:val="0"/>
      <w:marBottom w:val="0"/>
      <w:divBdr>
        <w:top w:val="none" w:sz="0" w:space="0" w:color="auto"/>
        <w:left w:val="none" w:sz="0" w:space="0" w:color="auto"/>
        <w:bottom w:val="none" w:sz="0" w:space="0" w:color="auto"/>
        <w:right w:val="none" w:sz="0" w:space="0" w:color="auto"/>
      </w:divBdr>
    </w:div>
    <w:div w:id="1191071021">
      <w:bodyDiv w:val="1"/>
      <w:marLeft w:val="0"/>
      <w:marRight w:val="0"/>
      <w:marTop w:val="0"/>
      <w:marBottom w:val="0"/>
      <w:divBdr>
        <w:top w:val="none" w:sz="0" w:space="0" w:color="auto"/>
        <w:left w:val="none" w:sz="0" w:space="0" w:color="auto"/>
        <w:bottom w:val="none" w:sz="0" w:space="0" w:color="auto"/>
        <w:right w:val="none" w:sz="0" w:space="0" w:color="auto"/>
      </w:divBdr>
    </w:div>
    <w:div w:id="1191987765">
      <w:bodyDiv w:val="1"/>
      <w:marLeft w:val="0"/>
      <w:marRight w:val="0"/>
      <w:marTop w:val="0"/>
      <w:marBottom w:val="0"/>
      <w:divBdr>
        <w:top w:val="none" w:sz="0" w:space="0" w:color="auto"/>
        <w:left w:val="none" w:sz="0" w:space="0" w:color="auto"/>
        <w:bottom w:val="none" w:sz="0" w:space="0" w:color="auto"/>
        <w:right w:val="none" w:sz="0" w:space="0" w:color="auto"/>
      </w:divBdr>
    </w:div>
    <w:div w:id="1198196870">
      <w:bodyDiv w:val="1"/>
      <w:marLeft w:val="0"/>
      <w:marRight w:val="0"/>
      <w:marTop w:val="0"/>
      <w:marBottom w:val="0"/>
      <w:divBdr>
        <w:top w:val="none" w:sz="0" w:space="0" w:color="auto"/>
        <w:left w:val="none" w:sz="0" w:space="0" w:color="auto"/>
        <w:bottom w:val="none" w:sz="0" w:space="0" w:color="auto"/>
        <w:right w:val="none" w:sz="0" w:space="0" w:color="auto"/>
      </w:divBdr>
    </w:div>
    <w:div w:id="1220168099">
      <w:bodyDiv w:val="1"/>
      <w:marLeft w:val="0"/>
      <w:marRight w:val="0"/>
      <w:marTop w:val="0"/>
      <w:marBottom w:val="0"/>
      <w:divBdr>
        <w:top w:val="none" w:sz="0" w:space="0" w:color="auto"/>
        <w:left w:val="none" w:sz="0" w:space="0" w:color="auto"/>
        <w:bottom w:val="none" w:sz="0" w:space="0" w:color="auto"/>
        <w:right w:val="none" w:sz="0" w:space="0" w:color="auto"/>
      </w:divBdr>
    </w:div>
    <w:div w:id="1229266116">
      <w:bodyDiv w:val="1"/>
      <w:marLeft w:val="0"/>
      <w:marRight w:val="0"/>
      <w:marTop w:val="0"/>
      <w:marBottom w:val="0"/>
      <w:divBdr>
        <w:top w:val="none" w:sz="0" w:space="0" w:color="auto"/>
        <w:left w:val="none" w:sz="0" w:space="0" w:color="auto"/>
        <w:bottom w:val="none" w:sz="0" w:space="0" w:color="auto"/>
        <w:right w:val="none" w:sz="0" w:space="0" w:color="auto"/>
      </w:divBdr>
    </w:div>
    <w:div w:id="1232692132">
      <w:bodyDiv w:val="1"/>
      <w:marLeft w:val="0"/>
      <w:marRight w:val="0"/>
      <w:marTop w:val="0"/>
      <w:marBottom w:val="0"/>
      <w:divBdr>
        <w:top w:val="none" w:sz="0" w:space="0" w:color="auto"/>
        <w:left w:val="none" w:sz="0" w:space="0" w:color="auto"/>
        <w:bottom w:val="none" w:sz="0" w:space="0" w:color="auto"/>
        <w:right w:val="none" w:sz="0" w:space="0" w:color="auto"/>
      </w:divBdr>
    </w:div>
    <w:div w:id="1242250613">
      <w:bodyDiv w:val="1"/>
      <w:marLeft w:val="0"/>
      <w:marRight w:val="0"/>
      <w:marTop w:val="0"/>
      <w:marBottom w:val="0"/>
      <w:divBdr>
        <w:top w:val="none" w:sz="0" w:space="0" w:color="auto"/>
        <w:left w:val="none" w:sz="0" w:space="0" w:color="auto"/>
        <w:bottom w:val="none" w:sz="0" w:space="0" w:color="auto"/>
        <w:right w:val="none" w:sz="0" w:space="0" w:color="auto"/>
      </w:divBdr>
    </w:div>
    <w:div w:id="1243829333">
      <w:bodyDiv w:val="1"/>
      <w:marLeft w:val="0"/>
      <w:marRight w:val="0"/>
      <w:marTop w:val="0"/>
      <w:marBottom w:val="0"/>
      <w:divBdr>
        <w:top w:val="none" w:sz="0" w:space="0" w:color="auto"/>
        <w:left w:val="none" w:sz="0" w:space="0" w:color="auto"/>
        <w:bottom w:val="none" w:sz="0" w:space="0" w:color="auto"/>
        <w:right w:val="none" w:sz="0" w:space="0" w:color="auto"/>
      </w:divBdr>
    </w:div>
    <w:div w:id="1277368765">
      <w:bodyDiv w:val="1"/>
      <w:marLeft w:val="0"/>
      <w:marRight w:val="0"/>
      <w:marTop w:val="0"/>
      <w:marBottom w:val="0"/>
      <w:divBdr>
        <w:top w:val="none" w:sz="0" w:space="0" w:color="auto"/>
        <w:left w:val="none" w:sz="0" w:space="0" w:color="auto"/>
        <w:bottom w:val="none" w:sz="0" w:space="0" w:color="auto"/>
        <w:right w:val="none" w:sz="0" w:space="0" w:color="auto"/>
      </w:divBdr>
    </w:div>
    <w:div w:id="1284964570">
      <w:bodyDiv w:val="1"/>
      <w:marLeft w:val="0"/>
      <w:marRight w:val="0"/>
      <w:marTop w:val="0"/>
      <w:marBottom w:val="0"/>
      <w:divBdr>
        <w:top w:val="none" w:sz="0" w:space="0" w:color="auto"/>
        <w:left w:val="none" w:sz="0" w:space="0" w:color="auto"/>
        <w:bottom w:val="none" w:sz="0" w:space="0" w:color="auto"/>
        <w:right w:val="none" w:sz="0" w:space="0" w:color="auto"/>
      </w:divBdr>
    </w:div>
    <w:div w:id="1294798067">
      <w:bodyDiv w:val="1"/>
      <w:marLeft w:val="0"/>
      <w:marRight w:val="0"/>
      <w:marTop w:val="0"/>
      <w:marBottom w:val="0"/>
      <w:divBdr>
        <w:top w:val="none" w:sz="0" w:space="0" w:color="auto"/>
        <w:left w:val="none" w:sz="0" w:space="0" w:color="auto"/>
        <w:bottom w:val="none" w:sz="0" w:space="0" w:color="auto"/>
        <w:right w:val="none" w:sz="0" w:space="0" w:color="auto"/>
      </w:divBdr>
    </w:div>
    <w:div w:id="1311711661">
      <w:bodyDiv w:val="1"/>
      <w:marLeft w:val="0"/>
      <w:marRight w:val="0"/>
      <w:marTop w:val="0"/>
      <w:marBottom w:val="0"/>
      <w:divBdr>
        <w:top w:val="none" w:sz="0" w:space="0" w:color="auto"/>
        <w:left w:val="none" w:sz="0" w:space="0" w:color="auto"/>
        <w:bottom w:val="none" w:sz="0" w:space="0" w:color="auto"/>
        <w:right w:val="none" w:sz="0" w:space="0" w:color="auto"/>
      </w:divBdr>
    </w:div>
    <w:div w:id="1320234217">
      <w:bodyDiv w:val="1"/>
      <w:marLeft w:val="0"/>
      <w:marRight w:val="0"/>
      <w:marTop w:val="0"/>
      <w:marBottom w:val="0"/>
      <w:divBdr>
        <w:top w:val="none" w:sz="0" w:space="0" w:color="auto"/>
        <w:left w:val="none" w:sz="0" w:space="0" w:color="auto"/>
        <w:bottom w:val="none" w:sz="0" w:space="0" w:color="auto"/>
        <w:right w:val="none" w:sz="0" w:space="0" w:color="auto"/>
      </w:divBdr>
    </w:div>
    <w:div w:id="1333606981">
      <w:bodyDiv w:val="1"/>
      <w:marLeft w:val="0"/>
      <w:marRight w:val="0"/>
      <w:marTop w:val="0"/>
      <w:marBottom w:val="0"/>
      <w:divBdr>
        <w:top w:val="none" w:sz="0" w:space="0" w:color="auto"/>
        <w:left w:val="none" w:sz="0" w:space="0" w:color="auto"/>
        <w:bottom w:val="none" w:sz="0" w:space="0" w:color="auto"/>
        <w:right w:val="none" w:sz="0" w:space="0" w:color="auto"/>
      </w:divBdr>
    </w:div>
    <w:div w:id="1334263698">
      <w:bodyDiv w:val="1"/>
      <w:marLeft w:val="0"/>
      <w:marRight w:val="0"/>
      <w:marTop w:val="0"/>
      <w:marBottom w:val="0"/>
      <w:divBdr>
        <w:top w:val="none" w:sz="0" w:space="0" w:color="auto"/>
        <w:left w:val="none" w:sz="0" w:space="0" w:color="auto"/>
        <w:bottom w:val="none" w:sz="0" w:space="0" w:color="auto"/>
        <w:right w:val="none" w:sz="0" w:space="0" w:color="auto"/>
      </w:divBdr>
    </w:div>
    <w:div w:id="1340498917">
      <w:bodyDiv w:val="1"/>
      <w:marLeft w:val="0"/>
      <w:marRight w:val="0"/>
      <w:marTop w:val="0"/>
      <w:marBottom w:val="0"/>
      <w:divBdr>
        <w:top w:val="none" w:sz="0" w:space="0" w:color="auto"/>
        <w:left w:val="none" w:sz="0" w:space="0" w:color="auto"/>
        <w:bottom w:val="none" w:sz="0" w:space="0" w:color="auto"/>
        <w:right w:val="none" w:sz="0" w:space="0" w:color="auto"/>
      </w:divBdr>
    </w:div>
    <w:div w:id="1351101756">
      <w:bodyDiv w:val="1"/>
      <w:marLeft w:val="0"/>
      <w:marRight w:val="0"/>
      <w:marTop w:val="0"/>
      <w:marBottom w:val="0"/>
      <w:divBdr>
        <w:top w:val="none" w:sz="0" w:space="0" w:color="auto"/>
        <w:left w:val="none" w:sz="0" w:space="0" w:color="auto"/>
        <w:bottom w:val="none" w:sz="0" w:space="0" w:color="auto"/>
        <w:right w:val="none" w:sz="0" w:space="0" w:color="auto"/>
      </w:divBdr>
    </w:div>
    <w:div w:id="1363438558">
      <w:bodyDiv w:val="1"/>
      <w:marLeft w:val="0"/>
      <w:marRight w:val="0"/>
      <w:marTop w:val="0"/>
      <w:marBottom w:val="0"/>
      <w:divBdr>
        <w:top w:val="none" w:sz="0" w:space="0" w:color="auto"/>
        <w:left w:val="none" w:sz="0" w:space="0" w:color="auto"/>
        <w:bottom w:val="none" w:sz="0" w:space="0" w:color="auto"/>
        <w:right w:val="none" w:sz="0" w:space="0" w:color="auto"/>
      </w:divBdr>
    </w:div>
    <w:div w:id="1363749016">
      <w:bodyDiv w:val="1"/>
      <w:marLeft w:val="0"/>
      <w:marRight w:val="0"/>
      <w:marTop w:val="0"/>
      <w:marBottom w:val="0"/>
      <w:divBdr>
        <w:top w:val="none" w:sz="0" w:space="0" w:color="auto"/>
        <w:left w:val="none" w:sz="0" w:space="0" w:color="auto"/>
        <w:bottom w:val="none" w:sz="0" w:space="0" w:color="auto"/>
        <w:right w:val="none" w:sz="0" w:space="0" w:color="auto"/>
      </w:divBdr>
    </w:div>
    <w:div w:id="1363870691">
      <w:bodyDiv w:val="1"/>
      <w:marLeft w:val="0"/>
      <w:marRight w:val="0"/>
      <w:marTop w:val="0"/>
      <w:marBottom w:val="0"/>
      <w:divBdr>
        <w:top w:val="none" w:sz="0" w:space="0" w:color="auto"/>
        <w:left w:val="none" w:sz="0" w:space="0" w:color="auto"/>
        <w:bottom w:val="none" w:sz="0" w:space="0" w:color="auto"/>
        <w:right w:val="none" w:sz="0" w:space="0" w:color="auto"/>
      </w:divBdr>
    </w:div>
    <w:div w:id="1364867769">
      <w:bodyDiv w:val="1"/>
      <w:marLeft w:val="0"/>
      <w:marRight w:val="0"/>
      <w:marTop w:val="0"/>
      <w:marBottom w:val="0"/>
      <w:divBdr>
        <w:top w:val="none" w:sz="0" w:space="0" w:color="auto"/>
        <w:left w:val="none" w:sz="0" w:space="0" w:color="auto"/>
        <w:bottom w:val="none" w:sz="0" w:space="0" w:color="auto"/>
        <w:right w:val="none" w:sz="0" w:space="0" w:color="auto"/>
      </w:divBdr>
    </w:div>
    <w:div w:id="1371035786">
      <w:bodyDiv w:val="1"/>
      <w:marLeft w:val="0"/>
      <w:marRight w:val="0"/>
      <w:marTop w:val="0"/>
      <w:marBottom w:val="0"/>
      <w:divBdr>
        <w:top w:val="none" w:sz="0" w:space="0" w:color="auto"/>
        <w:left w:val="none" w:sz="0" w:space="0" w:color="auto"/>
        <w:bottom w:val="none" w:sz="0" w:space="0" w:color="auto"/>
        <w:right w:val="none" w:sz="0" w:space="0" w:color="auto"/>
      </w:divBdr>
    </w:div>
    <w:div w:id="1371951900">
      <w:bodyDiv w:val="1"/>
      <w:marLeft w:val="0"/>
      <w:marRight w:val="0"/>
      <w:marTop w:val="0"/>
      <w:marBottom w:val="0"/>
      <w:divBdr>
        <w:top w:val="none" w:sz="0" w:space="0" w:color="auto"/>
        <w:left w:val="none" w:sz="0" w:space="0" w:color="auto"/>
        <w:bottom w:val="none" w:sz="0" w:space="0" w:color="auto"/>
        <w:right w:val="none" w:sz="0" w:space="0" w:color="auto"/>
      </w:divBdr>
    </w:div>
    <w:div w:id="1374037603">
      <w:bodyDiv w:val="1"/>
      <w:marLeft w:val="0"/>
      <w:marRight w:val="0"/>
      <w:marTop w:val="0"/>
      <w:marBottom w:val="0"/>
      <w:divBdr>
        <w:top w:val="none" w:sz="0" w:space="0" w:color="auto"/>
        <w:left w:val="none" w:sz="0" w:space="0" w:color="auto"/>
        <w:bottom w:val="none" w:sz="0" w:space="0" w:color="auto"/>
        <w:right w:val="none" w:sz="0" w:space="0" w:color="auto"/>
      </w:divBdr>
    </w:div>
    <w:div w:id="1397045883">
      <w:bodyDiv w:val="1"/>
      <w:marLeft w:val="0"/>
      <w:marRight w:val="0"/>
      <w:marTop w:val="0"/>
      <w:marBottom w:val="0"/>
      <w:divBdr>
        <w:top w:val="none" w:sz="0" w:space="0" w:color="auto"/>
        <w:left w:val="none" w:sz="0" w:space="0" w:color="auto"/>
        <w:bottom w:val="none" w:sz="0" w:space="0" w:color="auto"/>
        <w:right w:val="none" w:sz="0" w:space="0" w:color="auto"/>
      </w:divBdr>
    </w:div>
    <w:div w:id="1400520636">
      <w:bodyDiv w:val="1"/>
      <w:marLeft w:val="0"/>
      <w:marRight w:val="0"/>
      <w:marTop w:val="0"/>
      <w:marBottom w:val="0"/>
      <w:divBdr>
        <w:top w:val="none" w:sz="0" w:space="0" w:color="auto"/>
        <w:left w:val="none" w:sz="0" w:space="0" w:color="auto"/>
        <w:bottom w:val="none" w:sz="0" w:space="0" w:color="auto"/>
        <w:right w:val="none" w:sz="0" w:space="0" w:color="auto"/>
      </w:divBdr>
    </w:div>
    <w:div w:id="1402950693">
      <w:bodyDiv w:val="1"/>
      <w:marLeft w:val="0"/>
      <w:marRight w:val="0"/>
      <w:marTop w:val="0"/>
      <w:marBottom w:val="0"/>
      <w:divBdr>
        <w:top w:val="none" w:sz="0" w:space="0" w:color="auto"/>
        <w:left w:val="none" w:sz="0" w:space="0" w:color="auto"/>
        <w:bottom w:val="none" w:sz="0" w:space="0" w:color="auto"/>
        <w:right w:val="none" w:sz="0" w:space="0" w:color="auto"/>
      </w:divBdr>
    </w:div>
    <w:div w:id="1414089325">
      <w:bodyDiv w:val="1"/>
      <w:marLeft w:val="0"/>
      <w:marRight w:val="0"/>
      <w:marTop w:val="0"/>
      <w:marBottom w:val="0"/>
      <w:divBdr>
        <w:top w:val="none" w:sz="0" w:space="0" w:color="auto"/>
        <w:left w:val="none" w:sz="0" w:space="0" w:color="auto"/>
        <w:bottom w:val="none" w:sz="0" w:space="0" w:color="auto"/>
        <w:right w:val="none" w:sz="0" w:space="0" w:color="auto"/>
      </w:divBdr>
    </w:div>
    <w:div w:id="1421371859">
      <w:bodyDiv w:val="1"/>
      <w:marLeft w:val="0"/>
      <w:marRight w:val="0"/>
      <w:marTop w:val="0"/>
      <w:marBottom w:val="0"/>
      <w:divBdr>
        <w:top w:val="none" w:sz="0" w:space="0" w:color="auto"/>
        <w:left w:val="none" w:sz="0" w:space="0" w:color="auto"/>
        <w:bottom w:val="none" w:sz="0" w:space="0" w:color="auto"/>
        <w:right w:val="none" w:sz="0" w:space="0" w:color="auto"/>
      </w:divBdr>
    </w:div>
    <w:div w:id="1428844177">
      <w:bodyDiv w:val="1"/>
      <w:marLeft w:val="0"/>
      <w:marRight w:val="0"/>
      <w:marTop w:val="0"/>
      <w:marBottom w:val="0"/>
      <w:divBdr>
        <w:top w:val="none" w:sz="0" w:space="0" w:color="auto"/>
        <w:left w:val="none" w:sz="0" w:space="0" w:color="auto"/>
        <w:bottom w:val="none" w:sz="0" w:space="0" w:color="auto"/>
        <w:right w:val="none" w:sz="0" w:space="0" w:color="auto"/>
      </w:divBdr>
    </w:div>
    <w:div w:id="1437359475">
      <w:bodyDiv w:val="1"/>
      <w:marLeft w:val="0"/>
      <w:marRight w:val="0"/>
      <w:marTop w:val="0"/>
      <w:marBottom w:val="0"/>
      <w:divBdr>
        <w:top w:val="none" w:sz="0" w:space="0" w:color="auto"/>
        <w:left w:val="none" w:sz="0" w:space="0" w:color="auto"/>
        <w:bottom w:val="none" w:sz="0" w:space="0" w:color="auto"/>
        <w:right w:val="none" w:sz="0" w:space="0" w:color="auto"/>
      </w:divBdr>
    </w:div>
    <w:div w:id="1444304071">
      <w:bodyDiv w:val="1"/>
      <w:marLeft w:val="0"/>
      <w:marRight w:val="0"/>
      <w:marTop w:val="0"/>
      <w:marBottom w:val="0"/>
      <w:divBdr>
        <w:top w:val="none" w:sz="0" w:space="0" w:color="auto"/>
        <w:left w:val="none" w:sz="0" w:space="0" w:color="auto"/>
        <w:bottom w:val="none" w:sz="0" w:space="0" w:color="auto"/>
        <w:right w:val="none" w:sz="0" w:space="0" w:color="auto"/>
      </w:divBdr>
    </w:div>
    <w:div w:id="1449199225">
      <w:bodyDiv w:val="1"/>
      <w:marLeft w:val="0"/>
      <w:marRight w:val="0"/>
      <w:marTop w:val="0"/>
      <w:marBottom w:val="0"/>
      <w:divBdr>
        <w:top w:val="none" w:sz="0" w:space="0" w:color="auto"/>
        <w:left w:val="none" w:sz="0" w:space="0" w:color="auto"/>
        <w:bottom w:val="none" w:sz="0" w:space="0" w:color="auto"/>
        <w:right w:val="none" w:sz="0" w:space="0" w:color="auto"/>
      </w:divBdr>
    </w:div>
    <w:div w:id="1465348677">
      <w:bodyDiv w:val="1"/>
      <w:marLeft w:val="0"/>
      <w:marRight w:val="0"/>
      <w:marTop w:val="0"/>
      <w:marBottom w:val="0"/>
      <w:divBdr>
        <w:top w:val="none" w:sz="0" w:space="0" w:color="auto"/>
        <w:left w:val="none" w:sz="0" w:space="0" w:color="auto"/>
        <w:bottom w:val="none" w:sz="0" w:space="0" w:color="auto"/>
        <w:right w:val="none" w:sz="0" w:space="0" w:color="auto"/>
      </w:divBdr>
    </w:div>
    <w:div w:id="1467818518">
      <w:bodyDiv w:val="1"/>
      <w:marLeft w:val="0"/>
      <w:marRight w:val="0"/>
      <w:marTop w:val="0"/>
      <w:marBottom w:val="0"/>
      <w:divBdr>
        <w:top w:val="none" w:sz="0" w:space="0" w:color="auto"/>
        <w:left w:val="none" w:sz="0" w:space="0" w:color="auto"/>
        <w:bottom w:val="none" w:sz="0" w:space="0" w:color="auto"/>
        <w:right w:val="none" w:sz="0" w:space="0" w:color="auto"/>
      </w:divBdr>
    </w:div>
    <w:div w:id="1476986839">
      <w:bodyDiv w:val="1"/>
      <w:marLeft w:val="0"/>
      <w:marRight w:val="0"/>
      <w:marTop w:val="0"/>
      <w:marBottom w:val="0"/>
      <w:divBdr>
        <w:top w:val="none" w:sz="0" w:space="0" w:color="auto"/>
        <w:left w:val="none" w:sz="0" w:space="0" w:color="auto"/>
        <w:bottom w:val="none" w:sz="0" w:space="0" w:color="auto"/>
        <w:right w:val="none" w:sz="0" w:space="0" w:color="auto"/>
      </w:divBdr>
    </w:div>
    <w:div w:id="1479765389">
      <w:bodyDiv w:val="1"/>
      <w:marLeft w:val="0"/>
      <w:marRight w:val="0"/>
      <w:marTop w:val="0"/>
      <w:marBottom w:val="0"/>
      <w:divBdr>
        <w:top w:val="none" w:sz="0" w:space="0" w:color="auto"/>
        <w:left w:val="none" w:sz="0" w:space="0" w:color="auto"/>
        <w:bottom w:val="none" w:sz="0" w:space="0" w:color="auto"/>
        <w:right w:val="none" w:sz="0" w:space="0" w:color="auto"/>
      </w:divBdr>
    </w:div>
    <w:div w:id="1486311366">
      <w:bodyDiv w:val="1"/>
      <w:marLeft w:val="0"/>
      <w:marRight w:val="0"/>
      <w:marTop w:val="0"/>
      <w:marBottom w:val="0"/>
      <w:divBdr>
        <w:top w:val="none" w:sz="0" w:space="0" w:color="auto"/>
        <w:left w:val="none" w:sz="0" w:space="0" w:color="auto"/>
        <w:bottom w:val="none" w:sz="0" w:space="0" w:color="auto"/>
        <w:right w:val="none" w:sz="0" w:space="0" w:color="auto"/>
      </w:divBdr>
    </w:div>
    <w:div w:id="1492715044">
      <w:bodyDiv w:val="1"/>
      <w:marLeft w:val="0"/>
      <w:marRight w:val="0"/>
      <w:marTop w:val="0"/>
      <w:marBottom w:val="0"/>
      <w:divBdr>
        <w:top w:val="none" w:sz="0" w:space="0" w:color="auto"/>
        <w:left w:val="none" w:sz="0" w:space="0" w:color="auto"/>
        <w:bottom w:val="none" w:sz="0" w:space="0" w:color="auto"/>
        <w:right w:val="none" w:sz="0" w:space="0" w:color="auto"/>
      </w:divBdr>
    </w:div>
    <w:div w:id="1495801936">
      <w:bodyDiv w:val="1"/>
      <w:marLeft w:val="0"/>
      <w:marRight w:val="0"/>
      <w:marTop w:val="0"/>
      <w:marBottom w:val="0"/>
      <w:divBdr>
        <w:top w:val="none" w:sz="0" w:space="0" w:color="auto"/>
        <w:left w:val="none" w:sz="0" w:space="0" w:color="auto"/>
        <w:bottom w:val="none" w:sz="0" w:space="0" w:color="auto"/>
        <w:right w:val="none" w:sz="0" w:space="0" w:color="auto"/>
      </w:divBdr>
    </w:div>
    <w:div w:id="1504202310">
      <w:bodyDiv w:val="1"/>
      <w:marLeft w:val="0"/>
      <w:marRight w:val="0"/>
      <w:marTop w:val="0"/>
      <w:marBottom w:val="0"/>
      <w:divBdr>
        <w:top w:val="none" w:sz="0" w:space="0" w:color="auto"/>
        <w:left w:val="none" w:sz="0" w:space="0" w:color="auto"/>
        <w:bottom w:val="none" w:sz="0" w:space="0" w:color="auto"/>
        <w:right w:val="none" w:sz="0" w:space="0" w:color="auto"/>
      </w:divBdr>
    </w:div>
    <w:div w:id="1511217141">
      <w:bodyDiv w:val="1"/>
      <w:marLeft w:val="0"/>
      <w:marRight w:val="0"/>
      <w:marTop w:val="0"/>
      <w:marBottom w:val="0"/>
      <w:divBdr>
        <w:top w:val="none" w:sz="0" w:space="0" w:color="auto"/>
        <w:left w:val="none" w:sz="0" w:space="0" w:color="auto"/>
        <w:bottom w:val="none" w:sz="0" w:space="0" w:color="auto"/>
        <w:right w:val="none" w:sz="0" w:space="0" w:color="auto"/>
      </w:divBdr>
    </w:div>
    <w:div w:id="1512406385">
      <w:bodyDiv w:val="1"/>
      <w:marLeft w:val="0"/>
      <w:marRight w:val="0"/>
      <w:marTop w:val="0"/>
      <w:marBottom w:val="0"/>
      <w:divBdr>
        <w:top w:val="none" w:sz="0" w:space="0" w:color="auto"/>
        <w:left w:val="none" w:sz="0" w:space="0" w:color="auto"/>
        <w:bottom w:val="none" w:sz="0" w:space="0" w:color="auto"/>
        <w:right w:val="none" w:sz="0" w:space="0" w:color="auto"/>
      </w:divBdr>
    </w:div>
    <w:div w:id="1521310363">
      <w:bodyDiv w:val="1"/>
      <w:marLeft w:val="0"/>
      <w:marRight w:val="0"/>
      <w:marTop w:val="0"/>
      <w:marBottom w:val="0"/>
      <w:divBdr>
        <w:top w:val="none" w:sz="0" w:space="0" w:color="auto"/>
        <w:left w:val="none" w:sz="0" w:space="0" w:color="auto"/>
        <w:bottom w:val="none" w:sz="0" w:space="0" w:color="auto"/>
        <w:right w:val="none" w:sz="0" w:space="0" w:color="auto"/>
      </w:divBdr>
    </w:div>
    <w:div w:id="1523546489">
      <w:bodyDiv w:val="1"/>
      <w:marLeft w:val="0"/>
      <w:marRight w:val="0"/>
      <w:marTop w:val="0"/>
      <w:marBottom w:val="0"/>
      <w:divBdr>
        <w:top w:val="none" w:sz="0" w:space="0" w:color="auto"/>
        <w:left w:val="none" w:sz="0" w:space="0" w:color="auto"/>
        <w:bottom w:val="none" w:sz="0" w:space="0" w:color="auto"/>
        <w:right w:val="none" w:sz="0" w:space="0" w:color="auto"/>
      </w:divBdr>
    </w:div>
    <w:div w:id="1532452717">
      <w:bodyDiv w:val="1"/>
      <w:marLeft w:val="0"/>
      <w:marRight w:val="0"/>
      <w:marTop w:val="0"/>
      <w:marBottom w:val="0"/>
      <w:divBdr>
        <w:top w:val="none" w:sz="0" w:space="0" w:color="auto"/>
        <w:left w:val="none" w:sz="0" w:space="0" w:color="auto"/>
        <w:bottom w:val="none" w:sz="0" w:space="0" w:color="auto"/>
        <w:right w:val="none" w:sz="0" w:space="0" w:color="auto"/>
      </w:divBdr>
    </w:div>
    <w:div w:id="1534341720">
      <w:bodyDiv w:val="1"/>
      <w:marLeft w:val="0"/>
      <w:marRight w:val="0"/>
      <w:marTop w:val="0"/>
      <w:marBottom w:val="0"/>
      <w:divBdr>
        <w:top w:val="none" w:sz="0" w:space="0" w:color="auto"/>
        <w:left w:val="none" w:sz="0" w:space="0" w:color="auto"/>
        <w:bottom w:val="none" w:sz="0" w:space="0" w:color="auto"/>
        <w:right w:val="none" w:sz="0" w:space="0" w:color="auto"/>
      </w:divBdr>
    </w:div>
    <w:div w:id="1537041181">
      <w:bodyDiv w:val="1"/>
      <w:marLeft w:val="0"/>
      <w:marRight w:val="0"/>
      <w:marTop w:val="0"/>
      <w:marBottom w:val="0"/>
      <w:divBdr>
        <w:top w:val="none" w:sz="0" w:space="0" w:color="auto"/>
        <w:left w:val="none" w:sz="0" w:space="0" w:color="auto"/>
        <w:bottom w:val="none" w:sz="0" w:space="0" w:color="auto"/>
        <w:right w:val="none" w:sz="0" w:space="0" w:color="auto"/>
      </w:divBdr>
    </w:div>
    <w:div w:id="1544364266">
      <w:bodyDiv w:val="1"/>
      <w:marLeft w:val="0"/>
      <w:marRight w:val="0"/>
      <w:marTop w:val="0"/>
      <w:marBottom w:val="0"/>
      <w:divBdr>
        <w:top w:val="none" w:sz="0" w:space="0" w:color="auto"/>
        <w:left w:val="none" w:sz="0" w:space="0" w:color="auto"/>
        <w:bottom w:val="none" w:sz="0" w:space="0" w:color="auto"/>
        <w:right w:val="none" w:sz="0" w:space="0" w:color="auto"/>
      </w:divBdr>
    </w:div>
    <w:div w:id="1588809318">
      <w:bodyDiv w:val="1"/>
      <w:marLeft w:val="0"/>
      <w:marRight w:val="0"/>
      <w:marTop w:val="0"/>
      <w:marBottom w:val="0"/>
      <w:divBdr>
        <w:top w:val="none" w:sz="0" w:space="0" w:color="auto"/>
        <w:left w:val="none" w:sz="0" w:space="0" w:color="auto"/>
        <w:bottom w:val="none" w:sz="0" w:space="0" w:color="auto"/>
        <w:right w:val="none" w:sz="0" w:space="0" w:color="auto"/>
      </w:divBdr>
    </w:div>
    <w:div w:id="1604604325">
      <w:bodyDiv w:val="1"/>
      <w:marLeft w:val="0"/>
      <w:marRight w:val="0"/>
      <w:marTop w:val="0"/>
      <w:marBottom w:val="0"/>
      <w:divBdr>
        <w:top w:val="none" w:sz="0" w:space="0" w:color="auto"/>
        <w:left w:val="none" w:sz="0" w:space="0" w:color="auto"/>
        <w:bottom w:val="none" w:sz="0" w:space="0" w:color="auto"/>
        <w:right w:val="none" w:sz="0" w:space="0" w:color="auto"/>
      </w:divBdr>
    </w:div>
    <w:div w:id="1607811007">
      <w:bodyDiv w:val="1"/>
      <w:marLeft w:val="0"/>
      <w:marRight w:val="0"/>
      <w:marTop w:val="0"/>
      <w:marBottom w:val="0"/>
      <w:divBdr>
        <w:top w:val="none" w:sz="0" w:space="0" w:color="auto"/>
        <w:left w:val="none" w:sz="0" w:space="0" w:color="auto"/>
        <w:bottom w:val="none" w:sz="0" w:space="0" w:color="auto"/>
        <w:right w:val="none" w:sz="0" w:space="0" w:color="auto"/>
      </w:divBdr>
    </w:div>
    <w:div w:id="1616401885">
      <w:bodyDiv w:val="1"/>
      <w:marLeft w:val="0"/>
      <w:marRight w:val="0"/>
      <w:marTop w:val="0"/>
      <w:marBottom w:val="0"/>
      <w:divBdr>
        <w:top w:val="none" w:sz="0" w:space="0" w:color="auto"/>
        <w:left w:val="none" w:sz="0" w:space="0" w:color="auto"/>
        <w:bottom w:val="none" w:sz="0" w:space="0" w:color="auto"/>
        <w:right w:val="none" w:sz="0" w:space="0" w:color="auto"/>
      </w:divBdr>
    </w:div>
    <w:div w:id="1620330694">
      <w:bodyDiv w:val="1"/>
      <w:marLeft w:val="0"/>
      <w:marRight w:val="0"/>
      <w:marTop w:val="0"/>
      <w:marBottom w:val="0"/>
      <w:divBdr>
        <w:top w:val="none" w:sz="0" w:space="0" w:color="auto"/>
        <w:left w:val="none" w:sz="0" w:space="0" w:color="auto"/>
        <w:bottom w:val="none" w:sz="0" w:space="0" w:color="auto"/>
        <w:right w:val="none" w:sz="0" w:space="0" w:color="auto"/>
      </w:divBdr>
    </w:div>
    <w:div w:id="1631279815">
      <w:bodyDiv w:val="1"/>
      <w:marLeft w:val="0"/>
      <w:marRight w:val="0"/>
      <w:marTop w:val="0"/>
      <w:marBottom w:val="0"/>
      <w:divBdr>
        <w:top w:val="none" w:sz="0" w:space="0" w:color="auto"/>
        <w:left w:val="none" w:sz="0" w:space="0" w:color="auto"/>
        <w:bottom w:val="none" w:sz="0" w:space="0" w:color="auto"/>
        <w:right w:val="none" w:sz="0" w:space="0" w:color="auto"/>
      </w:divBdr>
    </w:div>
    <w:div w:id="1632052662">
      <w:bodyDiv w:val="1"/>
      <w:marLeft w:val="0"/>
      <w:marRight w:val="0"/>
      <w:marTop w:val="0"/>
      <w:marBottom w:val="0"/>
      <w:divBdr>
        <w:top w:val="none" w:sz="0" w:space="0" w:color="auto"/>
        <w:left w:val="none" w:sz="0" w:space="0" w:color="auto"/>
        <w:bottom w:val="none" w:sz="0" w:space="0" w:color="auto"/>
        <w:right w:val="none" w:sz="0" w:space="0" w:color="auto"/>
      </w:divBdr>
    </w:div>
    <w:div w:id="1634285035">
      <w:bodyDiv w:val="1"/>
      <w:marLeft w:val="0"/>
      <w:marRight w:val="0"/>
      <w:marTop w:val="0"/>
      <w:marBottom w:val="0"/>
      <w:divBdr>
        <w:top w:val="none" w:sz="0" w:space="0" w:color="auto"/>
        <w:left w:val="none" w:sz="0" w:space="0" w:color="auto"/>
        <w:bottom w:val="none" w:sz="0" w:space="0" w:color="auto"/>
        <w:right w:val="none" w:sz="0" w:space="0" w:color="auto"/>
      </w:divBdr>
    </w:div>
    <w:div w:id="1634629236">
      <w:bodyDiv w:val="1"/>
      <w:marLeft w:val="0"/>
      <w:marRight w:val="0"/>
      <w:marTop w:val="0"/>
      <w:marBottom w:val="0"/>
      <w:divBdr>
        <w:top w:val="none" w:sz="0" w:space="0" w:color="auto"/>
        <w:left w:val="none" w:sz="0" w:space="0" w:color="auto"/>
        <w:bottom w:val="none" w:sz="0" w:space="0" w:color="auto"/>
        <w:right w:val="none" w:sz="0" w:space="0" w:color="auto"/>
      </w:divBdr>
    </w:div>
    <w:div w:id="1644891548">
      <w:bodyDiv w:val="1"/>
      <w:marLeft w:val="0"/>
      <w:marRight w:val="0"/>
      <w:marTop w:val="0"/>
      <w:marBottom w:val="0"/>
      <w:divBdr>
        <w:top w:val="none" w:sz="0" w:space="0" w:color="auto"/>
        <w:left w:val="none" w:sz="0" w:space="0" w:color="auto"/>
        <w:bottom w:val="none" w:sz="0" w:space="0" w:color="auto"/>
        <w:right w:val="none" w:sz="0" w:space="0" w:color="auto"/>
      </w:divBdr>
    </w:div>
    <w:div w:id="1657028047">
      <w:bodyDiv w:val="1"/>
      <w:marLeft w:val="0"/>
      <w:marRight w:val="0"/>
      <w:marTop w:val="0"/>
      <w:marBottom w:val="0"/>
      <w:divBdr>
        <w:top w:val="none" w:sz="0" w:space="0" w:color="auto"/>
        <w:left w:val="none" w:sz="0" w:space="0" w:color="auto"/>
        <w:bottom w:val="none" w:sz="0" w:space="0" w:color="auto"/>
        <w:right w:val="none" w:sz="0" w:space="0" w:color="auto"/>
      </w:divBdr>
    </w:div>
    <w:div w:id="1672952664">
      <w:bodyDiv w:val="1"/>
      <w:marLeft w:val="0"/>
      <w:marRight w:val="0"/>
      <w:marTop w:val="0"/>
      <w:marBottom w:val="0"/>
      <w:divBdr>
        <w:top w:val="none" w:sz="0" w:space="0" w:color="auto"/>
        <w:left w:val="none" w:sz="0" w:space="0" w:color="auto"/>
        <w:bottom w:val="none" w:sz="0" w:space="0" w:color="auto"/>
        <w:right w:val="none" w:sz="0" w:space="0" w:color="auto"/>
      </w:divBdr>
    </w:div>
    <w:div w:id="1697193075">
      <w:bodyDiv w:val="1"/>
      <w:marLeft w:val="0"/>
      <w:marRight w:val="0"/>
      <w:marTop w:val="0"/>
      <w:marBottom w:val="0"/>
      <w:divBdr>
        <w:top w:val="none" w:sz="0" w:space="0" w:color="auto"/>
        <w:left w:val="none" w:sz="0" w:space="0" w:color="auto"/>
        <w:bottom w:val="none" w:sz="0" w:space="0" w:color="auto"/>
        <w:right w:val="none" w:sz="0" w:space="0" w:color="auto"/>
      </w:divBdr>
    </w:div>
    <w:div w:id="1698578797">
      <w:bodyDiv w:val="1"/>
      <w:marLeft w:val="0"/>
      <w:marRight w:val="0"/>
      <w:marTop w:val="0"/>
      <w:marBottom w:val="0"/>
      <w:divBdr>
        <w:top w:val="none" w:sz="0" w:space="0" w:color="auto"/>
        <w:left w:val="none" w:sz="0" w:space="0" w:color="auto"/>
        <w:bottom w:val="none" w:sz="0" w:space="0" w:color="auto"/>
        <w:right w:val="none" w:sz="0" w:space="0" w:color="auto"/>
      </w:divBdr>
    </w:div>
    <w:div w:id="1739208254">
      <w:bodyDiv w:val="1"/>
      <w:marLeft w:val="0"/>
      <w:marRight w:val="0"/>
      <w:marTop w:val="0"/>
      <w:marBottom w:val="0"/>
      <w:divBdr>
        <w:top w:val="none" w:sz="0" w:space="0" w:color="auto"/>
        <w:left w:val="none" w:sz="0" w:space="0" w:color="auto"/>
        <w:bottom w:val="none" w:sz="0" w:space="0" w:color="auto"/>
        <w:right w:val="none" w:sz="0" w:space="0" w:color="auto"/>
      </w:divBdr>
    </w:div>
    <w:div w:id="1742211195">
      <w:bodyDiv w:val="1"/>
      <w:marLeft w:val="0"/>
      <w:marRight w:val="0"/>
      <w:marTop w:val="0"/>
      <w:marBottom w:val="0"/>
      <w:divBdr>
        <w:top w:val="none" w:sz="0" w:space="0" w:color="auto"/>
        <w:left w:val="none" w:sz="0" w:space="0" w:color="auto"/>
        <w:bottom w:val="none" w:sz="0" w:space="0" w:color="auto"/>
        <w:right w:val="none" w:sz="0" w:space="0" w:color="auto"/>
      </w:divBdr>
    </w:div>
    <w:div w:id="1750615539">
      <w:bodyDiv w:val="1"/>
      <w:marLeft w:val="0"/>
      <w:marRight w:val="0"/>
      <w:marTop w:val="0"/>
      <w:marBottom w:val="0"/>
      <w:divBdr>
        <w:top w:val="none" w:sz="0" w:space="0" w:color="auto"/>
        <w:left w:val="none" w:sz="0" w:space="0" w:color="auto"/>
        <w:bottom w:val="none" w:sz="0" w:space="0" w:color="auto"/>
        <w:right w:val="none" w:sz="0" w:space="0" w:color="auto"/>
      </w:divBdr>
    </w:div>
    <w:div w:id="1750688524">
      <w:bodyDiv w:val="1"/>
      <w:marLeft w:val="0"/>
      <w:marRight w:val="0"/>
      <w:marTop w:val="0"/>
      <w:marBottom w:val="0"/>
      <w:divBdr>
        <w:top w:val="none" w:sz="0" w:space="0" w:color="auto"/>
        <w:left w:val="none" w:sz="0" w:space="0" w:color="auto"/>
        <w:bottom w:val="none" w:sz="0" w:space="0" w:color="auto"/>
        <w:right w:val="none" w:sz="0" w:space="0" w:color="auto"/>
      </w:divBdr>
    </w:div>
    <w:div w:id="1756855416">
      <w:bodyDiv w:val="1"/>
      <w:marLeft w:val="0"/>
      <w:marRight w:val="0"/>
      <w:marTop w:val="0"/>
      <w:marBottom w:val="0"/>
      <w:divBdr>
        <w:top w:val="none" w:sz="0" w:space="0" w:color="auto"/>
        <w:left w:val="none" w:sz="0" w:space="0" w:color="auto"/>
        <w:bottom w:val="none" w:sz="0" w:space="0" w:color="auto"/>
        <w:right w:val="none" w:sz="0" w:space="0" w:color="auto"/>
      </w:divBdr>
    </w:div>
    <w:div w:id="1768579036">
      <w:bodyDiv w:val="1"/>
      <w:marLeft w:val="0"/>
      <w:marRight w:val="0"/>
      <w:marTop w:val="0"/>
      <w:marBottom w:val="0"/>
      <w:divBdr>
        <w:top w:val="none" w:sz="0" w:space="0" w:color="auto"/>
        <w:left w:val="none" w:sz="0" w:space="0" w:color="auto"/>
        <w:bottom w:val="none" w:sz="0" w:space="0" w:color="auto"/>
        <w:right w:val="none" w:sz="0" w:space="0" w:color="auto"/>
      </w:divBdr>
    </w:div>
    <w:div w:id="1770734316">
      <w:bodyDiv w:val="1"/>
      <w:marLeft w:val="0"/>
      <w:marRight w:val="0"/>
      <w:marTop w:val="0"/>
      <w:marBottom w:val="0"/>
      <w:divBdr>
        <w:top w:val="none" w:sz="0" w:space="0" w:color="auto"/>
        <w:left w:val="none" w:sz="0" w:space="0" w:color="auto"/>
        <w:bottom w:val="none" w:sz="0" w:space="0" w:color="auto"/>
        <w:right w:val="none" w:sz="0" w:space="0" w:color="auto"/>
      </w:divBdr>
    </w:div>
    <w:div w:id="1777747761">
      <w:bodyDiv w:val="1"/>
      <w:marLeft w:val="0"/>
      <w:marRight w:val="0"/>
      <w:marTop w:val="0"/>
      <w:marBottom w:val="0"/>
      <w:divBdr>
        <w:top w:val="none" w:sz="0" w:space="0" w:color="auto"/>
        <w:left w:val="none" w:sz="0" w:space="0" w:color="auto"/>
        <w:bottom w:val="none" w:sz="0" w:space="0" w:color="auto"/>
        <w:right w:val="none" w:sz="0" w:space="0" w:color="auto"/>
      </w:divBdr>
    </w:div>
    <w:div w:id="1781680979">
      <w:bodyDiv w:val="1"/>
      <w:marLeft w:val="0"/>
      <w:marRight w:val="0"/>
      <w:marTop w:val="0"/>
      <w:marBottom w:val="0"/>
      <w:divBdr>
        <w:top w:val="none" w:sz="0" w:space="0" w:color="auto"/>
        <w:left w:val="none" w:sz="0" w:space="0" w:color="auto"/>
        <w:bottom w:val="none" w:sz="0" w:space="0" w:color="auto"/>
        <w:right w:val="none" w:sz="0" w:space="0" w:color="auto"/>
      </w:divBdr>
    </w:div>
    <w:div w:id="1784108806">
      <w:bodyDiv w:val="1"/>
      <w:marLeft w:val="0"/>
      <w:marRight w:val="0"/>
      <w:marTop w:val="0"/>
      <w:marBottom w:val="0"/>
      <w:divBdr>
        <w:top w:val="none" w:sz="0" w:space="0" w:color="auto"/>
        <w:left w:val="none" w:sz="0" w:space="0" w:color="auto"/>
        <w:bottom w:val="none" w:sz="0" w:space="0" w:color="auto"/>
        <w:right w:val="none" w:sz="0" w:space="0" w:color="auto"/>
      </w:divBdr>
    </w:div>
    <w:div w:id="1789735564">
      <w:bodyDiv w:val="1"/>
      <w:marLeft w:val="0"/>
      <w:marRight w:val="0"/>
      <w:marTop w:val="0"/>
      <w:marBottom w:val="0"/>
      <w:divBdr>
        <w:top w:val="none" w:sz="0" w:space="0" w:color="auto"/>
        <w:left w:val="none" w:sz="0" w:space="0" w:color="auto"/>
        <w:bottom w:val="none" w:sz="0" w:space="0" w:color="auto"/>
        <w:right w:val="none" w:sz="0" w:space="0" w:color="auto"/>
      </w:divBdr>
    </w:div>
    <w:div w:id="1818304723">
      <w:bodyDiv w:val="1"/>
      <w:marLeft w:val="0"/>
      <w:marRight w:val="0"/>
      <w:marTop w:val="0"/>
      <w:marBottom w:val="0"/>
      <w:divBdr>
        <w:top w:val="none" w:sz="0" w:space="0" w:color="auto"/>
        <w:left w:val="none" w:sz="0" w:space="0" w:color="auto"/>
        <w:bottom w:val="none" w:sz="0" w:space="0" w:color="auto"/>
        <w:right w:val="none" w:sz="0" w:space="0" w:color="auto"/>
      </w:divBdr>
    </w:div>
    <w:div w:id="1819607792">
      <w:bodyDiv w:val="1"/>
      <w:marLeft w:val="0"/>
      <w:marRight w:val="0"/>
      <w:marTop w:val="0"/>
      <w:marBottom w:val="0"/>
      <w:divBdr>
        <w:top w:val="none" w:sz="0" w:space="0" w:color="auto"/>
        <w:left w:val="none" w:sz="0" w:space="0" w:color="auto"/>
        <w:bottom w:val="none" w:sz="0" w:space="0" w:color="auto"/>
        <w:right w:val="none" w:sz="0" w:space="0" w:color="auto"/>
      </w:divBdr>
    </w:div>
    <w:div w:id="1822692197">
      <w:bodyDiv w:val="1"/>
      <w:marLeft w:val="0"/>
      <w:marRight w:val="0"/>
      <w:marTop w:val="0"/>
      <w:marBottom w:val="0"/>
      <w:divBdr>
        <w:top w:val="none" w:sz="0" w:space="0" w:color="auto"/>
        <w:left w:val="none" w:sz="0" w:space="0" w:color="auto"/>
        <w:bottom w:val="none" w:sz="0" w:space="0" w:color="auto"/>
        <w:right w:val="none" w:sz="0" w:space="0" w:color="auto"/>
      </w:divBdr>
    </w:div>
    <w:div w:id="1837306822">
      <w:bodyDiv w:val="1"/>
      <w:marLeft w:val="0"/>
      <w:marRight w:val="0"/>
      <w:marTop w:val="0"/>
      <w:marBottom w:val="0"/>
      <w:divBdr>
        <w:top w:val="none" w:sz="0" w:space="0" w:color="auto"/>
        <w:left w:val="none" w:sz="0" w:space="0" w:color="auto"/>
        <w:bottom w:val="none" w:sz="0" w:space="0" w:color="auto"/>
        <w:right w:val="none" w:sz="0" w:space="0" w:color="auto"/>
      </w:divBdr>
    </w:div>
    <w:div w:id="1846822345">
      <w:bodyDiv w:val="1"/>
      <w:marLeft w:val="0"/>
      <w:marRight w:val="0"/>
      <w:marTop w:val="0"/>
      <w:marBottom w:val="0"/>
      <w:divBdr>
        <w:top w:val="none" w:sz="0" w:space="0" w:color="auto"/>
        <w:left w:val="none" w:sz="0" w:space="0" w:color="auto"/>
        <w:bottom w:val="none" w:sz="0" w:space="0" w:color="auto"/>
        <w:right w:val="none" w:sz="0" w:space="0" w:color="auto"/>
      </w:divBdr>
    </w:div>
    <w:div w:id="1849443335">
      <w:bodyDiv w:val="1"/>
      <w:marLeft w:val="0"/>
      <w:marRight w:val="0"/>
      <w:marTop w:val="0"/>
      <w:marBottom w:val="0"/>
      <w:divBdr>
        <w:top w:val="none" w:sz="0" w:space="0" w:color="auto"/>
        <w:left w:val="none" w:sz="0" w:space="0" w:color="auto"/>
        <w:bottom w:val="none" w:sz="0" w:space="0" w:color="auto"/>
        <w:right w:val="none" w:sz="0" w:space="0" w:color="auto"/>
      </w:divBdr>
    </w:div>
    <w:div w:id="1858687989">
      <w:bodyDiv w:val="1"/>
      <w:marLeft w:val="0"/>
      <w:marRight w:val="0"/>
      <w:marTop w:val="0"/>
      <w:marBottom w:val="0"/>
      <w:divBdr>
        <w:top w:val="none" w:sz="0" w:space="0" w:color="auto"/>
        <w:left w:val="none" w:sz="0" w:space="0" w:color="auto"/>
        <w:bottom w:val="none" w:sz="0" w:space="0" w:color="auto"/>
        <w:right w:val="none" w:sz="0" w:space="0" w:color="auto"/>
      </w:divBdr>
    </w:div>
    <w:div w:id="1871918602">
      <w:bodyDiv w:val="1"/>
      <w:marLeft w:val="0"/>
      <w:marRight w:val="0"/>
      <w:marTop w:val="0"/>
      <w:marBottom w:val="0"/>
      <w:divBdr>
        <w:top w:val="none" w:sz="0" w:space="0" w:color="auto"/>
        <w:left w:val="none" w:sz="0" w:space="0" w:color="auto"/>
        <w:bottom w:val="none" w:sz="0" w:space="0" w:color="auto"/>
        <w:right w:val="none" w:sz="0" w:space="0" w:color="auto"/>
      </w:divBdr>
    </w:div>
    <w:div w:id="1889218030">
      <w:bodyDiv w:val="1"/>
      <w:marLeft w:val="0"/>
      <w:marRight w:val="0"/>
      <w:marTop w:val="0"/>
      <w:marBottom w:val="0"/>
      <w:divBdr>
        <w:top w:val="none" w:sz="0" w:space="0" w:color="auto"/>
        <w:left w:val="none" w:sz="0" w:space="0" w:color="auto"/>
        <w:bottom w:val="none" w:sz="0" w:space="0" w:color="auto"/>
        <w:right w:val="none" w:sz="0" w:space="0" w:color="auto"/>
      </w:divBdr>
    </w:div>
    <w:div w:id="1895654239">
      <w:bodyDiv w:val="1"/>
      <w:marLeft w:val="0"/>
      <w:marRight w:val="0"/>
      <w:marTop w:val="0"/>
      <w:marBottom w:val="0"/>
      <w:divBdr>
        <w:top w:val="none" w:sz="0" w:space="0" w:color="auto"/>
        <w:left w:val="none" w:sz="0" w:space="0" w:color="auto"/>
        <w:bottom w:val="none" w:sz="0" w:space="0" w:color="auto"/>
        <w:right w:val="none" w:sz="0" w:space="0" w:color="auto"/>
      </w:divBdr>
    </w:div>
    <w:div w:id="1902711759">
      <w:bodyDiv w:val="1"/>
      <w:marLeft w:val="0"/>
      <w:marRight w:val="0"/>
      <w:marTop w:val="0"/>
      <w:marBottom w:val="0"/>
      <w:divBdr>
        <w:top w:val="none" w:sz="0" w:space="0" w:color="auto"/>
        <w:left w:val="none" w:sz="0" w:space="0" w:color="auto"/>
        <w:bottom w:val="none" w:sz="0" w:space="0" w:color="auto"/>
        <w:right w:val="none" w:sz="0" w:space="0" w:color="auto"/>
      </w:divBdr>
    </w:div>
    <w:div w:id="1914729869">
      <w:bodyDiv w:val="1"/>
      <w:marLeft w:val="0"/>
      <w:marRight w:val="0"/>
      <w:marTop w:val="0"/>
      <w:marBottom w:val="0"/>
      <w:divBdr>
        <w:top w:val="none" w:sz="0" w:space="0" w:color="auto"/>
        <w:left w:val="none" w:sz="0" w:space="0" w:color="auto"/>
        <w:bottom w:val="none" w:sz="0" w:space="0" w:color="auto"/>
        <w:right w:val="none" w:sz="0" w:space="0" w:color="auto"/>
      </w:divBdr>
    </w:div>
    <w:div w:id="1919943698">
      <w:bodyDiv w:val="1"/>
      <w:marLeft w:val="0"/>
      <w:marRight w:val="0"/>
      <w:marTop w:val="0"/>
      <w:marBottom w:val="0"/>
      <w:divBdr>
        <w:top w:val="none" w:sz="0" w:space="0" w:color="auto"/>
        <w:left w:val="none" w:sz="0" w:space="0" w:color="auto"/>
        <w:bottom w:val="none" w:sz="0" w:space="0" w:color="auto"/>
        <w:right w:val="none" w:sz="0" w:space="0" w:color="auto"/>
      </w:divBdr>
    </w:div>
    <w:div w:id="1933928051">
      <w:bodyDiv w:val="1"/>
      <w:marLeft w:val="0"/>
      <w:marRight w:val="0"/>
      <w:marTop w:val="0"/>
      <w:marBottom w:val="0"/>
      <w:divBdr>
        <w:top w:val="none" w:sz="0" w:space="0" w:color="auto"/>
        <w:left w:val="none" w:sz="0" w:space="0" w:color="auto"/>
        <w:bottom w:val="none" w:sz="0" w:space="0" w:color="auto"/>
        <w:right w:val="none" w:sz="0" w:space="0" w:color="auto"/>
      </w:divBdr>
    </w:div>
    <w:div w:id="1950508361">
      <w:bodyDiv w:val="1"/>
      <w:marLeft w:val="0"/>
      <w:marRight w:val="0"/>
      <w:marTop w:val="0"/>
      <w:marBottom w:val="0"/>
      <w:divBdr>
        <w:top w:val="none" w:sz="0" w:space="0" w:color="auto"/>
        <w:left w:val="none" w:sz="0" w:space="0" w:color="auto"/>
        <w:bottom w:val="none" w:sz="0" w:space="0" w:color="auto"/>
        <w:right w:val="none" w:sz="0" w:space="0" w:color="auto"/>
      </w:divBdr>
    </w:div>
    <w:div w:id="1964774736">
      <w:bodyDiv w:val="1"/>
      <w:marLeft w:val="0"/>
      <w:marRight w:val="0"/>
      <w:marTop w:val="0"/>
      <w:marBottom w:val="0"/>
      <w:divBdr>
        <w:top w:val="none" w:sz="0" w:space="0" w:color="auto"/>
        <w:left w:val="none" w:sz="0" w:space="0" w:color="auto"/>
        <w:bottom w:val="none" w:sz="0" w:space="0" w:color="auto"/>
        <w:right w:val="none" w:sz="0" w:space="0" w:color="auto"/>
      </w:divBdr>
    </w:div>
    <w:div w:id="1972010956">
      <w:bodyDiv w:val="1"/>
      <w:marLeft w:val="0"/>
      <w:marRight w:val="0"/>
      <w:marTop w:val="0"/>
      <w:marBottom w:val="0"/>
      <w:divBdr>
        <w:top w:val="none" w:sz="0" w:space="0" w:color="auto"/>
        <w:left w:val="none" w:sz="0" w:space="0" w:color="auto"/>
        <w:bottom w:val="none" w:sz="0" w:space="0" w:color="auto"/>
        <w:right w:val="none" w:sz="0" w:space="0" w:color="auto"/>
      </w:divBdr>
    </w:div>
    <w:div w:id="1973946798">
      <w:bodyDiv w:val="1"/>
      <w:marLeft w:val="0"/>
      <w:marRight w:val="0"/>
      <w:marTop w:val="0"/>
      <w:marBottom w:val="0"/>
      <w:divBdr>
        <w:top w:val="none" w:sz="0" w:space="0" w:color="auto"/>
        <w:left w:val="none" w:sz="0" w:space="0" w:color="auto"/>
        <w:bottom w:val="none" w:sz="0" w:space="0" w:color="auto"/>
        <w:right w:val="none" w:sz="0" w:space="0" w:color="auto"/>
      </w:divBdr>
    </w:div>
    <w:div w:id="1983460950">
      <w:bodyDiv w:val="1"/>
      <w:marLeft w:val="0"/>
      <w:marRight w:val="0"/>
      <w:marTop w:val="0"/>
      <w:marBottom w:val="0"/>
      <w:divBdr>
        <w:top w:val="none" w:sz="0" w:space="0" w:color="auto"/>
        <w:left w:val="none" w:sz="0" w:space="0" w:color="auto"/>
        <w:bottom w:val="none" w:sz="0" w:space="0" w:color="auto"/>
        <w:right w:val="none" w:sz="0" w:space="0" w:color="auto"/>
      </w:divBdr>
    </w:div>
    <w:div w:id="1989432433">
      <w:bodyDiv w:val="1"/>
      <w:marLeft w:val="0"/>
      <w:marRight w:val="0"/>
      <w:marTop w:val="0"/>
      <w:marBottom w:val="0"/>
      <w:divBdr>
        <w:top w:val="none" w:sz="0" w:space="0" w:color="auto"/>
        <w:left w:val="none" w:sz="0" w:space="0" w:color="auto"/>
        <w:bottom w:val="none" w:sz="0" w:space="0" w:color="auto"/>
        <w:right w:val="none" w:sz="0" w:space="0" w:color="auto"/>
      </w:divBdr>
    </w:div>
    <w:div w:id="1990279466">
      <w:bodyDiv w:val="1"/>
      <w:marLeft w:val="0"/>
      <w:marRight w:val="0"/>
      <w:marTop w:val="0"/>
      <w:marBottom w:val="0"/>
      <w:divBdr>
        <w:top w:val="none" w:sz="0" w:space="0" w:color="auto"/>
        <w:left w:val="none" w:sz="0" w:space="0" w:color="auto"/>
        <w:bottom w:val="none" w:sz="0" w:space="0" w:color="auto"/>
        <w:right w:val="none" w:sz="0" w:space="0" w:color="auto"/>
      </w:divBdr>
    </w:div>
    <w:div w:id="1991016250">
      <w:bodyDiv w:val="1"/>
      <w:marLeft w:val="0"/>
      <w:marRight w:val="0"/>
      <w:marTop w:val="0"/>
      <w:marBottom w:val="0"/>
      <w:divBdr>
        <w:top w:val="none" w:sz="0" w:space="0" w:color="auto"/>
        <w:left w:val="none" w:sz="0" w:space="0" w:color="auto"/>
        <w:bottom w:val="none" w:sz="0" w:space="0" w:color="auto"/>
        <w:right w:val="none" w:sz="0" w:space="0" w:color="auto"/>
      </w:divBdr>
    </w:div>
    <w:div w:id="2002195795">
      <w:bodyDiv w:val="1"/>
      <w:marLeft w:val="0"/>
      <w:marRight w:val="0"/>
      <w:marTop w:val="0"/>
      <w:marBottom w:val="0"/>
      <w:divBdr>
        <w:top w:val="none" w:sz="0" w:space="0" w:color="auto"/>
        <w:left w:val="none" w:sz="0" w:space="0" w:color="auto"/>
        <w:bottom w:val="none" w:sz="0" w:space="0" w:color="auto"/>
        <w:right w:val="none" w:sz="0" w:space="0" w:color="auto"/>
      </w:divBdr>
    </w:div>
    <w:div w:id="2007786905">
      <w:bodyDiv w:val="1"/>
      <w:marLeft w:val="0"/>
      <w:marRight w:val="0"/>
      <w:marTop w:val="0"/>
      <w:marBottom w:val="0"/>
      <w:divBdr>
        <w:top w:val="none" w:sz="0" w:space="0" w:color="auto"/>
        <w:left w:val="none" w:sz="0" w:space="0" w:color="auto"/>
        <w:bottom w:val="none" w:sz="0" w:space="0" w:color="auto"/>
        <w:right w:val="none" w:sz="0" w:space="0" w:color="auto"/>
      </w:divBdr>
    </w:div>
    <w:div w:id="2017270997">
      <w:bodyDiv w:val="1"/>
      <w:marLeft w:val="0"/>
      <w:marRight w:val="0"/>
      <w:marTop w:val="0"/>
      <w:marBottom w:val="0"/>
      <w:divBdr>
        <w:top w:val="none" w:sz="0" w:space="0" w:color="auto"/>
        <w:left w:val="none" w:sz="0" w:space="0" w:color="auto"/>
        <w:bottom w:val="none" w:sz="0" w:space="0" w:color="auto"/>
        <w:right w:val="none" w:sz="0" w:space="0" w:color="auto"/>
      </w:divBdr>
    </w:div>
    <w:div w:id="2027293555">
      <w:bodyDiv w:val="1"/>
      <w:marLeft w:val="0"/>
      <w:marRight w:val="0"/>
      <w:marTop w:val="0"/>
      <w:marBottom w:val="0"/>
      <w:divBdr>
        <w:top w:val="none" w:sz="0" w:space="0" w:color="auto"/>
        <w:left w:val="none" w:sz="0" w:space="0" w:color="auto"/>
        <w:bottom w:val="none" w:sz="0" w:space="0" w:color="auto"/>
        <w:right w:val="none" w:sz="0" w:space="0" w:color="auto"/>
      </w:divBdr>
      <w:divsChild>
        <w:div w:id="2142651119">
          <w:marLeft w:val="0"/>
          <w:marRight w:val="0"/>
          <w:marTop w:val="0"/>
          <w:marBottom w:val="0"/>
          <w:divBdr>
            <w:top w:val="none" w:sz="0" w:space="0" w:color="auto"/>
            <w:left w:val="none" w:sz="0" w:space="0" w:color="auto"/>
            <w:bottom w:val="none" w:sz="0" w:space="0" w:color="auto"/>
            <w:right w:val="none" w:sz="0" w:space="0" w:color="auto"/>
          </w:divBdr>
          <w:divsChild>
            <w:div w:id="1926183026">
              <w:marLeft w:val="0"/>
              <w:marRight w:val="0"/>
              <w:marTop w:val="0"/>
              <w:marBottom w:val="0"/>
              <w:divBdr>
                <w:top w:val="none" w:sz="0" w:space="0" w:color="auto"/>
                <w:left w:val="none" w:sz="0" w:space="0" w:color="auto"/>
                <w:bottom w:val="none" w:sz="0" w:space="0" w:color="auto"/>
                <w:right w:val="none" w:sz="0" w:space="0" w:color="auto"/>
              </w:divBdr>
              <w:divsChild>
                <w:div w:id="76103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87800">
      <w:bodyDiv w:val="1"/>
      <w:marLeft w:val="0"/>
      <w:marRight w:val="0"/>
      <w:marTop w:val="0"/>
      <w:marBottom w:val="0"/>
      <w:divBdr>
        <w:top w:val="none" w:sz="0" w:space="0" w:color="auto"/>
        <w:left w:val="none" w:sz="0" w:space="0" w:color="auto"/>
        <w:bottom w:val="none" w:sz="0" w:space="0" w:color="auto"/>
        <w:right w:val="none" w:sz="0" w:space="0" w:color="auto"/>
      </w:divBdr>
    </w:div>
    <w:div w:id="2052220609">
      <w:bodyDiv w:val="1"/>
      <w:marLeft w:val="0"/>
      <w:marRight w:val="0"/>
      <w:marTop w:val="0"/>
      <w:marBottom w:val="0"/>
      <w:divBdr>
        <w:top w:val="none" w:sz="0" w:space="0" w:color="auto"/>
        <w:left w:val="none" w:sz="0" w:space="0" w:color="auto"/>
        <w:bottom w:val="none" w:sz="0" w:space="0" w:color="auto"/>
        <w:right w:val="none" w:sz="0" w:space="0" w:color="auto"/>
      </w:divBdr>
    </w:div>
    <w:div w:id="2059813540">
      <w:bodyDiv w:val="1"/>
      <w:marLeft w:val="0"/>
      <w:marRight w:val="0"/>
      <w:marTop w:val="0"/>
      <w:marBottom w:val="0"/>
      <w:divBdr>
        <w:top w:val="none" w:sz="0" w:space="0" w:color="auto"/>
        <w:left w:val="none" w:sz="0" w:space="0" w:color="auto"/>
        <w:bottom w:val="none" w:sz="0" w:space="0" w:color="auto"/>
        <w:right w:val="none" w:sz="0" w:space="0" w:color="auto"/>
      </w:divBdr>
    </w:div>
    <w:div w:id="2063360881">
      <w:bodyDiv w:val="1"/>
      <w:marLeft w:val="0"/>
      <w:marRight w:val="0"/>
      <w:marTop w:val="0"/>
      <w:marBottom w:val="0"/>
      <w:divBdr>
        <w:top w:val="none" w:sz="0" w:space="0" w:color="auto"/>
        <w:left w:val="none" w:sz="0" w:space="0" w:color="auto"/>
        <w:bottom w:val="none" w:sz="0" w:space="0" w:color="auto"/>
        <w:right w:val="none" w:sz="0" w:space="0" w:color="auto"/>
      </w:divBdr>
    </w:div>
    <w:div w:id="2070956860">
      <w:bodyDiv w:val="1"/>
      <w:marLeft w:val="0"/>
      <w:marRight w:val="0"/>
      <w:marTop w:val="0"/>
      <w:marBottom w:val="0"/>
      <w:divBdr>
        <w:top w:val="none" w:sz="0" w:space="0" w:color="auto"/>
        <w:left w:val="none" w:sz="0" w:space="0" w:color="auto"/>
        <w:bottom w:val="none" w:sz="0" w:space="0" w:color="auto"/>
        <w:right w:val="none" w:sz="0" w:space="0" w:color="auto"/>
      </w:divBdr>
    </w:div>
    <w:div w:id="2072534842">
      <w:bodyDiv w:val="1"/>
      <w:marLeft w:val="0"/>
      <w:marRight w:val="0"/>
      <w:marTop w:val="0"/>
      <w:marBottom w:val="0"/>
      <w:divBdr>
        <w:top w:val="none" w:sz="0" w:space="0" w:color="auto"/>
        <w:left w:val="none" w:sz="0" w:space="0" w:color="auto"/>
        <w:bottom w:val="none" w:sz="0" w:space="0" w:color="auto"/>
        <w:right w:val="none" w:sz="0" w:space="0" w:color="auto"/>
      </w:divBdr>
    </w:div>
    <w:div w:id="2084715343">
      <w:bodyDiv w:val="1"/>
      <w:marLeft w:val="0"/>
      <w:marRight w:val="0"/>
      <w:marTop w:val="0"/>
      <w:marBottom w:val="0"/>
      <w:divBdr>
        <w:top w:val="none" w:sz="0" w:space="0" w:color="auto"/>
        <w:left w:val="none" w:sz="0" w:space="0" w:color="auto"/>
        <w:bottom w:val="none" w:sz="0" w:space="0" w:color="auto"/>
        <w:right w:val="none" w:sz="0" w:space="0" w:color="auto"/>
      </w:divBdr>
    </w:div>
    <w:div w:id="2085370105">
      <w:bodyDiv w:val="1"/>
      <w:marLeft w:val="0"/>
      <w:marRight w:val="0"/>
      <w:marTop w:val="0"/>
      <w:marBottom w:val="0"/>
      <w:divBdr>
        <w:top w:val="none" w:sz="0" w:space="0" w:color="auto"/>
        <w:left w:val="none" w:sz="0" w:space="0" w:color="auto"/>
        <w:bottom w:val="none" w:sz="0" w:space="0" w:color="auto"/>
        <w:right w:val="none" w:sz="0" w:space="0" w:color="auto"/>
      </w:divBdr>
    </w:div>
    <w:div w:id="2096437981">
      <w:bodyDiv w:val="1"/>
      <w:marLeft w:val="0"/>
      <w:marRight w:val="0"/>
      <w:marTop w:val="0"/>
      <w:marBottom w:val="0"/>
      <w:divBdr>
        <w:top w:val="none" w:sz="0" w:space="0" w:color="auto"/>
        <w:left w:val="none" w:sz="0" w:space="0" w:color="auto"/>
        <w:bottom w:val="none" w:sz="0" w:space="0" w:color="auto"/>
        <w:right w:val="none" w:sz="0" w:space="0" w:color="auto"/>
      </w:divBdr>
    </w:div>
    <w:div w:id="2097938494">
      <w:bodyDiv w:val="1"/>
      <w:marLeft w:val="0"/>
      <w:marRight w:val="0"/>
      <w:marTop w:val="0"/>
      <w:marBottom w:val="0"/>
      <w:divBdr>
        <w:top w:val="none" w:sz="0" w:space="0" w:color="auto"/>
        <w:left w:val="none" w:sz="0" w:space="0" w:color="auto"/>
        <w:bottom w:val="none" w:sz="0" w:space="0" w:color="auto"/>
        <w:right w:val="none" w:sz="0" w:space="0" w:color="auto"/>
      </w:divBdr>
    </w:div>
    <w:div w:id="2102069973">
      <w:bodyDiv w:val="1"/>
      <w:marLeft w:val="0"/>
      <w:marRight w:val="0"/>
      <w:marTop w:val="0"/>
      <w:marBottom w:val="0"/>
      <w:divBdr>
        <w:top w:val="none" w:sz="0" w:space="0" w:color="auto"/>
        <w:left w:val="none" w:sz="0" w:space="0" w:color="auto"/>
        <w:bottom w:val="none" w:sz="0" w:space="0" w:color="auto"/>
        <w:right w:val="none" w:sz="0" w:space="0" w:color="auto"/>
      </w:divBdr>
    </w:div>
    <w:div w:id="2141265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archaryn\Documents\WBS_MBA_Research_Report_Nirissa_Archary_Final.docx" TargetMode="Externa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4.emf"/><Relationship Id="rId7" Type="http://schemas.openxmlformats.org/officeDocument/2006/relationships/endnotes" Target="endnotes.xml"/><Relationship Id="rId12" Type="http://schemas.openxmlformats.org/officeDocument/2006/relationships/image" Target="media/image1.jpg"/><Relationship Id="rId17"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chart" Target="charts/chart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jpg"/><Relationship Id="rId22"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00300034\Documents\@Terri's%20Docs\Dropbox\@Wits%20Business%20School\Course%20RM\Research%20Report%20Resources%20Pack\Research%20REPORT%20Template%20Jan%202013.dot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archaryn\Documents\MBA\Research\Data_v5.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rcharyn\Documents\MBA\Research\Data_v5.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rcharyn\Documents\MBA\Research\Final%20Analysis\Data_v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rcharyn\Documents\MBA\Research\Final%20Analysis\Data_v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rcharyn\Documents\MBA\Research\Data_v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ZA"/>
              <a:t>Growth</a:t>
            </a:r>
            <a:r>
              <a:rPr lang="en-ZA" baseline="0"/>
              <a:t> in the n</a:t>
            </a:r>
            <a:r>
              <a:rPr lang="en-ZA"/>
              <a:t>umber of fund managers in</a:t>
            </a:r>
            <a:r>
              <a:rPr lang="en-ZA" baseline="0"/>
              <a:t> the South Africa by gender</a:t>
            </a:r>
            <a:endParaRPr lang="en-ZA"/>
          </a:p>
        </c:rich>
      </c:tx>
      <c:overlay val="0"/>
    </c:title>
    <c:autoTitleDeleted val="0"/>
    <c:plotArea>
      <c:layout/>
      <c:lineChart>
        <c:grouping val="standard"/>
        <c:varyColors val="0"/>
        <c:ser>
          <c:idx val="0"/>
          <c:order val="0"/>
          <c:tx>
            <c:strRef>
              <c:f>'Summary of results'!$N$395</c:f>
              <c:strCache>
                <c:ptCount val="1"/>
                <c:pt idx="0">
                  <c:v>Number of female fund managers</c:v>
                </c:pt>
              </c:strCache>
            </c:strRef>
          </c:tx>
          <c:marker>
            <c:symbol val="none"/>
          </c:marker>
          <c:cat>
            <c:numRef>
              <c:f>'Summary of results'!$M$396:$M$404</c:f>
              <c:numCache>
                <c:formatCode>mmm\-yy</c:formatCode>
                <c:ptCount val="9"/>
                <c:pt idx="0">
                  <c:v>39234</c:v>
                </c:pt>
                <c:pt idx="1">
                  <c:v>39600</c:v>
                </c:pt>
                <c:pt idx="2">
                  <c:v>39965</c:v>
                </c:pt>
                <c:pt idx="3">
                  <c:v>40330</c:v>
                </c:pt>
                <c:pt idx="4">
                  <c:v>40695</c:v>
                </c:pt>
                <c:pt idx="5">
                  <c:v>41061</c:v>
                </c:pt>
                <c:pt idx="6">
                  <c:v>41426</c:v>
                </c:pt>
                <c:pt idx="7">
                  <c:v>41791</c:v>
                </c:pt>
                <c:pt idx="8">
                  <c:v>42156</c:v>
                </c:pt>
              </c:numCache>
            </c:numRef>
          </c:cat>
          <c:val>
            <c:numRef>
              <c:f>'Summary of results'!$N$396:$N$404</c:f>
              <c:numCache>
                <c:formatCode>General</c:formatCode>
                <c:ptCount val="9"/>
                <c:pt idx="0">
                  <c:v>15</c:v>
                </c:pt>
                <c:pt idx="1">
                  <c:v>15</c:v>
                </c:pt>
                <c:pt idx="2">
                  <c:v>17</c:v>
                </c:pt>
                <c:pt idx="3">
                  <c:v>19</c:v>
                </c:pt>
                <c:pt idx="4">
                  <c:v>19</c:v>
                </c:pt>
                <c:pt idx="5">
                  <c:v>21</c:v>
                </c:pt>
                <c:pt idx="6">
                  <c:v>23</c:v>
                </c:pt>
                <c:pt idx="7">
                  <c:v>24</c:v>
                </c:pt>
                <c:pt idx="8">
                  <c:v>25</c:v>
                </c:pt>
              </c:numCache>
            </c:numRef>
          </c:val>
          <c:smooth val="0"/>
          <c:extLst>
            <c:ext xmlns:c16="http://schemas.microsoft.com/office/drawing/2014/chart" uri="{C3380CC4-5D6E-409C-BE32-E72D297353CC}">
              <c16:uniqueId val="{00000000-FD0F-4A52-BBD0-A364B2D1141F}"/>
            </c:ext>
          </c:extLst>
        </c:ser>
        <c:ser>
          <c:idx val="1"/>
          <c:order val="1"/>
          <c:tx>
            <c:strRef>
              <c:f>'Summary of results'!$O$395</c:f>
              <c:strCache>
                <c:ptCount val="1"/>
                <c:pt idx="0">
                  <c:v>Number of male fund managers</c:v>
                </c:pt>
              </c:strCache>
            </c:strRef>
          </c:tx>
          <c:marker>
            <c:symbol val="none"/>
          </c:marker>
          <c:cat>
            <c:numRef>
              <c:f>'Summary of results'!$M$396:$M$404</c:f>
              <c:numCache>
                <c:formatCode>mmm\-yy</c:formatCode>
                <c:ptCount val="9"/>
                <c:pt idx="0">
                  <c:v>39234</c:v>
                </c:pt>
                <c:pt idx="1">
                  <c:v>39600</c:v>
                </c:pt>
                <c:pt idx="2">
                  <c:v>39965</c:v>
                </c:pt>
                <c:pt idx="3">
                  <c:v>40330</c:v>
                </c:pt>
                <c:pt idx="4">
                  <c:v>40695</c:v>
                </c:pt>
                <c:pt idx="5">
                  <c:v>41061</c:v>
                </c:pt>
                <c:pt idx="6">
                  <c:v>41426</c:v>
                </c:pt>
                <c:pt idx="7">
                  <c:v>41791</c:v>
                </c:pt>
                <c:pt idx="8">
                  <c:v>42156</c:v>
                </c:pt>
              </c:numCache>
            </c:numRef>
          </c:cat>
          <c:val>
            <c:numRef>
              <c:f>'Summary of results'!$O$396:$O$404</c:f>
              <c:numCache>
                <c:formatCode>_ * #\,##0_ ;_ * \-#\,##0_ ;_ * "-"??_ ;_ @_ </c:formatCode>
                <c:ptCount val="9"/>
                <c:pt idx="0">
                  <c:v>126</c:v>
                </c:pt>
                <c:pt idx="1">
                  <c:v>140</c:v>
                </c:pt>
                <c:pt idx="2">
                  <c:v>163</c:v>
                </c:pt>
                <c:pt idx="3">
                  <c:v>174</c:v>
                </c:pt>
                <c:pt idx="4">
                  <c:v>179</c:v>
                </c:pt>
                <c:pt idx="5">
                  <c:v>186</c:v>
                </c:pt>
                <c:pt idx="6">
                  <c:v>201</c:v>
                </c:pt>
                <c:pt idx="7">
                  <c:v>226</c:v>
                </c:pt>
                <c:pt idx="8">
                  <c:v>243</c:v>
                </c:pt>
              </c:numCache>
            </c:numRef>
          </c:val>
          <c:smooth val="0"/>
          <c:extLst>
            <c:ext xmlns:c16="http://schemas.microsoft.com/office/drawing/2014/chart" uri="{C3380CC4-5D6E-409C-BE32-E72D297353CC}">
              <c16:uniqueId val="{00000001-FD0F-4A52-BBD0-A364B2D1141F}"/>
            </c:ext>
          </c:extLst>
        </c:ser>
        <c:dLbls>
          <c:showLegendKey val="0"/>
          <c:showVal val="0"/>
          <c:showCatName val="0"/>
          <c:showSerName val="0"/>
          <c:showPercent val="0"/>
          <c:showBubbleSize val="0"/>
        </c:dLbls>
        <c:smooth val="0"/>
        <c:axId val="469376000"/>
        <c:axId val="469456384"/>
      </c:lineChart>
      <c:dateAx>
        <c:axId val="469376000"/>
        <c:scaling>
          <c:orientation val="minMax"/>
        </c:scaling>
        <c:delete val="0"/>
        <c:axPos val="b"/>
        <c:title>
          <c:tx>
            <c:rich>
              <a:bodyPr/>
              <a:lstStyle/>
              <a:p>
                <a:pPr>
                  <a:defRPr/>
                </a:pPr>
                <a:r>
                  <a:rPr lang="en-ZA"/>
                  <a:t>Year ended</a:t>
                </a:r>
              </a:p>
            </c:rich>
          </c:tx>
          <c:overlay val="0"/>
        </c:title>
        <c:numFmt formatCode="mmm\-yy" sourceLinked="1"/>
        <c:majorTickMark val="out"/>
        <c:minorTickMark val="none"/>
        <c:tickLblPos val="nextTo"/>
        <c:crossAx val="469456384"/>
        <c:crosses val="autoZero"/>
        <c:auto val="1"/>
        <c:lblOffset val="100"/>
        <c:baseTimeUnit val="years"/>
      </c:dateAx>
      <c:valAx>
        <c:axId val="469456384"/>
        <c:scaling>
          <c:orientation val="minMax"/>
        </c:scaling>
        <c:delete val="0"/>
        <c:axPos val="l"/>
        <c:majorGridlines/>
        <c:title>
          <c:tx>
            <c:rich>
              <a:bodyPr rot="-5400000" vert="horz"/>
              <a:lstStyle/>
              <a:p>
                <a:pPr>
                  <a:defRPr/>
                </a:pPr>
                <a:r>
                  <a:rPr lang="en-ZA"/>
                  <a:t>Number of funds</a:t>
                </a:r>
              </a:p>
            </c:rich>
          </c:tx>
          <c:overlay val="0"/>
        </c:title>
        <c:numFmt formatCode="General" sourceLinked="1"/>
        <c:majorTickMark val="out"/>
        <c:minorTickMark val="none"/>
        <c:tickLblPos val="nextTo"/>
        <c:crossAx val="469376000"/>
        <c:crosses val="autoZero"/>
        <c:crossBetween val="between"/>
      </c:valAx>
    </c:plotArea>
    <c:legend>
      <c:legendPos val="t"/>
      <c:overlay val="0"/>
    </c:legend>
    <c:plotVisOnly val="1"/>
    <c:dispBlanksAs val="gap"/>
    <c:showDLblsOverMax val="0"/>
  </c:chart>
  <c:spPr>
    <a:ln w="76200">
      <a:solidFill>
        <a:schemeClr val="accent1"/>
      </a:solid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ZA"/>
              <a:t>Growth in Funds for the period Jan</a:t>
            </a:r>
            <a:r>
              <a:rPr lang="en-ZA" baseline="0"/>
              <a:t> 2007 to Jan 2015</a:t>
            </a:r>
            <a:endParaRPr lang="en-ZA"/>
          </a:p>
        </c:rich>
      </c:tx>
      <c:overlay val="0"/>
    </c:title>
    <c:autoTitleDeleted val="0"/>
    <c:plotArea>
      <c:layout/>
      <c:lineChart>
        <c:grouping val="standard"/>
        <c:varyColors val="0"/>
        <c:ser>
          <c:idx val="0"/>
          <c:order val="0"/>
          <c:tx>
            <c:strRef>
              <c:f>'Summary of results'!$C$346</c:f>
              <c:strCache>
                <c:ptCount val="1"/>
                <c:pt idx="0">
                  <c:v>Female</c:v>
                </c:pt>
              </c:strCache>
            </c:strRef>
          </c:tx>
          <c:marker>
            <c:symbol val="none"/>
          </c:marker>
          <c:cat>
            <c:numRef>
              <c:f>'Summary of results'!$B$347:$B$355</c:f>
              <c:numCache>
                <c:formatCode>mmm\-yy</c:formatCode>
                <c:ptCount val="9"/>
                <c:pt idx="0">
                  <c:v>39234</c:v>
                </c:pt>
                <c:pt idx="1">
                  <c:v>39600</c:v>
                </c:pt>
                <c:pt idx="2">
                  <c:v>39965</c:v>
                </c:pt>
                <c:pt idx="3">
                  <c:v>40330</c:v>
                </c:pt>
                <c:pt idx="4">
                  <c:v>40695</c:v>
                </c:pt>
                <c:pt idx="5">
                  <c:v>41061</c:v>
                </c:pt>
                <c:pt idx="6">
                  <c:v>41426</c:v>
                </c:pt>
                <c:pt idx="7">
                  <c:v>41791</c:v>
                </c:pt>
                <c:pt idx="8">
                  <c:v>42156</c:v>
                </c:pt>
              </c:numCache>
            </c:numRef>
          </c:cat>
          <c:val>
            <c:numRef>
              <c:f>'Summary of results'!$C$347:$C$355</c:f>
              <c:numCache>
                <c:formatCode>General</c:formatCode>
                <c:ptCount val="9"/>
                <c:pt idx="0">
                  <c:v>20</c:v>
                </c:pt>
                <c:pt idx="1">
                  <c:v>24</c:v>
                </c:pt>
                <c:pt idx="2">
                  <c:v>27</c:v>
                </c:pt>
                <c:pt idx="3">
                  <c:v>33</c:v>
                </c:pt>
                <c:pt idx="4">
                  <c:v>33</c:v>
                </c:pt>
                <c:pt idx="5">
                  <c:v>40</c:v>
                </c:pt>
                <c:pt idx="6">
                  <c:v>48</c:v>
                </c:pt>
                <c:pt idx="7">
                  <c:v>52</c:v>
                </c:pt>
                <c:pt idx="8">
                  <c:v>55</c:v>
                </c:pt>
              </c:numCache>
            </c:numRef>
          </c:val>
          <c:smooth val="0"/>
          <c:extLst>
            <c:ext xmlns:c16="http://schemas.microsoft.com/office/drawing/2014/chart" uri="{C3380CC4-5D6E-409C-BE32-E72D297353CC}">
              <c16:uniqueId val="{00000000-E47E-4066-AD2C-42E872DB80CD}"/>
            </c:ext>
          </c:extLst>
        </c:ser>
        <c:ser>
          <c:idx val="1"/>
          <c:order val="1"/>
          <c:tx>
            <c:strRef>
              <c:f>'Summary of results'!$D$346</c:f>
              <c:strCache>
                <c:ptCount val="1"/>
                <c:pt idx="0">
                  <c:v>Male</c:v>
                </c:pt>
              </c:strCache>
            </c:strRef>
          </c:tx>
          <c:marker>
            <c:symbol val="none"/>
          </c:marker>
          <c:cat>
            <c:numRef>
              <c:f>'Summary of results'!$B$347:$B$355</c:f>
              <c:numCache>
                <c:formatCode>mmm\-yy</c:formatCode>
                <c:ptCount val="9"/>
                <c:pt idx="0">
                  <c:v>39234</c:v>
                </c:pt>
                <c:pt idx="1">
                  <c:v>39600</c:v>
                </c:pt>
                <c:pt idx="2">
                  <c:v>39965</c:v>
                </c:pt>
                <c:pt idx="3">
                  <c:v>40330</c:v>
                </c:pt>
                <c:pt idx="4">
                  <c:v>40695</c:v>
                </c:pt>
                <c:pt idx="5">
                  <c:v>41061</c:v>
                </c:pt>
                <c:pt idx="6">
                  <c:v>41426</c:v>
                </c:pt>
                <c:pt idx="7">
                  <c:v>41791</c:v>
                </c:pt>
                <c:pt idx="8">
                  <c:v>42156</c:v>
                </c:pt>
              </c:numCache>
            </c:numRef>
          </c:cat>
          <c:val>
            <c:numRef>
              <c:f>'Summary of results'!$D$347:$D$355</c:f>
              <c:numCache>
                <c:formatCode>_ * #\,##0_ ;_ * \-#\,##0_ ;_ * "-"??_ ;_ @_ </c:formatCode>
                <c:ptCount val="9"/>
                <c:pt idx="0">
                  <c:v>206</c:v>
                </c:pt>
                <c:pt idx="1">
                  <c:v>252</c:v>
                </c:pt>
                <c:pt idx="2">
                  <c:v>300</c:v>
                </c:pt>
                <c:pt idx="3">
                  <c:v>332</c:v>
                </c:pt>
                <c:pt idx="4">
                  <c:v>347</c:v>
                </c:pt>
                <c:pt idx="5">
                  <c:v>375</c:v>
                </c:pt>
                <c:pt idx="6">
                  <c:v>416</c:v>
                </c:pt>
                <c:pt idx="7">
                  <c:v>484</c:v>
                </c:pt>
                <c:pt idx="8">
                  <c:v>536</c:v>
                </c:pt>
              </c:numCache>
            </c:numRef>
          </c:val>
          <c:smooth val="0"/>
          <c:extLst>
            <c:ext xmlns:c16="http://schemas.microsoft.com/office/drawing/2014/chart" uri="{C3380CC4-5D6E-409C-BE32-E72D297353CC}">
              <c16:uniqueId val="{00000001-E47E-4066-AD2C-42E872DB80CD}"/>
            </c:ext>
          </c:extLst>
        </c:ser>
        <c:dLbls>
          <c:showLegendKey val="0"/>
          <c:showVal val="0"/>
          <c:showCatName val="0"/>
          <c:showSerName val="0"/>
          <c:showPercent val="0"/>
          <c:showBubbleSize val="0"/>
        </c:dLbls>
        <c:smooth val="0"/>
        <c:axId val="473099264"/>
        <c:axId val="473322624"/>
      </c:lineChart>
      <c:dateAx>
        <c:axId val="473099264"/>
        <c:scaling>
          <c:orientation val="minMax"/>
        </c:scaling>
        <c:delete val="0"/>
        <c:axPos val="b"/>
        <c:title>
          <c:tx>
            <c:rich>
              <a:bodyPr/>
              <a:lstStyle/>
              <a:p>
                <a:pPr>
                  <a:defRPr/>
                </a:pPr>
                <a:r>
                  <a:rPr lang="en-ZA"/>
                  <a:t>Period</a:t>
                </a:r>
                <a:r>
                  <a:rPr lang="en-ZA" baseline="0"/>
                  <a:t> ended</a:t>
                </a:r>
                <a:endParaRPr lang="en-ZA"/>
              </a:p>
            </c:rich>
          </c:tx>
          <c:overlay val="0"/>
        </c:title>
        <c:numFmt formatCode="mmm\ yy" sourceLinked="0"/>
        <c:majorTickMark val="out"/>
        <c:minorTickMark val="none"/>
        <c:tickLblPos val="nextTo"/>
        <c:crossAx val="473322624"/>
        <c:crosses val="autoZero"/>
        <c:auto val="0"/>
        <c:lblOffset val="100"/>
        <c:baseTimeUnit val="years"/>
      </c:dateAx>
      <c:valAx>
        <c:axId val="473322624"/>
        <c:scaling>
          <c:orientation val="minMax"/>
        </c:scaling>
        <c:delete val="0"/>
        <c:axPos val="l"/>
        <c:majorGridlines/>
        <c:title>
          <c:tx>
            <c:rich>
              <a:bodyPr rot="-5400000" vert="horz"/>
              <a:lstStyle/>
              <a:p>
                <a:pPr>
                  <a:defRPr/>
                </a:pPr>
                <a:r>
                  <a:rPr lang="en-ZA"/>
                  <a:t>Number</a:t>
                </a:r>
                <a:r>
                  <a:rPr lang="en-ZA" baseline="0"/>
                  <a:t> of Funds</a:t>
                </a:r>
                <a:endParaRPr lang="en-ZA"/>
              </a:p>
            </c:rich>
          </c:tx>
          <c:overlay val="0"/>
        </c:title>
        <c:numFmt formatCode="General" sourceLinked="1"/>
        <c:majorTickMark val="out"/>
        <c:minorTickMark val="none"/>
        <c:tickLblPos val="nextTo"/>
        <c:crossAx val="473099264"/>
        <c:crosses val="autoZero"/>
        <c:crossBetween val="midCat"/>
      </c:valAx>
    </c:plotArea>
    <c:legend>
      <c:legendPos val="t"/>
      <c:overlay val="0"/>
    </c:legend>
    <c:plotVisOnly val="1"/>
    <c:dispBlanksAs val="gap"/>
    <c:showDLblsOverMax val="0"/>
  </c:chart>
  <c:spPr>
    <a:ln w="76200">
      <a:solidFill>
        <a:schemeClr val="accent1"/>
      </a:solid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9"/>
    </mc:Choice>
    <mc:Fallback>
      <c:style val="19"/>
    </mc:Fallback>
  </mc:AlternateContent>
  <c:chart>
    <c:title>
      <c:tx>
        <c:rich>
          <a:bodyPr/>
          <a:lstStyle/>
          <a:p>
            <a:pPr>
              <a:defRPr/>
            </a:pPr>
            <a:r>
              <a:rPr lang="en-ZA"/>
              <a:t>Profile of beta of all funds in South Africa  </a:t>
            </a:r>
          </a:p>
          <a:p>
            <a:pPr>
              <a:defRPr/>
            </a:pPr>
            <a:r>
              <a:rPr lang="en-ZA"/>
              <a:t>by gender</a:t>
            </a:r>
          </a:p>
        </c:rich>
      </c:tx>
      <c:overlay val="0"/>
    </c:title>
    <c:autoTitleDeleted val="0"/>
    <c:plotArea>
      <c:layout/>
      <c:lineChart>
        <c:grouping val="standard"/>
        <c:varyColors val="0"/>
        <c:ser>
          <c:idx val="1"/>
          <c:order val="0"/>
          <c:tx>
            <c:strRef>
              <c:f>'Beta Analysis'!$O$3</c:f>
              <c:strCache>
                <c:ptCount val="1"/>
                <c:pt idx="0">
                  <c:v>Females</c:v>
                </c:pt>
              </c:strCache>
            </c:strRef>
          </c:tx>
          <c:marker>
            <c:symbol val="none"/>
          </c:marker>
          <c:cat>
            <c:numRef>
              <c:f>'Beta Analysis'!$N$4:$N$34</c:f>
              <c:numCache>
                <c:formatCode>General</c:formatCode>
                <c:ptCount val="31"/>
                <c:pt idx="0">
                  <c:v>-1</c:v>
                </c:pt>
                <c:pt idx="1">
                  <c:v>-0.9</c:v>
                </c:pt>
                <c:pt idx="2">
                  <c:v>-0.8</c:v>
                </c:pt>
                <c:pt idx="3">
                  <c:v>-0.70000000000000007</c:v>
                </c:pt>
                <c:pt idx="4">
                  <c:v>-0.60000000000000009</c:v>
                </c:pt>
                <c:pt idx="5">
                  <c:v>-0.50000000000000011</c:v>
                </c:pt>
                <c:pt idx="6">
                  <c:v>-0.40000000000000013</c:v>
                </c:pt>
                <c:pt idx="7">
                  <c:v>-0.30000000000000016</c:v>
                </c:pt>
                <c:pt idx="8">
                  <c:v>-0.20000000000000015</c:v>
                </c:pt>
                <c:pt idx="9">
                  <c:v>-0.10000000000000014</c:v>
                </c:pt>
                <c:pt idx="10" formatCode="_(* #,##0.00_);_(* \(#,##0.00\);_(* &quot;-&quot;??_);_(@_)">
                  <c:v>-1.3877787807814457E-16</c:v>
                </c:pt>
                <c:pt idx="11">
                  <c:v>9.9999999999999867E-2</c:v>
                </c:pt>
                <c:pt idx="12">
                  <c:v>0.19999999999999987</c:v>
                </c:pt>
                <c:pt idx="13">
                  <c:v>0.29999999999999988</c:v>
                </c:pt>
                <c:pt idx="14">
                  <c:v>0.39999999999999991</c:v>
                </c:pt>
                <c:pt idx="15">
                  <c:v>0.49999999999999989</c:v>
                </c:pt>
                <c:pt idx="16">
                  <c:v>0.59999999999999987</c:v>
                </c:pt>
                <c:pt idx="17">
                  <c:v>0.69999999999999984</c:v>
                </c:pt>
                <c:pt idx="18">
                  <c:v>0.79999999999999982</c:v>
                </c:pt>
                <c:pt idx="19">
                  <c:v>0.8999999999999998</c:v>
                </c:pt>
                <c:pt idx="20">
                  <c:v>0.99999999999999978</c:v>
                </c:pt>
                <c:pt idx="21">
                  <c:v>1.0999999999999999</c:v>
                </c:pt>
                <c:pt idx="22">
                  <c:v>1.2</c:v>
                </c:pt>
                <c:pt idx="23">
                  <c:v>1.3</c:v>
                </c:pt>
                <c:pt idx="24">
                  <c:v>1.4000000000000001</c:v>
                </c:pt>
                <c:pt idx="25">
                  <c:v>1.5000000000000002</c:v>
                </c:pt>
                <c:pt idx="26">
                  <c:v>1.6000000000000003</c:v>
                </c:pt>
                <c:pt idx="27">
                  <c:v>1.7000000000000004</c:v>
                </c:pt>
                <c:pt idx="28">
                  <c:v>1.8000000000000005</c:v>
                </c:pt>
                <c:pt idx="29">
                  <c:v>1.9000000000000006</c:v>
                </c:pt>
                <c:pt idx="30">
                  <c:v>2.0000000000000004</c:v>
                </c:pt>
              </c:numCache>
            </c:numRef>
          </c:cat>
          <c:val>
            <c:numRef>
              <c:f>'Beta Analysis'!$Q$4:$Q$35</c:f>
              <c:numCache>
                <c:formatCode>General</c:formatCode>
                <c:ptCount val="32"/>
                <c:pt idx="0">
                  <c:v>0</c:v>
                </c:pt>
                <c:pt idx="1">
                  <c:v>0</c:v>
                </c:pt>
                <c:pt idx="2">
                  <c:v>0</c:v>
                </c:pt>
                <c:pt idx="3">
                  <c:v>0</c:v>
                </c:pt>
                <c:pt idx="4">
                  <c:v>0</c:v>
                </c:pt>
                <c:pt idx="5">
                  <c:v>0</c:v>
                </c:pt>
                <c:pt idx="6">
                  <c:v>0</c:v>
                </c:pt>
                <c:pt idx="7">
                  <c:v>0</c:v>
                </c:pt>
                <c:pt idx="8">
                  <c:v>0</c:v>
                </c:pt>
                <c:pt idx="9">
                  <c:v>3.0769230769230771E-2</c:v>
                </c:pt>
                <c:pt idx="10">
                  <c:v>0.1076923076923077</c:v>
                </c:pt>
                <c:pt idx="11">
                  <c:v>0.16923076923076924</c:v>
                </c:pt>
                <c:pt idx="12">
                  <c:v>7.6923076923076927E-2</c:v>
                </c:pt>
                <c:pt idx="13">
                  <c:v>6.1538461538461542E-2</c:v>
                </c:pt>
                <c:pt idx="14">
                  <c:v>7.6923076923076927E-2</c:v>
                </c:pt>
                <c:pt idx="15">
                  <c:v>0.1076923076923077</c:v>
                </c:pt>
                <c:pt idx="16">
                  <c:v>9.2307692307692313E-2</c:v>
                </c:pt>
                <c:pt idx="17">
                  <c:v>6.1538461538461542E-2</c:v>
                </c:pt>
                <c:pt idx="18">
                  <c:v>6.1538461538461542E-2</c:v>
                </c:pt>
                <c:pt idx="19">
                  <c:v>4.6153846153846156E-2</c:v>
                </c:pt>
                <c:pt idx="20">
                  <c:v>3.0769230769230771E-2</c:v>
                </c:pt>
                <c:pt idx="21">
                  <c:v>4.6153846153846156E-2</c:v>
                </c:pt>
                <c:pt idx="22">
                  <c:v>3.0769230769230771E-2</c:v>
                </c:pt>
                <c:pt idx="23">
                  <c:v>0</c:v>
                </c:pt>
                <c:pt idx="24">
                  <c:v>0</c:v>
                </c:pt>
                <c:pt idx="25">
                  <c:v>0</c:v>
                </c:pt>
                <c:pt idx="26">
                  <c:v>0</c:v>
                </c:pt>
                <c:pt idx="27">
                  <c:v>0</c:v>
                </c:pt>
                <c:pt idx="28">
                  <c:v>0</c:v>
                </c:pt>
                <c:pt idx="29">
                  <c:v>0</c:v>
                </c:pt>
                <c:pt idx="30">
                  <c:v>0</c:v>
                </c:pt>
                <c:pt idx="31">
                  <c:v>0</c:v>
                </c:pt>
              </c:numCache>
            </c:numRef>
          </c:val>
          <c:smooth val="0"/>
          <c:extLst>
            <c:ext xmlns:c16="http://schemas.microsoft.com/office/drawing/2014/chart" uri="{C3380CC4-5D6E-409C-BE32-E72D297353CC}">
              <c16:uniqueId val="{00000000-1A47-44CA-83A7-C36CA698ADC8}"/>
            </c:ext>
          </c:extLst>
        </c:ser>
        <c:ser>
          <c:idx val="2"/>
          <c:order val="1"/>
          <c:tx>
            <c:strRef>
              <c:f>'Beta Analysis'!$P$3</c:f>
              <c:strCache>
                <c:ptCount val="1"/>
                <c:pt idx="0">
                  <c:v>Males</c:v>
                </c:pt>
              </c:strCache>
            </c:strRef>
          </c:tx>
          <c:marker>
            <c:symbol val="none"/>
          </c:marker>
          <c:cat>
            <c:numRef>
              <c:f>'Beta Analysis'!$N$4:$N$34</c:f>
              <c:numCache>
                <c:formatCode>General</c:formatCode>
                <c:ptCount val="31"/>
                <c:pt idx="0">
                  <c:v>-1</c:v>
                </c:pt>
                <c:pt idx="1">
                  <c:v>-0.9</c:v>
                </c:pt>
                <c:pt idx="2">
                  <c:v>-0.8</c:v>
                </c:pt>
                <c:pt idx="3">
                  <c:v>-0.70000000000000007</c:v>
                </c:pt>
                <c:pt idx="4">
                  <c:v>-0.60000000000000009</c:v>
                </c:pt>
                <c:pt idx="5">
                  <c:v>-0.50000000000000011</c:v>
                </c:pt>
                <c:pt idx="6">
                  <c:v>-0.40000000000000013</c:v>
                </c:pt>
                <c:pt idx="7">
                  <c:v>-0.30000000000000016</c:v>
                </c:pt>
                <c:pt idx="8">
                  <c:v>-0.20000000000000015</c:v>
                </c:pt>
                <c:pt idx="9">
                  <c:v>-0.10000000000000014</c:v>
                </c:pt>
                <c:pt idx="10" formatCode="_(* #,##0.00_);_(* \(#,##0.00\);_(* &quot;-&quot;??_);_(@_)">
                  <c:v>-1.3877787807814457E-16</c:v>
                </c:pt>
                <c:pt idx="11">
                  <c:v>9.9999999999999867E-2</c:v>
                </c:pt>
                <c:pt idx="12">
                  <c:v>0.19999999999999987</c:v>
                </c:pt>
                <c:pt idx="13">
                  <c:v>0.29999999999999988</c:v>
                </c:pt>
                <c:pt idx="14">
                  <c:v>0.39999999999999991</c:v>
                </c:pt>
                <c:pt idx="15">
                  <c:v>0.49999999999999989</c:v>
                </c:pt>
                <c:pt idx="16">
                  <c:v>0.59999999999999987</c:v>
                </c:pt>
                <c:pt idx="17">
                  <c:v>0.69999999999999984</c:v>
                </c:pt>
                <c:pt idx="18">
                  <c:v>0.79999999999999982</c:v>
                </c:pt>
                <c:pt idx="19">
                  <c:v>0.8999999999999998</c:v>
                </c:pt>
                <c:pt idx="20">
                  <c:v>0.99999999999999978</c:v>
                </c:pt>
                <c:pt idx="21">
                  <c:v>1.0999999999999999</c:v>
                </c:pt>
                <c:pt idx="22">
                  <c:v>1.2</c:v>
                </c:pt>
                <c:pt idx="23">
                  <c:v>1.3</c:v>
                </c:pt>
                <c:pt idx="24">
                  <c:v>1.4000000000000001</c:v>
                </c:pt>
                <c:pt idx="25">
                  <c:v>1.5000000000000002</c:v>
                </c:pt>
                <c:pt idx="26">
                  <c:v>1.6000000000000003</c:v>
                </c:pt>
                <c:pt idx="27">
                  <c:v>1.7000000000000004</c:v>
                </c:pt>
                <c:pt idx="28">
                  <c:v>1.8000000000000005</c:v>
                </c:pt>
                <c:pt idx="29">
                  <c:v>1.9000000000000006</c:v>
                </c:pt>
                <c:pt idx="30">
                  <c:v>2.0000000000000004</c:v>
                </c:pt>
              </c:numCache>
            </c:numRef>
          </c:cat>
          <c:val>
            <c:numRef>
              <c:f>'Beta Analysis'!$R$4:$R$35</c:f>
              <c:numCache>
                <c:formatCode>General</c:formatCode>
                <c:ptCount val="32"/>
                <c:pt idx="0">
                  <c:v>0</c:v>
                </c:pt>
                <c:pt idx="1">
                  <c:v>1.2285012285012285E-3</c:v>
                </c:pt>
                <c:pt idx="2">
                  <c:v>1.2285012285012285E-3</c:v>
                </c:pt>
                <c:pt idx="3">
                  <c:v>0</c:v>
                </c:pt>
                <c:pt idx="4">
                  <c:v>2.4570024570024569E-3</c:v>
                </c:pt>
                <c:pt idx="5">
                  <c:v>1.2285012285012285E-3</c:v>
                </c:pt>
                <c:pt idx="6">
                  <c:v>6.1425061425061421E-3</c:v>
                </c:pt>
                <c:pt idx="7">
                  <c:v>2.4570024570024569E-3</c:v>
                </c:pt>
                <c:pt idx="8">
                  <c:v>8.5995085995085995E-3</c:v>
                </c:pt>
                <c:pt idx="9">
                  <c:v>1.8427518427518427E-2</c:v>
                </c:pt>
                <c:pt idx="10">
                  <c:v>5.5282555282555282E-2</c:v>
                </c:pt>
                <c:pt idx="11">
                  <c:v>0.1339066339066339</c:v>
                </c:pt>
                <c:pt idx="12">
                  <c:v>6.7567567567567571E-2</c:v>
                </c:pt>
                <c:pt idx="13">
                  <c:v>0.13267813267813267</c:v>
                </c:pt>
                <c:pt idx="14">
                  <c:v>9.8280098280098274E-2</c:v>
                </c:pt>
                <c:pt idx="15">
                  <c:v>0.12407862407862408</c:v>
                </c:pt>
                <c:pt idx="16">
                  <c:v>0.10319410319410319</c:v>
                </c:pt>
                <c:pt idx="17">
                  <c:v>7.125307125307126E-2</c:v>
                </c:pt>
                <c:pt idx="18">
                  <c:v>6.8796068796068796E-2</c:v>
                </c:pt>
                <c:pt idx="19">
                  <c:v>6.2653562653562658E-2</c:v>
                </c:pt>
                <c:pt idx="20">
                  <c:v>2.0884520884520884E-2</c:v>
                </c:pt>
                <c:pt idx="21">
                  <c:v>6.1425061425061421E-3</c:v>
                </c:pt>
                <c:pt idx="22">
                  <c:v>3.6855036855036856E-3</c:v>
                </c:pt>
                <c:pt idx="23">
                  <c:v>7.3710073710073713E-3</c:v>
                </c:pt>
                <c:pt idx="24">
                  <c:v>0</c:v>
                </c:pt>
                <c:pt idx="25">
                  <c:v>1.2285012285012285E-3</c:v>
                </c:pt>
                <c:pt idx="26">
                  <c:v>1.2285012285012285E-3</c:v>
                </c:pt>
                <c:pt idx="27">
                  <c:v>0</c:v>
                </c:pt>
                <c:pt idx="28">
                  <c:v>0</c:v>
                </c:pt>
                <c:pt idx="29">
                  <c:v>0</c:v>
                </c:pt>
                <c:pt idx="30">
                  <c:v>0</c:v>
                </c:pt>
                <c:pt idx="31">
                  <c:v>0</c:v>
                </c:pt>
              </c:numCache>
            </c:numRef>
          </c:val>
          <c:smooth val="0"/>
          <c:extLst>
            <c:ext xmlns:c16="http://schemas.microsoft.com/office/drawing/2014/chart" uri="{C3380CC4-5D6E-409C-BE32-E72D297353CC}">
              <c16:uniqueId val="{00000001-1A47-44CA-83A7-C36CA698ADC8}"/>
            </c:ext>
          </c:extLst>
        </c:ser>
        <c:dLbls>
          <c:showLegendKey val="0"/>
          <c:showVal val="0"/>
          <c:showCatName val="0"/>
          <c:showSerName val="0"/>
          <c:showPercent val="0"/>
          <c:showBubbleSize val="0"/>
        </c:dLbls>
        <c:smooth val="0"/>
        <c:axId val="488619008"/>
        <c:axId val="496907392"/>
      </c:lineChart>
      <c:catAx>
        <c:axId val="488619008"/>
        <c:scaling>
          <c:orientation val="minMax"/>
        </c:scaling>
        <c:delete val="0"/>
        <c:axPos val="b"/>
        <c:title>
          <c:tx>
            <c:rich>
              <a:bodyPr/>
              <a:lstStyle/>
              <a:p>
                <a:pPr>
                  <a:defRPr/>
                </a:pPr>
                <a:r>
                  <a:rPr lang="en-ZA"/>
                  <a:t>Beta bucket</a:t>
                </a:r>
              </a:p>
            </c:rich>
          </c:tx>
          <c:overlay val="0"/>
        </c:title>
        <c:numFmt formatCode="General" sourceLinked="1"/>
        <c:majorTickMark val="out"/>
        <c:minorTickMark val="none"/>
        <c:tickLblPos val="nextTo"/>
        <c:crossAx val="496907392"/>
        <c:crosses val="autoZero"/>
        <c:auto val="1"/>
        <c:lblAlgn val="ctr"/>
        <c:lblOffset val="100"/>
        <c:noMultiLvlLbl val="0"/>
      </c:catAx>
      <c:valAx>
        <c:axId val="496907392"/>
        <c:scaling>
          <c:orientation val="minMax"/>
        </c:scaling>
        <c:delete val="0"/>
        <c:axPos val="l"/>
        <c:majorGridlines/>
        <c:title>
          <c:tx>
            <c:rich>
              <a:bodyPr rot="-5400000" vert="horz"/>
              <a:lstStyle/>
              <a:p>
                <a:pPr>
                  <a:defRPr/>
                </a:pPr>
                <a:r>
                  <a:rPr lang="en-ZA"/>
                  <a:t>% of funds</a:t>
                </a:r>
              </a:p>
            </c:rich>
          </c:tx>
          <c:overlay val="0"/>
        </c:title>
        <c:numFmt formatCode="0%" sourceLinked="0"/>
        <c:majorTickMark val="out"/>
        <c:minorTickMark val="none"/>
        <c:tickLblPos val="nextTo"/>
        <c:crossAx val="488619008"/>
        <c:crosses val="autoZero"/>
        <c:crossBetween val="between"/>
      </c:valAx>
    </c:plotArea>
    <c:legend>
      <c:legendPos val="r"/>
      <c:overlay val="0"/>
    </c:legend>
    <c:plotVisOnly val="1"/>
    <c:dispBlanksAs val="gap"/>
    <c:showDLblsOverMax val="0"/>
  </c:chart>
  <c:spPr>
    <a:ln w="76200">
      <a:solidFill>
        <a:schemeClr val="tx2">
          <a:lumMod val="60000"/>
          <a:lumOff val="40000"/>
        </a:schemeClr>
      </a:solid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35"/>
    </mc:Choice>
    <mc:Fallback>
      <c:style val="35"/>
    </mc:Fallback>
  </mc:AlternateContent>
  <c:chart>
    <c:autoTitleDeleted val="0"/>
    <c:plotArea>
      <c:layout/>
      <c:barChart>
        <c:barDir val="col"/>
        <c:grouping val="clustered"/>
        <c:varyColors val="0"/>
        <c:ser>
          <c:idx val="0"/>
          <c:order val="0"/>
          <c:tx>
            <c:strRef>
              <c:f>'Summary of results'!$H$26</c:f>
              <c:strCache>
                <c:ptCount val="1"/>
                <c:pt idx="0">
                  <c:v>Female No of Funds</c:v>
                </c:pt>
              </c:strCache>
            </c:strRef>
          </c:tx>
          <c:invertIfNegative val="0"/>
          <c:cat>
            <c:strRef>
              <c:f>'Summary of results'!$G$27:$G$59</c:f>
              <c:strCache>
                <c:ptCount val="33"/>
                <c:pt idx="0">
                  <c:v>Global EQ General</c:v>
                </c:pt>
                <c:pt idx="1">
                  <c:v>Global EQ Unclassified</c:v>
                </c:pt>
                <c:pt idx="2">
                  <c:v>Global IB Short Term</c:v>
                </c:pt>
                <c:pt idx="3">
                  <c:v>Global IB Variable Term</c:v>
                </c:pt>
                <c:pt idx="4">
                  <c:v>Global MA Flexible</c:v>
                </c:pt>
                <c:pt idx="5">
                  <c:v>Global MA High Equity</c:v>
                </c:pt>
                <c:pt idx="6">
                  <c:v>Global MA Low Equity</c:v>
                </c:pt>
                <c:pt idx="7">
                  <c:v>Global MA Medium Equity</c:v>
                </c:pt>
                <c:pt idx="8">
                  <c:v>Global RE General</c:v>
                </c:pt>
                <c:pt idx="9">
                  <c:v>Regional EQ General</c:v>
                </c:pt>
                <c:pt idx="10">
                  <c:v>Regional IB Short Term</c:v>
                </c:pt>
                <c:pt idx="11">
                  <c:v>Regional IB Variable Term</c:v>
                </c:pt>
                <c:pt idx="12">
                  <c:v>Regional MA Flexible</c:v>
                </c:pt>
                <c:pt idx="13">
                  <c:v>Regional RE General</c:v>
                </c:pt>
                <c:pt idx="14">
                  <c:v>South African EQ Financial</c:v>
                </c:pt>
                <c:pt idx="15">
                  <c:v>South African EQ General</c:v>
                </c:pt>
                <c:pt idx="16">
                  <c:v>South African EQ Industrial</c:v>
                </c:pt>
                <c:pt idx="17">
                  <c:v>South African EQ Large Cap</c:v>
                </c:pt>
                <c:pt idx="18">
                  <c:v>South African EQ Mid/Small Cap</c:v>
                </c:pt>
                <c:pt idx="19">
                  <c:v>South African EQ Resources</c:v>
                </c:pt>
                <c:pt idx="20">
                  <c:v>South African EQ Unclassified</c:v>
                </c:pt>
                <c:pt idx="21">
                  <c:v>South African IB Money Market</c:v>
                </c:pt>
                <c:pt idx="22">
                  <c:v>South African IB Short Term</c:v>
                </c:pt>
                <c:pt idx="23">
                  <c:v>South African IB Variable Term</c:v>
                </c:pt>
                <c:pt idx="24">
                  <c:v>South African MA Flexible</c:v>
                </c:pt>
                <c:pt idx="25">
                  <c:v>South African MA High Equity</c:v>
                </c:pt>
                <c:pt idx="26">
                  <c:v>South African MA Income</c:v>
                </c:pt>
                <c:pt idx="27">
                  <c:v>South African MA Low Equity</c:v>
                </c:pt>
                <c:pt idx="28">
                  <c:v>South African MA Medium Equity</c:v>
                </c:pt>
                <c:pt idx="29">
                  <c:v>South African MA Target Date</c:v>
                </c:pt>
                <c:pt idx="30">
                  <c:v>South African RE General</c:v>
                </c:pt>
                <c:pt idx="31">
                  <c:v>Wwide EQ General</c:v>
                </c:pt>
                <c:pt idx="32">
                  <c:v>Wwide MA Flexible</c:v>
                </c:pt>
              </c:strCache>
            </c:strRef>
          </c:cat>
          <c:val>
            <c:numRef>
              <c:f>'Summary of results'!$H$27:$H$59</c:f>
              <c:numCache>
                <c:formatCode>0%</c:formatCode>
                <c:ptCount val="33"/>
                <c:pt idx="0">
                  <c:v>4.6153846153846156E-2</c:v>
                </c:pt>
                <c:pt idx="1">
                  <c:v>0</c:v>
                </c:pt>
                <c:pt idx="2">
                  <c:v>0</c:v>
                </c:pt>
                <c:pt idx="3">
                  <c:v>0</c:v>
                </c:pt>
                <c:pt idx="4">
                  <c:v>1.5384615384615385E-2</c:v>
                </c:pt>
                <c:pt idx="5">
                  <c:v>0</c:v>
                </c:pt>
                <c:pt idx="6">
                  <c:v>0</c:v>
                </c:pt>
                <c:pt idx="7">
                  <c:v>0</c:v>
                </c:pt>
                <c:pt idx="8">
                  <c:v>0</c:v>
                </c:pt>
                <c:pt idx="9">
                  <c:v>1.5384615384615385E-2</c:v>
                </c:pt>
                <c:pt idx="10">
                  <c:v>0</c:v>
                </c:pt>
                <c:pt idx="11">
                  <c:v>0</c:v>
                </c:pt>
                <c:pt idx="12">
                  <c:v>0</c:v>
                </c:pt>
                <c:pt idx="13">
                  <c:v>0</c:v>
                </c:pt>
                <c:pt idx="14">
                  <c:v>1.5384615384615385E-2</c:v>
                </c:pt>
                <c:pt idx="15">
                  <c:v>0.16923076923076924</c:v>
                </c:pt>
                <c:pt idx="16">
                  <c:v>1.5384615384615385E-2</c:v>
                </c:pt>
                <c:pt idx="17">
                  <c:v>4.6153846153846156E-2</c:v>
                </c:pt>
                <c:pt idx="18">
                  <c:v>1.5384615384615385E-2</c:v>
                </c:pt>
                <c:pt idx="19">
                  <c:v>0</c:v>
                </c:pt>
                <c:pt idx="20">
                  <c:v>0</c:v>
                </c:pt>
                <c:pt idx="21">
                  <c:v>6.1538461538461542E-2</c:v>
                </c:pt>
                <c:pt idx="22">
                  <c:v>1.5384615384615385E-2</c:v>
                </c:pt>
                <c:pt idx="23">
                  <c:v>7.6923076923076927E-2</c:v>
                </c:pt>
                <c:pt idx="24">
                  <c:v>3.0769230769230771E-2</c:v>
                </c:pt>
                <c:pt idx="25">
                  <c:v>0.15384615384615385</c:v>
                </c:pt>
                <c:pt idx="26">
                  <c:v>4.6153846153846156E-2</c:v>
                </c:pt>
                <c:pt idx="27">
                  <c:v>0.1076923076923077</c:v>
                </c:pt>
                <c:pt idx="28">
                  <c:v>7.6923076923076927E-2</c:v>
                </c:pt>
                <c:pt idx="29">
                  <c:v>0</c:v>
                </c:pt>
                <c:pt idx="30">
                  <c:v>4.6153846153846156E-2</c:v>
                </c:pt>
                <c:pt idx="31">
                  <c:v>0</c:v>
                </c:pt>
                <c:pt idx="32">
                  <c:v>4.6153846153846156E-2</c:v>
                </c:pt>
              </c:numCache>
            </c:numRef>
          </c:val>
          <c:extLst>
            <c:ext xmlns:c16="http://schemas.microsoft.com/office/drawing/2014/chart" uri="{C3380CC4-5D6E-409C-BE32-E72D297353CC}">
              <c16:uniqueId val="{00000000-6057-4AA0-9476-37C9ADB9187B}"/>
            </c:ext>
          </c:extLst>
        </c:ser>
        <c:ser>
          <c:idx val="1"/>
          <c:order val="1"/>
          <c:tx>
            <c:strRef>
              <c:f>'Summary of results'!$I$26</c:f>
              <c:strCache>
                <c:ptCount val="1"/>
                <c:pt idx="0">
                  <c:v>Male no of Funds</c:v>
                </c:pt>
              </c:strCache>
            </c:strRef>
          </c:tx>
          <c:invertIfNegative val="0"/>
          <c:cat>
            <c:strRef>
              <c:f>'Summary of results'!$G$27:$G$59</c:f>
              <c:strCache>
                <c:ptCount val="33"/>
                <c:pt idx="0">
                  <c:v>Global EQ General</c:v>
                </c:pt>
                <c:pt idx="1">
                  <c:v>Global EQ Unclassified</c:v>
                </c:pt>
                <c:pt idx="2">
                  <c:v>Global IB Short Term</c:v>
                </c:pt>
                <c:pt idx="3">
                  <c:v>Global IB Variable Term</c:v>
                </c:pt>
                <c:pt idx="4">
                  <c:v>Global MA Flexible</c:v>
                </c:pt>
                <c:pt idx="5">
                  <c:v>Global MA High Equity</c:v>
                </c:pt>
                <c:pt idx="6">
                  <c:v>Global MA Low Equity</c:v>
                </c:pt>
                <c:pt idx="7">
                  <c:v>Global MA Medium Equity</c:v>
                </c:pt>
                <c:pt idx="8">
                  <c:v>Global RE General</c:v>
                </c:pt>
                <c:pt idx="9">
                  <c:v>Regional EQ General</c:v>
                </c:pt>
                <c:pt idx="10">
                  <c:v>Regional IB Short Term</c:v>
                </c:pt>
                <c:pt idx="11">
                  <c:v>Regional IB Variable Term</c:v>
                </c:pt>
                <c:pt idx="12">
                  <c:v>Regional MA Flexible</c:v>
                </c:pt>
                <c:pt idx="13">
                  <c:v>Regional RE General</c:v>
                </c:pt>
                <c:pt idx="14">
                  <c:v>South African EQ Financial</c:v>
                </c:pt>
                <c:pt idx="15">
                  <c:v>South African EQ General</c:v>
                </c:pt>
                <c:pt idx="16">
                  <c:v>South African EQ Industrial</c:v>
                </c:pt>
                <c:pt idx="17">
                  <c:v>South African EQ Large Cap</c:v>
                </c:pt>
                <c:pt idx="18">
                  <c:v>South African EQ Mid/Small Cap</c:v>
                </c:pt>
                <c:pt idx="19">
                  <c:v>South African EQ Resources</c:v>
                </c:pt>
                <c:pt idx="20">
                  <c:v>South African EQ Unclassified</c:v>
                </c:pt>
                <c:pt idx="21">
                  <c:v>South African IB Money Market</c:v>
                </c:pt>
                <c:pt idx="22">
                  <c:v>South African IB Short Term</c:v>
                </c:pt>
                <c:pt idx="23">
                  <c:v>South African IB Variable Term</c:v>
                </c:pt>
                <c:pt idx="24">
                  <c:v>South African MA Flexible</c:v>
                </c:pt>
                <c:pt idx="25">
                  <c:v>South African MA High Equity</c:v>
                </c:pt>
                <c:pt idx="26">
                  <c:v>South African MA Income</c:v>
                </c:pt>
                <c:pt idx="27">
                  <c:v>South African MA Low Equity</c:v>
                </c:pt>
                <c:pt idx="28">
                  <c:v>South African MA Medium Equity</c:v>
                </c:pt>
                <c:pt idx="29">
                  <c:v>South African MA Target Date</c:v>
                </c:pt>
                <c:pt idx="30">
                  <c:v>South African RE General</c:v>
                </c:pt>
                <c:pt idx="31">
                  <c:v>Wwide EQ General</c:v>
                </c:pt>
                <c:pt idx="32">
                  <c:v>Wwide MA Flexible</c:v>
                </c:pt>
              </c:strCache>
            </c:strRef>
          </c:cat>
          <c:val>
            <c:numRef>
              <c:f>'Summary of results'!$I$27:$I$59</c:f>
              <c:numCache>
                <c:formatCode>0%</c:formatCode>
                <c:ptCount val="33"/>
                <c:pt idx="0">
                  <c:v>3.9634146341463415E-2</c:v>
                </c:pt>
                <c:pt idx="1">
                  <c:v>1.5243902439024391E-3</c:v>
                </c:pt>
                <c:pt idx="2">
                  <c:v>6.0975609756097563E-3</c:v>
                </c:pt>
                <c:pt idx="3">
                  <c:v>6.0975609756097563E-3</c:v>
                </c:pt>
                <c:pt idx="4">
                  <c:v>1.8292682926829267E-2</c:v>
                </c:pt>
                <c:pt idx="5">
                  <c:v>9.1463414634146336E-3</c:v>
                </c:pt>
                <c:pt idx="6">
                  <c:v>6.0975609756097563E-3</c:v>
                </c:pt>
                <c:pt idx="7">
                  <c:v>3.0487804878048782E-3</c:v>
                </c:pt>
                <c:pt idx="8">
                  <c:v>1.0670731707317074E-2</c:v>
                </c:pt>
                <c:pt idx="9">
                  <c:v>1.2195121951219513E-2</c:v>
                </c:pt>
                <c:pt idx="10">
                  <c:v>7.621951219512195E-3</c:v>
                </c:pt>
                <c:pt idx="11">
                  <c:v>1.5243902439024391E-3</c:v>
                </c:pt>
                <c:pt idx="12">
                  <c:v>1.5243902439024391E-3</c:v>
                </c:pt>
                <c:pt idx="13">
                  <c:v>1.5243902439024391E-3</c:v>
                </c:pt>
                <c:pt idx="14">
                  <c:v>4.5731707317073168E-3</c:v>
                </c:pt>
                <c:pt idx="15">
                  <c:v>0.15548780487804878</c:v>
                </c:pt>
                <c:pt idx="16">
                  <c:v>4.5731707317073168E-3</c:v>
                </c:pt>
                <c:pt idx="17">
                  <c:v>7.621951219512195E-3</c:v>
                </c:pt>
                <c:pt idx="18">
                  <c:v>7.621951219512195E-3</c:v>
                </c:pt>
                <c:pt idx="19">
                  <c:v>9.1463414634146336E-3</c:v>
                </c:pt>
                <c:pt idx="20">
                  <c:v>3.0487804878048782E-3</c:v>
                </c:pt>
                <c:pt idx="21">
                  <c:v>2.8963414634146343E-2</c:v>
                </c:pt>
                <c:pt idx="22">
                  <c:v>2.5914634146341462E-2</c:v>
                </c:pt>
                <c:pt idx="23">
                  <c:v>2.8963414634146343E-2</c:v>
                </c:pt>
                <c:pt idx="24">
                  <c:v>9.1463414634146339E-2</c:v>
                </c:pt>
                <c:pt idx="25">
                  <c:v>0.14634146341463414</c:v>
                </c:pt>
                <c:pt idx="26">
                  <c:v>6.5548780487804881E-2</c:v>
                </c:pt>
                <c:pt idx="27">
                  <c:v>0.13109756097560976</c:v>
                </c:pt>
                <c:pt idx="28">
                  <c:v>6.5548780487804881E-2</c:v>
                </c:pt>
                <c:pt idx="29">
                  <c:v>1.3719512195121951E-2</c:v>
                </c:pt>
                <c:pt idx="30">
                  <c:v>3.8109756097560975E-2</c:v>
                </c:pt>
                <c:pt idx="31">
                  <c:v>3.0487804878048782E-3</c:v>
                </c:pt>
                <c:pt idx="32">
                  <c:v>4.4207317073170729E-2</c:v>
                </c:pt>
              </c:numCache>
            </c:numRef>
          </c:val>
          <c:extLst>
            <c:ext xmlns:c16="http://schemas.microsoft.com/office/drawing/2014/chart" uri="{C3380CC4-5D6E-409C-BE32-E72D297353CC}">
              <c16:uniqueId val="{00000001-6057-4AA0-9476-37C9ADB9187B}"/>
            </c:ext>
          </c:extLst>
        </c:ser>
        <c:dLbls>
          <c:showLegendKey val="0"/>
          <c:showVal val="0"/>
          <c:showCatName val="0"/>
          <c:showSerName val="0"/>
          <c:showPercent val="0"/>
          <c:showBubbleSize val="0"/>
        </c:dLbls>
        <c:gapWidth val="150"/>
        <c:axId val="497095424"/>
        <c:axId val="497097344"/>
      </c:barChart>
      <c:catAx>
        <c:axId val="497095424"/>
        <c:scaling>
          <c:orientation val="minMax"/>
        </c:scaling>
        <c:delete val="0"/>
        <c:axPos val="b"/>
        <c:title>
          <c:tx>
            <c:rich>
              <a:bodyPr/>
              <a:lstStyle/>
              <a:p>
                <a:pPr>
                  <a:defRPr/>
                </a:pPr>
                <a:r>
                  <a:rPr lang="en-ZA"/>
                  <a:t>Name of South African Unit Trust Sector</a:t>
                </a:r>
              </a:p>
            </c:rich>
          </c:tx>
          <c:overlay val="0"/>
        </c:title>
        <c:numFmt formatCode="@" sourceLinked="0"/>
        <c:majorTickMark val="out"/>
        <c:minorTickMark val="none"/>
        <c:tickLblPos val="nextTo"/>
        <c:txPr>
          <a:bodyPr/>
          <a:lstStyle/>
          <a:p>
            <a:pPr>
              <a:defRPr sz="800" baseline="0"/>
            </a:pPr>
            <a:endParaRPr lang="en-US"/>
          </a:p>
        </c:txPr>
        <c:crossAx val="497097344"/>
        <c:crosses val="autoZero"/>
        <c:auto val="0"/>
        <c:lblAlgn val="ctr"/>
        <c:lblOffset val="100"/>
        <c:noMultiLvlLbl val="0"/>
      </c:catAx>
      <c:valAx>
        <c:axId val="497097344"/>
        <c:scaling>
          <c:orientation val="minMax"/>
        </c:scaling>
        <c:delete val="0"/>
        <c:axPos val="l"/>
        <c:majorGridlines/>
        <c:title>
          <c:tx>
            <c:rich>
              <a:bodyPr rot="-5400000" vert="horz"/>
              <a:lstStyle/>
              <a:p>
                <a:pPr>
                  <a:defRPr/>
                </a:pPr>
                <a:r>
                  <a:rPr lang="en-ZA"/>
                  <a:t>%</a:t>
                </a:r>
                <a:r>
                  <a:rPr lang="en-ZA" baseline="0"/>
                  <a:t> of total unit trust industry in South Africaa</a:t>
                </a:r>
                <a:endParaRPr lang="en-ZA"/>
              </a:p>
            </c:rich>
          </c:tx>
          <c:overlay val="0"/>
        </c:title>
        <c:numFmt formatCode="0%" sourceLinked="1"/>
        <c:majorTickMark val="out"/>
        <c:minorTickMark val="none"/>
        <c:tickLblPos val="nextTo"/>
        <c:crossAx val="497095424"/>
        <c:crosses val="autoZero"/>
        <c:crossBetween val="between"/>
      </c:valAx>
    </c:plotArea>
    <c:legend>
      <c:legendPos val="t"/>
      <c:overlay val="0"/>
    </c:legend>
    <c:plotVisOnly val="1"/>
    <c:dispBlanksAs val="gap"/>
    <c:showDLblsOverMax val="0"/>
  </c:chart>
  <c:spPr>
    <a:ln w="76200">
      <a:solidFill>
        <a:schemeClr val="tx2">
          <a:lumMod val="60000"/>
          <a:lumOff val="40000"/>
        </a:schemeClr>
      </a:solid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ZA"/>
              <a:t>1-year annualised</a:t>
            </a:r>
            <a:r>
              <a:rPr lang="en-ZA" baseline="0"/>
              <a:t> returns for the period July 2006 to June 2015</a:t>
            </a:r>
            <a:endParaRPr lang="en-ZA"/>
          </a:p>
        </c:rich>
      </c:tx>
      <c:overlay val="0"/>
    </c:title>
    <c:autoTitleDeleted val="0"/>
    <c:plotArea>
      <c:layout/>
      <c:lineChart>
        <c:grouping val="standard"/>
        <c:varyColors val="0"/>
        <c:ser>
          <c:idx val="0"/>
          <c:order val="0"/>
          <c:tx>
            <c:strRef>
              <c:f>'Summary of results'!$C$371</c:f>
              <c:strCache>
                <c:ptCount val="1"/>
                <c:pt idx="0">
                  <c:v>Female</c:v>
                </c:pt>
              </c:strCache>
            </c:strRef>
          </c:tx>
          <c:marker>
            <c:symbol val="none"/>
          </c:marker>
          <c:cat>
            <c:numRef>
              <c:f>'Summary of results'!$B$372:$B$380</c:f>
              <c:numCache>
                <c:formatCode>mmm\-yy</c:formatCode>
                <c:ptCount val="9"/>
                <c:pt idx="0">
                  <c:v>39234</c:v>
                </c:pt>
                <c:pt idx="1">
                  <c:v>39600</c:v>
                </c:pt>
                <c:pt idx="2">
                  <c:v>39965</c:v>
                </c:pt>
                <c:pt idx="3">
                  <c:v>40330</c:v>
                </c:pt>
                <c:pt idx="4">
                  <c:v>40695</c:v>
                </c:pt>
                <c:pt idx="5">
                  <c:v>41061</c:v>
                </c:pt>
                <c:pt idx="6">
                  <c:v>41426</c:v>
                </c:pt>
                <c:pt idx="7">
                  <c:v>41791</c:v>
                </c:pt>
                <c:pt idx="8">
                  <c:v>42156</c:v>
                </c:pt>
              </c:numCache>
            </c:numRef>
          </c:cat>
          <c:val>
            <c:numRef>
              <c:f>'Summary of results'!$C$372:$C$380</c:f>
              <c:numCache>
                <c:formatCode>0.00%</c:formatCode>
                <c:ptCount val="9"/>
                <c:pt idx="0">
                  <c:v>0.20383673399119404</c:v>
                </c:pt>
                <c:pt idx="1">
                  <c:v>9.0250933458026292E-3</c:v>
                </c:pt>
                <c:pt idx="2">
                  <c:v>-3.0646769030498889E-3</c:v>
                </c:pt>
                <c:pt idx="3">
                  <c:v>3.2506027923391301E-3</c:v>
                </c:pt>
                <c:pt idx="4">
                  <c:v>0.11801805684261234</c:v>
                </c:pt>
                <c:pt idx="5">
                  <c:v>0.11801805684261234</c:v>
                </c:pt>
                <c:pt idx="6">
                  <c:v>0.16251083787288964</c:v>
                </c:pt>
                <c:pt idx="7">
                  <c:v>0.18078441202992657</c:v>
                </c:pt>
                <c:pt idx="8">
                  <c:v>6.7739328052042899E-2</c:v>
                </c:pt>
              </c:numCache>
            </c:numRef>
          </c:val>
          <c:smooth val="0"/>
          <c:extLst>
            <c:ext xmlns:c16="http://schemas.microsoft.com/office/drawing/2014/chart" uri="{C3380CC4-5D6E-409C-BE32-E72D297353CC}">
              <c16:uniqueId val="{00000000-6B62-4260-93EF-B227B5CAF283}"/>
            </c:ext>
          </c:extLst>
        </c:ser>
        <c:ser>
          <c:idx val="1"/>
          <c:order val="1"/>
          <c:tx>
            <c:strRef>
              <c:f>'Summary of results'!$D$371</c:f>
              <c:strCache>
                <c:ptCount val="1"/>
                <c:pt idx="0">
                  <c:v>Male</c:v>
                </c:pt>
              </c:strCache>
            </c:strRef>
          </c:tx>
          <c:marker>
            <c:symbol val="none"/>
          </c:marker>
          <c:cat>
            <c:numRef>
              <c:f>'Summary of results'!$B$372:$B$380</c:f>
              <c:numCache>
                <c:formatCode>mmm\-yy</c:formatCode>
                <c:ptCount val="9"/>
                <c:pt idx="0">
                  <c:v>39234</c:v>
                </c:pt>
                <c:pt idx="1">
                  <c:v>39600</c:v>
                </c:pt>
                <c:pt idx="2">
                  <c:v>39965</c:v>
                </c:pt>
                <c:pt idx="3">
                  <c:v>40330</c:v>
                </c:pt>
                <c:pt idx="4">
                  <c:v>40695</c:v>
                </c:pt>
                <c:pt idx="5">
                  <c:v>41061</c:v>
                </c:pt>
                <c:pt idx="6">
                  <c:v>41426</c:v>
                </c:pt>
                <c:pt idx="7">
                  <c:v>41791</c:v>
                </c:pt>
                <c:pt idx="8">
                  <c:v>42156</c:v>
                </c:pt>
              </c:numCache>
            </c:numRef>
          </c:cat>
          <c:val>
            <c:numRef>
              <c:f>'Summary of results'!$D$372:$D$380</c:f>
              <c:numCache>
                <c:formatCode>0.00%</c:formatCode>
                <c:ptCount val="9"/>
                <c:pt idx="0">
                  <c:v>0.25508167750311778</c:v>
                </c:pt>
                <c:pt idx="1">
                  <c:v>1.8884240577223543E-2</c:v>
                </c:pt>
                <c:pt idx="2">
                  <c:v>-5.9003889536153098E-2</c:v>
                </c:pt>
                <c:pt idx="3">
                  <c:v>-5.372405993061323E-2</c:v>
                </c:pt>
                <c:pt idx="4">
                  <c:v>0.12451247818380271</c:v>
                </c:pt>
                <c:pt idx="5">
                  <c:v>0.12451247818380271</c:v>
                </c:pt>
                <c:pt idx="6">
                  <c:v>0.17672068895109472</c:v>
                </c:pt>
                <c:pt idx="7">
                  <c:v>0.18493327165099843</c:v>
                </c:pt>
                <c:pt idx="8">
                  <c:v>8.2707172615911748E-2</c:v>
                </c:pt>
              </c:numCache>
            </c:numRef>
          </c:val>
          <c:smooth val="0"/>
          <c:extLst>
            <c:ext xmlns:c16="http://schemas.microsoft.com/office/drawing/2014/chart" uri="{C3380CC4-5D6E-409C-BE32-E72D297353CC}">
              <c16:uniqueId val="{00000001-6B62-4260-93EF-B227B5CAF283}"/>
            </c:ext>
          </c:extLst>
        </c:ser>
        <c:dLbls>
          <c:showLegendKey val="0"/>
          <c:showVal val="0"/>
          <c:showCatName val="0"/>
          <c:showSerName val="0"/>
          <c:showPercent val="0"/>
          <c:showBubbleSize val="0"/>
        </c:dLbls>
        <c:smooth val="0"/>
        <c:axId val="538195072"/>
        <c:axId val="538196992"/>
      </c:lineChart>
      <c:dateAx>
        <c:axId val="538195072"/>
        <c:scaling>
          <c:orientation val="minMax"/>
          <c:max val="42156"/>
          <c:min val="38869"/>
        </c:scaling>
        <c:delete val="0"/>
        <c:axPos val="b"/>
        <c:title>
          <c:tx>
            <c:rich>
              <a:bodyPr/>
              <a:lstStyle/>
              <a:p>
                <a:pPr>
                  <a:defRPr/>
                </a:pPr>
                <a:r>
                  <a:rPr lang="en-ZA"/>
                  <a:t>Period</a:t>
                </a:r>
              </a:p>
            </c:rich>
          </c:tx>
          <c:overlay val="0"/>
        </c:title>
        <c:numFmt formatCode="mmm\-yy" sourceLinked="1"/>
        <c:majorTickMark val="none"/>
        <c:minorTickMark val="none"/>
        <c:tickLblPos val="nextTo"/>
        <c:crossAx val="538196992"/>
        <c:crosses val="autoZero"/>
        <c:auto val="1"/>
        <c:lblOffset val="100"/>
        <c:baseTimeUnit val="years"/>
      </c:dateAx>
      <c:valAx>
        <c:axId val="538196992"/>
        <c:scaling>
          <c:orientation val="minMax"/>
        </c:scaling>
        <c:delete val="0"/>
        <c:axPos val="l"/>
        <c:majorGridlines/>
        <c:title>
          <c:tx>
            <c:rich>
              <a:bodyPr rot="-5400000" vert="horz"/>
              <a:lstStyle/>
              <a:p>
                <a:pPr>
                  <a:defRPr/>
                </a:pPr>
                <a:r>
                  <a:rPr lang="en-ZA"/>
                  <a:t>1</a:t>
                </a:r>
                <a:r>
                  <a:rPr lang="en-ZA" baseline="0"/>
                  <a:t>-year annulaised return</a:t>
                </a:r>
                <a:endParaRPr lang="en-ZA"/>
              </a:p>
            </c:rich>
          </c:tx>
          <c:overlay val="0"/>
        </c:title>
        <c:numFmt formatCode="0.00%" sourceLinked="1"/>
        <c:majorTickMark val="out"/>
        <c:minorTickMark val="none"/>
        <c:tickLblPos val="nextTo"/>
        <c:crossAx val="538195072"/>
        <c:crosses val="autoZero"/>
        <c:crossBetween val="between"/>
      </c:valAx>
    </c:plotArea>
    <c:legend>
      <c:legendPos val="t"/>
      <c:overlay val="0"/>
    </c:legend>
    <c:plotVisOnly val="1"/>
    <c:dispBlanksAs val="gap"/>
    <c:showDLblsOverMax val="0"/>
  </c:chart>
  <c:spPr>
    <a:ln w="76200">
      <a:solidFill>
        <a:schemeClr val="accent1"/>
      </a:solid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Sta14</b:Tag>
    <b:SourceType>Report</b:SourceType>
    <b:Guid>{F911E8D8-EFC8-462C-B77E-898658E91B19}</b:Guid>
    <b:Title>Gross domestic product : Third quarter 2014</b:Title>
    <b:Year>2014</b:Year>
    <b:Author>
      <b:Author>
        <b:Corporate>Statistics SA</b:Corporate>
      </b:Author>
    </b:Author>
    <b:YearAccessed>2015</b:YearAccessed>
    <b:MonthAccessed>February</b:MonthAccessed>
    <b:DayAccessed>21</b:DayAccessed>
    <b:URL>http://beta2.statssa.gov.za/publications/P0441/P04413rdQuarter2014.pdf</b:URL>
    <b:RefOrder>3</b:RefOrder>
  </b:Source>
  <b:Source>
    <b:Tag>htt</b:Tag>
    <b:SourceType>InternetSite</b:SourceType>
    <b:Guid>{D3356078-62C5-4996-AEE7-DDA546A42619}</b:Guid>
    <b:URL>http://www.sharenet.co.za/free/library/ut_01.htm</b:URL>
    <b:Author>
      <b:Author>
        <b:Corporate>Sharenet (Pty) Ltd</b:Corporate>
      </b:Author>
    </b:Author>
    <b:Year>2015</b:Year>
    <b:YearAccessed>2015</b:YearAccessed>
    <b:MonthAccessed>February</b:MonthAccessed>
    <b:DayAccessed>20</b:DayAccessed>
    <b:Title>What are Unit Trusts?</b:Title>
    <b:InternetSiteTitle>Sharenet</b:InternetSiteTitle>
    <b:RefOrder>5</b:RefOrder>
  </b:Source>
  <b:Source>
    <b:Tag>OLU13</b:Tag>
    <b:SourceType>Report</b:SourceType>
    <b:Guid>{F2BC70FD-628F-4923-9A30-9717D26CEA2E}</b:Guid>
    <b:Title>Performance evaluation of unit trusts in South Africa over the last two decades</b:Title>
    <b:Year>2013</b:Year>
    <b:Author>
      <b:Author>
        <b:NameList>
          <b:Person>
            <b:Last>Mibiola</b:Last>
            <b:First>Oluwole</b:First>
            <b:Middle>Jacob</b:Middle>
          </b:Person>
        </b:NameList>
      </b:Author>
    </b:Author>
    <b:City>Johannesburg</b:City>
    <b:Department>Wits Business School</b:Department>
    <b:Institution>University of the Witwaterstrand</b:Institution>
    <b:YearAccessed>2015</b:YearAccessed>
    <b:MonthAccessed>February</b:MonthAccessed>
    <b:DayAccessed>24</b:DayAccessed>
    <b:URL>http://wiredspace.wits.ac.za/jspui/bitstream/10539/12959/1/PERFORMANCE%20EVALUATION%20OF%20UNIT%20TRUSTS%20IN%20SOUTH%20AFRICA%20OVER%20THE%20LAST%20TWO%20DECADES.pdf</b:URL>
    <b:ThesisType>MBA Research Report</b:ThesisType>
    <b:RefOrder>7</b:RefOrder>
  </b:Source>
  <b:Source>
    <b:Tag>Cai13</b:Tag>
    <b:SourceType>InternetSite</b:SourceType>
    <b:Guid>{C38385D4-25EF-4D6F-9582-8C08274A89C8}</b:Guid>
    <b:Year>2013</b:Year>
    <b:Month>March</b:Month>
    <b:Day>11</b:Day>
    <b:URL>http://www.moneyweb.co.za/moneyweb-south-africa/the-state-of-sas-unit-trust-industry</b:URL>
    <b:Author>
      <b:Author>
        <b:NameList>
          <b:Person>
            <b:Last>Cairns</b:Last>
            <b:First>Patrick </b:First>
          </b:Person>
        </b:NameList>
      </b:Author>
    </b:Author>
    <b:YearAccessed>2015</b:YearAccessed>
    <b:MonthAccessed>February</b:MonthAccessed>
    <b:DayAccessed>20</b:DayAccessed>
    <b:Title>The state of SA's unit trust industry</b:Title>
    <b:InternetSiteTitle>Moneyweb</b:InternetSiteTitle>
    <b:RefOrder>8</b:RefOrder>
  </b:Source>
  <b:Source>
    <b:Tag>JEN12</b:Tag>
    <b:SourceType>JournalArticle</b:SourceType>
    <b:Guid>{9623C0FC-2F34-44CE-A37D-4920D807F18E}</b:Guid>
    <b:Title>The performance of mutual funds in the period 1945-1964</b:Title>
    <b:JournalName>The Journal of Finance</b:JournalName>
    <b:Year>2012</b:Year>
    <b:Pages>389-415</b:Pages>
    <b:Author>
      <b:Author>
        <b:NameList>
          <b:Person>
            <b:Last>Jenson</b:Last>
            <b:First>Michael</b:First>
            <b:Middle>C.</b:Middle>
          </b:Person>
        </b:NameList>
      </b:Author>
    </b:Author>
    <b:Volume>23</b:Volume>
    <b:Issue>2</b:Issue>
    <b:RefOrder>10</b:RefOrder>
  </b:Source>
  <b:Source>
    <b:Tag>Che99</b:Tag>
    <b:SourceType>JournalArticle</b:SourceType>
    <b:Guid>{D2089A74-4EBA-43D6-8B78-4E41CE7FB933}</b:Guid>
    <b:Title>Are some mutual fund managers better than others? Cross-sectional patterns in behavior and performance</b:Title>
    <b:JournalName>Journal of Finance</b:JournalName>
    <b:Year>1999</b:Year>
    <b:Pages>875-899</b:Pages>
    <b:Author>
      <b:Author>
        <b:NameList>
          <b:Person>
            <b:Last>Chevalier</b:Last>
            <b:First>J</b:First>
          </b:Person>
          <b:Person>
            <b:Last>Ellison</b:Last>
            <b:First>G</b:First>
          </b:Person>
        </b:NameList>
      </b:Author>
    </b:Author>
    <b:Volume>54</b:Volume>
    <b:Issue>3</b:Issue>
    <b:RefOrder>12</b:RefOrder>
  </b:Source>
  <b:Source>
    <b:Tag>Atk03</b:Tag>
    <b:SourceType>JournalArticle</b:SourceType>
    <b:Guid>{65AAF0D2-ACD3-4B66-BB02-80ABF658005E}</b:Guid>
    <b:Title>Do female mutual fund managers manage differently</b:Title>
    <b:JournalName>The Journal of Financial Research</b:JournalName>
    <b:Year>2003</b:Year>
    <b:Pages>1-18</b:Pages>
    <b:Author>
      <b:Author>
        <b:NameList>
          <b:Person>
            <b:Last>Atkinson</b:Last>
            <b:First>Stanley M</b:First>
          </b:Person>
          <b:Person>
            <b:Last>Baird</b:Last>
            <b:First>Samantha Boyce</b:First>
          </b:Person>
          <b:Person>
            <b:Last>Frye</b:Last>
            <b:First>Melissa B</b:First>
          </b:Person>
        </b:NameList>
      </b:Author>
    </b:Author>
    <b:Volume>XXVI</b:Volume>
    <b:Issue>1</b:Issue>
    <b:RefOrder>13</b:RefOrder>
  </b:Source>
  <b:Source>
    <b:Tag>Fol15</b:Tag>
    <b:SourceType>DocumentFromInternetSite</b:SourceType>
    <b:Guid>{D72B9686-D669-429E-B8C8-DCAB317A83CA}</b:Guid>
    <b:InternetSiteTitle>Financial Times</b:InternetSiteTitle>
    <b:Year>2015</b:Year>
    <b:Month>February</b:Month>
    <b:Day>9</b:Day>
    <b:URL>http://www.ft.com/cms/s/0/92007f04-b035-11e4-92b6-00144feab7de.html#axzz3SMpYXY18</b:URL>
    <b:Author>
      <b:Author>
        <b:NameList>
          <b:Person>
            <b:Last>Foley</b:Last>
            <b:First>Stephen</b:First>
          </b:Person>
        </b:NameList>
      </b:Author>
    </b:Author>
    <b:YearAccessed>2015</b:YearAccessed>
    <b:MonthAccessed>February</b:MonthAccessed>
    <b:DayAccessed>20</b:DayAccessed>
    <b:Title>Is gender a factor in fund performance</b:Title>
    <b:RefOrder>17</b:RefOrder>
  </b:Source>
  <b:Source>
    <b:Tag>Mey06</b:Tag>
    <b:SourceType>JournalArticle</b:SourceType>
    <b:Guid>{214A3CCE-62E0-4F30-B8FE-DDF95086DD06}</b:Guid>
    <b:Title>The unit trust industry in South Africa from 1965 to June 2005: are investors better off?</b:Title>
    <b:JournalName>Meditari Accountancy Research</b:JournalName>
    <b:Year>2006</b:Year>
    <b:Pages>49-67</b:Pages>
    <b:Volume>14</b:Volume>
    <b:Issue>1</b:Issue>
    <b:Author>
      <b:Author>
        <b:NameList>
          <b:Person>
            <b:Last>Meyer-Pretorius</b:Last>
            <b:Middle>C</b:Middle>
            <b:First>M</b:First>
          </b:Person>
          <b:Person>
            <b:Last>Wolmarans</b:Last>
            <b:Middle>P</b:Middle>
            <b:First>H</b:First>
          </b:Person>
        </b:NameList>
      </b:Author>
    </b:Author>
    <b:RefOrder>20</b:RefOrder>
  </b:Source>
  <b:Source>
    <b:Tag>Glo14</b:Tag>
    <b:SourceType>InternetSite</b:SourceType>
    <b:Guid>{BC111F01-D6A7-46CB-8179-4CCF88824FBF}</b:Guid>
    <b:Title>Global Mutual Fund Industry Experiencing Rapid Growth</b:Title>
    <b:InternetSiteTitle>ICI Global</b:InternetSiteTitle>
    <b:Year>2014</b:Year>
    <b:Month>March</b:Month>
    <b:Day>31</b:Day>
    <b:URL>https://www.iciglobal.org/iciglobal/news/news/ci.14_news_icig_globalisation.global</b:URL>
    <b:YearAccessed>2015</b:YearAccessed>
    <b:MonthAccessed>June</b:MonthAccessed>
    <b:DayAccessed>28</b:DayAccessed>
    <b:Author>
      <b:Author>
        <b:Corporate>Investment Company Institute Global</b:Corporate>
      </b:Author>
    </b:Author>
    <b:RefOrder>22</b:RefOrder>
  </b:Source>
  <b:Source>
    <b:Tag>Ass15</b:Tag>
    <b:SourceType>InternetSite</b:SourceType>
    <b:Guid>{F1AC5429-0479-4B0F-8C68-588D84494C25}</b:Guid>
    <b:Title>Home</b:Title>
    <b:Year>2015</b:Year>
    <b:Author>
      <b:Author>
        <b:Corporate>Association for Savings and Investment South Africa</b:Corporate>
      </b:Author>
    </b:Author>
    <b:InternetSiteTitle>Association for Savings and Investment South Africa</b:InternetSiteTitle>
    <b:URL>http://asisa.org.za/index.php/en/</b:URL>
    <b:YearAccessed>2015</b:YearAccessed>
    <b:MonthAccessed>June</b:MonthAccessed>
    <b:DayAccessed>28</b:DayAccessed>
    <b:RefOrder>24</b:RefOrder>
  </b:Source>
  <b:Source>
    <b:Tag>San15</b:Tag>
    <b:SourceType>InternetSite</b:SourceType>
    <b:Guid>{CF392616-A8DC-4E4E-9F6D-295E9773F535}</b:Guid>
    <b:Author>
      <b:Author>
        <b:NameList>
          <b:Person>
            <b:Last>Ruiters</b:Last>
            <b:First>S</b:First>
          </b:Person>
        </b:NameList>
      </b:Author>
    </b:Author>
    <b:Title>Staggering growth for SA unit trust industry</b:Title>
    <b:InternetSiteTitle>FA News</b:InternetSiteTitle>
    <b:Year>2015</b:Year>
    <b:Month>June</b:Month>
    <b:Day>23</b:Day>
    <b:URL>http://www.fanews.co.za/article/investments/8/general/1133/staggering-growth-for-sa-unit-trust-industry/18182</b:URL>
    <b:YearAccessed>2015</b:YearAccessed>
    <b:MonthAccessed>June</b:MonthAccessed>
    <b:DayAccessed>28</b:DayAccessed>
    <b:RefOrder>25</b:RefOrder>
  </b:Source>
  <b:Source>
    <b:Tag>Fam70</b:Tag>
    <b:SourceType>JournalArticle</b:SourceType>
    <b:Guid>{FCF49EEF-C2D3-486D-A4B0-787F3FF15BCA}</b:Guid>
    <b:Author>
      <b:Author>
        <b:NameList>
          <b:Person>
            <b:Last>Fama</b:Last>
            <b:First>E</b:First>
          </b:Person>
        </b:NameList>
      </b:Author>
    </b:Author>
    <b:Title>Efficient Capital Markets: A Review of Theory and Empirical Work</b:Title>
    <b:JournalName>The Journal of Finance</b:JournalName>
    <b:Year>1970</b:Year>
    <b:Pages>383-417</b:Pages>
    <b:Volume>25</b:Volume>
    <b:Issue>2</b:Issue>
    <b:RefOrder>49</b:RefOrder>
  </b:Source>
  <b:Source>
    <b:Tag>Ber14</b:Tag>
    <b:SourceType>JournalArticle</b:SourceType>
    <b:Guid>{F5B5451A-61F6-4F2B-9F49-ED08C296F634}</b:Guid>
    <b:Title>An investigation into South African general equity unit trust performance during different economic periods</b:Title>
    <b:Year>2014</b:Year>
    <b:JournalName>South African Acturial Journal</b:JournalName>
    <b:Pages>73-99</b:Pages>
    <b:Author>
      <b:Author>
        <b:NameList>
          <b:Person>
            <b:Last>Bertolis</b:Last>
            <b:Middle>E</b:Middle>
            <b:First>D</b:First>
          </b:Person>
          <b:Person>
            <b:Last>Hayes</b:Last>
            <b:First>M</b:First>
          </b:Person>
        </b:NameList>
      </b:Author>
    </b:Author>
    <b:Volume>14</b:Volume>
    <b:Issue>1</b:Issue>
    <b:RefOrder>56</b:RefOrder>
  </b:Source>
  <b:Source>
    <b:Tag>Max10</b:Tag>
    <b:SourceType>JournalArticle</b:SourceType>
    <b:Guid>{0355DDBE-F63A-44AD-AF82-3915F311DFDE}</b:Guid>
    <b:Title>Gender and risk: women, risk taking and risk aversion</b:Title>
    <b:JournalName>Gender in Management: An International Journal</b:JournalName>
    <b:Year>2010</b:Year>
    <b:Pages>586-604</b:Pages>
    <b:Author>
      <b:Author>
        <b:NameList>
          <b:Person>
            <b:Last>Maxfield</b:Last>
            <b:First>S</b:First>
          </b:Person>
          <b:Person>
            <b:Last>Shapiro</b:Last>
            <b:First>M</b:First>
          </b:Person>
        </b:NameList>
      </b:Author>
    </b:Author>
    <b:Volume>25</b:Volume>
    <b:Issue>7</b:Issue>
    <b:RefOrder>37</b:RefOrder>
  </b:Source>
  <b:Source>
    <b:Tag>Slo</b:Tag>
    <b:SourceType>JournalArticle</b:SourceType>
    <b:Guid>{5F0776EE-02B3-4584-934A-15A8E3112C3C}</b:Guid>
    <b:Author>
      <b:Author>
        <b:NameList>
          <b:Person>
            <b:Last>Slovic</b:Last>
            <b:First>P</b:First>
          </b:Person>
        </b:NameList>
      </b:Author>
    </b:Author>
    <b:Title>Risk taking in children: Age and sex differences</b:Title>
    <b:JournalName>Child Development</b:JournalName>
    <b:Year>1966</b:Year>
    <b:Pages>169-176</b:Pages>
    <b:Month>March</b:Month>
    <b:Volume>37</b:Volume>
    <b:Issue>1</b:Issue>
    <b:RefOrder>39</b:RefOrder>
  </b:Source>
  <b:Source>
    <b:Tag>Bli11</b:Tag>
    <b:SourceType>JournalArticle</b:SourceType>
    <b:Guid>{4EC38536-1BAE-4B9B-BCB1-A5CE7A6D5555}</b:Guid>
    <b:Title>Decision Making and Risk Aversion in the Cash Cab</b:Title>
    <b:JournalName>Journal of Economic Behavior &amp; Organization</b:JournalName>
    <b:Year>2011</b:Year>
    <b:Pages>163-173</b:Pages>
    <b:Author>
      <b:Author>
        <b:NameList>
          <b:Person>
            <b:Last>Bliss</b:Last>
            <b:First>Richard</b:First>
            <b:Middle>T</b:Middle>
          </b:Person>
          <b:Person>
            <b:Last>Potter</b:Last>
            <b:First>Mark</b:First>
            <b:Middle>E</b:Middle>
          </b:Person>
          <b:Person>
            <b:Last>Schwarz</b:Last>
            <b:First>Christoper</b:First>
          </b:Person>
        </b:NameList>
      </b:Author>
    </b:Author>
    <b:Month>April</b:Month>
    <b:Day>21</b:Day>
    <b:Volume>84</b:Volume>
    <b:Issue>1</b:Issue>
    <b:RefOrder>41</b:RefOrder>
  </b:Source>
  <b:Source>
    <b:Tag>Faf11</b:Tag>
    <b:SourceType>JournalArticle</b:SourceType>
    <b:Guid>{08CBC9A0-61BE-4398-A85E-A43FDD841EF5}</b:Guid>
    <b:Title>Women and risk tolerance in an ageing world</b:Title>
    <b:Year>2011</b:Year>
    <b:JournalName>Internal Journal of Accounting and Information Management</b:JournalName>
    <b:Pages>100-117</b:Pages>
    <b:Author>
      <b:Author>
        <b:NameList>
          <b:Person>
            <b:Last>Faff</b:Last>
            <b:First>R</b:First>
          </b:Person>
          <b:Person>
            <b:Last>Hallahan</b:Last>
            <b:First>T</b:First>
          </b:Person>
          <b:Person>
            <b:Last>McKenzie</b:Last>
            <b:First>M</b:First>
          </b:Person>
        </b:NameList>
      </b:Author>
    </b:Author>
    <b:Volume>19</b:Volume>
    <b:Issue>2</b:Issue>
    <b:RefOrder>42</b:RefOrder>
  </b:Source>
  <b:Source>
    <b:Tag>Pow97</b:Tag>
    <b:SourceType>JournalArticle</b:SourceType>
    <b:Guid>{239CBB6C-3B82-4251-96B5-52B50FB6BBCE}</b:Guid>
    <b:Title>Gender differences in risk behaviour in financial decision-making: An experimental analysis</b:Title>
    <b:JournalName>Journal of Econmic Psychology</b:JournalName>
    <b:Year>1997</b:Year>
    <b:Pages>605-628</b:Pages>
    <b:Author>
      <b:Author>
        <b:NameList>
          <b:Person>
            <b:Last>Powell</b:Last>
            <b:First>M</b:First>
          </b:Person>
          <b:Person>
            <b:Last>Ansic</b:Last>
            <b:First>D</b:First>
          </b:Person>
        </b:NameList>
      </b:Author>
    </b:Author>
    <b:Volume>18</b:Volume>
    <b:Issue>1</b:Issue>
    <b:RefOrder>43</b:RefOrder>
  </b:Source>
  <b:Source>
    <b:Tag>Rob06</b:Tag>
    <b:SourceType>JournalArticle</b:SourceType>
    <b:Guid>{9FBF1916-C11E-4302-819C-D7A418C785A9}</b:Guid>
    <b:Title>Reliability and validity in research</b:Title>
    <b:JournalName>Nursing Standard</b:JournalName>
    <b:Year>2006</b:Year>
    <b:Pages>41-45</b:Pages>
    <b:Author>
      <b:Author>
        <b:NameList>
          <b:Person>
            <b:Last>Roberts</b:Last>
            <b:First>P</b:First>
          </b:Person>
          <b:Person>
            <b:Last>Priest</b:Last>
            <b:First>H</b:First>
          </b:Person>
          <b:Person>
            <b:Last>Traynor</b:Last>
            <b:First>M</b:First>
          </b:Person>
        </b:NameList>
      </b:Author>
    </b:Author>
    <b:Month>July</b:Month>
    <b:Volume>20</b:Volume>
    <b:Issue>44</b:Issue>
    <b:RefOrder>61</b:RefOrder>
  </b:Source>
  <b:Source>
    <b:Tag>Bry12</b:Tag>
    <b:SourceType>Book</b:SourceType>
    <b:Guid>{92DB521F-071D-4D56-AD1F-75EC88245D84}</b:Guid>
    <b:Title>Social research methods</b:Title>
    <b:Year>2012</b:Year>
    <b:Author>
      <b:Author>
        <b:NameList>
          <b:Person>
            <b:Last>Bryman</b:Last>
            <b:First>A</b:First>
          </b:Person>
        </b:NameList>
      </b:Author>
    </b:Author>
    <b:City>New York</b:City>
    <b:Publisher>Oxford University Press Inc</b:Publisher>
    <b:RefOrder>62</b:RefOrder>
  </b:Source>
  <b:Source>
    <b:Tag>ASI15</b:Tag>
    <b:SourceType>InternetSite</b:SourceType>
    <b:Guid>{650628F8-1239-4E64-96C2-5C0916B1E4EE}</b:Guid>
    <b:Title>Statistics</b:Title>
    <b:Year>2015</b:Year>
    <b:Author>
      <b:Author>
        <b:Corporate>ASISA</b:Corporate>
      </b:Author>
    </b:Author>
    <b:InternetSiteTitle>ASISA</b:InternetSiteTitle>
    <b:Month>June</b:Month>
    <b:Day>30</b:Day>
    <b:URL>http://www.asisa.org.za/en/statistics</b:URL>
    <b:YearAccessed>2016</b:YearAccessed>
    <b:MonthAccessed>February</b:MonthAccessed>
    <b:DayAccessed>09</b:DayAccessed>
    <b:RefOrder>66</b:RefOrder>
  </b:Source>
  <b:Source>
    <b:Tag>Sta13</b:Tag>
    <b:SourceType>DocumentFromInternetSite</b:SourceType>
    <b:Guid>{F9308AAD-3354-47A2-AD6B-0B085D7CC848}</b:Guid>
    <b:Title>ASISA fund reclassification</b:Title>
    <b:InternetSiteTitle>StanLib</b:InternetSiteTitle>
    <b:Year>2013</b:Year>
    <b:Month>January</b:Month>
    <b:Day>01</b:Day>
    <b:URL>http://www.stanlib.com/newsatstanlib/Documents/ASISAClassification4.pdf</b:URL>
    <b:Author>
      <b:Author>
        <b:Corporate>Stanlib</b:Corporate>
      </b:Author>
    </b:Author>
    <b:YearAccessed>2016</b:YearAccessed>
    <b:MonthAccessed>February</b:MonthAccessed>
    <b:DayAccessed>09</b:DayAccessed>
    <b:RefOrder>67</b:RefOrder>
  </b:Source>
  <b:Source>
    <b:Tag>New15</b:Tag>
    <b:SourceType>Report</b:SourceType>
    <b:Guid>{EC9E0B48-84E5-471B-89F6-FFB4ED5E2036}</b:Guid>
    <b:Title>Female fund managers in decline</b:Title>
    <b:Year>2015</b:Year>
    <b:URL>http://www.ft.com/cms/s/0/bd951000-a7af-11e4-8e78-00144feab7de.html#axzz3zlkGiDn7</b:URL>
    <b:Author>
      <b:Author>
        <b:NameList>
          <b:Person>
            <b:Last>Newlands</b:Last>
            <b:First>Chris</b:First>
          </b:Person>
        </b:NameList>
      </b:Author>
    </b:Author>
    <b:Publisher>Financial Times</b:Publisher>
    <b:YearAccessed>2016</b:YearAccessed>
    <b:MonthAccessed>February</b:MonthAccessed>
    <b:DayAccessed>01</b:DayAccessed>
    <b:RefOrder>29</b:RefOrder>
  </b:Source>
  <b:Source>
    <b:Tag>Col15</b:Tag>
    <b:SourceType>InternetSite</b:SourceType>
    <b:Guid>{FA1FEBD3-4F6D-45CA-8FE0-99816A1C72A2}</b:Guid>
    <b:Title>Funds cashing in on gender-lens investing trend</b:Title>
    <b:Year>2015</b:Year>
    <b:InternetSiteTitle>Business Day Live</b:InternetSiteTitle>
    <b:Month>September</b:Month>
    <b:Day>16</b:Day>
    <b:URL>http://www.bdlive.co.za/business/management/2015/09/16/funds-cashing-in-on-gender-lens-investing-trend</b:URL>
    <b:YearAccessed>2016</b:YearAccessed>
    <b:MonthAccessed>February</b:MonthAccessed>
    <b:DayAccessed>02</b:DayAccessed>
    <b:Author>
      <b:Author>
        <b:NameList>
          <b:Person>
            <b:Last>Colby</b:Last>
            <b:First>Laura</b:First>
          </b:Person>
        </b:NameList>
      </b:Author>
    </b:Author>
    <b:RefOrder>35</b:RefOrder>
  </b:Source>
  <b:Source>
    <b:Tag>Men11</b:Tag>
    <b:SourceType>JournalArticle</b:SourceType>
    <b:Guid>{B6F5C45F-8E73-4080-8743-2629F8742B21}</b:Guid>
    <b:Title>Do women manage smaller funds?</b:Title>
    <b:Year>2011</b:Year>
    <b:URL>http://onlinelibrary.wiley.com/doi/10.1111/j.1467-9485.2010.00537.x/full</b:URL>
    <b:Author>
      <b:Author>
        <b:NameList>
          <b:Person>
            <b:Last>Hübler</b:Last>
            <b:First>Olaf</b:First>
          </b:Person>
          <b:Person>
            <b:Last>Menkhoff</b:Last>
            <b:First>Lukas</b:First>
          </b:Person>
        </b:NameList>
      </b:Author>
    </b:Author>
    <b:JournalName>Scottish Journal of Political Economy</b:JournalName>
    <b:Pages>107-126</b:Pages>
    <b:Volume>58</b:Volume>
    <b:Issue>1</b:Issue>
    <b:YearAccessed>2016</b:YearAccessed>
    <b:MonthAccessed>February</b:MonthAccessed>
    <b:DayAccessed>05</b:DayAccessed>
    <b:RefOrder>59</b:RefOrder>
  </b:Source>
  <b:Source>
    <b:Tag>Vir12</b:Tag>
    <b:SourceType>InternetSite</b:SourceType>
    <b:Guid>{E95142EC-EF6D-4060-B73D-9167DA6DA389}</b:Guid>
    <b:Author>
      <b:Author>
        <b:Corporate>VirginiaTech</b:Corporate>
      </b:Author>
    </b:Author>
    <b:Title>Women's Wealth and Philanthropy</b:Title>
    <b:Year>2012</b:Year>
    <b:InternetSiteTitle>VirginiaTech</b:InternetSiteTitle>
    <b:URL>http://www.wlp.givingto.vt.edu/wealth/index.html</b:URL>
    <b:YearAccessed>2016</b:YearAccessed>
    <b:MonthAccessed>February</b:MonthAccessed>
    <b:DayAccessed>25</b:DayAccessed>
    <b:RefOrder>48</b:RefOrder>
  </b:Source>
  <b:Source>
    <b:Tag>Can08</b:Tag>
    <b:SourceType>InternetSite</b:SourceType>
    <b:Guid>{2876A6E2-B373-4280-9D68-695E84AE2BD4}</b:Guid>
    <b:Title>Uncovering the layers of noise that mask manager skill</b:Title>
    <b:Year>2008</b:Year>
    <b:Author>
      <b:Author>
        <b:NameList>
          <b:Person>
            <b:Last>Cabot-Alletzhauser</b:Last>
            <b:First>Anne</b:First>
          </b:Person>
        </b:NameList>
      </b:Author>
    </b:Author>
    <b:InternetSiteTitle>Fin24</b:InternetSiteTitle>
    <b:Month>November</b:Month>
    <b:Day>10</b:Day>
    <b:URL>http://www.fin24.com/Collective-Insight/Benchmarking-performance/Uncovering-the-layers-of-noise-that-mask-manager-skill-20090825</b:URL>
    <b:YearAccessed>2015</b:YearAccessed>
    <b:MonthAccessed>November</b:MonthAccessed>
    <b:DayAccessed>12</b:DayAccessed>
    <b:RefOrder>53</b:RefOrder>
  </b:Source>
  <b:Source>
    <b:Tag>Les15</b:Tag>
    <b:SourceType>ConferenceProceedings</b:SourceType>
    <b:Guid>{1D668792-134E-4D4E-9CEC-0F033029F2E1}</b:Guid>
    <b:Title>The sources of South African equity fund performance</b:Title>
    <b:Year>2015</b:Year>
    <b:URL>http://actuarialsocietyconvention.org.za/wp-content/uploads/2015/11/2015-LesterCorubolo.pdf</b:URL>
    <b:Pages>140-196</b:Pages>
    <b:ConferenceName>Actuarial Society of South Africa’s 2015 Convention</b:ConferenceName>
    <b:City>Sandton</b:City>
    <b:Publisher>Actuarial Society of South Africa</b:Publisher>
    <b:Author>
      <b:Author>
        <b:NameList>
          <b:Person>
            <b:Last>Lester</b:Last>
            <b:First>N</b:First>
          </b:Person>
          <b:Person>
            <b:Last>Corubolo</b:Last>
            <b:First>D</b:First>
          </b:Person>
        </b:NameList>
      </b:Author>
    </b:Author>
    <b:YearAccessed>2016</b:YearAccessed>
    <b:MonthAccessed>February</b:MonthAccessed>
    <b:DayAccessed>27</b:DayAccessed>
    <b:RefOrder>54</b:RefOrder>
  </b:Source>
  <b:Source>
    <b:Tag>Tra16</b:Tag>
    <b:SourceType>InternetSite</b:SourceType>
    <b:Guid>{5283B586-3C9D-42DC-BA75-773CFDA38B5B}</b:Guid>
    <b:Title>South Africa leading economic index</b:Title>
    <b:Year>2016</b:Year>
    <b:Author>
      <b:Author>
        <b:Corporate>Trading Economics</b:Corporate>
      </b:Author>
    </b:Author>
    <b:InternetSiteTitle>Trading Economics</b:InternetSiteTitle>
    <b:Month>February</b:Month>
    <b:Day>01</b:Day>
    <b:URL>http://www.tradingeconomics.com/south-africa/leading-economic-index</b:URL>
    <b:YearAccessed>2016</b:YearAccessed>
    <b:MonthAccessed>February</b:MonthAccessed>
    <b:DayAccessed>27</b:DayAccessed>
    <b:RefOrder>65</b:RefOrder>
  </b:Source>
  <b:Source>
    <b:Tag>Ada09</b:Tag>
    <b:SourceType>JournalArticle</b:SourceType>
    <b:Guid>{EB56388C-BB84-4488-B04E-D5C1684B8050}</b:Guid>
    <b:Title>Women in the boardroom and their impact on governance and performance</b:Title>
    <b:Year>2009</b:Year>
    <b:JournalName>Journal of Financial Economics</b:JournalName>
    <b:Pages>291-309</b:Pages>
    <b:Author>
      <b:Author>
        <b:NameList>
          <b:Person>
            <b:Last>Adams</b:Last>
            <b:Middle>B</b:Middle>
            <b:First>R</b:First>
          </b:Person>
          <b:Person>
            <b:Last>Ferreira</b:Last>
            <b:First>D</b:First>
          </b:Person>
        </b:NameList>
      </b:Author>
    </b:Author>
    <b:Volume>94</b:Volume>
    <b:Issue>2</b:Issue>
    <b:RefOrder>34</b:RefOrder>
  </b:Source>
  <b:Source>
    <b:Tag>Inv152</b:Tag>
    <b:SourceType>InternetSite</b:SourceType>
    <b:Guid>{BC93D77E-9D8F-4491-B39B-B1598CE85EB2}</b:Guid>
    <b:Year>2015</b:Year>
    <b:Author>
      <b:Author>
        <b:Corporate>Investor Hub Inc</b:Corporate>
      </b:Author>
    </b:Author>
    <b:URL>http://learn.advfn.com/index.php?title=Stock_Market_Definitions#Introduction_to_the_stock_market_and_investing</b:URL>
    <b:Title>Stock market definations</b:Title>
    <b:InternetSiteTitle>InvestorHub</b:InternetSiteTitle>
    <b:YearAccessed>2015</b:YearAccessed>
    <b:MonthAccessed>06</b:MonthAccessed>
    <b:DayAccessed>03</b:DayAccessed>
    <b:RefOrder>19</b:RefOrder>
  </b:Source>
  <b:Source>
    <b:Tag>Fri03</b:Tag>
    <b:SourceType>Report</b:SourceType>
    <b:Guid>{D0BA64EE-C5A5-4E32-92F8-B4229905DD5C}</b:Guid>
    <b:Title>Are some fund managers better than others? The relationship between manager characteristics and fund performance</b:Title>
    <b:Year>2003</b:Year>
    <b:Author>
      <b:Author>
        <b:NameList>
          <b:Person>
            <b:Last>Friis</b:Last>
            <b:First>L</b:First>
          </b:Person>
        </b:NameList>
      </b:Author>
    </b:Author>
    <b:Publisher>Stellenbosch University</b:Publisher>
    <b:City>Cape Town</b:City>
    <b:YearAccessed>2015</b:YearAccessed>
    <b:MonthAccessed>June</b:MonthAccessed>
    <b:DayAccessed>20</b:DayAccessed>
    <b:URL>http://scholar.sun.ac.za</b:URL>
    <b:ThesisType>MBA research report</b:ThesisType>
    <b:RefOrder>57</b:RefOrder>
  </b:Source>
  <b:Source>
    <b:Tag>Old97</b:Tag>
    <b:SourceType>JournalArticle</b:SourceType>
    <b:Guid>{D9843AF3-A16F-4FF4-AAF5-4FE5D6D31813}</b:Guid>
    <b:Title>Assessing portfolio performance: The case of South African Unit Trusts</b:Title>
    <b:JournalName>Investment Analysts Journal</b:JournalName>
    <b:Year>1997</b:Year>
    <b:Pages>25-41</b:Pages>
    <b:Author>
      <b:Author>
        <b:NameList>
          <b:Person>
            <b:Last>Oldfield</b:Last>
            <b:Middle>E</b:Middle>
            <b:First>Craig</b:First>
          </b:Person>
          <b:Person>
            <b:Last>Page</b:Last>
            <b:Middle>J</b:Middle>
            <b:First>Michael</b:First>
          </b:Person>
        </b:NameList>
      </b:Author>
    </b:Author>
    <b:Volume>26</b:Volume>
    <b:Issue>44</b:Issue>
    <b:RefOrder>51</b:RefOrder>
  </b:Source>
  <b:Source>
    <b:Tag>Ber09</b:Tag>
    <b:SourceType>Book</b:SourceType>
    <b:Guid>{0253D8A8-8927-4431-B548-DFA24ADF56A9}</b:Guid>
    <b:Title>Basic Business Statistics</b:Title>
    <b:Year>2009</b:Year>
    <b:Author>
      <b:Author>
        <b:NameList>
          <b:Person>
            <b:Last>Berenson</b:Last>
            <b:Middle>L</b:Middle>
            <b:First>Mark</b:First>
          </b:Person>
          <b:Person>
            <b:Last>Levine</b:Last>
            <b:Middle>M</b:Middle>
            <b:First>David</b:First>
          </b:Person>
          <b:Person>
            <b:Last>Krehbiel</b:Last>
            <b:Middle>C</b:Middle>
            <b:First>Timothy</b:First>
          </b:Person>
        </b:NameList>
      </b:Author>
    </b:Author>
    <b:City>New Jersey</b:City>
    <b:Publisher>Pearson Education</b:Publisher>
    <b:Edition>2nd</b:Edition>
    <b:RefOrder>60</b:RefOrder>
  </b:Source>
  <b:Source>
    <b:Tag>Fac14</b:Tag>
    <b:SourceType>Report</b:SourceType>
    <b:Guid>{991AB02A-4580-4043-A96C-142FC4608208}</b:Guid>
    <b:Title>CEO Gender, Corporate Risk-Taking and the Efficiency of Capital Allocation</b:Title>
    <b:Year>2014</b:Year>
    <b:Author>
      <b:Author>
        <b:NameList>
          <b:Person>
            <b:Last>Faccio</b:Last>
            <b:First>M</b:First>
          </b:Person>
          <b:Person>
            <b:Last>Marchica</b:Last>
            <b:First>M</b:First>
          </b:Person>
          <b:Person>
            <b:Last>Mura</b:Last>
            <b:First>R</b:First>
          </b:Person>
        </b:NameList>
      </b:Author>
    </b:Author>
    <b:City>Manchester</b:City>
    <b:Institution>University of Manchester</b:Institution>
    <b:Medium>Available at SSRN 2021136, 2015</b:Medium>
    <b:RefOrder>33</b:RefOrder>
  </b:Source>
  <b:Source>
    <b:Tag>Per16</b:Tag>
    <b:SourceType>JournalArticle</b:SourceType>
    <b:Guid>{4DB618C6-B311-49C2-8556-97590FD79702}</b:Guid>
    <b:Title>Do gender differences persist? An examination of gender diversity on firm performance, risk, and executive compensation</b:Title>
    <b:Year>2016</b:Year>
    <b:Author>
      <b:Author>
        <b:NameList>
          <b:Person>
            <b:Last>Perryman</b:Last>
            <b:First>Alexa</b:First>
            <b:Middle>A.</b:Middle>
          </b:Person>
          <b:Person>
            <b:Last>Fernando</b:Last>
            <b:First>Guy</b:First>
            <b:Middle>D.</b:Middle>
          </b:Person>
          <b:Person>
            <b:Last>Tripathy</b:Last>
            <b:First>Arindam</b:First>
          </b:Person>
        </b:NameList>
      </b:Author>
    </b:Author>
    <b:JournalName>Journal of Business Research</b:JournalName>
    <b:Pages>579–586</b:Pages>
    <b:Volume>69</b:Volume>
    <b:Issue>2</b:Issue>
    <b:RefOrder>32</b:RefOrder>
  </b:Source>
  <b:Source>
    <b:Tag>Dez12</b:Tag>
    <b:SourceType>JournalArticle</b:SourceType>
    <b:Guid>{32E10BAF-D460-4CFC-9F33-99BDAC72ADCB}</b:Guid>
    <b:Title>Does female representation in the top management improve firm performance? A panel date investigation</b:Title>
    <b:JournalName>Strategic Management Journal</b:JournalName>
    <b:Year>2012</b:Year>
    <b:Pages>1072-1089</b:Pages>
    <b:Author>
      <b:Author>
        <b:NameList>
          <b:Person>
            <b:Last>Dezso</b:Last>
            <b:First>Cristian</b:First>
          </b:Person>
          <b:Person>
            <b:Last>Ross</b:Last>
            <b:First>David</b:First>
          </b:Person>
        </b:NameList>
      </b:Author>
    </b:Author>
    <b:Volume>33</b:Volume>
    <b:Issue>9</b:Issue>
    <b:RefOrder>36</b:RefOrder>
  </b:Source>
  <b:Source>
    <b:Tag>Hac09</b:Tag>
    <b:SourceType>JournalArticle</b:SourceType>
    <b:Guid>{A767943B-9FF4-4A8F-B265-5415133E95DD}</b:Guid>
    <b:Title>Financial advisors: A case of babysitters?</b:Title>
    <b:JournalName>Journal of Banking &amp; Finance</b:JournalName>
    <b:Year>2012</b:Year>
    <b:Author>
      <b:Author>
        <b:NameList>
          <b:Person>
            <b:Last>Hackethal</b:Last>
            <b:First>A</b:First>
          </b:Person>
          <b:Person>
            <b:Last>Haliassos</b:Last>
            <b:First>M</b:First>
          </b:Person>
          <b:Person>
            <b:Last>Jappelli</b:Last>
            <b:First>Tullio</b:First>
          </b:Person>
        </b:NameList>
      </b:Author>
    </b:Author>
    <b:Volume>36</b:Volume>
    <b:Issue>2</b:Issue>
    <b:Pages>509-524</b:Pages>
    <b:RefOrder>26</b:RefOrder>
  </b:Source>
  <b:Source>
    <b:Tag>Hir06</b:Tag>
    <b:SourceType>Report</b:SourceType>
    <b:Guid>{AA089C20-E204-4775-BD86-EBE536FB9ADA}</b:Guid>
    <b:Title>Gender Differences in Investment Behavior</b:Title>
    <b:Year>2008</b:Year>
    <b:Institution>Iowa State University</b:Institution>
    <b:YearAccessed>2016</b:YearAccessed>
    <b:MonthAccessed>February</b:MonthAccessed>
    <b:DayAccessed>25</b:DayAccessed>
    <b:URL>http://www.finrafoundation.org/web/groups/foundation/@foundation/documents/foundation/p118417.pdf</b:URL>
    <b:Author>
      <b:Author>
        <b:NameList>
          <b:Person>
            <b:Last>Hira</b:Last>
            <b:First>T</b:First>
          </b:Person>
          <b:Person>
            <b:Last>Loibl</b:Last>
            <b:First>C</b:First>
          </b:Person>
        </b:NameList>
      </b:Author>
    </b:Author>
    <b:Publisher>Springer</b:Publisher>
    <b:City>New York</b:City>
    <b:Pages>253-270</b:Pages>
    <b:RefOrder>44</b:RefOrder>
  </b:Source>
  <b:Source>
    <b:Tag>Byr99</b:Tag>
    <b:SourceType>JournalArticle</b:SourceType>
    <b:Guid>{FD59B953-B09C-4CB5-AB40-E7229D160377}</b:Guid>
    <b:Title>Gender differences in risk taking: A meta-analysis</b:Title>
    <b:JournalName>American Psychological Association</b:JournalName>
    <b:Year>1999</b:Year>
    <b:Pages>367-383</b:Pages>
    <b:Author>
      <b:Author>
        <b:NameList>
          <b:Person>
            <b:Last>Byrnes</b:Last>
            <b:Middle>P</b:Middle>
            <b:First>J</b:First>
          </b:Person>
          <b:Person>
            <b:Last>Miller</b:Last>
            <b:Middle>C</b:Middle>
            <b:First>D</b:First>
          </b:Person>
          <b:Person>
            <b:Last>Schafer</b:Last>
            <b:Middle>D</b:Middle>
            <b:First>W</b:First>
          </b:Person>
        </b:NameList>
      </b:Author>
    </b:Author>
    <b:Volume>125</b:Volume>
    <b:Issue>3</b:Issue>
    <b:RefOrder>40</b:RefOrder>
  </b:Source>
  <b:Source>
    <b:Tag>Gen98</b:Tag>
    <b:SourceType>JournalArticle</b:SourceType>
    <b:Guid>{B6183B45-14C1-457D-B596-0A9CC9CA1681}</b:Guid>
    <b:Title>Gender differences in the allocation of assets in retirement savings plans</b:Title>
    <b:Year>1998</b:Year>
    <b:JournalName>The American Economic Review</b:JournalName>
    <b:Pages>207-211</b:Pages>
    <b:Volume>88</b:Volume>
    <b:Issue>2</b:Issue>
    <b:Author>
      <b:Author>
        <b:NameList>
          <b:Person>
            <b:Last>Sundén</b:Last>
            <b:First>Annika</b:First>
          </b:Person>
          <b:Person>
            <b:Last>Surette</b:Last>
            <b:First>Brian</b:First>
          </b:Person>
        </b:NameList>
      </b:Author>
    </b:Author>
    <b:RefOrder>45</b:RefOrder>
  </b:Source>
  <b:Source>
    <b:Tag>Bab15</b:Tag>
    <b:SourceType>JournalArticle</b:SourceType>
    <b:Guid>{AF3CB46A-F93B-405A-87E2-921336352C01}</b:Guid>
    <b:Title>Gender, style, diversity and their effect on fund performance</b:Title>
    <b:JournalName>Research in International Business and Finance</b:JournalName>
    <b:Year>2015</b:Year>
    <b:Pages>57-74</b:Pages>
    <b:Author>
      <b:Author>
        <b:NameList>
          <b:Person>
            <b:Last>Babalos</b:Last>
            <b:First>Vassilios</b:First>
          </b:Person>
          <b:Person>
            <b:Last>Caporale</b:Last>
            <b:First>Guglielmo</b:First>
            <b:Middle>Maria</b:Middle>
          </b:Person>
          <b:Person>
            <b:Last>Philippas</b:Last>
            <b:First>Nikolaos</b:First>
          </b:Person>
        </b:NameList>
      </b:Author>
    </b:Author>
    <b:Month>September</b:Month>
    <b:Volume>35</b:Volume>
    <b:RefOrder>31</b:RefOrder>
  </b:Source>
  <b:Source>
    <b:Tag>Oak00</b:Tag>
    <b:SourceType>JournalArticle</b:SourceType>
    <b:Guid>{4AF516A8-20CB-4C6A-8750-787978C82978}</b:Guid>
    <b:Author>
      <b:Author>
        <b:NameList>
          <b:Person>
            <b:Last>Oakley</b:Last>
            <b:First>Judith</b:First>
            <b:Middle>G.</b:Middle>
          </b:Person>
        </b:NameList>
      </b:Author>
    </b:Author>
    <b:Title>Gender-based barriers to senior management positions: Understanding the scarcity of female CEOs</b:Title>
    <b:JournalName>Journal of Business Ethics</b:JournalName>
    <b:Year>2000</b:Year>
    <b:Pages>321-334</b:Pages>
    <b:Publisher>Springer</b:Publisher>
    <b:Volume>27</b:Volume>
    <b:Issue>4</b:Issue>
    <b:RefOrder>16</b:RefOrder>
  </b:Source>
  <b:Source>
    <b:Tag>Pla14</b:Tag>
    <b:SourceType>JournalArticle</b:SourceType>
    <b:Guid>{33688D12-C796-46DA-99FC-4D5D06D561E3}</b:Guid>
    <b:Title>Globalisation and the global growth of long-term mutual funds</b:Title>
    <b:Year>2014</b:Year>
    <b:Author>
      <b:Author>
        <b:NameList>
          <b:Person>
            <b:Last>Plantier</b:Last>
            <b:First>L.</b:First>
            <b:Middle>Christopher</b:Middle>
          </b:Person>
        </b:NameList>
      </b:Author>
    </b:Author>
    <b:JournalName>ICI Global Research Perspective</b:JournalName>
    <b:Pages>1-40</b:Pages>
    <b:Volume>1</b:Volume>
    <b:Issue>1</b:Issue>
    <b:RefOrder>23</b:RefOrder>
  </b:Source>
  <b:Source>
    <b:Tag>Mur12</b:Tag>
    <b:SourceType>JournalArticle</b:SourceType>
    <b:Guid>{6EC2E8FB-EAEA-48DD-92C6-506B57E5BC5E}</b:Guid>
    <b:Title>Influence of gender in the saving culture of Sacco members in Nyandarua County, Kenya</b:Title>
    <b:Year>2015</b:Year>
    <b:JournalName>Journal of Investment and Management</b:JournalName>
    <b:Pages>14-24</b:Pages>
    <b:Author>
      <b:Author>
        <b:NameList>
          <b:Person>
            <b:Last>Muriithi</b:Last>
            <b:First>Martin</b:First>
          </b:Person>
          <b:Person>
            <b:Last>Muriithi</b:Last>
            <b:First>Dennis</b:First>
          </b:Person>
        </b:NameList>
      </b:Author>
    </b:Author>
    <b:YearAccessed>2016</b:YearAccessed>
    <b:MonthAccessed>February</b:MonthAccessed>
    <b:DayAccessed>22</b:DayAccessed>
    <b:Volume>4</b:Volume>
    <b:Issue>1</b:Issue>
    <b:RefOrder>46</b:RefOrder>
  </b:Source>
  <b:Source>
    <b:Tag>Whi13</b:Tag>
    <b:SourceType>JournalArticle</b:SourceType>
    <b:Guid>{74892602-B917-49F6-90F3-3E418DEB69B6}</b:Guid>
    <b:Author>
      <b:Author>
        <b:NameList>
          <b:Person>
            <b:Last>Whitaker</b:Last>
            <b:Middle>Ann</b:Middle>
            <b:First>Elizabeth</b:First>
          </b:Person>
          <b:Person>
            <b:Last>Bokemeiner</b:Last>
            <b:Middle>L</b:Middle>
            <b:First>Janet</b:First>
          </b:Person>
          <b:Person>
            <b:Last>Loveridge</b:Last>
            <b:First>Scott</b:First>
          </b:Person>
        </b:NameList>
      </b:Author>
    </b:Author>
    <b:Title>Interactional associations of gender on savings behavior: showing gender’s continued influence on economic action</b:Title>
    <b:JournalName>Journal of Family and Economic Issues</b:JournalName>
    <b:Year>2013</b:Year>
    <b:Pages>105-119</b:Pages>
    <b:Month>March</b:Month>
    <b:Volume>34</b:Volume>
    <b:Issue>1</b:Issue>
    <b:RefOrder>47</b:RefOrder>
  </b:Source>
  <b:Source>
    <b:Tag>Kri13</b:Tag>
    <b:SourceType>JournalArticle</b:SourceType>
    <b:Guid>{D4E9CC8E-B5E4-45AF-85EF-32DCF63AAB31}</b:Guid>
    <b:Title>Investigating the sources of performance in South African general equity unit trusts</b:Title>
    <b:JournalName>Investment Analysts Journal</b:JournalName>
    <b:Year>2013</b:Year>
    <b:Pages>45 - 54</b:Pages>
    <b:Author>
      <b:Author>
        <b:NameList>
          <b:Person>
            <b:Last>Krige</b:Last>
            <b:First>JD</b:First>
          </b:Person>
          <b:Person>
            <b:Last>Fox</b:Last>
            <b:First>MA</b:First>
          </b:Person>
        </b:NameList>
      </b:Author>
    </b:Author>
    <b:Volume>42</b:Volume>
    <b:Issue>77</b:Issue>
    <b:RefOrder>55</b:RefOrder>
  </b:Source>
  <b:Source>
    <b:Tag>Fin18</b:Tag>
    <b:SourceType>InternetSite</b:SourceType>
    <b:Guid>{F95B5D21-1F06-4329-8C9B-39A6F0AE0BAF}</b:Guid>
    <b:Title>Investment</b:Title>
    <b:Year>2014</b:Year>
    <b:Author>
      <b:Author>
        <b:Corporate>Finweek </b:Corporate>
      </b:Author>
    </b:Author>
    <b:InternetSiteTitle>Finweek</b:InternetSiteTitle>
    <b:Month>June</b:Month>
    <b:Day>18</b:Day>
    <b:URL>http://finweek.com/2014/06/18/investment-six-key-steps-choosing-unit-trust-fund/</b:URL>
    <b:YearAccessed>2015</b:YearAccessed>
    <b:MonthAccessed>February</b:MonthAccessed>
    <b:DayAccessed>20</b:DayAccessed>
    <b:RefOrder>9</b:RefOrder>
  </b:Source>
  <b:Source>
    <b:Tag>Gue14</b:Tag>
    <b:SourceType>JournalArticle</b:SourceType>
    <b:Guid>{D36503E4-164A-4813-9E3C-65A97EBE1FF1}</b:Guid>
    <b:Title>Mutual fund performance and the incentive to generate alpha</b:Title>
    <b:Year>2014</b:Year>
    <b:JournalName>The Journal of Finance</b:JournalName>
    <b:Pages>1673-1704</b:Pages>
    <b:Author>
      <b:Author>
        <b:NameList>
          <b:Person>
            <b:Last>Guercio</b:Last>
            <b:First>Diane</b:First>
            <b:Middle>Del</b:Middle>
          </b:Person>
          <b:Person>
            <b:Last>Rueter</b:Last>
            <b:First>Jonathan</b:First>
          </b:Person>
        </b:NameList>
      </b:Author>
    </b:Author>
    <b:Month>August</b:Month>
    <b:Volume>69</b:Volume>
    <b:Issue>4</b:Issue>
    <b:RefOrder>6</b:RefOrder>
  </b:Source>
  <b:Source>
    <b:Tag>LaR13</b:Tag>
    <b:SourceType>InternetSite</b:SourceType>
    <b:Guid>{A01FAD9E-19FC-4F76-9FB0-B732765E6100}</b:Guid>
    <b:InternetSiteTitle>Business Insider</b:InternetSiteTitle>
    <b:Year>2013</b:Year>
    <b:Month>May</b:Month>
    <b:URL>http://www.businessinsider.com/tudor-jones-babies-killer-to-trading-2013-5</b:URL>
    <b:Author>
      <b:Author>
        <b:NameList>
          <b:Person>
            <b:Last>La Roche</b:Last>
            <b:First>Julia</b:First>
          </b:Person>
        </b:NameList>
      </b:Author>
    </b:Author>
    <b:YearAccessed>2015</b:YearAccessed>
    <b:MonthAccessed>February</b:MonthAccessed>
    <b:DayAccessed>20</b:DayAccessed>
    <b:Title>Paul Tudor Jones: Babies are the biggest 'Killer' bf women's trading success</b:Title>
    <b:Day>23</b:Day>
    <b:RefOrder>15</b:RefOrder>
  </b:Source>
  <b:Source>
    <b:Tag>Gre05</b:Tag>
    <b:SourceType>Report</b:SourceType>
    <b:Guid>{8C172C32-742B-4277-A654-B99B41D78200}</b:Guid>
    <b:Title>Performance and performance persistence in South African general equity unit trusts, a test of South African market efficiency</b:Title>
    <b:Year>2005</b:Year>
    <b:Author>
      <b:Author>
        <b:NameList>
          <b:Person>
            <b:Last>Grey</b:Last>
            <b:Middle>Peter</b:Middle>
            <b:First>James</b:First>
          </b:Person>
        </b:NameList>
      </b:Author>
    </b:Author>
    <b:City>Cape Town</b:City>
    <b:URL>https://open.uct.ac.za/handle/11427/10573</b:URL>
    <b:YearAccessed>2015</b:YearAccessed>
    <b:MonthAccessed>June</b:MonthAccessed>
    <b:DayAccessed>28</b:DayAccessed>
    <b:Department>Department of Finance &amp; Tax</b:Department>
    <b:Institution>University of Cape Town</b:Institution>
    <b:ThesisType>Doctoral dissertation</b:ThesisType>
    <b:RefOrder>50</b:RefOrder>
  </b:Source>
  <b:Source>
    <b:Tag>Lut15</b:Tag>
    <b:SourceType>Report</b:SourceType>
    <b:Guid>{1A6C0FA3-2AD5-45A7-BA72-38ABC4BFC060}</b:Guid>
    <b:Title>Fund Managers by Gender</b:Title>
    <b:InternetSiteTitle>MorningStar</b:InternetSiteTitle>
    <b:Year>2015</b:Year>
    <b:Month>June</b:Month>
    <b:Day>30</b:Day>
    <b:URL>http://corporate.morningstar.com/US/documents/ResearchPapers/Fund-Managers-by-Gender.pdf</b:URL>
    <b:YearAccessed>2016</b:YearAccessed>
    <b:MonthAccessed>February</b:MonthAccessed>
    <b:DayAccessed>09</b:DayAccessed>
    <b:Author>
      <b:Author>
        <b:NameList>
          <b:Person>
            <b:Last>Lutton</b:Last>
            <b:Middle>Pavienko</b:Middle>
            <b:First>Laura</b:First>
          </b:Person>
          <b:Person>
            <b:Last>Davis</b:Last>
            <b:First>Erin</b:First>
          </b:Person>
        </b:NameList>
      </b:Author>
    </b:Author>
    <b:Publisher>MorningStar</b:Publisher>
    <b:RefOrder>27</b:RefOrder>
  </b:Source>
  <b:Source>
    <b:Tag>Sim98</b:Tag>
    <b:SourceType>JournalArticle</b:SourceType>
    <b:Guid>{43046F60-38AE-4879-BCEA-C4D6E2C3C1AB}</b:Guid>
    <b:Author>
      <b:Author>
        <b:NameList>
          <b:Person>
            <b:Last>Simons</b:Last>
            <b:First>Katerina</b:First>
          </b:Person>
        </b:NameList>
      </b:Author>
    </b:Author>
    <b:Title>Risk-Adjusted performance of mutual funds</b:Title>
    <b:JournalName>New England Economic Review</b:JournalName>
    <b:Year>1998</b:Year>
    <b:Pages>33-48</b:Pages>
    <b:Month>October</b:Month>
    <b:Volume>9</b:Volume>
    <b:Issue>10</b:Issue>
    <b:RefOrder>52</b:RefOrder>
  </b:Source>
  <b:Source>
    <b:Tag>Nie06</b:Tag>
    <b:SourceType>Report</b:SourceType>
    <b:Guid>{C4CCDD49-5B88-4373-86FC-DDB02B5B02CD}</b:Guid>
    <b:Title>Sex matters: Gender and mutual funds</b:Title>
    <b:Year>2006</b:Year>
    <b:Author>
      <b:Author>
        <b:NameList>
          <b:Person>
            <b:Last>Niessen</b:Last>
            <b:First>Alexandra</b:First>
          </b:Person>
          <b:Person>
            <b:Last>Ruenzi</b:Last>
            <b:First>Stefan </b:First>
          </b:Person>
        </b:NameList>
      </b:Author>
    </b:Author>
    <b:Institution>University of Cologne</b:Institution>
    <b:RefOrder>14</b:RefOrder>
  </b:Source>
  <b:Source>
    <b:Tag>Nie15</b:Tag>
    <b:SourceType>Report</b:SourceType>
    <b:Guid>{407D9E3F-DADF-422D-8D31-5089A1B73D6C}</b:Guid>
    <b:Title>Sex Matters: Gender Bias in the Mutual Fund Industry</b:Title>
    <b:Year>2015</b:Year>
    <b:Author>
      <b:Author>
        <b:NameList>
          <b:Person>
            <b:Last>Niessen-Ruenzi</b:Last>
            <b:First>Alexandra</b:First>
          </b:Person>
          <b:Person>
            <b:Last>Ruenzi</b:Last>
            <b:First>Stefan</b:First>
          </b:Person>
        </b:NameList>
      </b:Author>
    </b:Author>
    <b:Department>Department of Finance</b:Department>
    <b:Institution>University of Mannheim</b:Institution>
    <b:Publisher>Available at SSRN 1957317</b:Publisher>
    <b:RefOrder>28</b:RefOrder>
  </b:Source>
  <b:Source>
    <b:Tag>Int08</b:Tag>
    <b:SourceType>DocumentFromInternetSite</b:SourceType>
    <b:Guid>{6ACDC8E5-CD75-49D8-8C8F-636CBC62CB40}</b:Guid>
    <b:Year>2008</b:Year>
    <b:Month>October</b:Month>
    <b:URL>http://www.imf.org/external/pubs/ft/scr/2008/cr08349.pdf</b:URL>
    <b:Author>
      <b:Author>
        <b:Corporate>International Monetary Fund</b:Corporate>
      </b:Author>
    </b:Author>
    <b:YearAccessed>2015</b:YearAccessed>
    <b:MonthAccessed>February</b:MonthAccessed>
    <b:DayAccessed>21</b:DayAccessed>
    <b:InternetSiteTitle>International Monetary Fund</b:InternetSiteTitle>
    <b:Title>South Africa: Financial system stability assessment,including report on the observance of standards and codes on the following topic: Securities Regulation</b:Title>
    <b:Institution>International Monetary Fund</b:Institution>
    <b:RefOrder>1</b:RefOrder>
  </b:Source>
  <b:Source>
    <b:Tag>Pil14</b:Tag>
    <b:SourceType>Report</b:SourceType>
    <b:Guid>{553869F0-3C11-4555-A7BA-4A22B7B1107A}</b:Guid>
    <b:Author>
      <b:Author>
        <b:NameList>
          <b:Person>
            <b:Last>Pillay</b:Last>
            <b:First>Bavanethan</b:First>
          </b:Person>
        </b:NameList>
      </b:Author>
    </b:Author>
    <b:Title>The Capital Asset Pricing Model as a tool for investment decisions in South Africa</b:Title>
    <b:Year>2014</b:Year>
    <b:City>Johannesburg</b:City>
    <b:ThesisType>MBA research report</b:ThesisType>
    <b:Department>Wits Business School</b:Department>
    <b:Institution>University of Witwatersrand</b:Institution>
    <b:RefOrder>63</b:RefOrder>
  </b:Source>
  <b:Source>
    <b:Tag>Yar</b:Tag>
    <b:SourceType>Report</b:SourceType>
    <b:Guid>{6C62C2CB-6731-4EE7-ADB1-F96AA3492B8E}</b:Guid>
    <b:Title>The determinants of stock market development in emerging economies: Is South Africa different?</b:Title>
    <b:Author>
      <b:Author>
        <b:NameList>
          <b:Person>
            <b:Last>Yartey</b:Last>
            <b:First>Charles</b:First>
            <b:Middle>Amo</b:Middle>
          </b:Person>
        </b:NameList>
      </b:Author>
    </b:Author>
    <b:JournalName>IMF Working Paper</b:JournalName>
    <b:Year>2008</b:Year>
    <b:Pages>1-31</b:Pages>
    <b:Month>February</b:Month>
    <b:Day>18</b:Day>
    <b:YearAccessed>2015</b:YearAccessed>
    <b:MonthAccessed>February</b:MonthAccessed>
    <b:DayAccessed>24</b:DayAccessed>
    <b:URL>papers.ssrn.com</b:URL>
    <b:Department>African Department</b:Department>
    <b:Institution>International Monetary Fund</b:Institution>
    <b:ThesisType>Working Paper</b:ThesisType>
    <b:RefOrder>4</b:RefOrder>
  </b:Source>
  <b:Source>
    <b:Tag>Pha15</b:Tag>
    <b:SourceType>Report</b:SourceType>
    <b:Guid>{3D5CB10B-7A63-4456-82E3-22D7DC3E966D}</b:Guid>
    <b:Title>The effect of manager gender on hedge fund risk and perfromance</b:Title>
    <b:Year>2015</b:Year>
    <b:Author>
      <b:Author>
        <b:NameList>
          <b:Person>
            <b:Last>Pham</b:Last>
            <b:First>Trung</b:First>
          </b:Person>
        </b:NameList>
      </b:Author>
    </b:Author>
    <b:Department>Department of Finance</b:Department>
    <b:Institution>Aalto University</b:Institution>
    <b:ThesisType>MBA research report</b:ThesisType>
    <b:YearAccessed>2016</b:YearAccessed>
    <b:MonthAccessed>February</b:MonthAccessed>
    <b:DayAccessed>09</b:DayAccessed>
    <b:URL>https://aaltodoc.aalto.fi/handle/123456789/19309</b:URL>
    <b:RefOrder>64</b:RefOrder>
  </b:Source>
  <b:Source>
    <b:Tag>Bax09</b:Tag>
    <b:SourceType>Report</b:SourceType>
    <b:Guid>{F634A5C9-E80F-4939-B0EC-E48F68EE17AE}</b:Guid>
    <b:Title>The global economic crisis and its impact on South Africa and the country’s mining industry</b:Title>
    <b:Year>2009</b:Year>
    <b:JournalName>Challenges for Monetary Policy-makers in Emerging Markets</b:JournalName>
    <b:Pages>105-116</b:Pages>
    <b:Author>
      <b:Author>
        <b:NameList>
          <b:Person>
            <b:Last>Baxter</b:Last>
            <b:First>Roger</b:First>
          </b:Person>
        </b:NameList>
      </b:Author>
    </b:Author>
    <b:City>Johannesburg</b:City>
    <b:Institution>South African Reserve Bank</b:Institution>
    <b:RefOrder>2</b:RefOrder>
  </b:Source>
  <b:Source>
    <b:Tag>Din05</b:Tag>
    <b:SourceType>Report</b:SourceType>
    <b:Guid>{17362B17-CC26-4E9B-9BF6-5E49B4DFC738}</b:Guid>
    <b:Year>2005</b:Year>
    <b:Month>April</b:Month>
    <b:Day>27</b:Day>
    <b:URL>http://citeseerx.ist.psu.edu/viewdoc/download?doi=10.1.1.397.4185&amp;rep=rep1&amp;type=pdf</b:URL>
    <b:Author>
      <b:Author>
        <b:NameList>
          <b:Person>
            <b:Last>Ding </b:Last>
            <b:First>Bill</b:First>
          </b:Person>
          <b:Person>
            <b:Last>Wermers</b:Last>
            <b:First>Russell</b:First>
          </b:Person>
        </b:NameList>
      </b:Author>
    </b:Author>
    <b:YearAccessed>2015</b:YearAccessed>
    <b:MonthAccessed>February</b:MonthAccessed>
    <b:DayAccessed>20</b:DayAccessed>
    <b:Title>The performance and risk-taking behavior of mutual fund managers and the role of fund directors</b:Title>
    <b:Volume>Working Paper</b:Volume>
    <b:City>Albany</b:City>
    <b:Department>Department of Finance</b:Department>
    <b:Institution>SUNY at Albany</b:Institution>
    <b:ThesisType>Working paper</b:ThesisType>
    <b:RefOrder>11</b:RefOrder>
  </b:Source>
  <b:Source>
    <b:Tag>Agg15</b:Tag>
    <b:SourceType>JournalArticle</b:SourceType>
    <b:Guid>{0B1C9000-C122-4A37-914A-E3B836430BDE}</b:Guid>
    <b:Title>The performance of female hedge fund managers</b:Title>
    <b:Year>2015</b:Year>
    <b:City>Boston</b:City>
    <b:JournalName>Review of Financial Economics, Forthcoming</b:JournalName>
    <b:Author>
      <b:Author>
        <b:NameList>
          <b:Person>
            <b:Last>Aggarwal</b:Last>
            <b:First>Rajesh</b:First>
          </b:Person>
          <b:Person>
            <b:Last>Boyson</b:Last>
            <b:Middle>M</b:Middle>
            <b:First>Nicole</b:First>
          </b:Person>
        </b:NameList>
      </b:Author>
    </b:Author>
    <b:Month>August</b:Month>
    <b:Day>29</b:Day>
    <b:YearAccessed>2016</b:YearAccessed>
    <b:MonthAccessed>February</b:MonthAccessed>
    <b:DayAccessed>09</b:DayAccessed>
    <b:URL>http://ssrn.com/abstract=2726584</b:URL>
    <b:RefOrder>30</b:RefOrder>
  </b:Source>
  <b:Source>
    <b:Tag>Kni89</b:Tag>
    <b:SourceType>JournalArticle</b:SourceType>
    <b:Guid>{C6CA8ACB-3CD4-4997-B82F-BA8333F3F3B9}</b:Guid>
    <b:Title>The performance of south african unit trusts 1977-1986</b:Title>
    <b:JournalName>South African Journal of Econmics</b:JournalName>
    <b:Year>1989</b:Year>
    <b:Pages>53-68</b:Pages>
    <b:Author>
      <b:Author>
        <b:NameList>
          <b:Person>
            <b:Last>Knight</b:Last>
            <b:First>E</b:First>
          </b:Person>
          <b:Person>
            <b:Last>Firer</b:Last>
            <b:First>C</b:First>
          </b:Person>
        </b:NameList>
      </b:Author>
    </b:Author>
    <b:Volume>57</b:Volume>
    <b:Issue>1</b:Issue>
    <b:RefOrder>21</b:RefOrder>
  </b:Source>
  <b:Source>
    <b:Tag>Bec08</b:Tag>
    <b:SourceType>JournalArticle</b:SourceType>
    <b:Guid>{B8B1DD93-C8BC-4123-B02D-B0ECDDDAFEC0}</b:Guid>
    <b:Author>
      <b:Author>
        <b:NameList>
          <b:Person>
            <b:Last>Beckmann</b:Last>
            <b:First>Daniela</b:First>
          </b:Person>
          <b:Person>
            <b:Last>Menkhoff</b:Last>
            <b:First>Lukas</b:First>
          </b:Person>
        </b:NameList>
      </b:Author>
    </b:Author>
    <b:Title>Will women be women? Analyzing the gender difference among financial experts</b:Title>
    <b:JournalName>Kyklos</b:JournalName>
    <b:Year>2008</b:Year>
    <b:Pages>364–384</b:Pages>
    <b:Publisher>Blackwell Publishing Ltd.</b:Publisher>
    <b:Volume>61</b:Volume>
    <b:Issue>3</b:Issue>
    <b:RefOrder>38</b:RefOrder>
  </b:Source>
  <b:Source>
    <b:Tag>KPM14</b:Tag>
    <b:SourceType>DocumentFromInternetSite</b:SourceType>
    <b:Guid>{6993008E-7F16-4941-9972-A3FCB85C22EF}</b:Guid>
    <b:Year>2014</b:Year>
    <b:URL>http://www.kpmg-institutes.com/content/dam/kpmg/kpmginstitutes/pdf/2014/women-in-alternative-investments.pdf</b:URL>
    <b:Author>
      <b:Author>
        <b:NameList>
          <b:Person>
            <b:Last>Jones</b:Last>
            <b:First>Meredith</b:First>
          </b:Person>
        </b:NameList>
      </b:Author>
    </b:Author>
    <b:ShortTitle>WOMEN IN ALTERNATIVE INVESTMENTS: A Marathon,Not a Sprint</b:ShortTitle>
    <b:InternetSiteTitle>KPMG</b:InternetSiteTitle>
    <b:YearAccessed>2015</b:YearAccessed>
    <b:MonthAccessed>February</b:MonthAccessed>
    <b:DayAccessed>20</b:DayAccessed>
    <b:Title>Women in alternative investments: A marathon, not a sprint</b:Title>
    <b:RefOrder>18</b:RefOrder>
  </b:Source>
  <b:Source>
    <b:Tag>Bar01</b:Tag>
    <b:SourceType>JournalArticle</b:SourceType>
    <b:Guid>{CA704AB1-1817-4770-A96E-3D0E0B831CF6}</b:Guid>
    <b:Author>
      <b:Author>
        <b:NameList>
          <b:Person>
            <b:Last>Barber</b:Last>
            <b:First>B</b:First>
          </b:Person>
          <b:Person>
            <b:Last>Odean</b:Last>
            <b:First>T</b:First>
          </b:Person>
        </b:NameList>
      </b:Author>
    </b:Author>
    <b:Title>Boys will be boys: Gender, overconfidence and common stock investment</b:Title>
    <b:JournalName>The Quarterly Journal of Economics</b:JournalName>
    <b:Year>2001</b:Year>
    <b:Pages>261-292</b:Pages>
    <b:Volume>116</b:Volume>
    <b:Issue>1</b:Issue>
    <b:RefOrder>58</b:RefOrder>
  </b:Source>
</b:Sources>
</file>

<file path=customXml/itemProps1.xml><?xml version="1.0" encoding="utf-8"?>
<ds:datastoreItem xmlns:ds="http://schemas.openxmlformats.org/officeDocument/2006/customXml" ds:itemID="{AD789785-1036-4CB8-A365-B0153B54C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Research REPORT Template Jan 2013.dotx</Template>
  <TotalTime>3</TotalTime>
  <Pages>1</Pages>
  <Words>26428</Words>
  <Characters>150641</Characters>
  <Application>Microsoft Office Word</Application>
  <DocSecurity>0</DocSecurity>
  <Lines>1255</Lines>
  <Paragraphs>353</Paragraphs>
  <ScaleCrop>false</ScaleCrop>
  <HeadingPairs>
    <vt:vector size="2" baseType="variant">
      <vt:variant>
        <vt:lpstr>Title</vt:lpstr>
      </vt:variant>
      <vt:variant>
        <vt:i4>1</vt:i4>
      </vt:variant>
    </vt:vector>
  </HeadingPairs>
  <TitlesOfParts>
    <vt:vector size="1" baseType="lpstr">
      <vt:lpstr>Template</vt:lpstr>
    </vt:vector>
  </TitlesOfParts>
  <Company>Electric Liberty</Company>
  <LinksUpToDate>false</LinksUpToDate>
  <CharactersWithSpaces>176716</CharactersWithSpaces>
  <SharedDoc>false</SharedDoc>
  <HLinks>
    <vt:vector size="414" baseType="variant">
      <vt:variant>
        <vt:i4>65541</vt:i4>
      </vt:variant>
      <vt:variant>
        <vt:i4>423</vt:i4>
      </vt:variant>
      <vt:variant>
        <vt:i4>0</vt:i4>
      </vt:variant>
      <vt:variant>
        <vt:i4>5</vt:i4>
      </vt:variant>
      <vt:variant>
        <vt:lpwstr>http://www.wbs.ac.za</vt:lpwstr>
      </vt:variant>
      <vt:variant>
        <vt:lpwstr/>
      </vt:variant>
      <vt:variant>
        <vt:i4>1376260</vt:i4>
      </vt:variant>
      <vt:variant>
        <vt:i4>410</vt:i4>
      </vt:variant>
      <vt:variant>
        <vt:i4>0</vt:i4>
      </vt:variant>
      <vt:variant>
        <vt:i4>5</vt:i4>
      </vt:variant>
      <vt:variant>
        <vt:lpwstr/>
      </vt:variant>
      <vt:variant>
        <vt:lpwstr>_Toc346193149</vt:lpwstr>
      </vt:variant>
      <vt:variant>
        <vt:i4>1376261</vt:i4>
      </vt:variant>
      <vt:variant>
        <vt:i4>401</vt:i4>
      </vt:variant>
      <vt:variant>
        <vt:i4>0</vt:i4>
      </vt:variant>
      <vt:variant>
        <vt:i4>5</vt:i4>
      </vt:variant>
      <vt:variant>
        <vt:lpwstr/>
      </vt:variant>
      <vt:variant>
        <vt:lpwstr>_Toc346193148</vt:lpwstr>
      </vt:variant>
      <vt:variant>
        <vt:i4>1179648</vt:i4>
      </vt:variant>
      <vt:variant>
        <vt:i4>392</vt:i4>
      </vt:variant>
      <vt:variant>
        <vt:i4>0</vt:i4>
      </vt:variant>
      <vt:variant>
        <vt:i4>5</vt:i4>
      </vt:variant>
      <vt:variant>
        <vt:lpwstr/>
      </vt:variant>
      <vt:variant>
        <vt:lpwstr>_Toc346193438</vt:lpwstr>
      </vt:variant>
      <vt:variant>
        <vt:i4>1179663</vt:i4>
      </vt:variant>
      <vt:variant>
        <vt:i4>386</vt:i4>
      </vt:variant>
      <vt:variant>
        <vt:i4>0</vt:i4>
      </vt:variant>
      <vt:variant>
        <vt:i4>5</vt:i4>
      </vt:variant>
      <vt:variant>
        <vt:lpwstr/>
      </vt:variant>
      <vt:variant>
        <vt:lpwstr>_Toc346193437</vt:lpwstr>
      </vt:variant>
      <vt:variant>
        <vt:i4>1179662</vt:i4>
      </vt:variant>
      <vt:variant>
        <vt:i4>380</vt:i4>
      </vt:variant>
      <vt:variant>
        <vt:i4>0</vt:i4>
      </vt:variant>
      <vt:variant>
        <vt:i4>5</vt:i4>
      </vt:variant>
      <vt:variant>
        <vt:lpwstr/>
      </vt:variant>
      <vt:variant>
        <vt:lpwstr>_Toc346193436</vt:lpwstr>
      </vt:variant>
      <vt:variant>
        <vt:i4>1179661</vt:i4>
      </vt:variant>
      <vt:variant>
        <vt:i4>374</vt:i4>
      </vt:variant>
      <vt:variant>
        <vt:i4>0</vt:i4>
      </vt:variant>
      <vt:variant>
        <vt:i4>5</vt:i4>
      </vt:variant>
      <vt:variant>
        <vt:lpwstr/>
      </vt:variant>
      <vt:variant>
        <vt:lpwstr>_Toc346193435</vt:lpwstr>
      </vt:variant>
      <vt:variant>
        <vt:i4>1179660</vt:i4>
      </vt:variant>
      <vt:variant>
        <vt:i4>368</vt:i4>
      </vt:variant>
      <vt:variant>
        <vt:i4>0</vt:i4>
      </vt:variant>
      <vt:variant>
        <vt:i4>5</vt:i4>
      </vt:variant>
      <vt:variant>
        <vt:lpwstr/>
      </vt:variant>
      <vt:variant>
        <vt:lpwstr>_Toc346193434</vt:lpwstr>
      </vt:variant>
      <vt:variant>
        <vt:i4>1179659</vt:i4>
      </vt:variant>
      <vt:variant>
        <vt:i4>362</vt:i4>
      </vt:variant>
      <vt:variant>
        <vt:i4>0</vt:i4>
      </vt:variant>
      <vt:variant>
        <vt:i4>5</vt:i4>
      </vt:variant>
      <vt:variant>
        <vt:lpwstr/>
      </vt:variant>
      <vt:variant>
        <vt:lpwstr>_Toc346193433</vt:lpwstr>
      </vt:variant>
      <vt:variant>
        <vt:i4>1179658</vt:i4>
      </vt:variant>
      <vt:variant>
        <vt:i4>356</vt:i4>
      </vt:variant>
      <vt:variant>
        <vt:i4>0</vt:i4>
      </vt:variant>
      <vt:variant>
        <vt:i4>5</vt:i4>
      </vt:variant>
      <vt:variant>
        <vt:lpwstr/>
      </vt:variant>
      <vt:variant>
        <vt:lpwstr>_Toc346193432</vt:lpwstr>
      </vt:variant>
      <vt:variant>
        <vt:i4>1179657</vt:i4>
      </vt:variant>
      <vt:variant>
        <vt:i4>350</vt:i4>
      </vt:variant>
      <vt:variant>
        <vt:i4>0</vt:i4>
      </vt:variant>
      <vt:variant>
        <vt:i4>5</vt:i4>
      </vt:variant>
      <vt:variant>
        <vt:lpwstr/>
      </vt:variant>
      <vt:variant>
        <vt:lpwstr>_Toc346193431</vt:lpwstr>
      </vt:variant>
      <vt:variant>
        <vt:i4>1179656</vt:i4>
      </vt:variant>
      <vt:variant>
        <vt:i4>344</vt:i4>
      </vt:variant>
      <vt:variant>
        <vt:i4>0</vt:i4>
      </vt:variant>
      <vt:variant>
        <vt:i4>5</vt:i4>
      </vt:variant>
      <vt:variant>
        <vt:lpwstr/>
      </vt:variant>
      <vt:variant>
        <vt:lpwstr>_Toc346193430</vt:lpwstr>
      </vt:variant>
      <vt:variant>
        <vt:i4>1245185</vt:i4>
      </vt:variant>
      <vt:variant>
        <vt:i4>338</vt:i4>
      </vt:variant>
      <vt:variant>
        <vt:i4>0</vt:i4>
      </vt:variant>
      <vt:variant>
        <vt:i4>5</vt:i4>
      </vt:variant>
      <vt:variant>
        <vt:lpwstr/>
      </vt:variant>
      <vt:variant>
        <vt:lpwstr>_Toc346193429</vt:lpwstr>
      </vt:variant>
      <vt:variant>
        <vt:i4>1245184</vt:i4>
      </vt:variant>
      <vt:variant>
        <vt:i4>332</vt:i4>
      </vt:variant>
      <vt:variant>
        <vt:i4>0</vt:i4>
      </vt:variant>
      <vt:variant>
        <vt:i4>5</vt:i4>
      </vt:variant>
      <vt:variant>
        <vt:lpwstr/>
      </vt:variant>
      <vt:variant>
        <vt:lpwstr>_Toc346193428</vt:lpwstr>
      </vt:variant>
      <vt:variant>
        <vt:i4>1245199</vt:i4>
      </vt:variant>
      <vt:variant>
        <vt:i4>326</vt:i4>
      </vt:variant>
      <vt:variant>
        <vt:i4>0</vt:i4>
      </vt:variant>
      <vt:variant>
        <vt:i4>5</vt:i4>
      </vt:variant>
      <vt:variant>
        <vt:lpwstr/>
      </vt:variant>
      <vt:variant>
        <vt:lpwstr>_Toc346193427</vt:lpwstr>
      </vt:variant>
      <vt:variant>
        <vt:i4>1245198</vt:i4>
      </vt:variant>
      <vt:variant>
        <vt:i4>320</vt:i4>
      </vt:variant>
      <vt:variant>
        <vt:i4>0</vt:i4>
      </vt:variant>
      <vt:variant>
        <vt:i4>5</vt:i4>
      </vt:variant>
      <vt:variant>
        <vt:lpwstr/>
      </vt:variant>
      <vt:variant>
        <vt:lpwstr>_Toc346193426</vt:lpwstr>
      </vt:variant>
      <vt:variant>
        <vt:i4>1245197</vt:i4>
      </vt:variant>
      <vt:variant>
        <vt:i4>314</vt:i4>
      </vt:variant>
      <vt:variant>
        <vt:i4>0</vt:i4>
      </vt:variant>
      <vt:variant>
        <vt:i4>5</vt:i4>
      </vt:variant>
      <vt:variant>
        <vt:lpwstr/>
      </vt:variant>
      <vt:variant>
        <vt:lpwstr>_Toc346193425</vt:lpwstr>
      </vt:variant>
      <vt:variant>
        <vt:i4>1245196</vt:i4>
      </vt:variant>
      <vt:variant>
        <vt:i4>308</vt:i4>
      </vt:variant>
      <vt:variant>
        <vt:i4>0</vt:i4>
      </vt:variant>
      <vt:variant>
        <vt:i4>5</vt:i4>
      </vt:variant>
      <vt:variant>
        <vt:lpwstr/>
      </vt:variant>
      <vt:variant>
        <vt:lpwstr>_Toc346193424</vt:lpwstr>
      </vt:variant>
      <vt:variant>
        <vt:i4>1245195</vt:i4>
      </vt:variant>
      <vt:variant>
        <vt:i4>302</vt:i4>
      </vt:variant>
      <vt:variant>
        <vt:i4>0</vt:i4>
      </vt:variant>
      <vt:variant>
        <vt:i4>5</vt:i4>
      </vt:variant>
      <vt:variant>
        <vt:lpwstr/>
      </vt:variant>
      <vt:variant>
        <vt:lpwstr>_Toc346193423</vt:lpwstr>
      </vt:variant>
      <vt:variant>
        <vt:i4>1245194</vt:i4>
      </vt:variant>
      <vt:variant>
        <vt:i4>296</vt:i4>
      </vt:variant>
      <vt:variant>
        <vt:i4>0</vt:i4>
      </vt:variant>
      <vt:variant>
        <vt:i4>5</vt:i4>
      </vt:variant>
      <vt:variant>
        <vt:lpwstr/>
      </vt:variant>
      <vt:variant>
        <vt:lpwstr>_Toc346193422</vt:lpwstr>
      </vt:variant>
      <vt:variant>
        <vt:i4>1245193</vt:i4>
      </vt:variant>
      <vt:variant>
        <vt:i4>290</vt:i4>
      </vt:variant>
      <vt:variant>
        <vt:i4>0</vt:i4>
      </vt:variant>
      <vt:variant>
        <vt:i4>5</vt:i4>
      </vt:variant>
      <vt:variant>
        <vt:lpwstr/>
      </vt:variant>
      <vt:variant>
        <vt:lpwstr>_Toc346193421</vt:lpwstr>
      </vt:variant>
      <vt:variant>
        <vt:i4>1245192</vt:i4>
      </vt:variant>
      <vt:variant>
        <vt:i4>284</vt:i4>
      </vt:variant>
      <vt:variant>
        <vt:i4>0</vt:i4>
      </vt:variant>
      <vt:variant>
        <vt:i4>5</vt:i4>
      </vt:variant>
      <vt:variant>
        <vt:lpwstr/>
      </vt:variant>
      <vt:variant>
        <vt:lpwstr>_Toc346193420</vt:lpwstr>
      </vt:variant>
      <vt:variant>
        <vt:i4>1048577</vt:i4>
      </vt:variant>
      <vt:variant>
        <vt:i4>278</vt:i4>
      </vt:variant>
      <vt:variant>
        <vt:i4>0</vt:i4>
      </vt:variant>
      <vt:variant>
        <vt:i4>5</vt:i4>
      </vt:variant>
      <vt:variant>
        <vt:lpwstr/>
      </vt:variant>
      <vt:variant>
        <vt:lpwstr>_Toc346193419</vt:lpwstr>
      </vt:variant>
      <vt:variant>
        <vt:i4>1048576</vt:i4>
      </vt:variant>
      <vt:variant>
        <vt:i4>272</vt:i4>
      </vt:variant>
      <vt:variant>
        <vt:i4>0</vt:i4>
      </vt:variant>
      <vt:variant>
        <vt:i4>5</vt:i4>
      </vt:variant>
      <vt:variant>
        <vt:lpwstr/>
      </vt:variant>
      <vt:variant>
        <vt:lpwstr>_Toc346193418</vt:lpwstr>
      </vt:variant>
      <vt:variant>
        <vt:i4>1048591</vt:i4>
      </vt:variant>
      <vt:variant>
        <vt:i4>266</vt:i4>
      </vt:variant>
      <vt:variant>
        <vt:i4>0</vt:i4>
      </vt:variant>
      <vt:variant>
        <vt:i4>5</vt:i4>
      </vt:variant>
      <vt:variant>
        <vt:lpwstr/>
      </vt:variant>
      <vt:variant>
        <vt:lpwstr>_Toc346193417</vt:lpwstr>
      </vt:variant>
      <vt:variant>
        <vt:i4>1048590</vt:i4>
      </vt:variant>
      <vt:variant>
        <vt:i4>260</vt:i4>
      </vt:variant>
      <vt:variant>
        <vt:i4>0</vt:i4>
      </vt:variant>
      <vt:variant>
        <vt:i4>5</vt:i4>
      </vt:variant>
      <vt:variant>
        <vt:lpwstr/>
      </vt:variant>
      <vt:variant>
        <vt:lpwstr>_Toc346193416</vt:lpwstr>
      </vt:variant>
      <vt:variant>
        <vt:i4>1048589</vt:i4>
      </vt:variant>
      <vt:variant>
        <vt:i4>254</vt:i4>
      </vt:variant>
      <vt:variant>
        <vt:i4>0</vt:i4>
      </vt:variant>
      <vt:variant>
        <vt:i4>5</vt:i4>
      </vt:variant>
      <vt:variant>
        <vt:lpwstr/>
      </vt:variant>
      <vt:variant>
        <vt:lpwstr>_Toc346193415</vt:lpwstr>
      </vt:variant>
      <vt:variant>
        <vt:i4>1048588</vt:i4>
      </vt:variant>
      <vt:variant>
        <vt:i4>248</vt:i4>
      </vt:variant>
      <vt:variant>
        <vt:i4>0</vt:i4>
      </vt:variant>
      <vt:variant>
        <vt:i4>5</vt:i4>
      </vt:variant>
      <vt:variant>
        <vt:lpwstr/>
      </vt:variant>
      <vt:variant>
        <vt:lpwstr>_Toc346193414</vt:lpwstr>
      </vt:variant>
      <vt:variant>
        <vt:i4>1048587</vt:i4>
      </vt:variant>
      <vt:variant>
        <vt:i4>242</vt:i4>
      </vt:variant>
      <vt:variant>
        <vt:i4>0</vt:i4>
      </vt:variant>
      <vt:variant>
        <vt:i4>5</vt:i4>
      </vt:variant>
      <vt:variant>
        <vt:lpwstr/>
      </vt:variant>
      <vt:variant>
        <vt:lpwstr>_Toc346193413</vt:lpwstr>
      </vt:variant>
      <vt:variant>
        <vt:i4>1048586</vt:i4>
      </vt:variant>
      <vt:variant>
        <vt:i4>236</vt:i4>
      </vt:variant>
      <vt:variant>
        <vt:i4>0</vt:i4>
      </vt:variant>
      <vt:variant>
        <vt:i4>5</vt:i4>
      </vt:variant>
      <vt:variant>
        <vt:lpwstr/>
      </vt:variant>
      <vt:variant>
        <vt:lpwstr>_Toc346193412</vt:lpwstr>
      </vt:variant>
      <vt:variant>
        <vt:i4>1048585</vt:i4>
      </vt:variant>
      <vt:variant>
        <vt:i4>230</vt:i4>
      </vt:variant>
      <vt:variant>
        <vt:i4>0</vt:i4>
      </vt:variant>
      <vt:variant>
        <vt:i4>5</vt:i4>
      </vt:variant>
      <vt:variant>
        <vt:lpwstr/>
      </vt:variant>
      <vt:variant>
        <vt:lpwstr>_Toc346193411</vt:lpwstr>
      </vt:variant>
      <vt:variant>
        <vt:i4>1048584</vt:i4>
      </vt:variant>
      <vt:variant>
        <vt:i4>224</vt:i4>
      </vt:variant>
      <vt:variant>
        <vt:i4>0</vt:i4>
      </vt:variant>
      <vt:variant>
        <vt:i4>5</vt:i4>
      </vt:variant>
      <vt:variant>
        <vt:lpwstr/>
      </vt:variant>
      <vt:variant>
        <vt:lpwstr>_Toc346193410</vt:lpwstr>
      </vt:variant>
      <vt:variant>
        <vt:i4>1114113</vt:i4>
      </vt:variant>
      <vt:variant>
        <vt:i4>218</vt:i4>
      </vt:variant>
      <vt:variant>
        <vt:i4>0</vt:i4>
      </vt:variant>
      <vt:variant>
        <vt:i4>5</vt:i4>
      </vt:variant>
      <vt:variant>
        <vt:lpwstr/>
      </vt:variant>
      <vt:variant>
        <vt:lpwstr>_Toc346193409</vt:lpwstr>
      </vt:variant>
      <vt:variant>
        <vt:i4>1114112</vt:i4>
      </vt:variant>
      <vt:variant>
        <vt:i4>212</vt:i4>
      </vt:variant>
      <vt:variant>
        <vt:i4>0</vt:i4>
      </vt:variant>
      <vt:variant>
        <vt:i4>5</vt:i4>
      </vt:variant>
      <vt:variant>
        <vt:lpwstr/>
      </vt:variant>
      <vt:variant>
        <vt:lpwstr>_Toc346193408</vt:lpwstr>
      </vt:variant>
      <vt:variant>
        <vt:i4>1114127</vt:i4>
      </vt:variant>
      <vt:variant>
        <vt:i4>206</vt:i4>
      </vt:variant>
      <vt:variant>
        <vt:i4>0</vt:i4>
      </vt:variant>
      <vt:variant>
        <vt:i4>5</vt:i4>
      </vt:variant>
      <vt:variant>
        <vt:lpwstr/>
      </vt:variant>
      <vt:variant>
        <vt:lpwstr>_Toc346193407</vt:lpwstr>
      </vt:variant>
      <vt:variant>
        <vt:i4>1114126</vt:i4>
      </vt:variant>
      <vt:variant>
        <vt:i4>200</vt:i4>
      </vt:variant>
      <vt:variant>
        <vt:i4>0</vt:i4>
      </vt:variant>
      <vt:variant>
        <vt:i4>5</vt:i4>
      </vt:variant>
      <vt:variant>
        <vt:lpwstr/>
      </vt:variant>
      <vt:variant>
        <vt:lpwstr>_Toc346193406</vt:lpwstr>
      </vt:variant>
      <vt:variant>
        <vt:i4>1114125</vt:i4>
      </vt:variant>
      <vt:variant>
        <vt:i4>194</vt:i4>
      </vt:variant>
      <vt:variant>
        <vt:i4>0</vt:i4>
      </vt:variant>
      <vt:variant>
        <vt:i4>5</vt:i4>
      </vt:variant>
      <vt:variant>
        <vt:lpwstr/>
      </vt:variant>
      <vt:variant>
        <vt:lpwstr>_Toc346193405</vt:lpwstr>
      </vt:variant>
      <vt:variant>
        <vt:i4>1114124</vt:i4>
      </vt:variant>
      <vt:variant>
        <vt:i4>188</vt:i4>
      </vt:variant>
      <vt:variant>
        <vt:i4>0</vt:i4>
      </vt:variant>
      <vt:variant>
        <vt:i4>5</vt:i4>
      </vt:variant>
      <vt:variant>
        <vt:lpwstr/>
      </vt:variant>
      <vt:variant>
        <vt:lpwstr>_Toc346193404</vt:lpwstr>
      </vt:variant>
      <vt:variant>
        <vt:i4>1114123</vt:i4>
      </vt:variant>
      <vt:variant>
        <vt:i4>182</vt:i4>
      </vt:variant>
      <vt:variant>
        <vt:i4>0</vt:i4>
      </vt:variant>
      <vt:variant>
        <vt:i4>5</vt:i4>
      </vt:variant>
      <vt:variant>
        <vt:lpwstr/>
      </vt:variant>
      <vt:variant>
        <vt:lpwstr>_Toc346193403</vt:lpwstr>
      </vt:variant>
      <vt:variant>
        <vt:i4>1114122</vt:i4>
      </vt:variant>
      <vt:variant>
        <vt:i4>176</vt:i4>
      </vt:variant>
      <vt:variant>
        <vt:i4>0</vt:i4>
      </vt:variant>
      <vt:variant>
        <vt:i4>5</vt:i4>
      </vt:variant>
      <vt:variant>
        <vt:lpwstr/>
      </vt:variant>
      <vt:variant>
        <vt:lpwstr>_Toc346193402</vt:lpwstr>
      </vt:variant>
      <vt:variant>
        <vt:i4>1114121</vt:i4>
      </vt:variant>
      <vt:variant>
        <vt:i4>170</vt:i4>
      </vt:variant>
      <vt:variant>
        <vt:i4>0</vt:i4>
      </vt:variant>
      <vt:variant>
        <vt:i4>5</vt:i4>
      </vt:variant>
      <vt:variant>
        <vt:lpwstr/>
      </vt:variant>
      <vt:variant>
        <vt:lpwstr>_Toc346193401</vt:lpwstr>
      </vt:variant>
      <vt:variant>
        <vt:i4>1114120</vt:i4>
      </vt:variant>
      <vt:variant>
        <vt:i4>164</vt:i4>
      </vt:variant>
      <vt:variant>
        <vt:i4>0</vt:i4>
      </vt:variant>
      <vt:variant>
        <vt:i4>5</vt:i4>
      </vt:variant>
      <vt:variant>
        <vt:lpwstr/>
      </vt:variant>
      <vt:variant>
        <vt:lpwstr>_Toc346193400</vt:lpwstr>
      </vt:variant>
      <vt:variant>
        <vt:i4>1572870</vt:i4>
      </vt:variant>
      <vt:variant>
        <vt:i4>158</vt:i4>
      </vt:variant>
      <vt:variant>
        <vt:i4>0</vt:i4>
      </vt:variant>
      <vt:variant>
        <vt:i4>5</vt:i4>
      </vt:variant>
      <vt:variant>
        <vt:lpwstr/>
      </vt:variant>
      <vt:variant>
        <vt:lpwstr>_Toc346193399</vt:lpwstr>
      </vt:variant>
      <vt:variant>
        <vt:i4>1572871</vt:i4>
      </vt:variant>
      <vt:variant>
        <vt:i4>152</vt:i4>
      </vt:variant>
      <vt:variant>
        <vt:i4>0</vt:i4>
      </vt:variant>
      <vt:variant>
        <vt:i4>5</vt:i4>
      </vt:variant>
      <vt:variant>
        <vt:lpwstr/>
      </vt:variant>
      <vt:variant>
        <vt:lpwstr>_Toc346193398</vt:lpwstr>
      </vt:variant>
      <vt:variant>
        <vt:i4>1572872</vt:i4>
      </vt:variant>
      <vt:variant>
        <vt:i4>146</vt:i4>
      </vt:variant>
      <vt:variant>
        <vt:i4>0</vt:i4>
      </vt:variant>
      <vt:variant>
        <vt:i4>5</vt:i4>
      </vt:variant>
      <vt:variant>
        <vt:lpwstr/>
      </vt:variant>
      <vt:variant>
        <vt:lpwstr>_Toc346193397</vt:lpwstr>
      </vt:variant>
      <vt:variant>
        <vt:i4>1572873</vt:i4>
      </vt:variant>
      <vt:variant>
        <vt:i4>140</vt:i4>
      </vt:variant>
      <vt:variant>
        <vt:i4>0</vt:i4>
      </vt:variant>
      <vt:variant>
        <vt:i4>5</vt:i4>
      </vt:variant>
      <vt:variant>
        <vt:lpwstr/>
      </vt:variant>
      <vt:variant>
        <vt:lpwstr>_Toc346193396</vt:lpwstr>
      </vt:variant>
      <vt:variant>
        <vt:i4>1572874</vt:i4>
      </vt:variant>
      <vt:variant>
        <vt:i4>134</vt:i4>
      </vt:variant>
      <vt:variant>
        <vt:i4>0</vt:i4>
      </vt:variant>
      <vt:variant>
        <vt:i4>5</vt:i4>
      </vt:variant>
      <vt:variant>
        <vt:lpwstr/>
      </vt:variant>
      <vt:variant>
        <vt:lpwstr>_Toc346193395</vt:lpwstr>
      </vt:variant>
      <vt:variant>
        <vt:i4>1572875</vt:i4>
      </vt:variant>
      <vt:variant>
        <vt:i4>128</vt:i4>
      </vt:variant>
      <vt:variant>
        <vt:i4>0</vt:i4>
      </vt:variant>
      <vt:variant>
        <vt:i4>5</vt:i4>
      </vt:variant>
      <vt:variant>
        <vt:lpwstr/>
      </vt:variant>
      <vt:variant>
        <vt:lpwstr>_Toc346193394</vt:lpwstr>
      </vt:variant>
      <vt:variant>
        <vt:i4>1572876</vt:i4>
      </vt:variant>
      <vt:variant>
        <vt:i4>122</vt:i4>
      </vt:variant>
      <vt:variant>
        <vt:i4>0</vt:i4>
      </vt:variant>
      <vt:variant>
        <vt:i4>5</vt:i4>
      </vt:variant>
      <vt:variant>
        <vt:lpwstr/>
      </vt:variant>
      <vt:variant>
        <vt:lpwstr>_Toc346193393</vt:lpwstr>
      </vt:variant>
      <vt:variant>
        <vt:i4>1572877</vt:i4>
      </vt:variant>
      <vt:variant>
        <vt:i4>116</vt:i4>
      </vt:variant>
      <vt:variant>
        <vt:i4>0</vt:i4>
      </vt:variant>
      <vt:variant>
        <vt:i4>5</vt:i4>
      </vt:variant>
      <vt:variant>
        <vt:lpwstr/>
      </vt:variant>
      <vt:variant>
        <vt:lpwstr>_Toc346193392</vt:lpwstr>
      </vt:variant>
      <vt:variant>
        <vt:i4>1572878</vt:i4>
      </vt:variant>
      <vt:variant>
        <vt:i4>110</vt:i4>
      </vt:variant>
      <vt:variant>
        <vt:i4>0</vt:i4>
      </vt:variant>
      <vt:variant>
        <vt:i4>5</vt:i4>
      </vt:variant>
      <vt:variant>
        <vt:lpwstr/>
      </vt:variant>
      <vt:variant>
        <vt:lpwstr>_Toc346193391</vt:lpwstr>
      </vt:variant>
      <vt:variant>
        <vt:i4>1572879</vt:i4>
      </vt:variant>
      <vt:variant>
        <vt:i4>104</vt:i4>
      </vt:variant>
      <vt:variant>
        <vt:i4>0</vt:i4>
      </vt:variant>
      <vt:variant>
        <vt:i4>5</vt:i4>
      </vt:variant>
      <vt:variant>
        <vt:lpwstr/>
      </vt:variant>
      <vt:variant>
        <vt:lpwstr>_Toc346193390</vt:lpwstr>
      </vt:variant>
      <vt:variant>
        <vt:i4>1638406</vt:i4>
      </vt:variant>
      <vt:variant>
        <vt:i4>98</vt:i4>
      </vt:variant>
      <vt:variant>
        <vt:i4>0</vt:i4>
      </vt:variant>
      <vt:variant>
        <vt:i4>5</vt:i4>
      </vt:variant>
      <vt:variant>
        <vt:lpwstr/>
      </vt:variant>
      <vt:variant>
        <vt:lpwstr>_Toc346193389</vt:lpwstr>
      </vt:variant>
      <vt:variant>
        <vt:i4>1638407</vt:i4>
      </vt:variant>
      <vt:variant>
        <vt:i4>92</vt:i4>
      </vt:variant>
      <vt:variant>
        <vt:i4>0</vt:i4>
      </vt:variant>
      <vt:variant>
        <vt:i4>5</vt:i4>
      </vt:variant>
      <vt:variant>
        <vt:lpwstr/>
      </vt:variant>
      <vt:variant>
        <vt:lpwstr>_Toc346193388</vt:lpwstr>
      </vt:variant>
      <vt:variant>
        <vt:i4>1638408</vt:i4>
      </vt:variant>
      <vt:variant>
        <vt:i4>86</vt:i4>
      </vt:variant>
      <vt:variant>
        <vt:i4>0</vt:i4>
      </vt:variant>
      <vt:variant>
        <vt:i4>5</vt:i4>
      </vt:variant>
      <vt:variant>
        <vt:lpwstr/>
      </vt:variant>
      <vt:variant>
        <vt:lpwstr>_Toc346193387</vt:lpwstr>
      </vt:variant>
      <vt:variant>
        <vt:i4>1638409</vt:i4>
      </vt:variant>
      <vt:variant>
        <vt:i4>80</vt:i4>
      </vt:variant>
      <vt:variant>
        <vt:i4>0</vt:i4>
      </vt:variant>
      <vt:variant>
        <vt:i4>5</vt:i4>
      </vt:variant>
      <vt:variant>
        <vt:lpwstr/>
      </vt:variant>
      <vt:variant>
        <vt:lpwstr>_Toc346193386</vt:lpwstr>
      </vt:variant>
      <vt:variant>
        <vt:i4>1638410</vt:i4>
      </vt:variant>
      <vt:variant>
        <vt:i4>74</vt:i4>
      </vt:variant>
      <vt:variant>
        <vt:i4>0</vt:i4>
      </vt:variant>
      <vt:variant>
        <vt:i4>5</vt:i4>
      </vt:variant>
      <vt:variant>
        <vt:lpwstr/>
      </vt:variant>
      <vt:variant>
        <vt:lpwstr>_Toc346193385</vt:lpwstr>
      </vt:variant>
      <vt:variant>
        <vt:i4>1638411</vt:i4>
      </vt:variant>
      <vt:variant>
        <vt:i4>68</vt:i4>
      </vt:variant>
      <vt:variant>
        <vt:i4>0</vt:i4>
      </vt:variant>
      <vt:variant>
        <vt:i4>5</vt:i4>
      </vt:variant>
      <vt:variant>
        <vt:lpwstr/>
      </vt:variant>
      <vt:variant>
        <vt:lpwstr>_Toc346193384</vt:lpwstr>
      </vt:variant>
      <vt:variant>
        <vt:i4>1638412</vt:i4>
      </vt:variant>
      <vt:variant>
        <vt:i4>62</vt:i4>
      </vt:variant>
      <vt:variant>
        <vt:i4>0</vt:i4>
      </vt:variant>
      <vt:variant>
        <vt:i4>5</vt:i4>
      </vt:variant>
      <vt:variant>
        <vt:lpwstr/>
      </vt:variant>
      <vt:variant>
        <vt:lpwstr>_Toc346193383</vt:lpwstr>
      </vt:variant>
      <vt:variant>
        <vt:i4>1638413</vt:i4>
      </vt:variant>
      <vt:variant>
        <vt:i4>56</vt:i4>
      </vt:variant>
      <vt:variant>
        <vt:i4>0</vt:i4>
      </vt:variant>
      <vt:variant>
        <vt:i4>5</vt:i4>
      </vt:variant>
      <vt:variant>
        <vt:lpwstr/>
      </vt:variant>
      <vt:variant>
        <vt:lpwstr>_Toc346193382</vt:lpwstr>
      </vt:variant>
      <vt:variant>
        <vt:i4>1638414</vt:i4>
      </vt:variant>
      <vt:variant>
        <vt:i4>50</vt:i4>
      </vt:variant>
      <vt:variant>
        <vt:i4>0</vt:i4>
      </vt:variant>
      <vt:variant>
        <vt:i4>5</vt:i4>
      </vt:variant>
      <vt:variant>
        <vt:lpwstr/>
      </vt:variant>
      <vt:variant>
        <vt:lpwstr>_Toc346193381</vt:lpwstr>
      </vt:variant>
      <vt:variant>
        <vt:i4>1638415</vt:i4>
      </vt:variant>
      <vt:variant>
        <vt:i4>44</vt:i4>
      </vt:variant>
      <vt:variant>
        <vt:i4>0</vt:i4>
      </vt:variant>
      <vt:variant>
        <vt:i4>5</vt:i4>
      </vt:variant>
      <vt:variant>
        <vt:lpwstr/>
      </vt:variant>
      <vt:variant>
        <vt:lpwstr>_Toc346193380</vt:lpwstr>
      </vt:variant>
      <vt:variant>
        <vt:i4>1441798</vt:i4>
      </vt:variant>
      <vt:variant>
        <vt:i4>38</vt:i4>
      </vt:variant>
      <vt:variant>
        <vt:i4>0</vt:i4>
      </vt:variant>
      <vt:variant>
        <vt:i4>5</vt:i4>
      </vt:variant>
      <vt:variant>
        <vt:lpwstr/>
      </vt:variant>
      <vt:variant>
        <vt:lpwstr>_Toc346193379</vt:lpwstr>
      </vt:variant>
      <vt:variant>
        <vt:i4>1441799</vt:i4>
      </vt:variant>
      <vt:variant>
        <vt:i4>32</vt:i4>
      </vt:variant>
      <vt:variant>
        <vt:i4>0</vt:i4>
      </vt:variant>
      <vt:variant>
        <vt:i4>5</vt:i4>
      </vt:variant>
      <vt:variant>
        <vt:lpwstr/>
      </vt:variant>
      <vt:variant>
        <vt:lpwstr>_Toc346193378</vt:lpwstr>
      </vt:variant>
      <vt:variant>
        <vt:i4>1441800</vt:i4>
      </vt:variant>
      <vt:variant>
        <vt:i4>26</vt:i4>
      </vt:variant>
      <vt:variant>
        <vt:i4>0</vt:i4>
      </vt:variant>
      <vt:variant>
        <vt:i4>5</vt:i4>
      </vt:variant>
      <vt:variant>
        <vt:lpwstr/>
      </vt:variant>
      <vt:variant>
        <vt:lpwstr>_Toc346193377</vt:lpwstr>
      </vt:variant>
      <vt:variant>
        <vt:i4>1441801</vt:i4>
      </vt:variant>
      <vt:variant>
        <vt:i4>20</vt:i4>
      </vt:variant>
      <vt:variant>
        <vt:i4>0</vt:i4>
      </vt:variant>
      <vt:variant>
        <vt:i4>5</vt:i4>
      </vt:variant>
      <vt:variant>
        <vt:lpwstr/>
      </vt:variant>
      <vt:variant>
        <vt:lpwstr>_Toc346193376</vt:lpwstr>
      </vt:variant>
      <vt:variant>
        <vt:i4>1441802</vt:i4>
      </vt:variant>
      <vt:variant>
        <vt:i4>14</vt:i4>
      </vt:variant>
      <vt:variant>
        <vt:i4>0</vt:i4>
      </vt:variant>
      <vt:variant>
        <vt:i4>5</vt:i4>
      </vt:variant>
      <vt:variant>
        <vt:lpwstr/>
      </vt:variant>
      <vt:variant>
        <vt:lpwstr>_Toc346193375</vt:lpwstr>
      </vt:variant>
      <vt:variant>
        <vt:i4>1441803</vt:i4>
      </vt:variant>
      <vt:variant>
        <vt:i4>8</vt:i4>
      </vt:variant>
      <vt:variant>
        <vt:i4>0</vt:i4>
      </vt:variant>
      <vt:variant>
        <vt:i4>5</vt:i4>
      </vt:variant>
      <vt:variant>
        <vt:lpwstr/>
      </vt:variant>
      <vt:variant>
        <vt:lpwstr>_Toc346193374</vt:lpwstr>
      </vt:variant>
      <vt:variant>
        <vt:i4>1441804</vt:i4>
      </vt:variant>
      <vt:variant>
        <vt:i4>2</vt:i4>
      </vt:variant>
      <vt:variant>
        <vt:i4>0</vt:i4>
      </vt:variant>
      <vt:variant>
        <vt:i4>5</vt:i4>
      </vt:variant>
      <vt:variant>
        <vt:lpwstr/>
      </vt:variant>
      <vt:variant>
        <vt:lpwstr>_Toc346193373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dc:title>
  <dc:creator>Terri Carmichael</dc:creator>
  <cp:lastModifiedBy>Archary, Nirissa N</cp:lastModifiedBy>
  <cp:revision>2</cp:revision>
  <cp:lastPrinted>2016-03-31T06:34:00Z</cp:lastPrinted>
  <dcterms:created xsi:type="dcterms:W3CDTF">2016-08-10T14:53:00Z</dcterms:created>
  <dcterms:modified xsi:type="dcterms:W3CDTF">2016-08-10T14:53:00Z</dcterms:modified>
</cp:coreProperties>
</file>