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BEF9B" w14:textId="7A2040E5" w:rsidR="007051D4" w:rsidRPr="007051D4" w:rsidRDefault="007051D4" w:rsidP="007051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sidRPr="007051D4">
        <w:rPr>
          <w:rFonts w:ascii="Arial" w:hAnsi="Arial" w:cs="Arial"/>
          <w:b/>
          <w:bCs/>
          <w:sz w:val="22"/>
          <w:szCs w:val="22"/>
        </w:rPr>
        <w:t xml:space="preserve">Figure </w:t>
      </w:r>
      <w:r w:rsidR="00153A2B">
        <w:rPr>
          <w:rFonts w:ascii="Arial" w:hAnsi="Arial" w:cs="Arial"/>
          <w:b/>
          <w:bCs/>
          <w:sz w:val="22"/>
          <w:szCs w:val="22"/>
        </w:rPr>
        <w:t>S</w:t>
      </w:r>
      <w:r w:rsidRPr="007051D4">
        <w:rPr>
          <w:rFonts w:ascii="Arial" w:hAnsi="Arial" w:cs="Arial"/>
          <w:b/>
          <w:bCs/>
          <w:sz w:val="22"/>
          <w:szCs w:val="22"/>
        </w:rPr>
        <w:t>1. Study Timeline</w:t>
      </w:r>
    </w:p>
    <w:p w14:paraId="21716999" w14:textId="30489A2A" w:rsidR="003E0DB9" w:rsidRPr="007051D4" w:rsidRDefault="007051D4" w:rsidP="00866D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sidRPr="007051D4">
        <w:rPr>
          <w:rFonts w:ascii="Arial" w:hAnsi="Arial" w:cs="Arial"/>
          <w:b/>
          <w:bCs/>
          <w:sz w:val="22"/>
          <w:szCs w:val="22"/>
        </w:rPr>
        <w:t xml:space="preserve">We enrolled ART naive adults with pulmonary TB and measured multiple plasma </w:t>
      </w:r>
      <w:r w:rsidR="00866DF0">
        <w:rPr>
          <w:rFonts w:ascii="Arial" w:hAnsi="Arial" w:cs="Arial"/>
          <w:b/>
          <w:bCs/>
          <w:sz w:val="22"/>
          <w:szCs w:val="22"/>
        </w:rPr>
        <w:t>b</w:t>
      </w:r>
      <w:r w:rsidRPr="007051D4">
        <w:rPr>
          <w:rFonts w:ascii="Arial" w:hAnsi="Arial" w:cs="Arial"/>
          <w:b/>
          <w:bCs/>
          <w:sz w:val="22"/>
          <w:szCs w:val="22"/>
        </w:rPr>
        <w:t xml:space="preserve">iomarkers of inflammation, along with lung function (e.g., FEV1, FVC) and COPD </w:t>
      </w:r>
      <w:r w:rsidR="00866DF0">
        <w:rPr>
          <w:rFonts w:ascii="Arial" w:hAnsi="Arial" w:cs="Arial"/>
          <w:b/>
          <w:bCs/>
          <w:sz w:val="22"/>
          <w:szCs w:val="22"/>
        </w:rPr>
        <w:t>s</w:t>
      </w:r>
      <w:r w:rsidRPr="007051D4">
        <w:rPr>
          <w:rFonts w:ascii="Arial" w:hAnsi="Arial" w:cs="Arial"/>
          <w:b/>
          <w:bCs/>
          <w:sz w:val="22"/>
          <w:szCs w:val="22"/>
        </w:rPr>
        <w:t>ymptom assessment test at multiple time points after ART initiation out to a year. In addition, we performed PET-CTs to assess local inflammation at baseline and week 4 on ART.</w:t>
      </w:r>
      <w:r w:rsidR="00866DF0">
        <w:rPr>
          <w:rFonts w:ascii="Arial" w:hAnsi="Arial" w:cs="Arial"/>
          <w:b/>
          <w:bCs/>
          <w:sz w:val="22"/>
          <w:szCs w:val="22"/>
        </w:rPr>
        <w:t xml:space="preserve"> </w:t>
      </w:r>
      <w:r w:rsidRPr="007051D4">
        <w:rPr>
          <w:rFonts w:ascii="Arial" w:hAnsi="Arial" w:cs="Arial"/>
          <w:b/>
          <w:bCs/>
          <w:sz w:val="22"/>
          <w:szCs w:val="22"/>
        </w:rPr>
        <w:t>ART; anti-retroviral therapy, FEV1: forced expiratory volume in 1 second; FVC; forced vital capacity; COPD: chronic obstructive pulmonary disease</w:t>
      </w:r>
    </w:p>
    <w:p w14:paraId="411AE0E9" w14:textId="77777777" w:rsidR="007051D4" w:rsidRPr="007051D4" w:rsidRDefault="007051D4" w:rsidP="007051D4">
      <w:pPr>
        <w:rPr>
          <w:rFonts w:ascii="Arial" w:hAnsi="Arial" w:cs="Arial"/>
          <w:sz w:val="22"/>
          <w:szCs w:val="22"/>
        </w:rPr>
      </w:pPr>
    </w:p>
    <w:p w14:paraId="48A077FD" w14:textId="7A075D33" w:rsidR="007051D4" w:rsidRDefault="007051D4" w:rsidP="007051D4">
      <w:pPr>
        <w:rPr>
          <w:rFonts w:ascii="Helvetica" w:hAnsi="Helvetica" w:cs="Helvetica"/>
        </w:rPr>
      </w:pPr>
      <w:r w:rsidRPr="007051D4">
        <w:rPr>
          <w:rFonts w:ascii="Helvetica" w:hAnsi="Helvetica" w:cs="Helvetica"/>
          <w:noProof/>
        </w:rPr>
        <w:drawing>
          <wp:inline distT="0" distB="0" distL="0" distR="0" wp14:anchorId="078F6E8F" wp14:editId="6DF502E7">
            <wp:extent cx="5943600" cy="1691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1691640"/>
                    </a:xfrm>
                    <a:prstGeom prst="rect">
                      <a:avLst/>
                    </a:prstGeom>
                  </pic:spPr>
                </pic:pic>
              </a:graphicData>
            </a:graphic>
          </wp:inline>
        </w:drawing>
      </w:r>
    </w:p>
    <w:p w14:paraId="78E7B0FB" w14:textId="3F33217D" w:rsidR="007051D4" w:rsidRDefault="007051D4" w:rsidP="007051D4"/>
    <w:p w14:paraId="27987FE5" w14:textId="6CE4B07F" w:rsidR="007051D4" w:rsidRDefault="007051D4" w:rsidP="007051D4"/>
    <w:p w14:paraId="1C53F56B" w14:textId="5BFAD852" w:rsidR="007051D4" w:rsidRDefault="007051D4">
      <w:r>
        <w:br w:type="page"/>
      </w:r>
    </w:p>
    <w:p w14:paraId="4149A272" w14:textId="1C069033" w:rsidR="007051D4" w:rsidRDefault="007051D4" w:rsidP="007051D4">
      <w:pPr>
        <w:rPr>
          <w:rFonts w:ascii="Arial" w:hAnsi="Arial" w:cs="Arial"/>
          <w:b/>
          <w:bCs/>
          <w:sz w:val="22"/>
          <w:szCs w:val="22"/>
        </w:rPr>
      </w:pPr>
      <w:r w:rsidRPr="007051D4">
        <w:rPr>
          <w:rFonts w:ascii="Arial" w:hAnsi="Arial" w:cs="Arial"/>
          <w:b/>
          <w:bCs/>
          <w:sz w:val="22"/>
          <w:szCs w:val="22"/>
        </w:rPr>
        <w:lastRenderedPageBreak/>
        <w:t xml:space="preserve">Figure S2. Mean change in 6MWT distance, lung function and biomarker levels from baseline to week 24. The data for the 6MWT distance and lung function (FVC and FEV1) of participants up to week 24 and the plasma biomarker levels measured up to week 12 are presented. The grey lines represent the changes for n=89 individuals. The blue line represents the mean of </w:t>
      </w:r>
      <w:proofErr w:type="gramStart"/>
      <w:r w:rsidRPr="007051D4">
        <w:rPr>
          <w:rFonts w:ascii="Arial" w:hAnsi="Arial" w:cs="Arial"/>
          <w:b/>
          <w:bCs/>
          <w:sz w:val="22"/>
          <w:szCs w:val="22"/>
        </w:rPr>
        <w:t>changes</w:t>
      </w:r>
      <w:proofErr w:type="gramEnd"/>
      <w:r w:rsidRPr="007051D4">
        <w:rPr>
          <w:rFonts w:ascii="Arial" w:hAnsi="Arial" w:cs="Arial"/>
          <w:b/>
          <w:bCs/>
          <w:sz w:val="22"/>
          <w:szCs w:val="22"/>
        </w:rPr>
        <w:t xml:space="preserve"> and the red band represents the 95% confidence intervals.</w:t>
      </w:r>
    </w:p>
    <w:p w14:paraId="42D6B2B8" w14:textId="77777777" w:rsidR="007051D4" w:rsidRPr="007051D4" w:rsidRDefault="007051D4" w:rsidP="007051D4">
      <w:pPr>
        <w:rPr>
          <w:rFonts w:ascii="Arial" w:hAnsi="Arial" w:cs="Arial"/>
          <w:b/>
          <w:bCs/>
          <w:sz w:val="22"/>
          <w:szCs w:val="22"/>
        </w:rPr>
      </w:pPr>
    </w:p>
    <w:p w14:paraId="64F549E9" w14:textId="41930D8B" w:rsidR="007051D4" w:rsidRDefault="007051D4" w:rsidP="007051D4">
      <w:r w:rsidRPr="007051D4">
        <w:rPr>
          <w:noProof/>
        </w:rPr>
        <w:drawing>
          <wp:inline distT="0" distB="0" distL="0" distR="0" wp14:anchorId="52B2A3DF" wp14:editId="3AE13616">
            <wp:extent cx="5943600" cy="594804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
                    <a:stretch>
                      <a:fillRect/>
                    </a:stretch>
                  </pic:blipFill>
                  <pic:spPr>
                    <a:xfrm>
                      <a:off x="0" y="0"/>
                      <a:ext cx="5943600" cy="5948045"/>
                    </a:xfrm>
                    <a:prstGeom prst="rect">
                      <a:avLst/>
                    </a:prstGeom>
                  </pic:spPr>
                </pic:pic>
              </a:graphicData>
            </a:graphic>
          </wp:inline>
        </w:drawing>
      </w:r>
    </w:p>
    <w:p w14:paraId="417B5906" w14:textId="3413189E" w:rsidR="007051D4" w:rsidRDefault="007051D4" w:rsidP="007051D4"/>
    <w:p w14:paraId="5BA42C47" w14:textId="4443998D" w:rsidR="007051D4" w:rsidRDefault="007051D4">
      <w:r>
        <w:br w:type="page"/>
      </w:r>
    </w:p>
    <w:p w14:paraId="2CA3E216" w14:textId="5EE97E03" w:rsidR="007051D4" w:rsidRDefault="007051D4" w:rsidP="007051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sidRPr="007051D4">
        <w:rPr>
          <w:rFonts w:ascii="Arial" w:hAnsi="Arial" w:cs="Arial"/>
          <w:b/>
          <w:bCs/>
          <w:sz w:val="22"/>
          <w:szCs w:val="22"/>
        </w:rPr>
        <w:lastRenderedPageBreak/>
        <w:t>Figure S3. A plot showing the correlation between clinical, radiologic factors and plasma biomarker levels. Numbers in each cell represent Pe</w:t>
      </w:r>
      <w:r>
        <w:rPr>
          <w:rFonts w:ascii="Arial" w:hAnsi="Arial" w:cs="Arial"/>
          <w:b/>
          <w:bCs/>
          <w:sz w:val="22"/>
          <w:szCs w:val="22"/>
        </w:rPr>
        <w:t>a</w:t>
      </w:r>
      <w:r w:rsidRPr="007051D4">
        <w:rPr>
          <w:rFonts w:ascii="Arial" w:hAnsi="Arial" w:cs="Arial"/>
          <w:b/>
          <w:bCs/>
          <w:sz w:val="22"/>
          <w:szCs w:val="22"/>
        </w:rPr>
        <w:t>rson's correlation coefficient and only statistically significant</w:t>
      </w:r>
      <w:r>
        <w:rPr>
          <w:rFonts w:ascii="Arial" w:hAnsi="Arial" w:cs="Arial"/>
          <w:b/>
          <w:bCs/>
          <w:sz w:val="22"/>
          <w:szCs w:val="22"/>
        </w:rPr>
        <w:t xml:space="preserve"> </w:t>
      </w:r>
      <w:r w:rsidRPr="007051D4">
        <w:rPr>
          <w:rFonts w:ascii="Arial" w:hAnsi="Arial" w:cs="Arial"/>
          <w:b/>
          <w:bCs/>
          <w:sz w:val="22"/>
          <w:szCs w:val="22"/>
        </w:rPr>
        <w:t>correlation coefficients at p = 0.05 are presented. The red and blue colors</w:t>
      </w:r>
      <w:r>
        <w:rPr>
          <w:rFonts w:ascii="Arial" w:hAnsi="Arial" w:cs="Arial"/>
          <w:b/>
          <w:bCs/>
          <w:sz w:val="22"/>
          <w:szCs w:val="22"/>
        </w:rPr>
        <w:t xml:space="preserve"> </w:t>
      </w:r>
      <w:r w:rsidRPr="007051D4">
        <w:rPr>
          <w:rFonts w:ascii="Arial" w:hAnsi="Arial" w:cs="Arial"/>
          <w:b/>
          <w:bCs/>
          <w:sz w:val="22"/>
          <w:szCs w:val="22"/>
        </w:rPr>
        <w:t>represent the strength of the correlation with the thicker red = a stronger</w:t>
      </w:r>
      <w:r>
        <w:rPr>
          <w:rFonts w:ascii="Arial" w:hAnsi="Arial" w:cs="Arial"/>
          <w:b/>
          <w:bCs/>
          <w:sz w:val="22"/>
          <w:szCs w:val="22"/>
        </w:rPr>
        <w:t xml:space="preserve"> </w:t>
      </w:r>
      <w:r w:rsidRPr="007051D4">
        <w:rPr>
          <w:rFonts w:ascii="Arial" w:hAnsi="Arial" w:cs="Arial"/>
          <w:b/>
          <w:bCs/>
          <w:sz w:val="22"/>
          <w:szCs w:val="22"/>
        </w:rPr>
        <w:t>negative association and a thicker blue = a stronger positive association.</w:t>
      </w:r>
    </w:p>
    <w:p w14:paraId="3DD7E614" w14:textId="1EA26E00" w:rsidR="007051D4" w:rsidRDefault="007051D4" w:rsidP="007051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p>
    <w:p w14:paraId="5862BC95" w14:textId="77777777" w:rsidR="007051D4" w:rsidRDefault="007051D4" w:rsidP="007051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p>
    <w:p w14:paraId="463B9B11" w14:textId="46790AE6" w:rsidR="007051D4" w:rsidRPr="007051D4" w:rsidRDefault="007051D4" w:rsidP="007051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rPr>
      </w:pPr>
      <w:r w:rsidRPr="007051D4">
        <w:rPr>
          <w:b/>
          <w:bCs/>
          <w:noProof/>
        </w:rPr>
        <w:drawing>
          <wp:inline distT="0" distB="0" distL="0" distR="0" wp14:anchorId="382C53CC" wp14:editId="17C9D114">
            <wp:extent cx="5943600" cy="5674995"/>
            <wp:effectExtent l="0" t="0" r="0" b="1905"/>
            <wp:docPr id="3" name="Picture 3" descr="Scatter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atter chart&#10;&#10;Description automatically generated with low confidence"/>
                    <pic:cNvPicPr/>
                  </pic:nvPicPr>
                  <pic:blipFill>
                    <a:blip r:embed="rId6"/>
                    <a:stretch>
                      <a:fillRect/>
                    </a:stretch>
                  </pic:blipFill>
                  <pic:spPr>
                    <a:xfrm>
                      <a:off x="0" y="0"/>
                      <a:ext cx="5943600" cy="5674995"/>
                    </a:xfrm>
                    <a:prstGeom prst="rect">
                      <a:avLst/>
                    </a:prstGeom>
                  </pic:spPr>
                </pic:pic>
              </a:graphicData>
            </a:graphic>
          </wp:inline>
        </w:drawing>
      </w:r>
    </w:p>
    <w:sectPr w:rsidR="007051D4" w:rsidRPr="007051D4" w:rsidSect="00F33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785"/>
    <w:rsid w:val="00153A2B"/>
    <w:rsid w:val="004B3C2E"/>
    <w:rsid w:val="007051D4"/>
    <w:rsid w:val="00846785"/>
    <w:rsid w:val="00866DF0"/>
    <w:rsid w:val="00B32A6C"/>
    <w:rsid w:val="00F33C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18F7AB44"/>
  <w15:chartTrackingRefBased/>
  <w15:docId w15:val="{4EBBEFF0-1BFD-8E4B-A825-AA8540FD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1180</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Baik, Yeonsoo</dc:creator>
  <cp:keywords/>
  <dc:description/>
  <cp:lastModifiedBy>Baik, Yeonsoo</cp:lastModifiedBy>
  <cp:revision>2</cp:revision>
  <dcterms:created xsi:type="dcterms:W3CDTF">2023-01-12T03:54:00Z</dcterms:created>
  <dcterms:modified xsi:type="dcterms:W3CDTF">2023-01-12T03:54:00Z</dcterms:modified>
</cp:coreProperties>
</file>