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596" w:rsidRPr="00CB1596" w:rsidRDefault="00CB1596" w:rsidP="00CB1596">
      <w:pPr>
        <w:spacing w:after="0" w:line="240" w:lineRule="auto"/>
        <w:jc w:val="center"/>
        <w:rPr>
          <w:rFonts w:ascii="Times New Roman" w:eastAsia="Times New Roman" w:hAnsi="Times New Roman" w:cs="Times New Roman"/>
          <w:sz w:val="24"/>
          <w:szCs w:val="24"/>
        </w:rPr>
      </w:pPr>
      <w:r w:rsidRPr="00CB1596">
        <w:rPr>
          <w:rFonts w:ascii="Calibri" w:eastAsia="Times New Roman" w:hAnsi="Calibri" w:cs="Times New Roman"/>
          <w:b/>
          <w:bCs/>
          <w:color w:val="000000"/>
          <w:sz w:val="24"/>
          <w:szCs w:val="24"/>
        </w:rPr>
        <w:t>ABSTRACT</w:t>
      </w:r>
    </w:p>
    <w:p w:rsidR="00CB1596" w:rsidRPr="00CB1596" w:rsidRDefault="00CB1596" w:rsidP="00CB1596">
      <w:pPr>
        <w:spacing w:after="240" w:line="240" w:lineRule="auto"/>
        <w:rPr>
          <w:rFonts w:ascii="Times New Roman" w:eastAsia="Times New Roman" w:hAnsi="Times New Roman" w:cs="Times New Roman"/>
          <w:sz w:val="24"/>
          <w:szCs w:val="24"/>
        </w:rPr>
      </w:pPr>
    </w:p>
    <w:p w:rsidR="00CB1596" w:rsidRPr="00CB1596" w:rsidRDefault="00CB1596" w:rsidP="00CB1596">
      <w:pPr>
        <w:spacing w:line="240" w:lineRule="auto"/>
        <w:jc w:val="both"/>
        <w:rPr>
          <w:rFonts w:ascii="Times New Roman" w:eastAsia="Times New Roman" w:hAnsi="Times New Roman" w:cs="Times New Roman"/>
          <w:sz w:val="24"/>
          <w:szCs w:val="24"/>
        </w:rPr>
      </w:pPr>
      <w:r w:rsidRPr="00CB1596">
        <w:rPr>
          <w:rFonts w:ascii="Cambria" w:eastAsia="Times New Roman" w:hAnsi="Cambria" w:cs="Times New Roman"/>
          <w:color w:val="000000"/>
          <w:sz w:val="24"/>
          <w:szCs w:val="24"/>
        </w:rPr>
        <w:t xml:space="preserve">This study seeks to investigate whether torture is fundamentally wrong and, if so, whether its status is a question of morality or of that which is prior to morality. According to the thought of Jacques Derrida, the play of </w:t>
      </w:r>
      <w:r w:rsidRPr="00CB1596">
        <w:rPr>
          <w:rFonts w:ascii="Cambria" w:eastAsia="Times New Roman" w:hAnsi="Cambria" w:cs="Times New Roman"/>
          <w:i/>
          <w:iCs/>
          <w:color w:val="000000"/>
          <w:sz w:val="24"/>
          <w:szCs w:val="24"/>
        </w:rPr>
        <w:t xml:space="preserve">différance </w:t>
      </w:r>
      <w:r w:rsidRPr="00CB1596">
        <w:rPr>
          <w:rFonts w:ascii="Cambria" w:eastAsia="Times New Roman" w:hAnsi="Cambria" w:cs="Times New Roman"/>
          <w:color w:val="000000"/>
          <w:sz w:val="24"/>
          <w:szCs w:val="24"/>
        </w:rPr>
        <w:t xml:space="preserve">makes it syntactically impossible for any term to signify meaning outside of the interplay of mutually opposing signifiers. Since Deontological and Utilitarian moral principles unfold within this differential play, they are syntactically incapable of signifying a concrete and constant moral status for torture. Even though </w:t>
      </w:r>
      <w:r w:rsidRPr="00CB1596">
        <w:rPr>
          <w:rFonts w:ascii="Cambria" w:eastAsia="Times New Roman" w:hAnsi="Cambria" w:cs="Times New Roman"/>
          <w:i/>
          <w:iCs/>
          <w:color w:val="000000"/>
          <w:sz w:val="24"/>
          <w:szCs w:val="24"/>
        </w:rPr>
        <w:t>d</w:t>
      </w:r>
      <w:r w:rsidRPr="00CB1596">
        <w:rPr>
          <w:rFonts w:ascii="Calibri" w:eastAsia="Times New Roman" w:hAnsi="Calibri" w:cs="Times New Roman"/>
          <w:i/>
          <w:iCs/>
          <w:color w:val="000000"/>
          <w:sz w:val="24"/>
          <w:szCs w:val="24"/>
        </w:rPr>
        <w:t>ifférance</w:t>
      </w:r>
      <w:r w:rsidRPr="00CB1596">
        <w:rPr>
          <w:rFonts w:ascii="Cambria" w:eastAsia="Times New Roman" w:hAnsi="Cambria" w:cs="Times New Roman"/>
          <w:color w:val="000000"/>
          <w:sz w:val="24"/>
          <w:szCs w:val="24"/>
        </w:rPr>
        <w:t xml:space="preserve"> is the syntactic possibility of being, I argue that there is a second and distinct category of experience.  Drawing on the writing of Emmanuel </w:t>
      </w:r>
      <w:proofErr w:type="spellStart"/>
      <w:r w:rsidRPr="00CB1596">
        <w:rPr>
          <w:rFonts w:ascii="Cambria" w:eastAsia="Times New Roman" w:hAnsi="Cambria" w:cs="Times New Roman"/>
          <w:color w:val="000000"/>
          <w:sz w:val="24"/>
          <w:szCs w:val="24"/>
        </w:rPr>
        <w:t>Levinas</w:t>
      </w:r>
      <w:proofErr w:type="spellEnd"/>
      <w:r w:rsidRPr="00CB1596">
        <w:rPr>
          <w:rFonts w:ascii="Cambria" w:eastAsia="Times New Roman" w:hAnsi="Cambria" w:cs="Times New Roman"/>
          <w:color w:val="000000"/>
          <w:sz w:val="24"/>
          <w:szCs w:val="24"/>
        </w:rPr>
        <w:t xml:space="preserve"> and Bernard </w:t>
      </w:r>
      <w:proofErr w:type="spellStart"/>
      <w:r w:rsidRPr="00CB1596">
        <w:rPr>
          <w:rFonts w:ascii="Cambria" w:eastAsia="Times New Roman" w:hAnsi="Cambria" w:cs="Times New Roman"/>
          <w:color w:val="000000"/>
          <w:sz w:val="24"/>
          <w:szCs w:val="24"/>
        </w:rPr>
        <w:t>Lonergan</w:t>
      </w:r>
      <w:proofErr w:type="spellEnd"/>
      <w:r w:rsidRPr="00CB1596">
        <w:rPr>
          <w:rFonts w:ascii="Cambria" w:eastAsia="Times New Roman" w:hAnsi="Cambria" w:cs="Times New Roman"/>
          <w:color w:val="000000"/>
          <w:sz w:val="24"/>
          <w:szCs w:val="24"/>
        </w:rPr>
        <w:t xml:space="preserve">, I contend that this category is our subjectivity as self-awareness, which always-already unfolds anterior to, as the primordial possibility of, and as otherwise than both </w:t>
      </w:r>
      <w:r w:rsidRPr="00CB1596">
        <w:rPr>
          <w:rFonts w:ascii="Cambria" w:eastAsia="Times New Roman" w:hAnsi="Cambria" w:cs="Times New Roman"/>
          <w:i/>
          <w:iCs/>
          <w:color w:val="000000"/>
          <w:sz w:val="24"/>
          <w:szCs w:val="24"/>
        </w:rPr>
        <w:t>d</w:t>
      </w:r>
      <w:r w:rsidRPr="00CB1596">
        <w:rPr>
          <w:rFonts w:ascii="Calibri" w:eastAsia="Times New Roman" w:hAnsi="Calibri" w:cs="Times New Roman"/>
          <w:i/>
          <w:iCs/>
          <w:color w:val="000000"/>
          <w:sz w:val="24"/>
          <w:szCs w:val="24"/>
        </w:rPr>
        <w:t>ifférance</w:t>
      </w:r>
      <w:r w:rsidRPr="00CB1596">
        <w:rPr>
          <w:rFonts w:ascii="Cambria" w:eastAsia="Times New Roman" w:hAnsi="Cambria" w:cs="Times New Roman"/>
          <w:color w:val="000000"/>
          <w:sz w:val="24"/>
          <w:szCs w:val="24"/>
        </w:rPr>
        <w:t xml:space="preserve"> and being. As </w:t>
      </w:r>
      <w:proofErr w:type="gramStart"/>
      <w:r w:rsidRPr="00CB1596">
        <w:rPr>
          <w:rFonts w:ascii="Cambria" w:eastAsia="Times New Roman" w:hAnsi="Cambria" w:cs="Times New Roman"/>
          <w:color w:val="000000"/>
          <w:sz w:val="24"/>
          <w:szCs w:val="24"/>
        </w:rPr>
        <w:t>an irreducibility</w:t>
      </w:r>
      <w:proofErr w:type="gramEnd"/>
      <w:r w:rsidRPr="00CB1596">
        <w:rPr>
          <w:rFonts w:ascii="Cambria" w:eastAsia="Times New Roman" w:hAnsi="Cambria" w:cs="Times New Roman"/>
          <w:color w:val="000000"/>
          <w:sz w:val="24"/>
          <w:szCs w:val="24"/>
        </w:rPr>
        <w:t xml:space="preserve"> constitutive of each person, the alterity of such self-awareness constitutes an absolute and singular relation of otherness between persons; </w:t>
      </w:r>
      <w:r w:rsidRPr="00CB1596">
        <w:rPr>
          <w:rFonts w:ascii="Cambria" w:eastAsia="Times New Roman" w:hAnsi="Cambria" w:cs="Times New Roman"/>
          <w:i/>
          <w:iCs/>
          <w:color w:val="000000"/>
          <w:sz w:val="24"/>
          <w:szCs w:val="24"/>
        </w:rPr>
        <w:t xml:space="preserve">this proximity functions as an absolute obligation and, in fact, constitutes ethics itself.  Each subject therefore becomes an individual living ethicality. </w:t>
      </w:r>
      <w:r w:rsidRPr="00CB1596">
        <w:rPr>
          <w:rFonts w:ascii="Cambria" w:eastAsia="Times New Roman" w:hAnsi="Cambria" w:cs="Times New Roman"/>
          <w:color w:val="000000"/>
          <w:sz w:val="24"/>
          <w:szCs w:val="24"/>
        </w:rPr>
        <w:t xml:space="preserve">On this basis, it is always-already incoherent to identify any subject with any idea that we might have of him/her, including the idea of a person as a means to our ends. Since torture intentionally violates the living ethicality of the victim, it follows that torture must be ethically unjustifiable by primordial necessity under any and all possible circumstances. The ethical unjustifiability of torture therefore precedes all moral structures, although I suggest that torture may become </w:t>
      </w:r>
      <w:r w:rsidRPr="00CB1596">
        <w:rPr>
          <w:rFonts w:ascii="Cambria" w:eastAsia="Times New Roman" w:hAnsi="Cambria" w:cs="Times New Roman"/>
          <w:i/>
          <w:iCs/>
          <w:color w:val="000000"/>
          <w:sz w:val="24"/>
          <w:szCs w:val="24"/>
        </w:rPr>
        <w:t>permissible</w:t>
      </w:r>
      <w:r w:rsidRPr="00CB1596">
        <w:rPr>
          <w:rFonts w:ascii="Cambria" w:eastAsia="Times New Roman" w:hAnsi="Cambria" w:cs="Times New Roman"/>
          <w:color w:val="000000"/>
          <w:sz w:val="24"/>
          <w:szCs w:val="24"/>
        </w:rPr>
        <w:t xml:space="preserve"> under certain practical circumstances, if saving human lives is at stake.</w:t>
      </w:r>
    </w:p>
    <w:p w:rsidR="00CB1596" w:rsidRPr="00CB1596" w:rsidRDefault="00CB1596" w:rsidP="00CB1596">
      <w:pPr>
        <w:spacing w:after="0" w:line="240" w:lineRule="auto"/>
        <w:rPr>
          <w:rFonts w:ascii="Times New Roman" w:eastAsia="Times New Roman" w:hAnsi="Times New Roman" w:cs="Times New Roman"/>
          <w:sz w:val="24"/>
          <w:szCs w:val="24"/>
        </w:rPr>
      </w:pPr>
    </w:p>
    <w:p w:rsidR="00CB1596" w:rsidRPr="00CB1596" w:rsidRDefault="00CB1596" w:rsidP="00CB1596">
      <w:pPr>
        <w:spacing w:line="240" w:lineRule="auto"/>
        <w:jc w:val="both"/>
        <w:rPr>
          <w:rFonts w:ascii="Times New Roman" w:eastAsia="Times New Roman" w:hAnsi="Times New Roman" w:cs="Times New Roman"/>
          <w:sz w:val="24"/>
          <w:szCs w:val="24"/>
        </w:rPr>
      </w:pPr>
      <w:r w:rsidRPr="00CB1596">
        <w:rPr>
          <w:rFonts w:ascii="Cambria" w:eastAsia="Times New Roman" w:hAnsi="Cambria" w:cs="Times New Roman"/>
          <w:b/>
          <w:bCs/>
          <w:color w:val="000000"/>
          <w:sz w:val="24"/>
          <w:szCs w:val="24"/>
        </w:rPr>
        <w:t xml:space="preserve">Keywords: </w:t>
      </w:r>
      <w:r w:rsidRPr="00CB1596">
        <w:rPr>
          <w:rFonts w:ascii="Cambria" w:eastAsia="Times New Roman" w:hAnsi="Cambria" w:cs="Times New Roman"/>
          <w:color w:val="000000"/>
          <w:sz w:val="24"/>
          <w:szCs w:val="24"/>
        </w:rPr>
        <w:t xml:space="preserve">Torture; self-awareness; alterity; living ethicality; otherwise than being; </w:t>
      </w:r>
      <w:r w:rsidRPr="00CB1596">
        <w:rPr>
          <w:rFonts w:ascii="Cambria" w:eastAsia="Times New Roman" w:hAnsi="Cambria" w:cs="Times New Roman"/>
          <w:i/>
          <w:iCs/>
          <w:color w:val="000000"/>
          <w:sz w:val="24"/>
          <w:szCs w:val="24"/>
        </w:rPr>
        <w:t>différance</w:t>
      </w:r>
      <w:r w:rsidRPr="00CB1596">
        <w:rPr>
          <w:rFonts w:ascii="Cambria" w:eastAsia="Times New Roman" w:hAnsi="Cambria" w:cs="Times New Roman"/>
          <w:color w:val="000000"/>
          <w:sz w:val="24"/>
          <w:szCs w:val="24"/>
        </w:rPr>
        <w:t xml:space="preserve">; Emmanuel </w:t>
      </w:r>
      <w:proofErr w:type="spellStart"/>
      <w:r w:rsidRPr="00CB1596">
        <w:rPr>
          <w:rFonts w:ascii="Cambria" w:eastAsia="Times New Roman" w:hAnsi="Cambria" w:cs="Times New Roman"/>
          <w:color w:val="000000"/>
          <w:sz w:val="24"/>
          <w:szCs w:val="24"/>
        </w:rPr>
        <w:t>Levinas</w:t>
      </w:r>
      <w:proofErr w:type="spellEnd"/>
      <w:r w:rsidRPr="00CB1596">
        <w:rPr>
          <w:rFonts w:ascii="Cambria" w:eastAsia="Times New Roman" w:hAnsi="Cambria" w:cs="Times New Roman"/>
          <w:color w:val="000000"/>
          <w:sz w:val="24"/>
          <w:szCs w:val="24"/>
        </w:rPr>
        <w:t xml:space="preserve">; Jacques Derrida; Bernard </w:t>
      </w:r>
      <w:proofErr w:type="spellStart"/>
      <w:r w:rsidRPr="00CB1596">
        <w:rPr>
          <w:rFonts w:ascii="Cambria" w:eastAsia="Times New Roman" w:hAnsi="Cambria" w:cs="Times New Roman"/>
          <w:color w:val="000000"/>
          <w:sz w:val="24"/>
          <w:szCs w:val="24"/>
        </w:rPr>
        <w:t>Lonergan</w:t>
      </w:r>
      <w:proofErr w:type="spellEnd"/>
      <w:r w:rsidRPr="00CB1596">
        <w:rPr>
          <w:rFonts w:ascii="Cambria" w:eastAsia="Times New Roman" w:hAnsi="Cambria" w:cs="Times New Roman"/>
          <w:color w:val="000000"/>
          <w:sz w:val="24"/>
          <w:szCs w:val="24"/>
        </w:rPr>
        <w:t>.</w:t>
      </w:r>
    </w:p>
    <w:p w:rsidR="0001174A" w:rsidRDefault="0001174A">
      <w:bookmarkStart w:id="0" w:name="_GoBack"/>
      <w:bookmarkEnd w:id="0"/>
    </w:p>
    <w:sectPr w:rsidR="00011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596"/>
    <w:rsid w:val="0001174A"/>
    <w:rsid w:val="00CB1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159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15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32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2017-08-28T14:56:00Z</dcterms:created>
  <dcterms:modified xsi:type="dcterms:W3CDTF">2017-08-28T14:56:00Z</dcterms:modified>
</cp:coreProperties>
</file>