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E85906" w14:textId="77777777" w:rsidR="00EB7D71" w:rsidRDefault="00EB7D71" w:rsidP="00EB7D71">
      <w:pPr>
        <w:jc w:val="center"/>
        <w:rPr>
          <w:b/>
        </w:rPr>
      </w:pPr>
      <w:bookmarkStart w:id="0" w:name="_Toc450225581"/>
      <w:r w:rsidRPr="00BD5DC0">
        <w:rPr>
          <w:noProof/>
        </w:rPr>
        <w:drawing>
          <wp:inline distT="0" distB="0" distL="0" distR="0" wp14:anchorId="77FED8CF" wp14:editId="06D0626E">
            <wp:extent cx="4040372" cy="4336564"/>
            <wp:effectExtent l="0" t="0" r="0" b="6985"/>
            <wp:docPr id="30" name="Picture 30" descr="C:\Users\USER\Documents\!M.Sc\!Research\Proposal\WIT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cuments\!M.Sc\!Research\Proposal\WITS-log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43958" cy="4340413"/>
                    </a:xfrm>
                    <a:prstGeom prst="rect">
                      <a:avLst/>
                    </a:prstGeom>
                    <a:noFill/>
                    <a:ln>
                      <a:noFill/>
                    </a:ln>
                  </pic:spPr>
                </pic:pic>
              </a:graphicData>
            </a:graphic>
          </wp:inline>
        </w:drawing>
      </w:r>
      <w:bookmarkEnd w:id="0"/>
    </w:p>
    <w:p w14:paraId="74AC02CF" w14:textId="77777777" w:rsidR="00EB7D71" w:rsidRDefault="00EB7D71" w:rsidP="00EB7D71">
      <w:pPr>
        <w:jc w:val="center"/>
        <w:rPr>
          <w:b/>
        </w:rPr>
      </w:pPr>
    </w:p>
    <w:p w14:paraId="05F4B1EB" w14:textId="77777777" w:rsidR="00EB7D71" w:rsidRDefault="00EB7D71" w:rsidP="00EB7D71">
      <w:pPr>
        <w:jc w:val="center"/>
        <w:rPr>
          <w:b/>
        </w:rPr>
      </w:pPr>
      <w:bookmarkStart w:id="1" w:name="_Hlk520739106"/>
      <w:r>
        <w:rPr>
          <w:b/>
        </w:rPr>
        <w:t xml:space="preserve">Discovery and </w:t>
      </w:r>
      <w:r w:rsidRPr="00CC1AB0">
        <w:rPr>
          <w:b/>
        </w:rPr>
        <w:t xml:space="preserve">resource evaluation of the Lesego Platinum Merensky Reef and UG2 Chromitite hosted Platinum Group Metals deposit adjacent to the </w:t>
      </w:r>
      <w:r>
        <w:rPr>
          <w:b/>
        </w:rPr>
        <w:t>Phosiri Dome and the associated effects of the Phosiri Dome on the reef horizons</w:t>
      </w:r>
      <w:r w:rsidRPr="00CC1AB0">
        <w:rPr>
          <w:b/>
        </w:rPr>
        <w:t>, Bushveld Complex, South Africa</w:t>
      </w:r>
    </w:p>
    <w:bookmarkEnd w:id="1"/>
    <w:p w14:paraId="175A3B72" w14:textId="34B8AC20" w:rsidR="00EB7D71" w:rsidRDefault="00927EF4" w:rsidP="00EB7D71">
      <w:pPr>
        <w:jc w:val="center"/>
        <w:rPr>
          <w:b/>
        </w:rPr>
      </w:pPr>
      <w:r>
        <w:rPr>
          <w:b/>
        </w:rPr>
        <w:t>July</w:t>
      </w:r>
      <w:r w:rsidR="00EB7D71">
        <w:rPr>
          <w:b/>
        </w:rPr>
        <w:t xml:space="preserve"> 2018</w:t>
      </w:r>
    </w:p>
    <w:p w14:paraId="18BBE4A6" w14:textId="77777777" w:rsidR="00EB7D71" w:rsidRDefault="00EB7D71" w:rsidP="00EB7D71">
      <w:pPr>
        <w:jc w:val="center"/>
        <w:rPr>
          <w:b/>
        </w:rPr>
      </w:pPr>
      <w:r>
        <w:rPr>
          <w:b/>
        </w:rPr>
        <w:t>Richard Montjoie</w:t>
      </w:r>
    </w:p>
    <w:p w14:paraId="7B3F7770" w14:textId="77777777" w:rsidR="00EB7D71" w:rsidRDefault="00EB7D71" w:rsidP="00EB7D71">
      <w:pPr>
        <w:jc w:val="center"/>
        <w:rPr>
          <w:b/>
        </w:rPr>
      </w:pPr>
      <w:r>
        <w:rPr>
          <w:b/>
        </w:rPr>
        <w:t>Person Number 9809072H</w:t>
      </w:r>
    </w:p>
    <w:p w14:paraId="4CD5FA4C" w14:textId="77777777" w:rsidR="00EB7D71" w:rsidRDefault="00EB7D71" w:rsidP="00EB7D71">
      <w:pPr>
        <w:jc w:val="center"/>
        <w:rPr>
          <w:b/>
        </w:rPr>
      </w:pPr>
      <w:r>
        <w:rPr>
          <w:b/>
        </w:rPr>
        <w:t>Supervisors:</w:t>
      </w:r>
    </w:p>
    <w:p w14:paraId="47F02421" w14:textId="77777777" w:rsidR="00EB7D71" w:rsidRDefault="00EB7D71" w:rsidP="00EB7D71">
      <w:pPr>
        <w:jc w:val="center"/>
        <w:rPr>
          <w:b/>
        </w:rPr>
      </w:pPr>
      <w:r>
        <w:rPr>
          <w:b/>
        </w:rPr>
        <w:t>Professor Judith A. Kinnaird</w:t>
      </w:r>
    </w:p>
    <w:p w14:paraId="62A6DCC1" w14:textId="77777777" w:rsidR="00EB7D71" w:rsidRDefault="00EB7D71" w:rsidP="00EB7D71">
      <w:pPr>
        <w:jc w:val="center"/>
        <w:rPr>
          <w:b/>
        </w:rPr>
      </w:pPr>
      <w:r>
        <w:rPr>
          <w:b/>
        </w:rPr>
        <w:t>Associate Professor Paul A. M. Nex</w:t>
      </w:r>
    </w:p>
    <w:p w14:paraId="366FBEFE" w14:textId="77777777" w:rsidR="00EB7D71" w:rsidRDefault="00EB7D71" w:rsidP="00EB7D71">
      <w:pPr>
        <w:rPr>
          <w:rFonts w:asciiTheme="majorHAnsi" w:eastAsiaTheme="majorEastAsia" w:hAnsiTheme="majorHAnsi" w:cstheme="majorBidi"/>
          <w:b/>
          <w:bCs/>
          <w:smallCaps/>
          <w:color w:val="000000" w:themeColor="text1"/>
          <w:sz w:val="36"/>
          <w:szCs w:val="36"/>
        </w:rPr>
      </w:pPr>
      <w:r>
        <w:br w:type="page"/>
      </w:r>
    </w:p>
    <w:p w14:paraId="2293C05F" w14:textId="685078A8" w:rsidR="000B70B1" w:rsidRPr="003A2315" w:rsidRDefault="00EB7D71" w:rsidP="003A2315">
      <w:pPr>
        <w:pStyle w:val="Heading2"/>
        <w:rPr>
          <w:color w:val="000000" w:themeColor="text1"/>
        </w:rPr>
      </w:pPr>
      <w:bookmarkStart w:id="2" w:name="_Toc520758758"/>
      <w:r w:rsidRPr="003A2315">
        <w:rPr>
          <w:color w:val="000000" w:themeColor="text1"/>
        </w:rPr>
        <w:lastRenderedPageBreak/>
        <w:t>Declaration</w:t>
      </w:r>
      <w:bookmarkEnd w:id="2"/>
    </w:p>
    <w:p w14:paraId="7E25A530" w14:textId="6DFDFB11" w:rsidR="00646137" w:rsidRDefault="00646137" w:rsidP="00646137">
      <w:pPr>
        <w:jc w:val="both"/>
      </w:pPr>
      <w:r>
        <w:t xml:space="preserve">All work contained within this </w:t>
      </w:r>
      <w:r w:rsidR="003F204E">
        <w:t>research report</w:t>
      </w:r>
      <w:r>
        <w:t xml:space="preserve"> is the original work of the author, except where</w:t>
      </w:r>
      <w:r w:rsidR="00900DE6">
        <w:t xml:space="preserve"> </w:t>
      </w:r>
      <w:r>
        <w:t xml:space="preserve">specific references acknowledge the work of others. It is being submitted </w:t>
      </w:r>
      <w:r w:rsidR="00900DE6">
        <w:t xml:space="preserve">in part </w:t>
      </w:r>
      <w:r>
        <w:t>for the</w:t>
      </w:r>
      <w:r w:rsidR="00900DE6">
        <w:t xml:space="preserve"> </w:t>
      </w:r>
      <w:r>
        <w:t>degree of Master of Science at the University of the Witwatersrand, Johannesburg. It</w:t>
      </w:r>
      <w:r w:rsidR="00900DE6">
        <w:t xml:space="preserve"> </w:t>
      </w:r>
      <w:r>
        <w:t>has not been submitted before, for any degrees or examination in any other university</w:t>
      </w:r>
      <w:r w:rsidR="00900DE6">
        <w:t>.</w:t>
      </w:r>
    </w:p>
    <w:p w14:paraId="4657649F" w14:textId="7B246DF7" w:rsidR="00EB02B2" w:rsidRDefault="00EB02B2" w:rsidP="00EB02B2">
      <w:pPr>
        <w:pStyle w:val="Heading2"/>
        <w:rPr>
          <w:color w:val="000000" w:themeColor="text1"/>
        </w:rPr>
      </w:pPr>
      <w:bookmarkStart w:id="3" w:name="_Toc520758759"/>
      <w:r w:rsidRPr="00EB02B2">
        <w:rPr>
          <w:color w:val="000000" w:themeColor="text1"/>
        </w:rPr>
        <w:t>Declaration of Spelling</w:t>
      </w:r>
      <w:bookmarkEnd w:id="3"/>
    </w:p>
    <w:p w14:paraId="2DAECFF0" w14:textId="580E0CCD" w:rsidR="00EB02B2" w:rsidRDefault="00EB02B2" w:rsidP="00EB02B2">
      <w:pPr>
        <w:jc w:val="both"/>
      </w:pPr>
      <w:r>
        <w:t xml:space="preserve">This manuscript forms the complete submission of the </w:t>
      </w:r>
      <w:r w:rsidR="00764427">
        <w:t>research report</w:t>
      </w:r>
      <w:r>
        <w:t xml:space="preserve">, including appendices. Chapter 2 forms the complete submission, including references, of a regular paper to Economic Geology, an independent journal published by the Society of Economic Geologists (SEG). The paper presents new and unpublished exploration results, exploration techniques, the mineral deposit profile and a potential new source of metal. </w:t>
      </w:r>
    </w:p>
    <w:p w14:paraId="266BFE69" w14:textId="37504608" w:rsidR="00EB02B2" w:rsidRDefault="00EF39D0" w:rsidP="00EB02B2">
      <w:pPr>
        <w:jc w:val="both"/>
      </w:pPr>
      <w:r>
        <w:t xml:space="preserve">Chapter 2’s </w:t>
      </w:r>
      <w:r w:rsidR="00EB02B2">
        <w:t xml:space="preserve">manuscript text, references, tables and figures </w:t>
      </w:r>
      <w:r w:rsidR="00AF2AFC">
        <w:t>follow</w:t>
      </w:r>
      <w:r w:rsidR="00EB02B2">
        <w:t xml:space="preserve"> the format and style required by the SEG. </w:t>
      </w:r>
      <w:r w:rsidR="001653F9">
        <w:t>For the purposes of consistency of the research report</w:t>
      </w:r>
      <w:r w:rsidR="00697EC9">
        <w:t>, s</w:t>
      </w:r>
      <w:r w:rsidR="001653F9">
        <w:t xml:space="preserve">pelling, figure and table captions are in the format required by the University. This will be updated on submission for publication to </w:t>
      </w:r>
      <w:r w:rsidR="00EB02B2">
        <w:t>the format and style required by SEG, and conforms to the AGI Glossary of Geology, Chicago Manual of Style, and Merriam-Webster’s Collegiate Dictionary.</w:t>
      </w:r>
      <w:r w:rsidR="00AF2AFC">
        <w:t xml:space="preserve"> </w:t>
      </w:r>
    </w:p>
    <w:p w14:paraId="4B6BD9CE" w14:textId="37E4FB39" w:rsidR="00EF39D0" w:rsidRDefault="003F204E" w:rsidP="00EB02B2">
      <w:pPr>
        <w:jc w:val="both"/>
      </w:pPr>
      <w:r>
        <w:t xml:space="preserve">The </w:t>
      </w:r>
      <w:r w:rsidR="00EF39D0">
        <w:t xml:space="preserve">referencing style </w:t>
      </w:r>
      <w:r>
        <w:t xml:space="preserve">for chapters 1, 3 and 4 </w:t>
      </w:r>
      <w:r w:rsidR="00EF39D0">
        <w:t xml:space="preserve">in the format required by the South African Journal of Geology. </w:t>
      </w:r>
    </w:p>
    <w:p w14:paraId="442585EE" w14:textId="40219B42" w:rsidR="00EB7D71" w:rsidRDefault="00EB7D71" w:rsidP="0096654C">
      <w:pPr>
        <w:jc w:val="both"/>
        <w:rPr>
          <w:b/>
        </w:rPr>
      </w:pPr>
    </w:p>
    <w:p w14:paraId="644DF73C" w14:textId="77777777" w:rsidR="000A50A6" w:rsidRDefault="000A50A6" w:rsidP="0096654C">
      <w:pPr>
        <w:jc w:val="both"/>
        <w:rPr>
          <w:b/>
        </w:rPr>
      </w:pPr>
    </w:p>
    <w:p w14:paraId="4B6D226D" w14:textId="50965064" w:rsidR="00EB7D71" w:rsidRDefault="00EB7D71" w:rsidP="00EB7D71">
      <w:pPr>
        <w:jc w:val="both"/>
        <w:rPr>
          <w:b/>
        </w:rPr>
      </w:pPr>
      <w:r>
        <w:rPr>
          <w:b/>
        </w:rPr>
        <w:t>________________________</w:t>
      </w:r>
      <w:r>
        <w:rPr>
          <w:b/>
        </w:rPr>
        <w:tab/>
      </w:r>
      <w:r w:rsidR="00AF2AFC">
        <w:rPr>
          <w:b/>
        </w:rPr>
        <w:tab/>
      </w:r>
      <w:r w:rsidR="00AF2AFC">
        <w:rPr>
          <w:b/>
        </w:rPr>
        <w:tab/>
      </w:r>
      <w:r>
        <w:rPr>
          <w:b/>
        </w:rPr>
        <w:tab/>
      </w:r>
      <w:r>
        <w:rPr>
          <w:b/>
        </w:rPr>
        <w:tab/>
        <w:t>________________________</w:t>
      </w:r>
    </w:p>
    <w:p w14:paraId="77A26069" w14:textId="056D6CC5" w:rsidR="00EB7D71" w:rsidRDefault="00EB7D71" w:rsidP="0096654C">
      <w:pPr>
        <w:jc w:val="both"/>
        <w:rPr>
          <w:b/>
        </w:rPr>
      </w:pPr>
      <w:r>
        <w:rPr>
          <w:b/>
        </w:rPr>
        <w:t>Signed</w:t>
      </w:r>
      <w:r w:rsidR="00AF2AFC">
        <w:rPr>
          <w:b/>
        </w:rPr>
        <w:tab/>
      </w:r>
      <w:r w:rsidR="00AF2AFC">
        <w:rPr>
          <w:b/>
        </w:rPr>
        <w:tab/>
      </w:r>
      <w:r w:rsidR="00AF2AFC">
        <w:rPr>
          <w:b/>
        </w:rPr>
        <w:tab/>
      </w:r>
      <w:r w:rsidR="00AF2AFC">
        <w:rPr>
          <w:b/>
        </w:rPr>
        <w:tab/>
      </w:r>
      <w:r w:rsidR="00AF2AFC">
        <w:rPr>
          <w:b/>
        </w:rPr>
        <w:tab/>
      </w:r>
      <w:r w:rsidR="00AF2AFC">
        <w:rPr>
          <w:b/>
        </w:rPr>
        <w:tab/>
      </w:r>
      <w:r w:rsidR="00AF2AFC">
        <w:rPr>
          <w:b/>
        </w:rPr>
        <w:tab/>
      </w:r>
      <w:r>
        <w:rPr>
          <w:b/>
        </w:rPr>
        <w:tab/>
        <w:t>Date</w:t>
      </w:r>
    </w:p>
    <w:p w14:paraId="3007BD50" w14:textId="77777777" w:rsidR="00EF39D0" w:rsidRDefault="00EF39D0">
      <w:pPr>
        <w:rPr>
          <w:rFonts w:asciiTheme="majorHAnsi" w:eastAsiaTheme="majorEastAsia" w:hAnsiTheme="majorHAnsi" w:cstheme="majorBidi"/>
          <w:b/>
          <w:color w:val="000000" w:themeColor="text1"/>
          <w:sz w:val="26"/>
          <w:szCs w:val="26"/>
        </w:rPr>
      </w:pPr>
      <w:r>
        <w:rPr>
          <w:b/>
          <w:color w:val="000000" w:themeColor="text1"/>
        </w:rPr>
        <w:br w:type="page"/>
      </w:r>
    </w:p>
    <w:p w14:paraId="15BE6CA1" w14:textId="4643BF1E" w:rsidR="00EB7D71" w:rsidRPr="00CE738E" w:rsidRDefault="00EB7D71" w:rsidP="00F00B2F">
      <w:pPr>
        <w:pStyle w:val="Heading2"/>
        <w:rPr>
          <w:color w:val="000000" w:themeColor="text1"/>
        </w:rPr>
      </w:pPr>
      <w:bookmarkStart w:id="4" w:name="_Toc520758760"/>
      <w:r w:rsidRPr="00CE738E">
        <w:rPr>
          <w:color w:val="000000" w:themeColor="text1"/>
        </w:rPr>
        <w:lastRenderedPageBreak/>
        <w:t>Acknowledgements</w:t>
      </w:r>
      <w:bookmarkEnd w:id="4"/>
    </w:p>
    <w:p w14:paraId="5653D94A" w14:textId="0DA39713" w:rsidR="00F00B2F" w:rsidRDefault="00F00B2F" w:rsidP="00F00B2F">
      <w:pPr>
        <w:jc w:val="both"/>
      </w:pPr>
      <w:r>
        <w:t xml:space="preserve">Professor Paul Nex is thanked for his continued support, mentorship and guidance over the years of developing the project, as well as for his input into this paper. The exploration team involved for their diligence and hard work: Keith Matier, Rob Kiefer, Frieder Reichhardt, Neels van Rooyen and </w:t>
      </w:r>
      <w:r w:rsidRPr="00642DC6">
        <w:t>W</w:t>
      </w:r>
      <w:r>
        <w:t>iehann</w:t>
      </w:r>
      <w:r w:rsidRPr="00642DC6">
        <w:t xml:space="preserve"> Kleynhans</w:t>
      </w:r>
      <w:r>
        <w:t xml:space="preserve">. </w:t>
      </w:r>
      <w:bookmarkStart w:id="5" w:name="_Hlk507349784"/>
      <w:r>
        <w:t>Peter Sebake for his invaluable assistance in the successful liaison with our host communities.</w:t>
      </w:r>
      <w:bookmarkEnd w:id="5"/>
    </w:p>
    <w:p w14:paraId="39D27F3D" w14:textId="77777777" w:rsidR="00B53D99" w:rsidRDefault="00F00B2F" w:rsidP="00F00B2F">
      <w:pPr>
        <w:jc w:val="both"/>
      </w:pPr>
      <w:r>
        <w:t>Diane Shearer is thanked for her assistance with the illustrations. Innes Buurman and Jamie Price are thanked for their excellent mineralogical work on the Merensky Reef. The management of Lesego Platinum, Village Main Reef and Umbono Capital are thanked for their continued support of the project. The Industrial Development Corporation of South Africa is thanked for their funding of the project to advance it from exploration stages through to completed feasibility studies. We hope that this project can be used as a means to improve the lives of the communities which live on and around this resource</w:t>
      </w:r>
      <w:r w:rsidR="00B53D99">
        <w:t>.</w:t>
      </w:r>
    </w:p>
    <w:p w14:paraId="2E16E077" w14:textId="77777777" w:rsidR="003D5E74" w:rsidRDefault="003D5E74">
      <w:r>
        <w:br w:type="page"/>
      </w:r>
    </w:p>
    <w:p w14:paraId="3138A72B" w14:textId="77777777" w:rsidR="003D5E74" w:rsidRDefault="003D5E74" w:rsidP="003D5E74">
      <w:pPr>
        <w:pStyle w:val="Heading1"/>
        <w:rPr>
          <w:b/>
        </w:rPr>
      </w:pPr>
      <w:bookmarkStart w:id="6" w:name="_Toc520758761"/>
      <w:r w:rsidRPr="003D5E74">
        <w:rPr>
          <w:b/>
          <w:color w:val="000000" w:themeColor="text1"/>
        </w:rPr>
        <w:lastRenderedPageBreak/>
        <w:t>Abstract</w:t>
      </w:r>
      <w:bookmarkEnd w:id="6"/>
    </w:p>
    <w:p w14:paraId="447C1209" w14:textId="14C72BB7" w:rsidR="00B53D99" w:rsidRPr="003D5E74" w:rsidRDefault="003D5E74" w:rsidP="003D5E74">
      <w:pPr>
        <w:pStyle w:val="NoSpacing"/>
        <w:jc w:val="both"/>
      </w:pPr>
      <w:bookmarkStart w:id="7" w:name="_Hlk520623380"/>
      <w:r w:rsidRPr="003D5E74">
        <w:t xml:space="preserve">The recently discovered Lesego Platinum Merensky Reef and UG2 Chromitite deposit is a 39 million-ounce PGE deposit hosted in the northeastern portion of the Bushveld Complex, South Africa. The upward displacement of floor rock during the emplacement of the </w:t>
      </w:r>
      <w:r w:rsidR="00853DEC">
        <w:t xml:space="preserve">Rustenburg Layered Suite </w:t>
      </w:r>
      <w:r w:rsidR="00A9526B">
        <w:t xml:space="preserve">of the Bushveld Complex </w:t>
      </w:r>
      <w:r w:rsidRPr="003D5E74">
        <w:t>as a result of gravitational forces has resulted in the economically important horizons, which would normally be at several kilometers depth, being brought closer to surface by the Phosiri Dome. The Phosiri Dome has</w:t>
      </w:r>
      <w:r w:rsidR="00CE40E3">
        <w:t>,</w:t>
      </w:r>
      <w:r w:rsidRPr="003D5E74">
        <w:t xml:space="preserve"> however</w:t>
      </w:r>
      <w:r w:rsidR="00CE40E3">
        <w:t>,</w:t>
      </w:r>
      <w:r w:rsidRPr="003D5E74">
        <w:t xml:space="preserve"> had a dramatic effect on the morphology and grade of the Merensky and UG2 reefs. The reefs are almost vertical in close proximity to the Phosiri Dome, b</w:t>
      </w:r>
      <w:r w:rsidR="00CE40E3">
        <w:t>ut rapidly flatten out at depth</w:t>
      </w:r>
      <w:r w:rsidRPr="003D5E74">
        <w:t xml:space="preserve"> to the shallow </w:t>
      </w:r>
      <w:r w:rsidR="00CE40E3">
        <w:t xml:space="preserve">westerly </w:t>
      </w:r>
      <w:r w:rsidRPr="003D5E74">
        <w:t>dips more consistent with traditional Merensky and UG2 reefs</w:t>
      </w:r>
      <w:r w:rsidR="00CE40E3">
        <w:t xml:space="preserve"> in the area</w:t>
      </w:r>
      <w:r w:rsidR="00013237">
        <w:t xml:space="preserve">. A gabbro contaminated with </w:t>
      </w:r>
      <w:r w:rsidR="008F6718">
        <w:t>anatectic melt</w:t>
      </w:r>
      <w:r w:rsidRPr="003D5E74">
        <w:t xml:space="preserve"> appears to have obliterated the reef horizons closer to surface, resulting in the </w:t>
      </w:r>
      <w:r w:rsidR="008F6718">
        <w:t xml:space="preserve">upper orebody </w:t>
      </w:r>
      <w:r w:rsidRPr="003D5E74">
        <w:t xml:space="preserve">remaining undiscovered since the area was first explored in the 1980’s. Reef morphology and PGE mineralogy in the Merensky Reef further away from the Phosiri Dome </w:t>
      </w:r>
      <w:r w:rsidR="00CE40E3">
        <w:t>are</w:t>
      </w:r>
      <w:r w:rsidRPr="003D5E74">
        <w:t xml:space="preserve"> consistent with that of surrounding </w:t>
      </w:r>
      <w:r w:rsidR="00CE40E3">
        <w:t>deposits.</w:t>
      </w:r>
      <w:r w:rsidRPr="003D5E74">
        <w:t xml:space="preserve"> </w:t>
      </w:r>
      <w:bookmarkEnd w:id="7"/>
      <w:r w:rsidR="00B53D99" w:rsidRPr="003D5E74">
        <w:br w:type="page"/>
      </w:r>
    </w:p>
    <w:p w14:paraId="24692EF2" w14:textId="3932FD93" w:rsidR="002D7412" w:rsidRPr="002D7412" w:rsidRDefault="002D7412" w:rsidP="002D7412">
      <w:pPr>
        <w:pStyle w:val="Heading1"/>
        <w:rPr>
          <w:b/>
          <w:color w:val="000000" w:themeColor="text1"/>
        </w:rPr>
      </w:pPr>
      <w:bookmarkStart w:id="8" w:name="_Toc520758762"/>
      <w:r w:rsidRPr="002D7412">
        <w:rPr>
          <w:b/>
          <w:color w:val="000000" w:themeColor="text1"/>
        </w:rPr>
        <w:lastRenderedPageBreak/>
        <w:t>Table of Contents</w:t>
      </w:r>
      <w:bookmarkEnd w:id="8"/>
    </w:p>
    <w:p w14:paraId="13BB09D1" w14:textId="5DCABEE6" w:rsidR="00CE738E" w:rsidRDefault="002D7412">
      <w:pPr>
        <w:pStyle w:val="TOC2"/>
        <w:tabs>
          <w:tab w:val="right" w:leader="dot" w:pos="9016"/>
        </w:tabs>
        <w:rPr>
          <w:rFonts w:eastAsiaTheme="minorEastAsia"/>
          <w:noProof/>
          <w:lang w:val="en-ZA" w:eastAsia="en-ZA"/>
        </w:rPr>
      </w:pPr>
      <w:r>
        <w:rPr>
          <w:b/>
        </w:rPr>
        <w:fldChar w:fldCharType="begin"/>
      </w:r>
      <w:r>
        <w:rPr>
          <w:b/>
        </w:rPr>
        <w:instrText xml:space="preserve"> TOC \o "1-4" \h \z \u </w:instrText>
      </w:r>
      <w:r>
        <w:rPr>
          <w:b/>
        </w:rPr>
        <w:fldChar w:fldCharType="separate"/>
      </w:r>
      <w:hyperlink w:anchor="_Toc520758758" w:history="1">
        <w:r w:rsidR="00CE738E" w:rsidRPr="00D90536">
          <w:rPr>
            <w:rStyle w:val="Hyperlink"/>
            <w:noProof/>
          </w:rPr>
          <w:t>Declaration</w:t>
        </w:r>
        <w:r w:rsidR="00CE738E">
          <w:rPr>
            <w:noProof/>
            <w:webHidden/>
          </w:rPr>
          <w:tab/>
        </w:r>
        <w:r w:rsidR="00CE738E">
          <w:rPr>
            <w:noProof/>
            <w:webHidden/>
          </w:rPr>
          <w:fldChar w:fldCharType="begin"/>
        </w:r>
        <w:r w:rsidR="00CE738E">
          <w:rPr>
            <w:noProof/>
            <w:webHidden/>
          </w:rPr>
          <w:instrText xml:space="preserve"> PAGEREF _Toc520758758 \h </w:instrText>
        </w:r>
        <w:r w:rsidR="00CE738E">
          <w:rPr>
            <w:noProof/>
            <w:webHidden/>
          </w:rPr>
        </w:r>
        <w:r w:rsidR="00CE738E">
          <w:rPr>
            <w:noProof/>
            <w:webHidden/>
          </w:rPr>
          <w:fldChar w:fldCharType="separate"/>
        </w:r>
        <w:r w:rsidR="002645B6">
          <w:rPr>
            <w:noProof/>
            <w:webHidden/>
          </w:rPr>
          <w:t>2</w:t>
        </w:r>
        <w:r w:rsidR="00CE738E">
          <w:rPr>
            <w:noProof/>
            <w:webHidden/>
          </w:rPr>
          <w:fldChar w:fldCharType="end"/>
        </w:r>
      </w:hyperlink>
    </w:p>
    <w:p w14:paraId="09744037" w14:textId="35FA120A" w:rsidR="00CE738E" w:rsidRDefault="002645B6">
      <w:pPr>
        <w:pStyle w:val="TOC2"/>
        <w:tabs>
          <w:tab w:val="right" w:leader="dot" w:pos="9016"/>
        </w:tabs>
        <w:rPr>
          <w:rFonts w:eastAsiaTheme="minorEastAsia"/>
          <w:noProof/>
          <w:lang w:val="en-ZA" w:eastAsia="en-ZA"/>
        </w:rPr>
      </w:pPr>
      <w:hyperlink w:anchor="_Toc520758759" w:history="1">
        <w:r w:rsidR="00CE738E" w:rsidRPr="00D90536">
          <w:rPr>
            <w:rStyle w:val="Hyperlink"/>
            <w:noProof/>
          </w:rPr>
          <w:t>Declaration of Spelling</w:t>
        </w:r>
        <w:r w:rsidR="00CE738E">
          <w:rPr>
            <w:noProof/>
            <w:webHidden/>
          </w:rPr>
          <w:tab/>
        </w:r>
        <w:r w:rsidR="00CE738E">
          <w:rPr>
            <w:noProof/>
            <w:webHidden/>
          </w:rPr>
          <w:fldChar w:fldCharType="begin"/>
        </w:r>
        <w:r w:rsidR="00CE738E">
          <w:rPr>
            <w:noProof/>
            <w:webHidden/>
          </w:rPr>
          <w:instrText xml:space="preserve"> PAGEREF _Toc520758759 \h </w:instrText>
        </w:r>
        <w:r w:rsidR="00CE738E">
          <w:rPr>
            <w:noProof/>
            <w:webHidden/>
          </w:rPr>
        </w:r>
        <w:r w:rsidR="00CE738E">
          <w:rPr>
            <w:noProof/>
            <w:webHidden/>
          </w:rPr>
          <w:fldChar w:fldCharType="separate"/>
        </w:r>
        <w:r>
          <w:rPr>
            <w:noProof/>
            <w:webHidden/>
          </w:rPr>
          <w:t>2</w:t>
        </w:r>
        <w:r w:rsidR="00CE738E">
          <w:rPr>
            <w:noProof/>
            <w:webHidden/>
          </w:rPr>
          <w:fldChar w:fldCharType="end"/>
        </w:r>
      </w:hyperlink>
    </w:p>
    <w:p w14:paraId="4BD034AD" w14:textId="7D0B4333" w:rsidR="00CE738E" w:rsidRDefault="002645B6">
      <w:pPr>
        <w:pStyle w:val="TOC2"/>
        <w:tabs>
          <w:tab w:val="right" w:leader="dot" w:pos="9016"/>
        </w:tabs>
        <w:rPr>
          <w:rFonts w:eastAsiaTheme="minorEastAsia"/>
          <w:noProof/>
          <w:lang w:val="en-ZA" w:eastAsia="en-ZA"/>
        </w:rPr>
      </w:pPr>
      <w:hyperlink w:anchor="_Toc520758760" w:history="1">
        <w:r w:rsidR="00CE738E" w:rsidRPr="00D90536">
          <w:rPr>
            <w:rStyle w:val="Hyperlink"/>
            <w:noProof/>
          </w:rPr>
          <w:t>Acknowledgements</w:t>
        </w:r>
        <w:r w:rsidR="00CE738E">
          <w:rPr>
            <w:noProof/>
            <w:webHidden/>
          </w:rPr>
          <w:tab/>
        </w:r>
        <w:r w:rsidR="00CE738E">
          <w:rPr>
            <w:noProof/>
            <w:webHidden/>
          </w:rPr>
          <w:fldChar w:fldCharType="begin"/>
        </w:r>
        <w:r w:rsidR="00CE738E">
          <w:rPr>
            <w:noProof/>
            <w:webHidden/>
          </w:rPr>
          <w:instrText xml:space="preserve"> PAGEREF _Toc520758760 \h </w:instrText>
        </w:r>
        <w:r w:rsidR="00CE738E">
          <w:rPr>
            <w:noProof/>
            <w:webHidden/>
          </w:rPr>
        </w:r>
        <w:r w:rsidR="00CE738E">
          <w:rPr>
            <w:noProof/>
            <w:webHidden/>
          </w:rPr>
          <w:fldChar w:fldCharType="separate"/>
        </w:r>
        <w:r>
          <w:rPr>
            <w:noProof/>
            <w:webHidden/>
          </w:rPr>
          <w:t>3</w:t>
        </w:r>
        <w:r w:rsidR="00CE738E">
          <w:rPr>
            <w:noProof/>
            <w:webHidden/>
          </w:rPr>
          <w:fldChar w:fldCharType="end"/>
        </w:r>
      </w:hyperlink>
    </w:p>
    <w:p w14:paraId="0D81C19E" w14:textId="79D9AE82" w:rsidR="00CE738E" w:rsidRDefault="002645B6">
      <w:pPr>
        <w:pStyle w:val="TOC1"/>
        <w:tabs>
          <w:tab w:val="right" w:leader="dot" w:pos="9016"/>
        </w:tabs>
        <w:rPr>
          <w:rFonts w:eastAsiaTheme="minorEastAsia"/>
          <w:noProof/>
          <w:lang w:val="en-ZA" w:eastAsia="en-ZA"/>
        </w:rPr>
      </w:pPr>
      <w:hyperlink w:anchor="_Toc520758761" w:history="1">
        <w:r w:rsidR="00CE738E" w:rsidRPr="00D90536">
          <w:rPr>
            <w:rStyle w:val="Hyperlink"/>
            <w:b/>
            <w:noProof/>
          </w:rPr>
          <w:t>Abstract</w:t>
        </w:r>
        <w:r w:rsidR="00CE738E">
          <w:rPr>
            <w:noProof/>
            <w:webHidden/>
          </w:rPr>
          <w:tab/>
        </w:r>
        <w:r w:rsidR="00CE738E">
          <w:rPr>
            <w:noProof/>
            <w:webHidden/>
          </w:rPr>
          <w:fldChar w:fldCharType="begin"/>
        </w:r>
        <w:r w:rsidR="00CE738E">
          <w:rPr>
            <w:noProof/>
            <w:webHidden/>
          </w:rPr>
          <w:instrText xml:space="preserve"> PAGEREF _Toc520758761 \h </w:instrText>
        </w:r>
        <w:r w:rsidR="00CE738E">
          <w:rPr>
            <w:noProof/>
            <w:webHidden/>
          </w:rPr>
        </w:r>
        <w:r w:rsidR="00CE738E">
          <w:rPr>
            <w:noProof/>
            <w:webHidden/>
          </w:rPr>
          <w:fldChar w:fldCharType="separate"/>
        </w:r>
        <w:r>
          <w:rPr>
            <w:noProof/>
            <w:webHidden/>
          </w:rPr>
          <w:t>4</w:t>
        </w:r>
        <w:r w:rsidR="00CE738E">
          <w:rPr>
            <w:noProof/>
            <w:webHidden/>
          </w:rPr>
          <w:fldChar w:fldCharType="end"/>
        </w:r>
      </w:hyperlink>
    </w:p>
    <w:p w14:paraId="45ED8C09" w14:textId="7D0429D6" w:rsidR="00CE738E" w:rsidRDefault="002645B6">
      <w:pPr>
        <w:pStyle w:val="TOC1"/>
        <w:tabs>
          <w:tab w:val="right" w:leader="dot" w:pos="9016"/>
        </w:tabs>
        <w:rPr>
          <w:rFonts w:eastAsiaTheme="minorEastAsia"/>
          <w:noProof/>
          <w:lang w:val="en-ZA" w:eastAsia="en-ZA"/>
        </w:rPr>
      </w:pPr>
      <w:hyperlink w:anchor="_Toc520758762" w:history="1">
        <w:r w:rsidR="00CE738E" w:rsidRPr="00D90536">
          <w:rPr>
            <w:rStyle w:val="Hyperlink"/>
            <w:b/>
            <w:noProof/>
          </w:rPr>
          <w:t>Table of Contents</w:t>
        </w:r>
        <w:r w:rsidR="00CE738E">
          <w:rPr>
            <w:noProof/>
            <w:webHidden/>
          </w:rPr>
          <w:tab/>
        </w:r>
        <w:r w:rsidR="00CE738E">
          <w:rPr>
            <w:noProof/>
            <w:webHidden/>
          </w:rPr>
          <w:fldChar w:fldCharType="begin"/>
        </w:r>
        <w:r w:rsidR="00CE738E">
          <w:rPr>
            <w:noProof/>
            <w:webHidden/>
          </w:rPr>
          <w:instrText xml:space="preserve"> PAGEREF _Toc520758762 \h </w:instrText>
        </w:r>
        <w:r w:rsidR="00CE738E">
          <w:rPr>
            <w:noProof/>
            <w:webHidden/>
          </w:rPr>
        </w:r>
        <w:r w:rsidR="00CE738E">
          <w:rPr>
            <w:noProof/>
            <w:webHidden/>
          </w:rPr>
          <w:fldChar w:fldCharType="separate"/>
        </w:r>
        <w:r>
          <w:rPr>
            <w:noProof/>
            <w:webHidden/>
          </w:rPr>
          <w:t>5</w:t>
        </w:r>
        <w:r w:rsidR="00CE738E">
          <w:rPr>
            <w:noProof/>
            <w:webHidden/>
          </w:rPr>
          <w:fldChar w:fldCharType="end"/>
        </w:r>
      </w:hyperlink>
    </w:p>
    <w:p w14:paraId="4522139B" w14:textId="7E3A813D" w:rsidR="00CE738E" w:rsidRDefault="002645B6">
      <w:pPr>
        <w:pStyle w:val="TOC1"/>
        <w:tabs>
          <w:tab w:val="right" w:leader="dot" w:pos="9016"/>
        </w:tabs>
        <w:rPr>
          <w:rFonts w:eastAsiaTheme="minorEastAsia"/>
          <w:noProof/>
          <w:lang w:val="en-ZA" w:eastAsia="en-ZA"/>
        </w:rPr>
      </w:pPr>
      <w:hyperlink w:anchor="_Toc520758763" w:history="1">
        <w:r w:rsidR="00CE738E" w:rsidRPr="00D90536">
          <w:rPr>
            <w:rStyle w:val="Hyperlink"/>
            <w:b/>
            <w:noProof/>
          </w:rPr>
          <w:t>List of Figures</w:t>
        </w:r>
        <w:r w:rsidR="00CE738E">
          <w:rPr>
            <w:noProof/>
            <w:webHidden/>
          </w:rPr>
          <w:tab/>
        </w:r>
        <w:r w:rsidR="00CE738E">
          <w:rPr>
            <w:noProof/>
            <w:webHidden/>
          </w:rPr>
          <w:fldChar w:fldCharType="begin"/>
        </w:r>
        <w:r w:rsidR="00CE738E">
          <w:rPr>
            <w:noProof/>
            <w:webHidden/>
          </w:rPr>
          <w:instrText xml:space="preserve"> PAGEREF _Toc520758763 \h </w:instrText>
        </w:r>
        <w:r w:rsidR="00CE738E">
          <w:rPr>
            <w:noProof/>
            <w:webHidden/>
          </w:rPr>
        </w:r>
        <w:r w:rsidR="00CE738E">
          <w:rPr>
            <w:noProof/>
            <w:webHidden/>
          </w:rPr>
          <w:fldChar w:fldCharType="separate"/>
        </w:r>
        <w:r>
          <w:rPr>
            <w:noProof/>
            <w:webHidden/>
          </w:rPr>
          <w:t>7</w:t>
        </w:r>
        <w:r w:rsidR="00CE738E">
          <w:rPr>
            <w:noProof/>
            <w:webHidden/>
          </w:rPr>
          <w:fldChar w:fldCharType="end"/>
        </w:r>
      </w:hyperlink>
    </w:p>
    <w:p w14:paraId="4756EF16" w14:textId="479BBF41" w:rsidR="00CE738E" w:rsidRDefault="002645B6">
      <w:pPr>
        <w:pStyle w:val="TOC1"/>
        <w:tabs>
          <w:tab w:val="right" w:leader="dot" w:pos="9016"/>
        </w:tabs>
        <w:rPr>
          <w:rFonts w:eastAsiaTheme="minorEastAsia"/>
          <w:noProof/>
          <w:lang w:val="en-ZA" w:eastAsia="en-ZA"/>
        </w:rPr>
      </w:pPr>
      <w:hyperlink w:anchor="_Toc520758764" w:history="1">
        <w:r w:rsidR="00CE738E" w:rsidRPr="00D90536">
          <w:rPr>
            <w:rStyle w:val="Hyperlink"/>
            <w:b/>
            <w:noProof/>
          </w:rPr>
          <w:t>List of Tables</w:t>
        </w:r>
        <w:r w:rsidR="00CE738E">
          <w:rPr>
            <w:noProof/>
            <w:webHidden/>
          </w:rPr>
          <w:tab/>
        </w:r>
        <w:r w:rsidR="00CE738E">
          <w:rPr>
            <w:noProof/>
            <w:webHidden/>
          </w:rPr>
          <w:fldChar w:fldCharType="begin"/>
        </w:r>
        <w:r w:rsidR="00CE738E">
          <w:rPr>
            <w:noProof/>
            <w:webHidden/>
          </w:rPr>
          <w:instrText xml:space="preserve"> PAGEREF _Toc520758764 \h </w:instrText>
        </w:r>
        <w:r w:rsidR="00CE738E">
          <w:rPr>
            <w:noProof/>
            <w:webHidden/>
          </w:rPr>
        </w:r>
        <w:r w:rsidR="00CE738E">
          <w:rPr>
            <w:noProof/>
            <w:webHidden/>
          </w:rPr>
          <w:fldChar w:fldCharType="separate"/>
        </w:r>
        <w:r>
          <w:rPr>
            <w:noProof/>
            <w:webHidden/>
          </w:rPr>
          <w:t>8</w:t>
        </w:r>
        <w:r w:rsidR="00CE738E">
          <w:rPr>
            <w:noProof/>
            <w:webHidden/>
          </w:rPr>
          <w:fldChar w:fldCharType="end"/>
        </w:r>
      </w:hyperlink>
    </w:p>
    <w:p w14:paraId="6D1EE74C" w14:textId="02652D30" w:rsidR="00CE738E" w:rsidRDefault="002645B6">
      <w:pPr>
        <w:pStyle w:val="TOC1"/>
        <w:tabs>
          <w:tab w:val="right" w:leader="dot" w:pos="9016"/>
        </w:tabs>
        <w:rPr>
          <w:rFonts w:eastAsiaTheme="minorEastAsia"/>
          <w:noProof/>
          <w:lang w:val="en-ZA" w:eastAsia="en-ZA"/>
        </w:rPr>
      </w:pPr>
      <w:hyperlink w:anchor="_Toc520758765" w:history="1">
        <w:r w:rsidR="00CE738E" w:rsidRPr="00D90536">
          <w:rPr>
            <w:rStyle w:val="Hyperlink"/>
            <w:b/>
            <w:noProof/>
          </w:rPr>
          <w:t>Chapter 1</w:t>
        </w:r>
        <w:r w:rsidR="00CE738E">
          <w:rPr>
            <w:noProof/>
            <w:webHidden/>
          </w:rPr>
          <w:tab/>
        </w:r>
        <w:r w:rsidR="00CE738E">
          <w:rPr>
            <w:noProof/>
            <w:webHidden/>
          </w:rPr>
          <w:fldChar w:fldCharType="begin"/>
        </w:r>
        <w:r w:rsidR="00CE738E">
          <w:rPr>
            <w:noProof/>
            <w:webHidden/>
          </w:rPr>
          <w:instrText xml:space="preserve"> PAGEREF _Toc520758765 \h </w:instrText>
        </w:r>
        <w:r w:rsidR="00CE738E">
          <w:rPr>
            <w:noProof/>
            <w:webHidden/>
          </w:rPr>
        </w:r>
        <w:r w:rsidR="00CE738E">
          <w:rPr>
            <w:noProof/>
            <w:webHidden/>
          </w:rPr>
          <w:fldChar w:fldCharType="separate"/>
        </w:r>
        <w:r>
          <w:rPr>
            <w:noProof/>
            <w:webHidden/>
          </w:rPr>
          <w:t>9</w:t>
        </w:r>
        <w:r w:rsidR="00CE738E">
          <w:rPr>
            <w:noProof/>
            <w:webHidden/>
          </w:rPr>
          <w:fldChar w:fldCharType="end"/>
        </w:r>
      </w:hyperlink>
    </w:p>
    <w:p w14:paraId="559C3350" w14:textId="0C8EE450" w:rsidR="00CE738E" w:rsidRDefault="002645B6">
      <w:pPr>
        <w:pStyle w:val="TOC2"/>
        <w:tabs>
          <w:tab w:val="right" w:leader="dot" w:pos="9016"/>
        </w:tabs>
        <w:rPr>
          <w:rFonts w:eastAsiaTheme="minorEastAsia"/>
          <w:noProof/>
          <w:lang w:val="en-ZA" w:eastAsia="en-ZA"/>
        </w:rPr>
      </w:pPr>
      <w:hyperlink w:anchor="_Toc520758766" w:history="1">
        <w:r w:rsidR="00CE738E" w:rsidRPr="00D90536">
          <w:rPr>
            <w:rStyle w:val="Hyperlink"/>
            <w:noProof/>
          </w:rPr>
          <w:t>Study Aim and Objectives</w:t>
        </w:r>
        <w:r w:rsidR="00CE738E">
          <w:rPr>
            <w:noProof/>
            <w:webHidden/>
          </w:rPr>
          <w:tab/>
        </w:r>
        <w:r w:rsidR="00CE738E">
          <w:rPr>
            <w:noProof/>
            <w:webHidden/>
          </w:rPr>
          <w:fldChar w:fldCharType="begin"/>
        </w:r>
        <w:r w:rsidR="00CE738E">
          <w:rPr>
            <w:noProof/>
            <w:webHidden/>
          </w:rPr>
          <w:instrText xml:space="preserve"> PAGEREF _Toc520758766 \h </w:instrText>
        </w:r>
        <w:r w:rsidR="00CE738E">
          <w:rPr>
            <w:noProof/>
            <w:webHidden/>
          </w:rPr>
        </w:r>
        <w:r w:rsidR="00CE738E">
          <w:rPr>
            <w:noProof/>
            <w:webHidden/>
          </w:rPr>
          <w:fldChar w:fldCharType="separate"/>
        </w:r>
        <w:r>
          <w:rPr>
            <w:noProof/>
            <w:webHidden/>
          </w:rPr>
          <w:t>9</w:t>
        </w:r>
        <w:r w:rsidR="00CE738E">
          <w:rPr>
            <w:noProof/>
            <w:webHidden/>
          </w:rPr>
          <w:fldChar w:fldCharType="end"/>
        </w:r>
      </w:hyperlink>
    </w:p>
    <w:p w14:paraId="646962B2" w14:textId="166A9507" w:rsidR="00CE738E" w:rsidRDefault="002645B6">
      <w:pPr>
        <w:pStyle w:val="TOC2"/>
        <w:tabs>
          <w:tab w:val="right" w:leader="dot" w:pos="9016"/>
        </w:tabs>
        <w:rPr>
          <w:rFonts w:eastAsiaTheme="minorEastAsia"/>
          <w:noProof/>
          <w:lang w:val="en-ZA" w:eastAsia="en-ZA"/>
        </w:rPr>
      </w:pPr>
      <w:hyperlink w:anchor="_Toc520758767" w:history="1">
        <w:r w:rsidR="00CE738E" w:rsidRPr="00D90536">
          <w:rPr>
            <w:rStyle w:val="Hyperlink"/>
            <w:noProof/>
          </w:rPr>
          <w:t>Introduction</w:t>
        </w:r>
        <w:r w:rsidR="00CE738E">
          <w:rPr>
            <w:noProof/>
            <w:webHidden/>
          </w:rPr>
          <w:tab/>
        </w:r>
        <w:r w:rsidR="00CE738E">
          <w:rPr>
            <w:noProof/>
            <w:webHidden/>
          </w:rPr>
          <w:fldChar w:fldCharType="begin"/>
        </w:r>
        <w:r w:rsidR="00CE738E">
          <w:rPr>
            <w:noProof/>
            <w:webHidden/>
          </w:rPr>
          <w:instrText xml:space="preserve"> PAGEREF _Toc520758767 \h </w:instrText>
        </w:r>
        <w:r w:rsidR="00CE738E">
          <w:rPr>
            <w:noProof/>
            <w:webHidden/>
          </w:rPr>
        </w:r>
        <w:r w:rsidR="00CE738E">
          <w:rPr>
            <w:noProof/>
            <w:webHidden/>
          </w:rPr>
          <w:fldChar w:fldCharType="separate"/>
        </w:r>
        <w:r>
          <w:rPr>
            <w:noProof/>
            <w:webHidden/>
          </w:rPr>
          <w:t>9</w:t>
        </w:r>
        <w:r w:rsidR="00CE738E">
          <w:rPr>
            <w:noProof/>
            <w:webHidden/>
          </w:rPr>
          <w:fldChar w:fldCharType="end"/>
        </w:r>
      </w:hyperlink>
    </w:p>
    <w:p w14:paraId="39FC3050" w14:textId="70A9328D" w:rsidR="00CE738E" w:rsidRDefault="002645B6">
      <w:pPr>
        <w:pStyle w:val="TOC2"/>
        <w:tabs>
          <w:tab w:val="right" w:leader="dot" w:pos="9016"/>
        </w:tabs>
        <w:rPr>
          <w:rFonts w:eastAsiaTheme="minorEastAsia"/>
          <w:noProof/>
          <w:lang w:val="en-ZA" w:eastAsia="en-ZA"/>
        </w:rPr>
      </w:pPr>
      <w:hyperlink w:anchor="_Toc520758768" w:history="1">
        <w:r w:rsidR="00CE738E" w:rsidRPr="00D90536">
          <w:rPr>
            <w:rStyle w:val="Hyperlink"/>
            <w:noProof/>
          </w:rPr>
          <w:t>Location</w:t>
        </w:r>
        <w:r w:rsidR="00CE738E">
          <w:rPr>
            <w:noProof/>
            <w:webHidden/>
          </w:rPr>
          <w:tab/>
        </w:r>
        <w:r w:rsidR="00CE738E">
          <w:rPr>
            <w:noProof/>
            <w:webHidden/>
          </w:rPr>
          <w:fldChar w:fldCharType="begin"/>
        </w:r>
        <w:r w:rsidR="00CE738E">
          <w:rPr>
            <w:noProof/>
            <w:webHidden/>
          </w:rPr>
          <w:instrText xml:space="preserve"> PAGEREF _Toc520758768 \h </w:instrText>
        </w:r>
        <w:r w:rsidR="00CE738E">
          <w:rPr>
            <w:noProof/>
            <w:webHidden/>
          </w:rPr>
        </w:r>
        <w:r w:rsidR="00CE738E">
          <w:rPr>
            <w:noProof/>
            <w:webHidden/>
          </w:rPr>
          <w:fldChar w:fldCharType="separate"/>
        </w:r>
        <w:r>
          <w:rPr>
            <w:noProof/>
            <w:webHidden/>
          </w:rPr>
          <w:t>9</w:t>
        </w:r>
        <w:r w:rsidR="00CE738E">
          <w:rPr>
            <w:noProof/>
            <w:webHidden/>
          </w:rPr>
          <w:fldChar w:fldCharType="end"/>
        </w:r>
      </w:hyperlink>
    </w:p>
    <w:p w14:paraId="1AD64B40" w14:textId="32EF3492" w:rsidR="00CE738E" w:rsidRDefault="002645B6">
      <w:pPr>
        <w:pStyle w:val="TOC2"/>
        <w:tabs>
          <w:tab w:val="right" w:leader="dot" w:pos="9016"/>
        </w:tabs>
        <w:rPr>
          <w:rFonts w:eastAsiaTheme="minorEastAsia"/>
          <w:noProof/>
          <w:lang w:val="en-ZA" w:eastAsia="en-ZA"/>
        </w:rPr>
      </w:pPr>
      <w:hyperlink w:anchor="_Toc520758769" w:history="1">
        <w:r w:rsidR="00CE738E" w:rsidRPr="00D90536">
          <w:rPr>
            <w:rStyle w:val="Hyperlink"/>
            <w:noProof/>
          </w:rPr>
          <w:t>Regional Geology</w:t>
        </w:r>
        <w:r w:rsidR="00CE738E">
          <w:rPr>
            <w:noProof/>
            <w:webHidden/>
          </w:rPr>
          <w:tab/>
        </w:r>
        <w:r w:rsidR="00CE738E">
          <w:rPr>
            <w:noProof/>
            <w:webHidden/>
          </w:rPr>
          <w:fldChar w:fldCharType="begin"/>
        </w:r>
        <w:r w:rsidR="00CE738E">
          <w:rPr>
            <w:noProof/>
            <w:webHidden/>
          </w:rPr>
          <w:instrText xml:space="preserve"> PAGEREF _Toc520758769 \h </w:instrText>
        </w:r>
        <w:r w:rsidR="00CE738E">
          <w:rPr>
            <w:noProof/>
            <w:webHidden/>
          </w:rPr>
        </w:r>
        <w:r w:rsidR="00CE738E">
          <w:rPr>
            <w:noProof/>
            <w:webHidden/>
          </w:rPr>
          <w:fldChar w:fldCharType="separate"/>
        </w:r>
        <w:r>
          <w:rPr>
            <w:noProof/>
            <w:webHidden/>
          </w:rPr>
          <w:t>9</w:t>
        </w:r>
        <w:r w:rsidR="00CE738E">
          <w:rPr>
            <w:noProof/>
            <w:webHidden/>
          </w:rPr>
          <w:fldChar w:fldCharType="end"/>
        </w:r>
      </w:hyperlink>
    </w:p>
    <w:p w14:paraId="2A119617" w14:textId="0187D052" w:rsidR="00CE738E" w:rsidRDefault="002645B6">
      <w:pPr>
        <w:pStyle w:val="TOC2"/>
        <w:tabs>
          <w:tab w:val="right" w:leader="dot" w:pos="9016"/>
        </w:tabs>
        <w:rPr>
          <w:rFonts w:eastAsiaTheme="minorEastAsia"/>
          <w:noProof/>
          <w:lang w:val="en-ZA" w:eastAsia="en-ZA"/>
        </w:rPr>
      </w:pPr>
      <w:hyperlink w:anchor="_Toc520758770" w:history="1">
        <w:r w:rsidR="00CE738E" w:rsidRPr="00D90536">
          <w:rPr>
            <w:rStyle w:val="Hyperlink"/>
            <w:noProof/>
          </w:rPr>
          <w:t>Local Geology</w:t>
        </w:r>
        <w:r w:rsidR="00CE738E">
          <w:rPr>
            <w:noProof/>
            <w:webHidden/>
          </w:rPr>
          <w:tab/>
        </w:r>
        <w:r w:rsidR="00CE738E">
          <w:rPr>
            <w:noProof/>
            <w:webHidden/>
          </w:rPr>
          <w:fldChar w:fldCharType="begin"/>
        </w:r>
        <w:r w:rsidR="00CE738E">
          <w:rPr>
            <w:noProof/>
            <w:webHidden/>
          </w:rPr>
          <w:instrText xml:space="preserve"> PAGEREF _Toc520758770 \h </w:instrText>
        </w:r>
        <w:r w:rsidR="00CE738E">
          <w:rPr>
            <w:noProof/>
            <w:webHidden/>
          </w:rPr>
        </w:r>
        <w:r w:rsidR="00CE738E">
          <w:rPr>
            <w:noProof/>
            <w:webHidden/>
          </w:rPr>
          <w:fldChar w:fldCharType="separate"/>
        </w:r>
        <w:r>
          <w:rPr>
            <w:noProof/>
            <w:webHidden/>
          </w:rPr>
          <w:t>12</w:t>
        </w:r>
        <w:r w:rsidR="00CE738E">
          <w:rPr>
            <w:noProof/>
            <w:webHidden/>
          </w:rPr>
          <w:fldChar w:fldCharType="end"/>
        </w:r>
      </w:hyperlink>
    </w:p>
    <w:p w14:paraId="7FB7C0E6" w14:textId="4F6CEC93" w:rsidR="00CE738E" w:rsidRDefault="002645B6">
      <w:pPr>
        <w:pStyle w:val="TOC3"/>
        <w:tabs>
          <w:tab w:val="right" w:leader="dot" w:pos="9016"/>
        </w:tabs>
        <w:rPr>
          <w:rFonts w:eastAsiaTheme="minorEastAsia"/>
          <w:noProof/>
          <w:lang w:val="en-ZA" w:eastAsia="en-ZA"/>
        </w:rPr>
      </w:pPr>
      <w:hyperlink w:anchor="_Toc520758771" w:history="1">
        <w:r w:rsidR="00CE738E" w:rsidRPr="00D90536">
          <w:rPr>
            <w:rStyle w:val="Hyperlink"/>
            <w:noProof/>
          </w:rPr>
          <w:t>Comparison of Reef Facies</w:t>
        </w:r>
        <w:r w:rsidR="00CE738E">
          <w:rPr>
            <w:noProof/>
            <w:webHidden/>
          </w:rPr>
          <w:tab/>
        </w:r>
        <w:r w:rsidR="00CE738E">
          <w:rPr>
            <w:noProof/>
            <w:webHidden/>
          </w:rPr>
          <w:fldChar w:fldCharType="begin"/>
        </w:r>
        <w:r w:rsidR="00CE738E">
          <w:rPr>
            <w:noProof/>
            <w:webHidden/>
          </w:rPr>
          <w:instrText xml:space="preserve"> PAGEREF _Toc520758771 \h </w:instrText>
        </w:r>
        <w:r w:rsidR="00CE738E">
          <w:rPr>
            <w:noProof/>
            <w:webHidden/>
          </w:rPr>
        </w:r>
        <w:r w:rsidR="00CE738E">
          <w:rPr>
            <w:noProof/>
            <w:webHidden/>
          </w:rPr>
          <w:fldChar w:fldCharType="separate"/>
        </w:r>
        <w:r>
          <w:rPr>
            <w:noProof/>
            <w:webHidden/>
          </w:rPr>
          <w:t>13</w:t>
        </w:r>
        <w:r w:rsidR="00CE738E">
          <w:rPr>
            <w:noProof/>
            <w:webHidden/>
          </w:rPr>
          <w:fldChar w:fldCharType="end"/>
        </w:r>
      </w:hyperlink>
    </w:p>
    <w:p w14:paraId="477041DF" w14:textId="02363F2D" w:rsidR="00CE738E" w:rsidRDefault="002645B6">
      <w:pPr>
        <w:pStyle w:val="TOC4"/>
        <w:tabs>
          <w:tab w:val="right" w:leader="dot" w:pos="9016"/>
        </w:tabs>
        <w:rPr>
          <w:rFonts w:eastAsiaTheme="minorEastAsia"/>
          <w:noProof/>
          <w:lang w:val="en-ZA" w:eastAsia="en-ZA"/>
        </w:rPr>
      </w:pPr>
      <w:hyperlink w:anchor="_Toc520758772" w:history="1">
        <w:r w:rsidR="00CE738E" w:rsidRPr="00D90536">
          <w:rPr>
            <w:rStyle w:val="Hyperlink"/>
            <w:noProof/>
          </w:rPr>
          <w:t>UG2 facies variations</w:t>
        </w:r>
        <w:r w:rsidR="00CE738E">
          <w:rPr>
            <w:noProof/>
            <w:webHidden/>
          </w:rPr>
          <w:tab/>
        </w:r>
        <w:r w:rsidR="00CE738E">
          <w:rPr>
            <w:noProof/>
            <w:webHidden/>
          </w:rPr>
          <w:fldChar w:fldCharType="begin"/>
        </w:r>
        <w:r w:rsidR="00CE738E">
          <w:rPr>
            <w:noProof/>
            <w:webHidden/>
          </w:rPr>
          <w:instrText xml:space="preserve"> PAGEREF _Toc520758772 \h </w:instrText>
        </w:r>
        <w:r w:rsidR="00CE738E">
          <w:rPr>
            <w:noProof/>
            <w:webHidden/>
          </w:rPr>
        </w:r>
        <w:r w:rsidR="00CE738E">
          <w:rPr>
            <w:noProof/>
            <w:webHidden/>
          </w:rPr>
          <w:fldChar w:fldCharType="separate"/>
        </w:r>
        <w:r>
          <w:rPr>
            <w:noProof/>
            <w:webHidden/>
          </w:rPr>
          <w:t>13</w:t>
        </w:r>
        <w:r w:rsidR="00CE738E">
          <w:rPr>
            <w:noProof/>
            <w:webHidden/>
          </w:rPr>
          <w:fldChar w:fldCharType="end"/>
        </w:r>
      </w:hyperlink>
    </w:p>
    <w:p w14:paraId="389BEDD7" w14:textId="2072D96E" w:rsidR="00CE738E" w:rsidRDefault="002645B6">
      <w:pPr>
        <w:pStyle w:val="TOC4"/>
        <w:tabs>
          <w:tab w:val="right" w:leader="dot" w:pos="9016"/>
        </w:tabs>
        <w:rPr>
          <w:rFonts w:eastAsiaTheme="minorEastAsia"/>
          <w:noProof/>
          <w:lang w:val="en-ZA" w:eastAsia="en-ZA"/>
        </w:rPr>
      </w:pPr>
      <w:hyperlink w:anchor="_Toc520758773" w:history="1">
        <w:r w:rsidR="00CE738E" w:rsidRPr="00D90536">
          <w:rPr>
            <w:rStyle w:val="Hyperlink"/>
            <w:noProof/>
          </w:rPr>
          <w:t>Merensky Reef facies variations</w:t>
        </w:r>
        <w:r w:rsidR="00CE738E">
          <w:rPr>
            <w:noProof/>
            <w:webHidden/>
          </w:rPr>
          <w:tab/>
        </w:r>
        <w:r w:rsidR="00CE738E">
          <w:rPr>
            <w:noProof/>
            <w:webHidden/>
          </w:rPr>
          <w:fldChar w:fldCharType="begin"/>
        </w:r>
        <w:r w:rsidR="00CE738E">
          <w:rPr>
            <w:noProof/>
            <w:webHidden/>
          </w:rPr>
          <w:instrText xml:space="preserve"> PAGEREF _Toc520758773 \h </w:instrText>
        </w:r>
        <w:r w:rsidR="00CE738E">
          <w:rPr>
            <w:noProof/>
            <w:webHidden/>
          </w:rPr>
        </w:r>
        <w:r w:rsidR="00CE738E">
          <w:rPr>
            <w:noProof/>
            <w:webHidden/>
          </w:rPr>
          <w:fldChar w:fldCharType="separate"/>
        </w:r>
        <w:r>
          <w:rPr>
            <w:noProof/>
            <w:webHidden/>
          </w:rPr>
          <w:t>14</w:t>
        </w:r>
        <w:r w:rsidR="00CE738E">
          <w:rPr>
            <w:noProof/>
            <w:webHidden/>
          </w:rPr>
          <w:fldChar w:fldCharType="end"/>
        </w:r>
      </w:hyperlink>
    </w:p>
    <w:p w14:paraId="5100252D" w14:textId="767D3E10" w:rsidR="00CE738E" w:rsidRDefault="002645B6">
      <w:pPr>
        <w:pStyle w:val="TOC2"/>
        <w:tabs>
          <w:tab w:val="right" w:leader="dot" w:pos="9016"/>
        </w:tabs>
        <w:rPr>
          <w:rFonts w:eastAsiaTheme="minorEastAsia"/>
          <w:noProof/>
          <w:lang w:val="en-ZA" w:eastAsia="en-ZA"/>
        </w:rPr>
      </w:pPr>
      <w:hyperlink w:anchor="_Toc520758774" w:history="1">
        <w:r w:rsidR="00CE738E" w:rsidRPr="00D90536">
          <w:rPr>
            <w:rStyle w:val="Hyperlink"/>
            <w:noProof/>
          </w:rPr>
          <w:t>Exploration History</w:t>
        </w:r>
        <w:r w:rsidR="00CE738E">
          <w:rPr>
            <w:noProof/>
            <w:webHidden/>
          </w:rPr>
          <w:tab/>
        </w:r>
        <w:r w:rsidR="00CE738E">
          <w:rPr>
            <w:noProof/>
            <w:webHidden/>
          </w:rPr>
          <w:fldChar w:fldCharType="begin"/>
        </w:r>
        <w:r w:rsidR="00CE738E">
          <w:rPr>
            <w:noProof/>
            <w:webHidden/>
          </w:rPr>
          <w:instrText xml:space="preserve"> PAGEREF _Toc520758774 \h </w:instrText>
        </w:r>
        <w:r w:rsidR="00CE738E">
          <w:rPr>
            <w:noProof/>
            <w:webHidden/>
          </w:rPr>
        </w:r>
        <w:r w:rsidR="00CE738E">
          <w:rPr>
            <w:noProof/>
            <w:webHidden/>
          </w:rPr>
          <w:fldChar w:fldCharType="separate"/>
        </w:r>
        <w:r>
          <w:rPr>
            <w:noProof/>
            <w:webHidden/>
          </w:rPr>
          <w:t>15</w:t>
        </w:r>
        <w:r w:rsidR="00CE738E">
          <w:rPr>
            <w:noProof/>
            <w:webHidden/>
          </w:rPr>
          <w:fldChar w:fldCharType="end"/>
        </w:r>
      </w:hyperlink>
    </w:p>
    <w:p w14:paraId="0D9F018C" w14:textId="76C04B68" w:rsidR="00CE738E" w:rsidRDefault="002645B6">
      <w:pPr>
        <w:pStyle w:val="TOC2"/>
        <w:tabs>
          <w:tab w:val="right" w:leader="dot" w:pos="9016"/>
        </w:tabs>
        <w:rPr>
          <w:rFonts w:eastAsiaTheme="minorEastAsia"/>
          <w:noProof/>
          <w:lang w:val="en-ZA" w:eastAsia="en-ZA"/>
        </w:rPr>
      </w:pPr>
      <w:hyperlink w:anchor="_Toc520758775" w:history="1">
        <w:r w:rsidR="00CE738E" w:rsidRPr="00D90536">
          <w:rPr>
            <w:rStyle w:val="Hyperlink"/>
            <w:noProof/>
          </w:rPr>
          <w:t>Exploration Methodology of the Lesego Project</w:t>
        </w:r>
        <w:r w:rsidR="00CE738E">
          <w:rPr>
            <w:noProof/>
            <w:webHidden/>
          </w:rPr>
          <w:tab/>
        </w:r>
        <w:r w:rsidR="00CE738E">
          <w:rPr>
            <w:noProof/>
            <w:webHidden/>
          </w:rPr>
          <w:fldChar w:fldCharType="begin"/>
        </w:r>
        <w:r w:rsidR="00CE738E">
          <w:rPr>
            <w:noProof/>
            <w:webHidden/>
          </w:rPr>
          <w:instrText xml:space="preserve"> PAGEREF _Toc520758775 \h </w:instrText>
        </w:r>
        <w:r w:rsidR="00CE738E">
          <w:rPr>
            <w:noProof/>
            <w:webHidden/>
          </w:rPr>
        </w:r>
        <w:r w:rsidR="00CE738E">
          <w:rPr>
            <w:noProof/>
            <w:webHidden/>
          </w:rPr>
          <w:fldChar w:fldCharType="separate"/>
        </w:r>
        <w:r>
          <w:rPr>
            <w:noProof/>
            <w:webHidden/>
          </w:rPr>
          <w:t>16</w:t>
        </w:r>
        <w:r w:rsidR="00CE738E">
          <w:rPr>
            <w:noProof/>
            <w:webHidden/>
          </w:rPr>
          <w:fldChar w:fldCharType="end"/>
        </w:r>
      </w:hyperlink>
    </w:p>
    <w:p w14:paraId="280B154D" w14:textId="5D79A8F1" w:rsidR="00CE738E" w:rsidRDefault="002645B6">
      <w:pPr>
        <w:pStyle w:val="TOC3"/>
        <w:tabs>
          <w:tab w:val="right" w:leader="dot" w:pos="9016"/>
        </w:tabs>
        <w:rPr>
          <w:rFonts w:eastAsiaTheme="minorEastAsia"/>
          <w:noProof/>
          <w:lang w:val="en-ZA" w:eastAsia="en-ZA"/>
        </w:rPr>
      </w:pPr>
      <w:hyperlink w:anchor="_Toc520758776" w:history="1">
        <w:r w:rsidR="00CE738E" w:rsidRPr="00D90536">
          <w:rPr>
            <w:rStyle w:val="Hyperlink"/>
            <w:noProof/>
          </w:rPr>
          <w:t>Geophysics</w:t>
        </w:r>
        <w:r w:rsidR="00CE738E">
          <w:rPr>
            <w:noProof/>
            <w:webHidden/>
          </w:rPr>
          <w:tab/>
        </w:r>
        <w:r w:rsidR="00CE738E">
          <w:rPr>
            <w:noProof/>
            <w:webHidden/>
          </w:rPr>
          <w:fldChar w:fldCharType="begin"/>
        </w:r>
        <w:r w:rsidR="00CE738E">
          <w:rPr>
            <w:noProof/>
            <w:webHidden/>
          </w:rPr>
          <w:instrText xml:space="preserve"> PAGEREF _Toc520758776 \h </w:instrText>
        </w:r>
        <w:r w:rsidR="00CE738E">
          <w:rPr>
            <w:noProof/>
            <w:webHidden/>
          </w:rPr>
        </w:r>
        <w:r w:rsidR="00CE738E">
          <w:rPr>
            <w:noProof/>
            <w:webHidden/>
          </w:rPr>
          <w:fldChar w:fldCharType="separate"/>
        </w:r>
        <w:r>
          <w:rPr>
            <w:noProof/>
            <w:webHidden/>
          </w:rPr>
          <w:t>16</w:t>
        </w:r>
        <w:r w:rsidR="00CE738E">
          <w:rPr>
            <w:noProof/>
            <w:webHidden/>
          </w:rPr>
          <w:fldChar w:fldCharType="end"/>
        </w:r>
      </w:hyperlink>
    </w:p>
    <w:p w14:paraId="4C3D02B7" w14:textId="522FE20E" w:rsidR="00CE738E" w:rsidRDefault="002645B6">
      <w:pPr>
        <w:pStyle w:val="TOC3"/>
        <w:tabs>
          <w:tab w:val="right" w:leader="dot" w:pos="9016"/>
        </w:tabs>
        <w:rPr>
          <w:rFonts w:eastAsiaTheme="minorEastAsia"/>
          <w:noProof/>
          <w:lang w:val="en-ZA" w:eastAsia="en-ZA"/>
        </w:rPr>
      </w:pPr>
      <w:hyperlink w:anchor="_Toc520758777" w:history="1">
        <w:r w:rsidR="00CE738E" w:rsidRPr="00D90536">
          <w:rPr>
            <w:rStyle w:val="Hyperlink"/>
            <w:noProof/>
          </w:rPr>
          <w:t>Soil Geochemistry</w:t>
        </w:r>
        <w:r w:rsidR="00CE738E">
          <w:rPr>
            <w:noProof/>
            <w:webHidden/>
          </w:rPr>
          <w:tab/>
        </w:r>
        <w:r w:rsidR="00CE738E">
          <w:rPr>
            <w:noProof/>
            <w:webHidden/>
          </w:rPr>
          <w:fldChar w:fldCharType="begin"/>
        </w:r>
        <w:r w:rsidR="00CE738E">
          <w:rPr>
            <w:noProof/>
            <w:webHidden/>
          </w:rPr>
          <w:instrText xml:space="preserve"> PAGEREF _Toc520758777 \h </w:instrText>
        </w:r>
        <w:r w:rsidR="00CE738E">
          <w:rPr>
            <w:noProof/>
            <w:webHidden/>
          </w:rPr>
        </w:r>
        <w:r w:rsidR="00CE738E">
          <w:rPr>
            <w:noProof/>
            <w:webHidden/>
          </w:rPr>
          <w:fldChar w:fldCharType="separate"/>
        </w:r>
        <w:r>
          <w:rPr>
            <w:noProof/>
            <w:webHidden/>
          </w:rPr>
          <w:t>16</w:t>
        </w:r>
        <w:r w:rsidR="00CE738E">
          <w:rPr>
            <w:noProof/>
            <w:webHidden/>
          </w:rPr>
          <w:fldChar w:fldCharType="end"/>
        </w:r>
      </w:hyperlink>
    </w:p>
    <w:p w14:paraId="5B9DF4DB" w14:textId="26F41229" w:rsidR="00CE738E" w:rsidRDefault="002645B6">
      <w:pPr>
        <w:pStyle w:val="TOC3"/>
        <w:tabs>
          <w:tab w:val="right" w:leader="dot" w:pos="9016"/>
        </w:tabs>
        <w:rPr>
          <w:rFonts w:eastAsiaTheme="minorEastAsia"/>
          <w:noProof/>
          <w:lang w:val="en-ZA" w:eastAsia="en-ZA"/>
        </w:rPr>
      </w:pPr>
      <w:hyperlink w:anchor="_Toc520758778" w:history="1">
        <w:r w:rsidR="00CE738E" w:rsidRPr="00D90536">
          <w:rPr>
            <w:rStyle w:val="Hyperlink"/>
            <w:noProof/>
          </w:rPr>
          <w:t>Geological Mapping</w:t>
        </w:r>
        <w:r w:rsidR="00CE738E">
          <w:rPr>
            <w:noProof/>
            <w:webHidden/>
          </w:rPr>
          <w:tab/>
        </w:r>
        <w:r w:rsidR="00CE738E">
          <w:rPr>
            <w:noProof/>
            <w:webHidden/>
          </w:rPr>
          <w:fldChar w:fldCharType="begin"/>
        </w:r>
        <w:r w:rsidR="00CE738E">
          <w:rPr>
            <w:noProof/>
            <w:webHidden/>
          </w:rPr>
          <w:instrText xml:space="preserve"> PAGEREF _Toc520758778 \h </w:instrText>
        </w:r>
        <w:r w:rsidR="00CE738E">
          <w:rPr>
            <w:noProof/>
            <w:webHidden/>
          </w:rPr>
        </w:r>
        <w:r w:rsidR="00CE738E">
          <w:rPr>
            <w:noProof/>
            <w:webHidden/>
          </w:rPr>
          <w:fldChar w:fldCharType="separate"/>
        </w:r>
        <w:r>
          <w:rPr>
            <w:noProof/>
            <w:webHidden/>
          </w:rPr>
          <w:t>16</w:t>
        </w:r>
        <w:r w:rsidR="00CE738E">
          <w:rPr>
            <w:noProof/>
            <w:webHidden/>
          </w:rPr>
          <w:fldChar w:fldCharType="end"/>
        </w:r>
      </w:hyperlink>
    </w:p>
    <w:p w14:paraId="55C74F3F" w14:textId="73B8B39E" w:rsidR="00CE738E" w:rsidRDefault="002645B6">
      <w:pPr>
        <w:pStyle w:val="TOC3"/>
        <w:tabs>
          <w:tab w:val="right" w:leader="dot" w:pos="9016"/>
        </w:tabs>
        <w:rPr>
          <w:rFonts w:eastAsiaTheme="minorEastAsia"/>
          <w:noProof/>
          <w:lang w:val="en-ZA" w:eastAsia="en-ZA"/>
        </w:rPr>
      </w:pPr>
      <w:hyperlink w:anchor="_Toc520758779" w:history="1">
        <w:r w:rsidR="00CE738E" w:rsidRPr="00D90536">
          <w:rPr>
            <w:rStyle w:val="Hyperlink"/>
            <w:noProof/>
          </w:rPr>
          <w:t>Exploration Drilling and Mineral Resource Statement</w:t>
        </w:r>
        <w:r w:rsidR="00CE738E">
          <w:rPr>
            <w:noProof/>
            <w:webHidden/>
          </w:rPr>
          <w:tab/>
        </w:r>
        <w:r w:rsidR="00CE738E">
          <w:rPr>
            <w:noProof/>
            <w:webHidden/>
          </w:rPr>
          <w:fldChar w:fldCharType="begin"/>
        </w:r>
        <w:r w:rsidR="00CE738E">
          <w:rPr>
            <w:noProof/>
            <w:webHidden/>
          </w:rPr>
          <w:instrText xml:space="preserve"> PAGEREF _Toc520758779 \h </w:instrText>
        </w:r>
        <w:r w:rsidR="00CE738E">
          <w:rPr>
            <w:noProof/>
            <w:webHidden/>
          </w:rPr>
        </w:r>
        <w:r w:rsidR="00CE738E">
          <w:rPr>
            <w:noProof/>
            <w:webHidden/>
          </w:rPr>
          <w:fldChar w:fldCharType="separate"/>
        </w:r>
        <w:r>
          <w:rPr>
            <w:noProof/>
            <w:webHidden/>
          </w:rPr>
          <w:t>16</w:t>
        </w:r>
        <w:r w:rsidR="00CE738E">
          <w:rPr>
            <w:noProof/>
            <w:webHidden/>
          </w:rPr>
          <w:fldChar w:fldCharType="end"/>
        </w:r>
      </w:hyperlink>
    </w:p>
    <w:p w14:paraId="5A380DFC" w14:textId="2DCC0FA4" w:rsidR="00CE738E" w:rsidRDefault="002645B6">
      <w:pPr>
        <w:pStyle w:val="TOC2"/>
        <w:tabs>
          <w:tab w:val="right" w:leader="dot" w:pos="9016"/>
        </w:tabs>
        <w:rPr>
          <w:rFonts w:eastAsiaTheme="minorEastAsia"/>
          <w:noProof/>
          <w:lang w:val="en-ZA" w:eastAsia="en-ZA"/>
        </w:rPr>
      </w:pPr>
      <w:hyperlink w:anchor="_Toc520758780" w:history="1">
        <w:r w:rsidR="00CE738E" w:rsidRPr="00D90536">
          <w:rPr>
            <w:rStyle w:val="Hyperlink"/>
            <w:noProof/>
          </w:rPr>
          <w:t>Author’s Responsibilities</w:t>
        </w:r>
        <w:r w:rsidR="00CE738E">
          <w:rPr>
            <w:noProof/>
            <w:webHidden/>
          </w:rPr>
          <w:tab/>
        </w:r>
        <w:r w:rsidR="00CE738E">
          <w:rPr>
            <w:noProof/>
            <w:webHidden/>
          </w:rPr>
          <w:fldChar w:fldCharType="begin"/>
        </w:r>
        <w:r w:rsidR="00CE738E">
          <w:rPr>
            <w:noProof/>
            <w:webHidden/>
          </w:rPr>
          <w:instrText xml:space="preserve"> PAGEREF _Toc520758780 \h </w:instrText>
        </w:r>
        <w:r w:rsidR="00CE738E">
          <w:rPr>
            <w:noProof/>
            <w:webHidden/>
          </w:rPr>
        </w:r>
        <w:r w:rsidR="00CE738E">
          <w:rPr>
            <w:noProof/>
            <w:webHidden/>
          </w:rPr>
          <w:fldChar w:fldCharType="separate"/>
        </w:r>
        <w:r>
          <w:rPr>
            <w:noProof/>
            <w:webHidden/>
          </w:rPr>
          <w:t>18</w:t>
        </w:r>
        <w:r w:rsidR="00CE738E">
          <w:rPr>
            <w:noProof/>
            <w:webHidden/>
          </w:rPr>
          <w:fldChar w:fldCharType="end"/>
        </w:r>
      </w:hyperlink>
    </w:p>
    <w:p w14:paraId="337D5E2E" w14:textId="53D2132C" w:rsidR="00CE738E" w:rsidRDefault="002645B6">
      <w:pPr>
        <w:pStyle w:val="TOC1"/>
        <w:tabs>
          <w:tab w:val="right" w:leader="dot" w:pos="9016"/>
        </w:tabs>
        <w:rPr>
          <w:rFonts w:eastAsiaTheme="minorEastAsia"/>
          <w:noProof/>
          <w:lang w:val="en-ZA" w:eastAsia="en-ZA"/>
        </w:rPr>
      </w:pPr>
      <w:hyperlink w:anchor="_Toc520758781" w:history="1">
        <w:r w:rsidR="00CE738E" w:rsidRPr="00D90536">
          <w:rPr>
            <w:rStyle w:val="Hyperlink"/>
            <w:b/>
            <w:noProof/>
          </w:rPr>
          <w:t>Chapter 2</w:t>
        </w:r>
        <w:r w:rsidR="00CE738E">
          <w:rPr>
            <w:noProof/>
            <w:webHidden/>
          </w:rPr>
          <w:tab/>
        </w:r>
        <w:r w:rsidR="00CE738E">
          <w:rPr>
            <w:noProof/>
            <w:webHidden/>
          </w:rPr>
          <w:fldChar w:fldCharType="begin"/>
        </w:r>
        <w:r w:rsidR="00CE738E">
          <w:rPr>
            <w:noProof/>
            <w:webHidden/>
          </w:rPr>
          <w:instrText xml:space="preserve"> PAGEREF _Toc520758781 \h </w:instrText>
        </w:r>
        <w:r w:rsidR="00CE738E">
          <w:rPr>
            <w:noProof/>
            <w:webHidden/>
          </w:rPr>
        </w:r>
        <w:r w:rsidR="00CE738E">
          <w:rPr>
            <w:noProof/>
            <w:webHidden/>
          </w:rPr>
          <w:fldChar w:fldCharType="separate"/>
        </w:r>
        <w:r>
          <w:rPr>
            <w:noProof/>
            <w:webHidden/>
          </w:rPr>
          <w:t>20</w:t>
        </w:r>
        <w:r w:rsidR="00CE738E">
          <w:rPr>
            <w:noProof/>
            <w:webHidden/>
          </w:rPr>
          <w:fldChar w:fldCharType="end"/>
        </w:r>
      </w:hyperlink>
    </w:p>
    <w:p w14:paraId="6B92D82F" w14:textId="6834113F" w:rsidR="00CE738E" w:rsidRDefault="002645B6">
      <w:pPr>
        <w:pStyle w:val="TOC2"/>
        <w:tabs>
          <w:tab w:val="right" w:leader="dot" w:pos="9016"/>
        </w:tabs>
        <w:rPr>
          <w:rFonts w:eastAsiaTheme="minorEastAsia"/>
          <w:noProof/>
          <w:lang w:val="en-ZA" w:eastAsia="en-ZA"/>
        </w:rPr>
      </w:pPr>
      <w:hyperlink w:anchor="_Toc520758782" w:history="1">
        <w:r w:rsidR="00CE738E" w:rsidRPr="00D90536">
          <w:rPr>
            <w:rStyle w:val="Hyperlink"/>
            <w:noProof/>
          </w:rPr>
          <w:t>Introduction</w:t>
        </w:r>
        <w:r w:rsidR="00CE738E">
          <w:rPr>
            <w:noProof/>
            <w:webHidden/>
          </w:rPr>
          <w:tab/>
        </w:r>
        <w:r w:rsidR="00CE738E">
          <w:rPr>
            <w:noProof/>
            <w:webHidden/>
          </w:rPr>
          <w:fldChar w:fldCharType="begin"/>
        </w:r>
        <w:r w:rsidR="00CE738E">
          <w:rPr>
            <w:noProof/>
            <w:webHidden/>
          </w:rPr>
          <w:instrText xml:space="preserve"> PAGEREF _Toc520758782 \h </w:instrText>
        </w:r>
        <w:r w:rsidR="00CE738E">
          <w:rPr>
            <w:noProof/>
            <w:webHidden/>
          </w:rPr>
        </w:r>
        <w:r w:rsidR="00CE738E">
          <w:rPr>
            <w:noProof/>
            <w:webHidden/>
          </w:rPr>
          <w:fldChar w:fldCharType="separate"/>
        </w:r>
        <w:r>
          <w:rPr>
            <w:noProof/>
            <w:webHidden/>
          </w:rPr>
          <w:t>21</w:t>
        </w:r>
        <w:r w:rsidR="00CE738E">
          <w:rPr>
            <w:noProof/>
            <w:webHidden/>
          </w:rPr>
          <w:fldChar w:fldCharType="end"/>
        </w:r>
      </w:hyperlink>
    </w:p>
    <w:p w14:paraId="7B7C7C3B" w14:textId="33F931BB" w:rsidR="00CE738E" w:rsidRDefault="002645B6">
      <w:pPr>
        <w:pStyle w:val="TOC2"/>
        <w:tabs>
          <w:tab w:val="right" w:leader="dot" w:pos="9016"/>
        </w:tabs>
        <w:rPr>
          <w:rFonts w:eastAsiaTheme="minorEastAsia"/>
          <w:noProof/>
          <w:lang w:val="en-ZA" w:eastAsia="en-ZA"/>
        </w:rPr>
      </w:pPr>
      <w:hyperlink w:anchor="_Toc520758783" w:history="1">
        <w:r w:rsidR="00CE738E" w:rsidRPr="00D90536">
          <w:rPr>
            <w:rStyle w:val="Hyperlink"/>
            <w:noProof/>
          </w:rPr>
          <w:t>Regional Geology</w:t>
        </w:r>
        <w:r w:rsidR="00CE738E">
          <w:rPr>
            <w:noProof/>
            <w:webHidden/>
          </w:rPr>
          <w:tab/>
        </w:r>
        <w:r w:rsidR="00CE738E">
          <w:rPr>
            <w:noProof/>
            <w:webHidden/>
          </w:rPr>
          <w:fldChar w:fldCharType="begin"/>
        </w:r>
        <w:r w:rsidR="00CE738E">
          <w:rPr>
            <w:noProof/>
            <w:webHidden/>
          </w:rPr>
          <w:instrText xml:space="preserve"> PAGEREF _Toc520758783 \h </w:instrText>
        </w:r>
        <w:r w:rsidR="00CE738E">
          <w:rPr>
            <w:noProof/>
            <w:webHidden/>
          </w:rPr>
        </w:r>
        <w:r w:rsidR="00CE738E">
          <w:rPr>
            <w:noProof/>
            <w:webHidden/>
          </w:rPr>
          <w:fldChar w:fldCharType="separate"/>
        </w:r>
        <w:r>
          <w:rPr>
            <w:noProof/>
            <w:webHidden/>
          </w:rPr>
          <w:t>21</w:t>
        </w:r>
        <w:r w:rsidR="00CE738E">
          <w:rPr>
            <w:noProof/>
            <w:webHidden/>
          </w:rPr>
          <w:fldChar w:fldCharType="end"/>
        </w:r>
      </w:hyperlink>
    </w:p>
    <w:p w14:paraId="71B6D8B2" w14:textId="60C11BCC" w:rsidR="00CE738E" w:rsidRDefault="002645B6">
      <w:pPr>
        <w:pStyle w:val="TOC2"/>
        <w:tabs>
          <w:tab w:val="right" w:leader="dot" w:pos="9016"/>
        </w:tabs>
        <w:rPr>
          <w:rFonts w:eastAsiaTheme="minorEastAsia"/>
          <w:noProof/>
          <w:lang w:val="en-ZA" w:eastAsia="en-ZA"/>
        </w:rPr>
      </w:pPr>
      <w:hyperlink w:anchor="_Toc520758784" w:history="1">
        <w:r w:rsidR="00CE738E" w:rsidRPr="00D90536">
          <w:rPr>
            <w:rStyle w:val="Hyperlink"/>
            <w:noProof/>
          </w:rPr>
          <w:t>Local Geology</w:t>
        </w:r>
        <w:r w:rsidR="00CE738E">
          <w:rPr>
            <w:noProof/>
            <w:webHidden/>
          </w:rPr>
          <w:tab/>
        </w:r>
        <w:r w:rsidR="00CE738E">
          <w:rPr>
            <w:noProof/>
            <w:webHidden/>
          </w:rPr>
          <w:fldChar w:fldCharType="begin"/>
        </w:r>
        <w:r w:rsidR="00CE738E">
          <w:rPr>
            <w:noProof/>
            <w:webHidden/>
          </w:rPr>
          <w:instrText xml:space="preserve"> PAGEREF _Toc520758784 \h </w:instrText>
        </w:r>
        <w:r w:rsidR="00CE738E">
          <w:rPr>
            <w:noProof/>
            <w:webHidden/>
          </w:rPr>
        </w:r>
        <w:r w:rsidR="00CE738E">
          <w:rPr>
            <w:noProof/>
            <w:webHidden/>
          </w:rPr>
          <w:fldChar w:fldCharType="separate"/>
        </w:r>
        <w:r>
          <w:rPr>
            <w:noProof/>
            <w:webHidden/>
          </w:rPr>
          <w:t>24</w:t>
        </w:r>
        <w:r w:rsidR="00CE738E">
          <w:rPr>
            <w:noProof/>
            <w:webHidden/>
          </w:rPr>
          <w:fldChar w:fldCharType="end"/>
        </w:r>
      </w:hyperlink>
    </w:p>
    <w:p w14:paraId="0EA408D9" w14:textId="1E17D7E5" w:rsidR="00CE738E" w:rsidRDefault="002645B6">
      <w:pPr>
        <w:pStyle w:val="TOC2"/>
        <w:tabs>
          <w:tab w:val="right" w:leader="dot" w:pos="9016"/>
        </w:tabs>
        <w:rPr>
          <w:rFonts w:eastAsiaTheme="minorEastAsia"/>
          <w:noProof/>
          <w:lang w:val="en-ZA" w:eastAsia="en-ZA"/>
        </w:rPr>
      </w:pPr>
      <w:hyperlink w:anchor="_Toc520758785" w:history="1">
        <w:r w:rsidR="00CE738E" w:rsidRPr="00D90536">
          <w:rPr>
            <w:rStyle w:val="Hyperlink"/>
            <w:noProof/>
          </w:rPr>
          <w:t>Exploration History and Rationale</w:t>
        </w:r>
        <w:r w:rsidR="00CE738E">
          <w:rPr>
            <w:noProof/>
            <w:webHidden/>
          </w:rPr>
          <w:tab/>
        </w:r>
        <w:r w:rsidR="00CE738E">
          <w:rPr>
            <w:noProof/>
            <w:webHidden/>
          </w:rPr>
          <w:fldChar w:fldCharType="begin"/>
        </w:r>
        <w:r w:rsidR="00CE738E">
          <w:rPr>
            <w:noProof/>
            <w:webHidden/>
          </w:rPr>
          <w:instrText xml:space="preserve"> PAGEREF _Toc520758785 \h </w:instrText>
        </w:r>
        <w:r w:rsidR="00CE738E">
          <w:rPr>
            <w:noProof/>
            <w:webHidden/>
          </w:rPr>
        </w:r>
        <w:r w:rsidR="00CE738E">
          <w:rPr>
            <w:noProof/>
            <w:webHidden/>
          </w:rPr>
          <w:fldChar w:fldCharType="separate"/>
        </w:r>
        <w:r>
          <w:rPr>
            <w:noProof/>
            <w:webHidden/>
          </w:rPr>
          <w:t>26</w:t>
        </w:r>
        <w:r w:rsidR="00CE738E">
          <w:rPr>
            <w:noProof/>
            <w:webHidden/>
          </w:rPr>
          <w:fldChar w:fldCharType="end"/>
        </w:r>
      </w:hyperlink>
    </w:p>
    <w:p w14:paraId="45F41AC3" w14:textId="19C42F1B" w:rsidR="00CE738E" w:rsidRDefault="002645B6">
      <w:pPr>
        <w:pStyle w:val="TOC2"/>
        <w:tabs>
          <w:tab w:val="right" w:leader="dot" w:pos="9016"/>
        </w:tabs>
        <w:rPr>
          <w:rFonts w:eastAsiaTheme="minorEastAsia"/>
          <w:noProof/>
          <w:lang w:val="en-ZA" w:eastAsia="en-ZA"/>
        </w:rPr>
      </w:pPr>
      <w:hyperlink w:anchor="_Toc520758786" w:history="1">
        <w:r w:rsidR="00CE738E" w:rsidRPr="00D90536">
          <w:rPr>
            <w:rStyle w:val="Hyperlink"/>
            <w:noProof/>
          </w:rPr>
          <w:t>Exploration Methodology and Exploration Results</w:t>
        </w:r>
        <w:r w:rsidR="00CE738E">
          <w:rPr>
            <w:noProof/>
            <w:webHidden/>
          </w:rPr>
          <w:tab/>
        </w:r>
        <w:r w:rsidR="00CE738E">
          <w:rPr>
            <w:noProof/>
            <w:webHidden/>
          </w:rPr>
          <w:fldChar w:fldCharType="begin"/>
        </w:r>
        <w:r w:rsidR="00CE738E">
          <w:rPr>
            <w:noProof/>
            <w:webHidden/>
          </w:rPr>
          <w:instrText xml:space="preserve"> PAGEREF _Toc520758786 \h </w:instrText>
        </w:r>
        <w:r w:rsidR="00CE738E">
          <w:rPr>
            <w:noProof/>
            <w:webHidden/>
          </w:rPr>
        </w:r>
        <w:r w:rsidR="00CE738E">
          <w:rPr>
            <w:noProof/>
            <w:webHidden/>
          </w:rPr>
          <w:fldChar w:fldCharType="separate"/>
        </w:r>
        <w:r>
          <w:rPr>
            <w:noProof/>
            <w:webHidden/>
          </w:rPr>
          <w:t>28</w:t>
        </w:r>
        <w:r w:rsidR="00CE738E">
          <w:rPr>
            <w:noProof/>
            <w:webHidden/>
          </w:rPr>
          <w:fldChar w:fldCharType="end"/>
        </w:r>
      </w:hyperlink>
    </w:p>
    <w:p w14:paraId="40B391F1" w14:textId="10C43ADD" w:rsidR="00CE738E" w:rsidRDefault="002645B6">
      <w:pPr>
        <w:pStyle w:val="TOC2"/>
        <w:tabs>
          <w:tab w:val="right" w:leader="dot" w:pos="9016"/>
        </w:tabs>
        <w:rPr>
          <w:rFonts w:eastAsiaTheme="minorEastAsia"/>
          <w:noProof/>
          <w:lang w:val="en-ZA" w:eastAsia="en-ZA"/>
        </w:rPr>
      </w:pPr>
      <w:hyperlink w:anchor="_Toc520758787" w:history="1">
        <w:r w:rsidR="00CE738E" w:rsidRPr="00D90536">
          <w:rPr>
            <w:rStyle w:val="Hyperlink"/>
            <w:rFonts w:ascii="Calibri" w:eastAsia="Times New Roman" w:hAnsi="Calibri" w:cs="Times New Roman"/>
            <w:i/>
            <w:noProof/>
          </w:rPr>
          <w:t>Geophysics</w:t>
        </w:r>
        <w:r w:rsidR="00CE738E">
          <w:rPr>
            <w:noProof/>
            <w:webHidden/>
          </w:rPr>
          <w:tab/>
        </w:r>
        <w:r w:rsidR="00CE738E">
          <w:rPr>
            <w:noProof/>
            <w:webHidden/>
          </w:rPr>
          <w:fldChar w:fldCharType="begin"/>
        </w:r>
        <w:r w:rsidR="00CE738E">
          <w:rPr>
            <w:noProof/>
            <w:webHidden/>
          </w:rPr>
          <w:instrText xml:space="preserve"> PAGEREF _Toc520758787 \h </w:instrText>
        </w:r>
        <w:r w:rsidR="00CE738E">
          <w:rPr>
            <w:noProof/>
            <w:webHidden/>
          </w:rPr>
        </w:r>
        <w:r w:rsidR="00CE738E">
          <w:rPr>
            <w:noProof/>
            <w:webHidden/>
          </w:rPr>
          <w:fldChar w:fldCharType="separate"/>
        </w:r>
        <w:r>
          <w:rPr>
            <w:noProof/>
            <w:webHidden/>
          </w:rPr>
          <w:t>28</w:t>
        </w:r>
        <w:r w:rsidR="00CE738E">
          <w:rPr>
            <w:noProof/>
            <w:webHidden/>
          </w:rPr>
          <w:fldChar w:fldCharType="end"/>
        </w:r>
      </w:hyperlink>
    </w:p>
    <w:p w14:paraId="43F2A1FE" w14:textId="1A225A33" w:rsidR="00CE738E" w:rsidRDefault="002645B6">
      <w:pPr>
        <w:pStyle w:val="TOC2"/>
        <w:tabs>
          <w:tab w:val="right" w:leader="dot" w:pos="9016"/>
        </w:tabs>
        <w:rPr>
          <w:rFonts w:eastAsiaTheme="minorEastAsia"/>
          <w:noProof/>
          <w:lang w:val="en-ZA" w:eastAsia="en-ZA"/>
        </w:rPr>
      </w:pPr>
      <w:hyperlink w:anchor="_Toc520758788" w:history="1">
        <w:r w:rsidR="00CE738E" w:rsidRPr="00D90536">
          <w:rPr>
            <w:rStyle w:val="Hyperlink"/>
            <w:rFonts w:ascii="Calibri" w:eastAsia="Times New Roman" w:hAnsi="Calibri" w:cs="Times New Roman"/>
            <w:i/>
            <w:noProof/>
          </w:rPr>
          <w:t>Soil Geochemistry</w:t>
        </w:r>
        <w:r w:rsidR="00CE738E">
          <w:rPr>
            <w:noProof/>
            <w:webHidden/>
          </w:rPr>
          <w:tab/>
        </w:r>
        <w:r w:rsidR="00CE738E">
          <w:rPr>
            <w:noProof/>
            <w:webHidden/>
          </w:rPr>
          <w:fldChar w:fldCharType="begin"/>
        </w:r>
        <w:r w:rsidR="00CE738E">
          <w:rPr>
            <w:noProof/>
            <w:webHidden/>
          </w:rPr>
          <w:instrText xml:space="preserve"> PAGEREF _Toc520758788 \h </w:instrText>
        </w:r>
        <w:r w:rsidR="00CE738E">
          <w:rPr>
            <w:noProof/>
            <w:webHidden/>
          </w:rPr>
        </w:r>
        <w:r w:rsidR="00CE738E">
          <w:rPr>
            <w:noProof/>
            <w:webHidden/>
          </w:rPr>
          <w:fldChar w:fldCharType="separate"/>
        </w:r>
        <w:r>
          <w:rPr>
            <w:noProof/>
            <w:webHidden/>
          </w:rPr>
          <w:t>36</w:t>
        </w:r>
        <w:r w:rsidR="00CE738E">
          <w:rPr>
            <w:noProof/>
            <w:webHidden/>
          </w:rPr>
          <w:fldChar w:fldCharType="end"/>
        </w:r>
      </w:hyperlink>
    </w:p>
    <w:p w14:paraId="4E3D6623" w14:textId="7FD4440C" w:rsidR="00CE738E" w:rsidRDefault="002645B6">
      <w:pPr>
        <w:pStyle w:val="TOC2"/>
        <w:tabs>
          <w:tab w:val="right" w:leader="dot" w:pos="9016"/>
        </w:tabs>
        <w:rPr>
          <w:rFonts w:eastAsiaTheme="minorEastAsia"/>
          <w:noProof/>
          <w:lang w:val="en-ZA" w:eastAsia="en-ZA"/>
        </w:rPr>
      </w:pPr>
      <w:hyperlink w:anchor="_Toc520758789" w:history="1">
        <w:r w:rsidR="00CE738E" w:rsidRPr="00D90536">
          <w:rPr>
            <w:rStyle w:val="Hyperlink"/>
            <w:rFonts w:ascii="Calibri" w:eastAsia="Times New Roman" w:hAnsi="Calibri" w:cs="Times New Roman"/>
            <w:i/>
            <w:noProof/>
          </w:rPr>
          <w:t>Geological Mapping and Trenching</w:t>
        </w:r>
        <w:r w:rsidR="00CE738E">
          <w:rPr>
            <w:noProof/>
            <w:webHidden/>
          </w:rPr>
          <w:tab/>
        </w:r>
        <w:r w:rsidR="00CE738E">
          <w:rPr>
            <w:noProof/>
            <w:webHidden/>
          </w:rPr>
          <w:fldChar w:fldCharType="begin"/>
        </w:r>
        <w:r w:rsidR="00CE738E">
          <w:rPr>
            <w:noProof/>
            <w:webHidden/>
          </w:rPr>
          <w:instrText xml:space="preserve"> PAGEREF _Toc520758789 \h </w:instrText>
        </w:r>
        <w:r w:rsidR="00CE738E">
          <w:rPr>
            <w:noProof/>
            <w:webHidden/>
          </w:rPr>
        </w:r>
        <w:r w:rsidR="00CE738E">
          <w:rPr>
            <w:noProof/>
            <w:webHidden/>
          </w:rPr>
          <w:fldChar w:fldCharType="separate"/>
        </w:r>
        <w:r>
          <w:rPr>
            <w:noProof/>
            <w:webHidden/>
          </w:rPr>
          <w:t>38</w:t>
        </w:r>
        <w:r w:rsidR="00CE738E">
          <w:rPr>
            <w:noProof/>
            <w:webHidden/>
          </w:rPr>
          <w:fldChar w:fldCharType="end"/>
        </w:r>
      </w:hyperlink>
    </w:p>
    <w:p w14:paraId="248436E4" w14:textId="7015782A" w:rsidR="00CE738E" w:rsidRDefault="002645B6">
      <w:pPr>
        <w:pStyle w:val="TOC2"/>
        <w:tabs>
          <w:tab w:val="right" w:leader="dot" w:pos="9016"/>
        </w:tabs>
        <w:rPr>
          <w:rFonts w:eastAsiaTheme="minorEastAsia"/>
          <w:noProof/>
          <w:lang w:val="en-ZA" w:eastAsia="en-ZA"/>
        </w:rPr>
      </w:pPr>
      <w:hyperlink w:anchor="_Toc520758790" w:history="1">
        <w:r w:rsidR="00CE738E" w:rsidRPr="00D90536">
          <w:rPr>
            <w:rStyle w:val="Hyperlink"/>
            <w:rFonts w:ascii="Calibri" w:eastAsia="Times New Roman" w:hAnsi="Calibri" w:cs="Times New Roman"/>
            <w:i/>
            <w:noProof/>
          </w:rPr>
          <w:t>Exploration Drilling</w:t>
        </w:r>
        <w:r w:rsidR="00CE738E">
          <w:rPr>
            <w:noProof/>
            <w:webHidden/>
          </w:rPr>
          <w:tab/>
        </w:r>
        <w:r w:rsidR="00CE738E">
          <w:rPr>
            <w:noProof/>
            <w:webHidden/>
          </w:rPr>
          <w:fldChar w:fldCharType="begin"/>
        </w:r>
        <w:r w:rsidR="00CE738E">
          <w:rPr>
            <w:noProof/>
            <w:webHidden/>
          </w:rPr>
          <w:instrText xml:space="preserve"> PAGEREF _Toc520758790 \h </w:instrText>
        </w:r>
        <w:r w:rsidR="00CE738E">
          <w:rPr>
            <w:noProof/>
            <w:webHidden/>
          </w:rPr>
        </w:r>
        <w:r w:rsidR="00CE738E">
          <w:rPr>
            <w:noProof/>
            <w:webHidden/>
          </w:rPr>
          <w:fldChar w:fldCharType="separate"/>
        </w:r>
        <w:r>
          <w:rPr>
            <w:noProof/>
            <w:webHidden/>
          </w:rPr>
          <w:t>39</w:t>
        </w:r>
        <w:r w:rsidR="00CE738E">
          <w:rPr>
            <w:noProof/>
            <w:webHidden/>
          </w:rPr>
          <w:fldChar w:fldCharType="end"/>
        </w:r>
      </w:hyperlink>
    </w:p>
    <w:p w14:paraId="7F3A8B10" w14:textId="2C29CC11" w:rsidR="00CE738E" w:rsidRDefault="002645B6">
      <w:pPr>
        <w:pStyle w:val="TOC2"/>
        <w:tabs>
          <w:tab w:val="right" w:leader="dot" w:pos="9016"/>
        </w:tabs>
        <w:rPr>
          <w:rFonts w:eastAsiaTheme="minorEastAsia"/>
          <w:noProof/>
          <w:lang w:val="en-ZA" w:eastAsia="en-ZA"/>
        </w:rPr>
      </w:pPr>
      <w:hyperlink w:anchor="_Toc520758791" w:history="1">
        <w:r w:rsidR="00CE738E" w:rsidRPr="00D90536">
          <w:rPr>
            <w:rStyle w:val="Hyperlink"/>
            <w:noProof/>
          </w:rPr>
          <w:t>Lithology and Petrography</w:t>
        </w:r>
        <w:r w:rsidR="00CE738E">
          <w:rPr>
            <w:noProof/>
            <w:webHidden/>
          </w:rPr>
          <w:tab/>
        </w:r>
        <w:r w:rsidR="00CE738E">
          <w:rPr>
            <w:noProof/>
            <w:webHidden/>
          </w:rPr>
          <w:fldChar w:fldCharType="begin"/>
        </w:r>
        <w:r w:rsidR="00CE738E">
          <w:rPr>
            <w:noProof/>
            <w:webHidden/>
          </w:rPr>
          <w:instrText xml:space="preserve"> PAGEREF _Toc520758791 \h </w:instrText>
        </w:r>
        <w:r w:rsidR="00CE738E">
          <w:rPr>
            <w:noProof/>
            <w:webHidden/>
          </w:rPr>
        </w:r>
        <w:r w:rsidR="00CE738E">
          <w:rPr>
            <w:noProof/>
            <w:webHidden/>
          </w:rPr>
          <w:fldChar w:fldCharType="separate"/>
        </w:r>
        <w:r>
          <w:rPr>
            <w:noProof/>
            <w:webHidden/>
          </w:rPr>
          <w:t>42</w:t>
        </w:r>
        <w:r w:rsidR="00CE738E">
          <w:rPr>
            <w:noProof/>
            <w:webHidden/>
          </w:rPr>
          <w:fldChar w:fldCharType="end"/>
        </w:r>
      </w:hyperlink>
    </w:p>
    <w:p w14:paraId="03F5D489" w14:textId="7464E591" w:rsidR="00CE738E" w:rsidRDefault="002645B6">
      <w:pPr>
        <w:pStyle w:val="TOC2"/>
        <w:tabs>
          <w:tab w:val="right" w:leader="dot" w:pos="9016"/>
        </w:tabs>
        <w:rPr>
          <w:rFonts w:eastAsiaTheme="minorEastAsia"/>
          <w:noProof/>
          <w:lang w:val="en-ZA" w:eastAsia="en-ZA"/>
        </w:rPr>
      </w:pPr>
      <w:hyperlink w:anchor="_Toc520758792" w:history="1">
        <w:r w:rsidR="00CE738E" w:rsidRPr="00D90536">
          <w:rPr>
            <w:rStyle w:val="Hyperlink"/>
            <w:rFonts w:ascii="Calibri Light" w:eastAsia="Times New Roman" w:hAnsi="Calibri Light" w:cs="Times New Roman"/>
            <w:i/>
            <w:noProof/>
          </w:rPr>
          <w:t>UG2 Chromitite Horizon</w:t>
        </w:r>
        <w:r w:rsidR="00CE738E">
          <w:rPr>
            <w:noProof/>
            <w:webHidden/>
          </w:rPr>
          <w:tab/>
        </w:r>
        <w:r w:rsidR="00CE738E">
          <w:rPr>
            <w:noProof/>
            <w:webHidden/>
          </w:rPr>
          <w:fldChar w:fldCharType="begin"/>
        </w:r>
        <w:r w:rsidR="00CE738E">
          <w:rPr>
            <w:noProof/>
            <w:webHidden/>
          </w:rPr>
          <w:instrText xml:space="preserve"> PAGEREF _Toc520758792 \h </w:instrText>
        </w:r>
        <w:r w:rsidR="00CE738E">
          <w:rPr>
            <w:noProof/>
            <w:webHidden/>
          </w:rPr>
        </w:r>
        <w:r w:rsidR="00CE738E">
          <w:rPr>
            <w:noProof/>
            <w:webHidden/>
          </w:rPr>
          <w:fldChar w:fldCharType="separate"/>
        </w:r>
        <w:r>
          <w:rPr>
            <w:noProof/>
            <w:webHidden/>
          </w:rPr>
          <w:t>42</w:t>
        </w:r>
        <w:r w:rsidR="00CE738E">
          <w:rPr>
            <w:noProof/>
            <w:webHidden/>
          </w:rPr>
          <w:fldChar w:fldCharType="end"/>
        </w:r>
      </w:hyperlink>
    </w:p>
    <w:p w14:paraId="08E738A8" w14:textId="575B0362" w:rsidR="00CE738E" w:rsidRDefault="002645B6">
      <w:pPr>
        <w:pStyle w:val="TOC2"/>
        <w:tabs>
          <w:tab w:val="right" w:leader="dot" w:pos="9016"/>
        </w:tabs>
        <w:rPr>
          <w:rFonts w:eastAsiaTheme="minorEastAsia"/>
          <w:noProof/>
          <w:lang w:val="en-ZA" w:eastAsia="en-ZA"/>
        </w:rPr>
      </w:pPr>
      <w:hyperlink w:anchor="_Toc520758793" w:history="1">
        <w:r w:rsidR="00CE738E" w:rsidRPr="00D90536">
          <w:rPr>
            <w:rStyle w:val="Hyperlink"/>
            <w:rFonts w:ascii="Calibri Light" w:eastAsia="Times New Roman" w:hAnsi="Calibri Light" w:cs="Times New Roman"/>
            <w:i/>
            <w:noProof/>
          </w:rPr>
          <w:t>Merensky Reef</w:t>
        </w:r>
        <w:r w:rsidR="00CE738E">
          <w:rPr>
            <w:noProof/>
            <w:webHidden/>
          </w:rPr>
          <w:tab/>
        </w:r>
        <w:r w:rsidR="00CE738E">
          <w:rPr>
            <w:noProof/>
            <w:webHidden/>
          </w:rPr>
          <w:fldChar w:fldCharType="begin"/>
        </w:r>
        <w:r w:rsidR="00CE738E">
          <w:rPr>
            <w:noProof/>
            <w:webHidden/>
          </w:rPr>
          <w:instrText xml:space="preserve"> PAGEREF _Toc520758793 \h </w:instrText>
        </w:r>
        <w:r w:rsidR="00CE738E">
          <w:rPr>
            <w:noProof/>
            <w:webHidden/>
          </w:rPr>
        </w:r>
        <w:r w:rsidR="00CE738E">
          <w:rPr>
            <w:noProof/>
            <w:webHidden/>
          </w:rPr>
          <w:fldChar w:fldCharType="separate"/>
        </w:r>
        <w:r>
          <w:rPr>
            <w:noProof/>
            <w:webHidden/>
          </w:rPr>
          <w:t>42</w:t>
        </w:r>
        <w:r w:rsidR="00CE738E">
          <w:rPr>
            <w:noProof/>
            <w:webHidden/>
          </w:rPr>
          <w:fldChar w:fldCharType="end"/>
        </w:r>
      </w:hyperlink>
    </w:p>
    <w:p w14:paraId="297530F1" w14:textId="1214DEB7" w:rsidR="00CE738E" w:rsidRDefault="002645B6">
      <w:pPr>
        <w:pStyle w:val="TOC2"/>
        <w:tabs>
          <w:tab w:val="right" w:leader="dot" w:pos="9016"/>
        </w:tabs>
        <w:rPr>
          <w:rFonts w:eastAsiaTheme="minorEastAsia"/>
          <w:noProof/>
          <w:lang w:val="en-ZA" w:eastAsia="en-ZA"/>
        </w:rPr>
      </w:pPr>
      <w:hyperlink w:anchor="_Toc520758794" w:history="1">
        <w:r w:rsidR="00CE738E" w:rsidRPr="00D90536">
          <w:rPr>
            <w:rStyle w:val="Hyperlink"/>
            <w:noProof/>
          </w:rPr>
          <w:t>Precious Metal Mineralogy</w:t>
        </w:r>
        <w:r w:rsidR="00CE738E">
          <w:rPr>
            <w:noProof/>
            <w:webHidden/>
          </w:rPr>
          <w:tab/>
        </w:r>
        <w:r w:rsidR="00CE738E">
          <w:rPr>
            <w:noProof/>
            <w:webHidden/>
          </w:rPr>
          <w:fldChar w:fldCharType="begin"/>
        </w:r>
        <w:r w:rsidR="00CE738E">
          <w:rPr>
            <w:noProof/>
            <w:webHidden/>
          </w:rPr>
          <w:instrText xml:space="preserve"> PAGEREF _Toc520758794 \h </w:instrText>
        </w:r>
        <w:r w:rsidR="00CE738E">
          <w:rPr>
            <w:noProof/>
            <w:webHidden/>
          </w:rPr>
        </w:r>
        <w:r w:rsidR="00CE738E">
          <w:rPr>
            <w:noProof/>
            <w:webHidden/>
          </w:rPr>
          <w:fldChar w:fldCharType="separate"/>
        </w:r>
        <w:r>
          <w:rPr>
            <w:noProof/>
            <w:webHidden/>
          </w:rPr>
          <w:t>44</w:t>
        </w:r>
        <w:r w:rsidR="00CE738E">
          <w:rPr>
            <w:noProof/>
            <w:webHidden/>
          </w:rPr>
          <w:fldChar w:fldCharType="end"/>
        </w:r>
      </w:hyperlink>
    </w:p>
    <w:p w14:paraId="0FE351F7" w14:textId="28230B23" w:rsidR="00CE738E" w:rsidRDefault="002645B6">
      <w:pPr>
        <w:pStyle w:val="TOC2"/>
        <w:tabs>
          <w:tab w:val="right" w:leader="dot" w:pos="9016"/>
        </w:tabs>
        <w:rPr>
          <w:rFonts w:eastAsiaTheme="minorEastAsia"/>
          <w:noProof/>
          <w:lang w:val="en-ZA" w:eastAsia="en-ZA"/>
        </w:rPr>
      </w:pPr>
      <w:hyperlink w:anchor="_Toc520758795" w:history="1">
        <w:r w:rsidR="00CE738E" w:rsidRPr="00D90536">
          <w:rPr>
            <w:rStyle w:val="Hyperlink"/>
            <w:noProof/>
          </w:rPr>
          <w:t>Resource Statement</w:t>
        </w:r>
        <w:r w:rsidR="00CE738E">
          <w:rPr>
            <w:noProof/>
            <w:webHidden/>
          </w:rPr>
          <w:tab/>
        </w:r>
        <w:r w:rsidR="00CE738E">
          <w:rPr>
            <w:noProof/>
            <w:webHidden/>
          </w:rPr>
          <w:fldChar w:fldCharType="begin"/>
        </w:r>
        <w:r w:rsidR="00CE738E">
          <w:rPr>
            <w:noProof/>
            <w:webHidden/>
          </w:rPr>
          <w:instrText xml:space="preserve"> PAGEREF _Toc520758795 \h </w:instrText>
        </w:r>
        <w:r w:rsidR="00CE738E">
          <w:rPr>
            <w:noProof/>
            <w:webHidden/>
          </w:rPr>
        </w:r>
        <w:r w:rsidR="00CE738E">
          <w:rPr>
            <w:noProof/>
            <w:webHidden/>
          </w:rPr>
          <w:fldChar w:fldCharType="separate"/>
        </w:r>
        <w:r>
          <w:rPr>
            <w:noProof/>
            <w:webHidden/>
          </w:rPr>
          <w:t>45</w:t>
        </w:r>
        <w:r w:rsidR="00CE738E">
          <w:rPr>
            <w:noProof/>
            <w:webHidden/>
          </w:rPr>
          <w:fldChar w:fldCharType="end"/>
        </w:r>
      </w:hyperlink>
    </w:p>
    <w:p w14:paraId="1ECC1DFD" w14:textId="34F93603" w:rsidR="00CE738E" w:rsidRDefault="002645B6">
      <w:pPr>
        <w:pStyle w:val="TOC2"/>
        <w:tabs>
          <w:tab w:val="right" w:leader="dot" w:pos="9016"/>
        </w:tabs>
        <w:rPr>
          <w:rFonts w:eastAsiaTheme="minorEastAsia"/>
          <w:noProof/>
          <w:lang w:val="en-ZA" w:eastAsia="en-ZA"/>
        </w:rPr>
      </w:pPr>
      <w:hyperlink w:anchor="_Toc520758796" w:history="1">
        <w:r w:rsidR="00CE738E" w:rsidRPr="00D90536">
          <w:rPr>
            <w:rStyle w:val="Hyperlink"/>
            <w:noProof/>
          </w:rPr>
          <w:t>Discussion</w:t>
        </w:r>
        <w:r w:rsidR="00CE738E">
          <w:rPr>
            <w:noProof/>
            <w:webHidden/>
          </w:rPr>
          <w:tab/>
        </w:r>
        <w:r w:rsidR="00CE738E">
          <w:rPr>
            <w:noProof/>
            <w:webHidden/>
          </w:rPr>
          <w:fldChar w:fldCharType="begin"/>
        </w:r>
        <w:r w:rsidR="00CE738E">
          <w:rPr>
            <w:noProof/>
            <w:webHidden/>
          </w:rPr>
          <w:instrText xml:space="preserve"> PAGEREF _Toc520758796 \h </w:instrText>
        </w:r>
        <w:r w:rsidR="00CE738E">
          <w:rPr>
            <w:noProof/>
            <w:webHidden/>
          </w:rPr>
        </w:r>
        <w:r w:rsidR="00CE738E">
          <w:rPr>
            <w:noProof/>
            <w:webHidden/>
          </w:rPr>
          <w:fldChar w:fldCharType="separate"/>
        </w:r>
        <w:r>
          <w:rPr>
            <w:noProof/>
            <w:webHidden/>
          </w:rPr>
          <w:t>47</w:t>
        </w:r>
        <w:r w:rsidR="00CE738E">
          <w:rPr>
            <w:noProof/>
            <w:webHidden/>
          </w:rPr>
          <w:fldChar w:fldCharType="end"/>
        </w:r>
      </w:hyperlink>
    </w:p>
    <w:p w14:paraId="17A741AA" w14:textId="46FBDC74" w:rsidR="00CE738E" w:rsidRDefault="002645B6">
      <w:pPr>
        <w:pStyle w:val="TOC2"/>
        <w:tabs>
          <w:tab w:val="right" w:leader="dot" w:pos="9016"/>
        </w:tabs>
        <w:rPr>
          <w:rFonts w:eastAsiaTheme="minorEastAsia"/>
          <w:noProof/>
          <w:lang w:val="en-ZA" w:eastAsia="en-ZA"/>
        </w:rPr>
      </w:pPr>
      <w:hyperlink w:anchor="_Toc520758797" w:history="1">
        <w:r w:rsidR="00CE738E" w:rsidRPr="00D90536">
          <w:rPr>
            <w:rStyle w:val="Hyperlink"/>
            <w:noProof/>
          </w:rPr>
          <w:t>Conclusions</w:t>
        </w:r>
        <w:r w:rsidR="00CE738E">
          <w:rPr>
            <w:noProof/>
            <w:webHidden/>
          </w:rPr>
          <w:tab/>
        </w:r>
        <w:r w:rsidR="00CE738E">
          <w:rPr>
            <w:noProof/>
            <w:webHidden/>
          </w:rPr>
          <w:fldChar w:fldCharType="begin"/>
        </w:r>
        <w:r w:rsidR="00CE738E">
          <w:rPr>
            <w:noProof/>
            <w:webHidden/>
          </w:rPr>
          <w:instrText xml:space="preserve"> PAGEREF _Toc520758797 \h </w:instrText>
        </w:r>
        <w:r w:rsidR="00CE738E">
          <w:rPr>
            <w:noProof/>
            <w:webHidden/>
          </w:rPr>
        </w:r>
        <w:r w:rsidR="00CE738E">
          <w:rPr>
            <w:noProof/>
            <w:webHidden/>
          </w:rPr>
          <w:fldChar w:fldCharType="separate"/>
        </w:r>
        <w:r>
          <w:rPr>
            <w:noProof/>
            <w:webHidden/>
          </w:rPr>
          <w:t>48</w:t>
        </w:r>
        <w:r w:rsidR="00CE738E">
          <w:rPr>
            <w:noProof/>
            <w:webHidden/>
          </w:rPr>
          <w:fldChar w:fldCharType="end"/>
        </w:r>
      </w:hyperlink>
    </w:p>
    <w:p w14:paraId="068EC691" w14:textId="40C2D4E3" w:rsidR="00CE738E" w:rsidRDefault="002645B6">
      <w:pPr>
        <w:pStyle w:val="TOC2"/>
        <w:tabs>
          <w:tab w:val="right" w:leader="dot" w:pos="9016"/>
        </w:tabs>
        <w:rPr>
          <w:rFonts w:eastAsiaTheme="minorEastAsia"/>
          <w:noProof/>
          <w:lang w:val="en-ZA" w:eastAsia="en-ZA"/>
        </w:rPr>
      </w:pPr>
      <w:hyperlink w:anchor="_Toc520758798" w:history="1">
        <w:r w:rsidR="00CE738E" w:rsidRPr="00D90536">
          <w:rPr>
            <w:rStyle w:val="Hyperlink"/>
            <w:noProof/>
          </w:rPr>
          <w:t>Acknowledgements</w:t>
        </w:r>
        <w:r w:rsidR="00CE738E">
          <w:rPr>
            <w:noProof/>
            <w:webHidden/>
          </w:rPr>
          <w:tab/>
        </w:r>
        <w:r w:rsidR="00CE738E">
          <w:rPr>
            <w:noProof/>
            <w:webHidden/>
          </w:rPr>
          <w:fldChar w:fldCharType="begin"/>
        </w:r>
        <w:r w:rsidR="00CE738E">
          <w:rPr>
            <w:noProof/>
            <w:webHidden/>
          </w:rPr>
          <w:instrText xml:space="preserve"> PAGEREF _Toc520758798 \h </w:instrText>
        </w:r>
        <w:r w:rsidR="00CE738E">
          <w:rPr>
            <w:noProof/>
            <w:webHidden/>
          </w:rPr>
        </w:r>
        <w:r w:rsidR="00CE738E">
          <w:rPr>
            <w:noProof/>
            <w:webHidden/>
          </w:rPr>
          <w:fldChar w:fldCharType="separate"/>
        </w:r>
        <w:r>
          <w:rPr>
            <w:noProof/>
            <w:webHidden/>
          </w:rPr>
          <w:t>49</w:t>
        </w:r>
        <w:r w:rsidR="00CE738E">
          <w:rPr>
            <w:noProof/>
            <w:webHidden/>
          </w:rPr>
          <w:fldChar w:fldCharType="end"/>
        </w:r>
      </w:hyperlink>
    </w:p>
    <w:p w14:paraId="2E6457CF" w14:textId="4856A120" w:rsidR="00CE738E" w:rsidRDefault="002645B6">
      <w:pPr>
        <w:pStyle w:val="TOC2"/>
        <w:tabs>
          <w:tab w:val="right" w:leader="dot" w:pos="9016"/>
        </w:tabs>
        <w:rPr>
          <w:rFonts w:eastAsiaTheme="minorEastAsia"/>
          <w:noProof/>
          <w:lang w:val="en-ZA" w:eastAsia="en-ZA"/>
        </w:rPr>
      </w:pPr>
      <w:hyperlink w:anchor="_Toc520758799" w:history="1">
        <w:r w:rsidR="00CE738E" w:rsidRPr="00D90536">
          <w:rPr>
            <w:rStyle w:val="Hyperlink"/>
            <w:noProof/>
          </w:rPr>
          <w:t>References</w:t>
        </w:r>
        <w:r w:rsidR="00CE738E">
          <w:rPr>
            <w:noProof/>
            <w:webHidden/>
          </w:rPr>
          <w:tab/>
        </w:r>
        <w:r w:rsidR="00CE738E">
          <w:rPr>
            <w:noProof/>
            <w:webHidden/>
          </w:rPr>
          <w:fldChar w:fldCharType="begin"/>
        </w:r>
        <w:r w:rsidR="00CE738E">
          <w:rPr>
            <w:noProof/>
            <w:webHidden/>
          </w:rPr>
          <w:instrText xml:space="preserve"> PAGEREF _Toc520758799 \h </w:instrText>
        </w:r>
        <w:r w:rsidR="00CE738E">
          <w:rPr>
            <w:noProof/>
            <w:webHidden/>
          </w:rPr>
        </w:r>
        <w:r w:rsidR="00CE738E">
          <w:rPr>
            <w:noProof/>
            <w:webHidden/>
          </w:rPr>
          <w:fldChar w:fldCharType="separate"/>
        </w:r>
        <w:r>
          <w:rPr>
            <w:noProof/>
            <w:webHidden/>
          </w:rPr>
          <w:t>49</w:t>
        </w:r>
        <w:r w:rsidR="00CE738E">
          <w:rPr>
            <w:noProof/>
            <w:webHidden/>
          </w:rPr>
          <w:fldChar w:fldCharType="end"/>
        </w:r>
      </w:hyperlink>
    </w:p>
    <w:p w14:paraId="5A895D57" w14:textId="6DDBACED" w:rsidR="00CE738E" w:rsidRDefault="002645B6">
      <w:pPr>
        <w:pStyle w:val="TOC1"/>
        <w:tabs>
          <w:tab w:val="right" w:leader="dot" w:pos="9016"/>
        </w:tabs>
        <w:rPr>
          <w:rFonts w:eastAsiaTheme="minorEastAsia"/>
          <w:noProof/>
          <w:lang w:val="en-ZA" w:eastAsia="en-ZA"/>
        </w:rPr>
      </w:pPr>
      <w:hyperlink w:anchor="_Toc520758800" w:history="1">
        <w:r w:rsidR="00CE738E" w:rsidRPr="00D90536">
          <w:rPr>
            <w:rStyle w:val="Hyperlink"/>
            <w:b/>
            <w:noProof/>
          </w:rPr>
          <w:t>Chapter 3</w:t>
        </w:r>
        <w:r w:rsidR="00CE738E">
          <w:rPr>
            <w:noProof/>
            <w:webHidden/>
          </w:rPr>
          <w:tab/>
        </w:r>
        <w:r w:rsidR="00CE738E">
          <w:rPr>
            <w:noProof/>
            <w:webHidden/>
          </w:rPr>
          <w:fldChar w:fldCharType="begin"/>
        </w:r>
        <w:r w:rsidR="00CE738E">
          <w:rPr>
            <w:noProof/>
            <w:webHidden/>
          </w:rPr>
          <w:instrText xml:space="preserve"> PAGEREF _Toc520758800 \h </w:instrText>
        </w:r>
        <w:r w:rsidR="00CE738E">
          <w:rPr>
            <w:noProof/>
            <w:webHidden/>
          </w:rPr>
        </w:r>
        <w:r w:rsidR="00CE738E">
          <w:rPr>
            <w:noProof/>
            <w:webHidden/>
          </w:rPr>
          <w:fldChar w:fldCharType="separate"/>
        </w:r>
        <w:r>
          <w:rPr>
            <w:noProof/>
            <w:webHidden/>
          </w:rPr>
          <w:t>53</w:t>
        </w:r>
        <w:r w:rsidR="00CE738E">
          <w:rPr>
            <w:noProof/>
            <w:webHidden/>
          </w:rPr>
          <w:fldChar w:fldCharType="end"/>
        </w:r>
      </w:hyperlink>
    </w:p>
    <w:p w14:paraId="62CEB4D6" w14:textId="72A6BD10" w:rsidR="00CE738E" w:rsidRDefault="002645B6">
      <w:pPr>
        <w:pStyle w:val="TOC2"/>
        <w:tabs>
          <w:tab w:val="right" w:leader="dot" w:pos="9016"/>
        </w:tabs>
        <w:rPr>
          <w:rFonts w:eastAsiaTheme="minorEastAsia"/>
          <w:noProof/>
          <w:lang w:val="en-ZA" w:eastAsia="en-ZA"/>
        </w:rPr>
      </w:pPr>
      <w:hyperlink w:anchor="_Toc520758801" w:history="1">
        <w:r w:rsidR="00CE738E" w:rsidRPr="00D90536">
          <w:rPr>
            <w:rStyle w:val="Hyperlink"/>
            <w:noProof/>
          </w:rPr>
          <w:t>Overview</w:t>
        </w:r>
        <w:r w:rsidR="00CE738E">
          <w:rPr>
            <w:noProof/>
            <w:webHidden/>
          </w:rPr>
          <w:tab/>
        </w:r>
        <w:r w:rsidR="00CE738E">
          <w:rPr>
            <w:noProof/>
            <w:webHidden/>
          </w:rPr>
          <w:fldChar w:fldCharType="begin"/>
        </w:r>
        <w:r w:rsidR="00CE738E">
          <w:rPr>
            <w:noProof/>
            <w:webHidden/>
          </w:rPr>
          <w:instrText xml:space="preserve"> PAGEREF _Toc520758801 \h </w:instrText>
        </w:r>
        <w:r w:rsidR="00CE738E">
          <w:rPr>
            <w:noProof/>
            <w:webHidden/>
          </w:rPr>
        </w:r>
        <w:r w:rsidR="00CE738E">
          <w:rPr>
            <w:noProof/>
            <w:webHidden/>
          </w:rPr>
          <w:fldChar w:fldCharType="separate"/>
        </w:r>
        <w:r>
          <w:rPr>
            <w:noProof/>
            <w:webHidden/>
          </w:rPr>
          <w:t>53</w:t>
        </w:r>
        <w:r w:rsidR="00CE738E">
          <w:rPr>
            <w:noProof/>
            <w:webHidden/>
          </w:rPr>
          <w:fldChar w:fldCharType="end"/>
        </w:r>
      </w:hyperlink>
    </w:p>
    <w:p w14:paraId="2EFC549A" w14:textId="5B36F306" w:rsidR="00CE738E" w:rsidRDefault="002645B6">
      <w:pPr>
        <w:pStyle w:val="TOC2"/>
        <w:tabs>
          <w:tab w:val="right" w:leader="dot" w:pos="9016"/>
        </w:tabs>
        <w:rPr>
          <w:rFonts w:eastAsiaTheme="minorEastAsia"/>
          <w:noProof/>
          <w:lang w:val="en-ZA" w:eastAsia="en-ZA"/>
        </w:rPr>
      </w:pPr>
      <w:hyperlink w:anchor="_Toc520758802" w:history="1">
        <w:r w:rsidR="00CE738E" w:rsidRPr="00D90536">
          <w:rPr>
            <w:rStyle w:val="Hyperlink"/>
            <w:noProof/>
          </w:rPr>
          <w:t>Mining and Processing</w:t>
        </w:r>
        <w:r w:rsidR="00CE738E">
          <w:rPr>
            <w:noProof/>
            <w:webHidden/>
          </w:rPr>
          <w:tab/>
        </w:r>
        <w:r w:rsidR="00CE738E">
          <w:rPr>
            <w:noProof/>
            <w:webHidden/>
          </w:rPr>
          <w:fldChar w:fldCharType="begin"/>
        </w:r>
        <w:r w:rsidR="00CE738E">
          <w:rPr>
            <w:noProof/>
            <w:webHidden/>
          </w:rPr>
          <w:instrText xml:space="preserve"> PAGEREF _Toc520758802 \h </w:instrText>
        </w:r>
        <w:r w:rsidR="00CE738E">
          <w:rPr>
            <w:noProof/>
            <w:webHidden/>
          </w:rPr>
        </w:r>
        <w:r w:rsidR="00CE738E">
          <w:rPr>
            <w:noProof/>
            <w:webHidden/>
          </w:rPr>
          <w:fldChar w:fldCharType="separate"/>
        </w:r>
        <w:r>
          <w:rPr>
            <w:noProof/>
            <w:webHidden/>
          </w:rPr>
          <w:t>53</w:t>
        </w:r>
        <w:r w:rsidR="00CE738E">
          <w:rPr>
            <w:noProof/>
            <w:webHidden/>
          </w:rPr>
          <w:fldChar w:fldCharType="end"/>
        </w:r>
      </w:hyperlink>
    </w:p>
    <w:p w14:paraId="21467023" w14:textId="7620D31A" w:rsidR="00CE738E" w:rsidRDefault="002645B6">
      <w:pPr>
        <w:pStyle w:val="TOC4"/>
        <w:tabs>
          <w:tab w:val="right" w:leader="dot" w:pos="9016"/>
        </w:tabs>
        <w:rPr>
          <w:rFonts w:eastAsiaTheme="minorEastAsia"/>
          <w:noProof/>
          <w:lang w:val="en-ZA" w:eastAsia="en-ZA"/>
        </w:rPr>
      </w:pPr>
      <w:hyperlink w:anchor="_Toc520758803" w:history="1">
        <w:r w:rsidR="00CE738E" w:rsidRPr="00D90536">
          <w:rPr>
            <w:rStyle w:val="Hyperlink"/>
            <w:noProof/>
          </w:rPr>
          <w:t>Mining</w:t>
        </w:r>
        <w:r w:rsidR="00CE738E">
          <w:rPr>
            <w:noProof/>
            <w:webHidden/>
          </w:rPr>
          <w:tab/>
        </w:r>
        <w:r w:rsidR="00CE738E">
          <w:rPr>
            <w:noProof/>
            <w:webHidden/>
          </w:rPr>
          <w:fldChar w:fldCharType="begin"/>
        </w:r>
        <w:r w:rsidR="00CE738E">
          <w:rPr>
            <w:noProof/>
            <w:webHidden/>
          </w:rPr>
          <w:instrText xml:space="preserve"> PAGEREF _Toc520758803 \h </w:instrText>
        </w:r>
        <w:r w:rsidR="00CE738E">
          <w:rPr>
            <w:noProof/>
            <w:webHidden/>
          </w:rPr>
        </w:r>
        <w:r w:rsidR="00CE738E">
          <w:rPr>
            <w:noProof/>
            <w:webHidden/>
          </w:rPr>
          <w:fldChar w:fldCharType="separate"/>
        </w:r>
        <w:r>
          <w:rPr>
            <w:noProof/>
            <w:webHidden/>
          </w:rPr>
          <w:t>53</w:t>
        </w:r>
        <w:r w:rsidR="00CE738E">
          <w:rPr>
            <w:noProof/>
            <w:webHidden/>
          </w:rPr>
          <w:fldChar w:fldCharType="end"/>
        </w:r>
      </w:hyperlink>
    </w:p>
    <w:p w14:paraId="2648C08A" w14:textId="578C33D0" w:rsidR="00CE738E" w:rsidRDefault="002645B6">
      <w:pPr>
        <w:pStyle w:val="TOC4"/>
        <w:tabs>
          <w:tab w:val="right" w:leader="dot" w:pos="9016"/>
        </w:tabs>
        <w:rPr>
          <w:rFonts w:eastAsiaTheme="minorEastAsia"/>
          <w:noProof/>
          <w:lang w:val="en-ZA" w:eastAsia="en-ZA"/>
        </w:rPr>
      </w:pPr>
      <w:hyperlink w:anchor="_Toc520758804" w:history="1">
        <w:r w:rsidR="00CE738E" w:rsidRPr="00D90536">
          <w:rPr>
            <w:rStyle w:val="Hyperlink"/>
            <w:noProof/>
          </w:rPr>
          <w:t>Mineral Processing</w:t>
        </w:r>
        <w:r w:rsidR="00CE738E">
          <w:rPr>
            <w:noProof/>
            <w:webHidden/>
          </w:rPr>
          <w:tab/>
        </w:r>
        <w:r w:rsidR="00CE738E">
          <w:rPr>
            <w:noProof/>
            <w:webHidden/>
          </w:rPr>
          <w:fldChar w:fldCharType="begin"/>
        </w:r>
        <w:r w:rsidR="00CE738E">
          <w:rPr>
            <w:noProof/>
            <w:webHidden/>
          </w:rPr>
          <w:instrText xml:space="preserve"> PAGEREF _Toc520758804 \h </w:instrText>
        </w:r>
        <w:r w:rsidR="00CE738E">
          <w:rPr>
            <w:noProof/>
            <w:webHidden/>
          </w:rPr>
        </w:r>
        <w:r w:rsidR="00CE738E">
          <w:rPr>
            <w:noProof/>
            <w:webHidden/>
          </w:rPr>
          <w:fldChar w:fldCharType="separate"/>
        </w:r>
        <w:r>
          <w:rPr>
            <w:noProof/>
            <w:webHidden/>
          </w:rPr>
          <w:t>54</w:t>
        </w:r>
        <w:r w:rsidR="00CE738E">
          <w:rPr>
            <w:noProof/>
            <w:webHidden/>
          </w:rPr>
          <w:fldChar w:fldCharType="end"/>
        </w:r>
      </w:hyperlink>
    </w:p>
    <w:p w14:paraId="500F2F18" w14:textId="51A99986" w:rsidR="00CE738E" w:rsidRDefault="002645B6">
      <w:pPr>
        <w:pStyle w:val="TOC2"/>
        <w:tabs>
          <w:tab w:val="right" w:leader="dot" w:pos="9016"/>
        </w:tabs>
        <w:rPr>
          <w:rFonts w:eastAsiaTheme="minorEastAsia"/>
          <w:noProof/>
          <w:lang w:val="en-ZA" w:eastAsia="en-ZA"/>
        </w:rPr>
      </w:pPr>
      <w:hyperlink w:anchor="_Toc520758805" w:history="1">
        <w:r w:rsidR="00CE738E" w:rsidRPr="00D90536">
          <w:rPr>
            <w:rStyle w:val="Hyperlink"/>
            <w:noProof/>
          </w:rPr>
          <w:t>Surface Infrastructure</w:t>
        </w:r>
        <w:r w:rsidR="00CE738E">
          <w:rPr>
            <w:noProof/>
            <w:webHidden/>
          </w:rPr>
          <w:tab/>
        </w:r>
        <w:r w:rsidR="00CE738E">
          <w:rPr>
            <w:noProof/>
            <w:webHidden/>
          </w:rPr>
          <w:fldChar w:fldCharType="begin"/>
        </w:r>
        <w:r w:rsidR="00CE738E">
          <w:rPr>
            <w:noProof/>
            <w:webHidden/>
          </w:rPr>
          <w:instrText xml:space="preserve"> PAGEREF _Toc520758805 \h </w:instrText>
        </w:r>
        <w:r w:rsidR="00CE738E">
          <w:rPr>
            <w:noProof/>
            <w:webHidden/>
          </w:rPr>
        </w:r>
        <w:r w:rsidR="00CE738E">
          <w:rPr>
            <w:noProof/>
            <w:webHidden/>
          </w:rPr>
          <w:fldChar w:fldCharType="separate"/>
        </w:r>
        <w:r>
          <w:rPr>
            <w:noProof/>
            <w:webHidden/>
          </w:rPr>
          <w:t>54</w:t>
        </w:r>
        <w:r w:rsidR="00CE738E">
          <w:rPr>
            <w:noProof/>
            <w:webHidden/>
          </w:rPr>
          <w:fldChar w:fldCharType="end"/>
        </w:r>
      </w:hyperlink>
    </w:p>
    <w:p w14:paraId="718E9810" w14:textId="571B995F" w:rsidR="00CE738E" w:rsidRDefault="002645B6">
      <w:pPr>
        <w:pStyle w:val="TOC1"/>
        <w:tabs>
          <w:tab w:val="right" w:leader="dot" w:pos="9016"/>
        </w:tabs>
        <w:rPr>
          <w:rFonts w:eastAsiaTheme="minorEastAsia"/>
          <w:noProof/>
          <w:lang w:val="en-ZA" w:eastAsia="en-ZA"/>
        </w:rPr>
      </w:pPr>
      <w:hyperlink w:anchor="_Toc520758806" w:history="1">
        <w:r w:rsidR="00CE738E" w:rsidRPr="00D90536">
          <w:rPr>
            <w:rStyle w:val="Hyperlink"/>
            <w:b/>
            <w:noProof/>
          </w:rPr>
          <w:t>Chapter 4</w:t>
        </w:r>
        <w:r w:rsidR="00CE738E">
          <w:rPr>
            <w:noProof/>
            <w:webHidden/>
          </w:rPr>
          <w:tab/>
        </w:r>
        <w:r w:rsidR="00CE738E">
          <w:rPr>
            <w:noProof/>
            <w:webHidden/>
          </w:rPr>
          <w:fldChar w:fldCharType="begin"/>
        </w:r>
        <w:r w:rsidR="00CE738E">
          <w:rPr>
            <w:noProof/>
            <w:webHidden/>
          </w:rPr>
          <w:instrText xml:space="preserve"> PAGEREF _Toc520758806 \h </w:instrText>
        </w:r>
        <w:r w:rsidR="00CE738E">
          <w:rPr>
            <w:noProof/>
            <w:webHidden/>
          </w:rPr>
        </w:r>
        <w:r w:rsidR="00CE738E">
          <w:rPr>
            <w:noProof/>
            <w:webHidden/>
          </w:rPr>
          <w:fldChar w:fldCharType="separate"/>
        </w:r>
        <w:r>
          <w:rPr>
            <w:noProof/>
            <w:webHidden/>
          </w:rPr>
          <w:t>56</w:t>
        </w:r>
        <w:r w:rsidR="00CE738E">
          <w:rPr>
            <w:noProof/>
            <w:webHidden/>
          </w:rPr>
          <w:fldChar w:fldCharType="end"/>
        </w:r>
      </w:hyperlink>
    </w:p>
    <w:p w14:paraId="066C90AE" w14:textId="67145380" w:rsidR="00CE738E" w:rsidRDefault="002645B6">
      <w:pPr>
        <w:pStyle w:val="TOC2"/>
        <w:tabs>
          <w:tab w:val="right" w:leader="dot" w:pos="9016"/>
        </w:tabs>
        <w:rPr>
          <w:rFonts w:eastAsiaTheme="minorEastAsia"/>
          <w:noProof/>
          <w:lang w:val="en-ZA" w:eastAsia="en-ZA"/>
        </w:rPr>
      </w:pPr>
      <w:hyperlink w:anchor="_Toc520758807" w:history="1">
        <w:r w:rsidR="00CE738E" w:rsidRPr="00D90536">
          <w:rPr>
            <w:rStyle w:val="Hyperlink"/>
            <w:noProof/>
          </w:rPr>
          <w:t>Discussion</w:t>
        </w:r>
        <w:r w:rsidR="00CE738E">
          <w:rPr>
            <w:noProof/>
            <w:webHidden/>
          </w:rPr>
          <w:tab/>
        </w:r>
        <w:r w:rsidR="00CE738E">
          <w:rPr>
            <w:noProof/>
            <w:webHidden/>
          </w:rPr>
          <w:fldChar w:fldCharType="begin"/>
        </w:r>
        <w:r w:rsidR="00CE738E">
          <w:rPr>
            <w:noProof/>
            <w:webHidden/>
          </w:rPr>
          <w:instrText xml:space="preserve"> PAGEREF _Toc520758807 \h </w:instrText>
        </w:r>
        <w:r w:rsidR="00CE738E">
          <w:rPr>
            <w:noProof/>
            <w:webHidden/>
          </w:rPr>
        </w:r>
        <w:r w:rsidR="00CE738E">
          <w:rPr>
            <w:noProof/>
            <w:webHidden/>
          </w:rPr>
          <w:fldChar w:fldCharType="separate"/>
        </w:r>
        <w:r>
          <w:rPr>
            <w:noProof/>
            <w:webHidden/>
          </w:rPr>
          <w:t>56</w:t>
        </w:r>
        <w:r w:rsidR="00CE738E">
          <w:rPr>
            <w:noProof/>
            <w:webHidden/>
          </w:rPr>
          <w:fldChar w:fldCharType="end"/>
        </w:r>
      </w:hyperlink>
    </w:p>
    <w:p w14:paraId="0DF72839" w14:textId="170E8CEA" w:rsidR="00CE738E" w:rsidRDefault="002645B6">
      <w:pPr>
        <w:pStyle w:val="TOC2"/>
        <w:tabs>
          <w:tab w:val="right" w:leader="dot" w:pos="9016"/>
        </w:tabs>
        <w:rPr>
          <w:rFonts w:eastAsiaTheme="minorEastAsia"/>
          <w:noProof/>
          <w:lang w:val="en-ZA" w:eastAsia="en-ZA"/>
        </w:rPr>
      </w:pPr>
      <w:hyperlink w:anchor="_Toc520758808" w:history="1">
        <w:r w:rsidR="00CE738E" w:rsidRPr="00D90536">
          <w:rPr>
            <w:rStyle w:val="Hyperlink"/>
            <w:noProof/>
          </w:rPr>
          <w:t>Outlook for Commissioning</w:t>
        </w:r>
        <w:r w:rsidR="00CE738E">
          <w:rPr>
            <w:noProof/>
            <w:webHidden/>
          </w:rPr>
          <w:tab/>
        </w:r>
        <w:r w:rsidR="00CE738E">
          <w:rPr>
            <w:noProof/>
            <w:webHidden/>
          </w:rPr>
          <w:fldChar w:fldCharType="begin"/>
        </w:r>
        <w:r w:rsidR="00CE738E">
          <w:rPr>
            <w:noProof/>
            <w:webHidden/>
          </w:rPr>
          <w:instrText xml:space="preserve"> PAGEREF _Toc520758808 \h </w:instrText>
        </w:r>
        <w:r w:rsidR="00CE738E">
          <w:rPr>
            <w:noProof/>
            <w:webHidden/>
          </w:rPr>
        </w:r>
        <w:r w:rsidR="00CE738E">
          <w:rPr>
            <w:noProof/>
            <w:webHidden/>
          </w:rPr>
          <w:fldChar w:fldCharType="separate"/>
        </w:r>
        <w:r>
          <w:rPr>
            <w:noProof/>
            <w:webHidden/>
          </w:rPr>
          <w:t>56</w:t>
        </w:r>
        <w:r w:rsidR="00CE738E">
          <w:rPr>
            <w:noProof/>
            <w:webHidden/>
          </w:rPr>
          <w:fldChar w:fldCharType="end"/>
        </w:r>
      </w:hyperlink>
    </w:p>
    <w:p w14:paraId="5DCED158" w14:textId="5FEBF49D" w:rsidR="00CE738E" w:rsidRDefault="002645B6">
      <w:pPr>
        <w:pStyle w:val="TOC2"/>
        <w:tabs>
          <w:tab w:val="right" w:leader="dot" w:pos="9016"/>
        </w:tabs>
        <w:rPr>
          <w:rFonts w:eastAsiaTheme="minorEastAsia"/>
          <w:noProof/>
          <w:lang w:val="en-ZA" w:eastAsia="en-ZA"/>
        </w:rPr>
      </w:pPr>
      <w:hyperlink w:anchor="_Toc520758809" w:history="1">
        <w:r w:rsidR="00CE738E" w:rsidRPr="00D90536">
          <w:rPr>
            <w:rStyle w:val="Hyperlink"/>
            <w:noProof/>
          </w:rPr>
          <w:t>Conclusions</w:t>
        </w:r>
        <w:r w:rsidR="00CE738E">
          <w:rPr>
            <w:noProof/>
            <w:webHidden/>
          </w:rPr>
          <w:tab/>
        </w:r>
        <w:r w:rsidR="00CE738E">
          <w:rPr>
            <w:noProof/>
            <w:webHidden/>
          </w:rPr>
          <w:fldChar w:fldCharType="begin"/>
        </w:r>
        <w:r w:rsidR="00CE738E">
          <w:rPr>
            <w:noProof/>
            <w:webHidden/>
          </w:rPr>
          <w:instrText xml:space="preserve"> PAGEREF _Toc520758809 \h </w:instrText>
        </w:r>
        <w:r w:rsidR="00CE738E">
          <w:rPr>
            <w:noProof/>
            <w:webHidden/>
          </w:rPr>
        </w:r>
        <w:r w:rsidR="00CE738E">
          <w:rPr>
            <w:noProof/>
            <w:webHidden/>
          </w:rPr>
          <w:fldChar w:fldCharType="separate"/>
        </w:r>
        <w:r>
          <w:rPr>
            <w:noProof/>
            <w:webHidden/>
          </w:rPr>
          <w:t>57</w:t>
        </w:r>
        <w:r w:rsidR="00CE738E">
          <w:rPr>
            <w:noProof/>
            <w:webHidden/>
          </w:rPr>
          <w:fldChar w:fldCharType="end"/>
        </w:r>
      </w:hyperlink>
    </w:p>
    <w:p w14:paraId="6242177A" w14:textId="6CC11A68" w:rsidR="00CE738E" w:rsidRDefault="002645B6">
      <w:pPr>
        <w:pStyle w:val="TOC1"/>
        <w:tabs>
          <w:tab w:val="right" w:leader="dot" w:pos="9016"/>
        </w:tabs>
        <w:rPr>
          <w:rFonts w:eastAsiaTheme="minorEastAsia"/>
          <w:noProof/>
          <w:lang w:val="en-ZA" w:eastAsia="en-ZA"/>
        </w:rPr>
      </w:pPr>
      <w:hyperlink w:anchor="_Toc520758810" w:history="1">
        <w:r w:rsidR="00CE738E" w:rsidRPr="00D90536">
          <w:rPr>
            <w:rStyle w:val="Hyperlink"/>
            <w:b/>
            <w:noProof/>
          </w:rPr>
          <w:t>References</w:t>
        </w:r>
        <w:r w:rsidR="00CE738E">
          <w:rPr>
            <w:noProof/>
            <w:webHidden/>
          </w:rPr>
          <w:tab/>
        </w:r>
        <w:r w:rsidR="00CE738E">
          <w:rPr>
            <w:noProof/>
            <w:webHidden/>
          </w:rPr>
          <w:fldChar w:fldCharType="begin"/>
        </w:r>
        <w:r w:rsidR="00CE738E">
          <w:rPr>
            <w:noProof/>
            <w:webHidden/>
          </w:rPr>
          <w:instrText xml:space="preserve"> PAGEREF _Toc520758810 \h </w:instrText>
        </w:r>
        <w:r w:rsidR="00CE738E">
          <w:rPr>
            <w:noProof/>
            <w:webHidden/>
          </w:rPr>
        </w:r>
        <w:r w:rsidR="00CE738E">
          <w:rPr>
            <w:noProof/>
            <w:webHidden/>
          </w:rPr>
          <w:fldChar w:fldCharType="separate"/>
        </w:r>
        <w:r>
          <w:rPr>
            <w:noProof/>
            <w:webHidden/>
          </w:rPr>
          <w:t>59</w:t>
        </w:r>
        <w:r w:rsidR="00CE738E">
          <w:rPr>
            <w:noProof/>
            <w:webHidden/>
          </w:rPr>
          <w:fldChar w:fldCharType="end"/>
        </w:r>
      </w:hyperlink>
    </w:p>
    <w:p w14:paraId="1C8B7C7D" w14:textId="0B402EC8" w:rsidR="00CE738E" w:rsidRDefault="002645B6">
      <w:pPr>
        <w:pStyle w:val="TOC1"/>
        <w:tabs>
          <w:tab w:val="right" w:leader="dot" w:pos="9016"/>
        </w:tabs>
        <w:rPr>
          <w:rFonts w:eastAsiaTheme="minorEastAsia"/>
          <w:noProof/>
          <w:lang w:val="en-ZA" w:eastAsia="en-ZA"/>
        </w:rPr>
      </w:pPr>
      <w:hyperlink w:anchor="_Toc520758811" w:history="1">
        <w:r w:rsidR="00CE738E" w:rsidRPr="00D90536">
          <w:rPr>
            <w:rStyle w:val="Hyperlink"/>
            <w:b/>
            <w:noProof/>
          </w:rPr>
          <w:t>Appendices</w:t>
        </w:r>
        <w:r w:rsidR="00CE738E">
          <w:rPr>
            <w:noProof/>
            <w:webHidden/>
          </w:rPr>
          <w:tab/>
        </w:r>
        <w:r w:rsidR="00CE738E">
          <w:rPr>
            <w:noProof/>
            <w:webHidden/>
          </w:rPr>
          <w:fldChar w:fldCharType="begin"/>
        </w:r>
        <w:r w:rsidR="00CE738E">
          <w:rPr>
            <w:noProof/>
            <w:webHidden/>
          </w:rPr>
          <w:instrText xml:space="preserve"> PAGEREF _Toc520758811 \h </w:instrText>
        </w:r>
        <w:r w:rsidR="00CE738E">
          <w:rPr>
            <w:noProof/>
            <w:webHidden/>
          </w:rPr>
        </w:r>
        <w:r w:rsidR="00CE738E">
          <w:rPr>
            <w:noProof/>
            <w:webHidden/>
          </w:rPr>
          <w:fldChar w:fldCharType="separate"/>
        </w:r>
        <w:r>
          <w:rPr>
            <w:noProof/>
            <w:webHidden/>
          </w:rPr>
          <w:t>64</w:t>
        </w:r>
        <w:r w:rsidR="00CE738E">
          <w:rPr>
            <w:noProof/>
            <w:webHidden/>
          </w:rPr>
          <w:fldChar w:fldCharType="end"/>
        </w:r>
      </w:hyperlink>
    </w:p>
    <w:p w14:paraId="2E3380BB" w14:textId="599C96B4" w:rsidR="00CE738E" w:rsidRDefault="002645B6">
      <w:pPr>
        <w:pStyle w:val="TOC2"/>
        <w:tabs>
          <w:tab w:val="right" w:leader="dot" w:pos="9016"/>
        </w:tabs>
        <w:rPr>
          <w:rFonts w:eastAsiaTheme="minorEastAsia"/>
          <w:noProof/>
          <w:lang w:val="en-ZA" w:eastAsia="en-ZA"/>
        </w:rPr>
      </w:pPr>
      <w:hyperlink w:anchor="_Toc520758812" w:history="1">
        <w:r w:rsidR="00CE738E" w:rsidRPr="00D90536">
          <w:rPr>
            <w:rStyle w:val="Hyperlink"/>
            <w:noProof/>
          </w:rPr>
          <w:t>Evidence of Gathering of Own Data</w:t>
        </w:r>
        <w:r w:rsidR="00CE738E">
          <w:rPr>
            <w:noProof/>
            <w:webHidden/>
          </w:rPr>
          <w:tab/>
        </w:r>
        <w:r w:rsidR="00CE738E">
          <w:rPr>
            <w:noProof/>
            <w:webHidden/>
          </w:rPr>
          <w:fldChar w:fldCharType="begin"/>
        </w:r>
        <w:r w:rsidR="00CE738E">
          <w:rPr>
            <w:noProof/>
            <w:webHidden/>
          </w:rPr>
          <w:instrText xml:space="preserve"> PAGEREF _Toc520758812 \h </w:instrText>
        </w:r>
        <w:r w:rsidR="00CE738E">
          <w:rPr>
            <w:noProof/>
            <w:webHidden/>
          </w:rPr>
        </w:r>
        <w:r w:rsidR="00CE738E">
          <w:rPr>
            <w:noProof/>
            <w:webHidden/>
          </w:rPr>
          <w:fldChar w:fldCharType="separate"/>
        </w:r>
        <w:r>
          <w:rPr>
            <w:noProof/>
            <w:webHidden/>
          </w:rPr>
          <w:t>64</w:t>
        </w:r>
        <w:r w:rsidR="00CE738E">
          <w:rPr>
            <w:noProof/>
            <w:webHidden/>
          </w:rPr>
          <w:fldChar w:fldCharType="end"/>
        </w:r>
      </w:hyperlink>
    </w:p>
    <w:p w14:paraId="08DE5E0E" w14:textId="421EFB26" w:rsidR="00CE738E" w:rsidRDefault="002645B6">
      <w:pPr>
        <w:pStyle w:val="TOC2"/>
        <w:tabs>
          <w:tab w:val="right" w:leader="dot" w:pos="9016"/>
        </w:tabs>
        <w:rPr>
          <w:rFonts w:eastAsiaTheme="minorEastAsia"/>
          <w:noProof/>
          <w:lang w:val="en-ZA" w:eastAsia="en-ZA"/>
        </w:rPr>
      </w:pPr>
      <w:hyperlink w:anchor="_Toc520758813" w:history="1">
        <w:r w:rsidR="00CE738E" w:rsidRPr="00D90536">
          <w:rPr>
            <w:rStyle w:val="Hyperlink"/>
            <w:noProof/>
          </w:rPr>
          <w:t>Appendix 1: Geological Map of the Lesego Area compiled from all available data sources</w:t>
        </w:r>
        <w:r w:rsidR="00CE738E">
          <w:rPr>
            <w:noProof/>
            <w:webHidden/>
          </w:rPr>
          <w:tab/>
        </w:r>
        <w:r w:rsidR="00CE738E">
          <w:rPr>
            <w:noProof/>
            <w:webHidden/>
          </w:rPr>
          <w:fldChar w:fldCharType="begin"/>
        </w:r>
        <w:r w:rsidR="00CE738E">
          <w:rPr>
            <w:noProof/>
            <w:webHidden/>
          </w:rPr>
          <w:instrText xml:space="preserve"> PAGEREF _Toc520758813 \h </w:instrText>
        </w:r>
        <w:r w:rsidR="00CE738E">
          <w:rPr>
            <w:noProof/>
            <w:webHidden/>
          </w:rPr>
        </w:r>
        <w:r w:rsidR="00CE738E">
          <w:rPr>
            <w:noProof/>
            <w:webHidden/>
          </w:rPr>
          <w:fldChar w:fldCharType="separate"/>
        </w:r>
        <w:r>
          <w:rPr>
            <w:noProof/>
            <w:webHidden/>
          </w:rPr>
          <w:t>65</w:t>
        </w:r>
        <w:r w:rsidR="00CE738E">
          <w:rPr>
            <w:noProof/>
            <w:webHidden/>
          </w:rPr>
          <w:fldChar w:fldCharType="end"/>
        </w:r>
      </w:hyperlink>
    </w:p>
    <w:p w14:paraId="55CAE393" w14:textId="412BB1D8" w:rsidR="00CE738E" w:rsidRDefault="002645B6">
      <w:pPr>
        <w:pStyle w:val="TOC2"/>
        <w:tabs>
          <w:tab w:val="right" w:leader="dot" w:pos="9016"/>
        </w:tabs>
        <w:rPr>
          <w:rFonts w:eastAsiaTheme="minorEastAsia"/>
          <w:noProof/>
          <w:lang w:val="en-ZA" w:eastAsia="en-ZA"/>
        </w:rPr>
      </w:pPr>
      <w:hyperlink w:anchor="_Toc520758814" w:history="1">
        <w:r w:rsidR="00CE738E" w:rsidRPr="00D90536">
          <w:rPr>
            <w:rStyle w:val="Hyperlink"/>
            <w:noProof/>
          </w:rPr>
          <w:t>Appendix 2: Three-dimensional model of the Merensky Reef and UG2 Chromitite compiled in Geosoft Target</w:t>
        </w:r>
        <w:r w:rsidR="00CE738E">
          <w:rPr>
            <w:noProof/>
            <w:webHidden/>
          </w:rPr>
          <w:tab/>
        </w:r>
        <w:r w:rsidR="00CE738E">
          <w:rPr>
            <w:noProof/>
            <w:webHidden/>
          </w:rPr>
          <w:fldChar w:fldCharType="begin"/>
        </w:r>
        <w:r w:rsidR="00CE738E">
          <w:rPr>
            <w:noProof/>
            <w:webHidden/>
          </w:rPr>
          <w:instrText xml:space="preserve"> PAGEREF _Toc520758814 \h </w:instrText>
        </w:r>
        <w:r w:rsidR="00CE738E">
          <w:rPr>
            <w:noProof/>
            <w:webHidden/>
          </w:rPr>
        </w:r>
        <w:r w:rsidR="00CE738E">
          <w:rPr>
            <w:noProof/>
            <w:webHidden/>
          </w:rPr>
          <w:fldChar w:fldCharType="separate"/>
        </w:r>
        <w:r>
          <w:rPr>
            <w:noProof/>
            <w:webHidden/>
          </w:rPr>
          <w:t>66</w:t>
        </w:r>
        <w:r w:rsidR="00CE738E">
          <w:rPr>
            <w:noProof/>
            <w:webHidden/>
          </w:rPr>
          <w:fldChar w:fldCharType="end"/>
        </w:r>
      </w:hyperlink>
    </w:p>
    <w:p w14:paraId="638969D9" w14:textId="2E0A4B47" w:rsidR="00CE738E" w:rsidRDefault="002645B6">
      <w:pPr>
        <w:pStyle w:val="TOC2"/>
        <w:tabs>
          <w:tab w:val="right" w:leader="dot" w:pos="9016"/>
        </w:tabs>
        <w:rPr>
          <w:rFonts w:eastAsiaTheme="minorEastAsia"/>
          <w:noProof/>
          <w:lang w:val="en-ZA" w:eastAsia="en-ZA"/>
        </w:rPr>
      </w:pPr>
      <w:hyperlink w:anchor="_Toc520758815" w:history="1">
        <w:r w:rsidR="00CE738E" w:rsidRPr="00D90536">
          <w:rPr>
            <w:rStyle w:val="Hyperlink"/>
            <w:noProof/>
          </w:rPr>
          <w:t>Appendix 3: Depth contour map created in Geosoft Target and imported into ArcMap</w:t>
        </w:r>
        <w:r w:rsidR="00CE738E">
          <w:rPr>
            <w:noProof/>
            <w:webHidden/>
          </w:rPr>
          <w:tab/>
        </w:r>
        <w:r w:rsidR="00CE738E">
          <w:rPr>
            <w:noProof/>
            <w:webHidden/>
          </w:rPr>
          <w:fldChar w:fldCharType="begin"/>
        </w:r>
        <w:r w:rsidR="00CE738E">
          <w:rPr>
            <w:noProof/>
            <w:webHidden/>
          </w:rPr>
          <w:instrText xml:space="preserve"> PAGEREF _Toc520758815 \h </w:instrText>
        </w:r>
        <w:r w:rsidR="00CE738E">
          <w:rPr>
            <w:noProof/>
            <w:webHidden/>
          </w:rPr>
        </w:r>
        <w:r w:rsidR="00CE738E">
          <w:rPr>
            <w:noProof/>
            <w:webHidden/>
          </w:rPr>
          <w:fldChar w:fldCharType="separate"/>
        </w:r>
        <w:r>
          <w:rPr>
            <w:noProof/>
            <w:webHidden/>
          </w:rPr>
          <w:t>67</w:t>
        </w:r>
        <w:r w:rsidR="00CE738E">
          <w:rPr>
            <w:noProof/>
            <w:webHidden/>
          </w:rPr>
          <w:fldChar w:fldCharType="end"/>
        </w:r>
      </w:hyperlink>
    </w:p>
    <w:p w14:paraId="29AE95CE" w14:textId="1F8AB43F" w:rsidR="00CE738E" w:rsidRDefault="002645B6">
      <w:pPr>
        <w:pStyle w:val="TOC2"/>
        <w:tabs>
          <w:tab w:val="right" w:leader="dot" w:pos="9016"/>
        </w:tabs>
        <w:rPr>
          <w:rFonts w:eastAsiaTheme="minorEastAsia"/>
          <w:noProof/>
          <w:lang w:val="en-ZA" w:eastAsia="en-ZA"/>
        </w:rPr>
      </w:pPr>
      <w:hyperlink w:anchor="_Toc520758816" w:history="1">
        <w:r w:rsidR="00CE738E" w:rsidRPr="00D90536">
          <w:rPr>
            <w:rStyle w:val="Hyperlink"/>
            <w:noProof/>
          </w:rPr>
          <w:t>Appendix 4: Draft drill plan layout to determine Measured Resource based on initial Inferred Resource</w:t>
        </w:r>
        <w:r w:rsidR="00CE738E">
          <w:rPr>
            <w:noProof/>
            <w:webHidden/>
          </w:rPr>
          <w:tab/>
        </w:r>
        <w:r w:rsidR="00CE738E">
          <w:rPr>
            <w:noProof/>
            <w:webHidden/>
          </w:rPr>
          <w:fldChar w:fldCharType="begin"/>
        </w:r>
        <w:r w:rsidR="00CE738E">
          <w:rPr>
            <w:noProof/>
            <w:webHidden/>
          </w:rPr>
          <w:instrText xml:space="preserve"> PAGEREF _Toc520758816 \h </w:instrText>
        </w:r>
        <w:r w:rsidR="00CE738E">
          <w:rPr>
            <w:noProof/>
            <w:webHidden/>
          </w:rPr>
        </w:r>
        <w:r w:rsidR="00CE738E">
          <w:rPr>
            <w:noProof/>
            <w:webHidden/>
          </w:rPr>
          <w:fldChar w:fldCharType="separate"/>
        </w:r>
        <w:r>
          <w:rPr>
            <w:noProof/>
            <w:webHidden/>
          </w:rPr>
          <w:t>68</w:t>
        </w:r>
        <w:r w:rsidR="00CE738E">
          <w:rPr>
            <w:noProof/>
            <w:webHidden/>
          </w:rPr>
          <w:fldChar w:fldCharType="end"/>
        </w:r>
      </w:hyperlink>
    </w:p>
    <w:p w14:paraId="29B5CFDC" w14:textId="35E3DFF2" w:rsidR="00CE738E" w:rsidRDefault="002645B6">
      <w:pPr>
        <w:pStyle w:val="TOC2"/>
        <w:tabs>
          <w:tab w:val="right" w:leader="dot" w:pos="9016"/>
        </w:tabs>
        <w:rPr>
          <w:rFonts w:eastAsiaTheme="minorEastAsia"/>
          <w:noProof/>
          <w:lang w:val="en-ZA" w:eastAsia="en-ZA"/>
        </w:rPr>
      </w:pPr>
      <w:hyperlink w:anchor="_Toc520758817" w:history="1">
        <w:r w:rsidR="00CE738E" w:rsidRPr="00D90536">
          <w:rPr>
            <w:rStyle w:val="Hyperlink"/>
            <w:noProof/>
          </w:rPr>
          <w:t>Appendix 5: Typical Cross section compiled by the author in Geosoft Target used to plan exploration drill holes to target the shallow resource from 1,200 to surface.</w:t>
        </w:r>
        <w:r w:rsidR="00CE738E">
          <w:rPr>
            <w:noProof/>
            <w:webHidden/>
          </w:rPr>
          <w:tab/>
        </w:r>
        <w:r w:rsidR="00CE738E">
          <w:rPr>
            <w:noProof/>
            <w:webHidden/>
          </w:rPr>
          <w:fldChar w:fldCharType="begin"/>
        </w:r>
        <w:r w:rsidR="00CE738E">
          <w:rPr>
            <w:noProof/>
            <w:webHidden/>
          </w:rPr>
          <w:instrText xml:space="preserve"> PAGEREF _Toc520758817 \h </w:instrText>
        </w:r>
        <w:r w:rsidR="00CE738E">
          <w:rPr>
            <w:noProof/>
            <w:webHidden/>
          </w:rPr>
        </w:r>
        <w:r w:rsidR="00CE738E">
          <w:rPr>
            <w:noProof/>
            <w:webHidden/>
          </w:rPr>
          <w:fldChar w:fldCharType="separate"/>
        </w:r>
        <w:r>
          <w:rPr>
            <w:noProof/>
            <w:webHidden/>
          </w:rPr>
          <w:t>69</w:t>
        </w:r>
        <w:r w:rsidR="00CE738E">
          <w:rPr>
            <w:noProof/>
            <w:webHidden/>
          </w:rPr>
          <w:fldChar w:fldCharType="end"/>
        </w:r>
      </w:hyperlink>
    </w:p>
    <w:p w14:paraId="3EF40476" w14:textId="30051E82" w:rsidR="00CE738E" w:rsidRDefault="002645B6">
      <w:pPr>
        <w:pStyle w:val="TOC2"/>
        <w:tabs>
          <w:tab w:val="right" w:leader="dot" w:pos="9016"/>
        </w:tabs>
        <w:rPr>
          <w:rFonts w:eastAsiaTheme="minorEastAsia"/>
          <w:noProof/>
          <w:lang w:val="en-ZA" w:eastAsia="en-ZA"/>
        </w:rPr>
      </w:pPr>
      <w:hyperlink w:anchor="_Toc520758818" w:history="1">
        <w:r w:rsidR="00CE738E" w:rsidRPr="00D90536">
          <w:rPr>
            <w:rStyle w:val="Hyperlink"/>
            <w:noProof/>
          </w:rPr>
          <w:t>Appendix 6: In field borehole stratigraphic logs (compiled with project geologist)</w:t>
        </w:r>
        <w:r w:rsidR="00CE738E">
          <w:rPr>
            <w:noProof/>
            <w:webHidden/>
          </w:rPr>
          <w:tab/>
        </w:r>
        <w:r w:rsidR="00CE738E">
          <w:rPr>
            <w:noProof/>
            <w:webHidden/>
          </w:rPr>
          <w:fldChar w:fldCharType="begin"/>
        </w:r>
        <w:r w:rsidR="00CE738E">
          <w:rPr>
            <w:noProof/>
            <w:webHidden/>
          </w:rPr>
          <w:instrText xml:space="preserve"> PAGEREF _Toc520758818 \h </w:instrText>
        </w:r>
        <w:r w:rsidR="00CE738E">
          <w:rPr>
            <w:noProof/>
            <w:webHidden/>
          </w:rPr>
        </w:r>
        <w:r w:rsidR="00CE738E">
          <w:rPr>
            <w:noProof/>
            <w:webHidden/>
          </w:rPr>
          <w:fldChar w:fldCharType="separate"/>
        </w:r>
        <w:r>
          <w:rPr>
            <w:noProof/>
            <w:webHidden/>
          </w:rPr>
          <w:t>70</w:t>
        </w:r>
        <w:r w:rsidR="00CE738E">
          <w:rPr>
            <w:noProof/>
            <w:webHidden/>
          </w:rPr>
          <w:fldChar w:fldCharType="end"/>
        </w:r>
      </w:hyperlink>
    </w:p>
    <w:p w14:paraId="325BFF08" w14:textId="1ACB7B13" w:rsidR="00CE738E" w:rsidRDefault="002645B6">
      <w:pPr>
        <w:pStyle w:val="TOC2"/>
        <w:tabs>
          <w:tab w:val="right" w:leader="dot" w:pos="9016"/>
        </w:tabs>
        <w:rPr>
          <w:rFonts w:eastAsiaTheme="minorEastAsia"/>
          <w:noProof/>
          <w:lang w:val="en-ZA" w:eastAsia="en-ZA"/>
        </w:rPr>
      </w:pPr>
      <w:hyperlink w:anchor="_Toc520758819" w:history="1">
        <w:r w:rsidR="00CE738E" w:rsidRPr="00D90536">
          <w:rPr>
            <w:rStyle w:val="Hyperlink"/>
            <w:noProof/>
          </w:rPr>
          <w:t>Appendix 7: Selection of Optimised Reef Cuts for Resource Estimation</w:t>
        </w:r>
        <w:r w:rsidR="00CE738E">
          <w:rPr>
            <w:noProof/>
            <w:webHidden/>
          </w:rPr>
          <w:tab/>
        </w:r>
        <w:r w:rsidR="00CE738E">
          <w:rPr>
            <w:noProof/>
            <w:webHidden/>
          </w:rPr>
          <w:fldChar w:fldCharType="begin"/>
        </w:r>
        <w:r w:rsidR="00CE738E">
          <w:rPr>
            <w:noProof/>
            <w:webHidden/>
          </w:rPr>
          <w:instrText xml:space="preserve"> PAGEREF _Toc520758819 \h </w:instrText>
        </w:r>
        <w:r w:rsidR="00CE738E">
          <w:rPr>
            <w:noProof/>
            <w:webHidden/>
          </w:rPr>
        </w:r>
        <w:r w:rsidR="00CE738E">
          <w:rPr>
            <w:noProof/>
            <w:webHidden/>
          </w:rPr>
          <w:fldChar w:fldCharType="separate"/>
        </w:r>
        <w:r>
          <w:rPr>
            <w:noProof/>
            <w:webHidden/>
          </w:rPr>
          <w:t>71</w:t>
        </w:r>
        <w:r w:rsidR="00CE738E">
          <w:rPr>
            <w:noProof/>
            <w:webHidden/>
          </w:rPr>
          <w:fldChar w:fldCharType="end"/>
        </w:r>
      </w:hyperlink>
    </w:p>
    <w:p w14:paraId="0E53996C" w14:textId="4AADE0C9" w:rsidR="00CE738E" w:rsidRDefault="002645B6">
      <w:pPr>
        <w:pStyle w:val="TOC2"/>
        <w:tabs>
          <w:tab w:val="right" w:leader="dot" w:pos="9016"/>
        </w:tabs>
        <w:rPr>
          <w:rFonts w:eastAsiaTheme="minorEastAsia"/>
          <w:noProof/>
          <w:lang w:val="en-ZA" w:eastAsia="en-ZA"/>
        </w:rPr>
      </w:pPr>
      <w:hyperlink w:anchor="_Toc520758820" w:history="1">
        <w:r w:rsidR="00CE738E" w:rsidRPr="00D90536">
          <w:rPr>
            <w:rStyle w:val="Hyperlink"/>
            <w:noProof/>
          </w:rPr>
          <w:t>Appendix 8: Basket Price per Ton Comparison for Eastern and Northern Limb Mines and Projects</w:t>
        </w:r>
        <w:r w:rsidR="00CE738E">
          <w:rPr>
            <w:noProof/>
            <w:webHidden/>
          </w:rPr>
          <w:tab/>
        </w:r>
        <w:r w:rsidR="00CE738E">
          <w:rPr>
            <w:noProof/>
            <w:webHidden/>
          </w:rPr>
          <w:fldChar w:fldCharType="begin"/>
        </w:r>
        <w:r w:rsidR="00CE738E">
          <w:rPr>
            <w:noProof/>
            <w:webHidden/>
          </w:rPr>
          <w:instrText xml:space="preserve"> PAGEREF _Toc520758820 \h </w:instrText>
        </w:r>
        <w:r w:rsidR="00CE738E">
          <w:rPr>
            <w:noProof/>
            <w:webHidden/>
          </w:rPr>
        </w:r>
        <w:r w:rsidR="00CE738E">
          <w:rPr>
            <w:noProof/>
            <w:webHidden/>
          </w:rPr>
          <w:fldChar w:fldCharType="separate"/>
        </w:r>
        <w:r>
          <w:rPr>
            <w:noProof/>
            <w:webHidden/>
          </w:rPr>
          <w:t>72</w:t>
        </w:r>
        <w:r w:rsidR="00CE738E">
          <w:rPr>
            <w:noProof/>
            <w:webHidden/>
          </w:rPr>
          <w:fldChar w:fldCharType="end"/>
        </w:r>
      </w:hyperlink>
    </w:p>
    <w:p w14:paraId="08456622" w14:textId="0D8A7519" w:rsidR="00EF39D0" w:rsidRDefault="002D7412">
      <w:pPr>
        <w:rPr>
          <w:b/>
        </w:rPr>
      </w:pPr>
      <w:r>
        <w:rPr>
          <w:b/>
        </w:rPr>
        <w:fldChar w:fldCharType="end"/>
      </w:r>
    </w:p>
    <w:p w14:paraId="308FDCEC" w14:textId="77777777" w:rsidR="00EF39D0" w:rsidRDefault="00EF39D0">
      <w:pPr>
        <w:rPr>
          <w:b/>
        </w:rPr>
      </w:pPr>
      <w:r>
        <w:rPr>
          <w:b/>
        </w:rPr>
        <w:br w:type="page"/>
      </w:r>
    </w:p>
    <w:p w14:paraId="5C7D126D" w14:textId="77777777" w:rsidR="004E254B" w:rsidRDefault="004E254B">
      <w:pPr>
        <w:rPr>
          <w:b/>
        </w:rPr>
      </w:pPr>
    </w:p>
    <w:p w14:paraId="2E7A59ED" w14:textId="2A9AFAF4" w:rsidR="004E254B" w:rsidRPr="004E254B" w:rsidRDefault="004E254B" w:rsidP="004E254B">
      <w:pPr>
        <w:pStyle w:val="Heading1"/>
        <w:rPr>
          <w:b/>
          <w:color w:val="000000" w:themeColor="text1"/>
        </w:rPr>
      </w:pPr>
      <w:bookmarkStart w:id="9" w:name="_Toc520758763"/>
      <w:r>
        <w:rPr>
          <w:b/>
          <w:color w:val="000000" w:themeColor="text1"/>
        </w:rPr>
        <w:t>List</w:t>
      </w:r>
      <w:r w:rsidRPr="004E254B">
        <w:rPr>
          <w:b/>
          <w:color w:val="000000" w:themeColor="text1"/>
        </w:rPr>
        <w:t xml:space="preserve"> of Figures</w:t>
      </w:r>
      <w:bookmarkEnd w:id="9"/>
    </w:p>
    <w:p w14:paraId="384E8850" w14:textId="108832CE" w:rsidR="00013237" w:rsidRDefault="004E254B">
      <w:pPr>
        <w:pStyle w:val="TableofFigures"/>
        <w:tabs>
          <w:tab w:val="right" w:leader="dot" w:pos="9016"/>
        </w:tabs>
        <w:rPr>
          <w:rFonts w:eastAsiaTheme="minorEastAsia"/>
          <w:noProof/>
          <w:lang w:val="en-ZA" w:eastAsia="en-ZA"/>
        </w:rPr>
      </w:pPr>
      <w:r w:rsidRPr="00CE40E3">
        <w:rPr>
          <w:rStyle w:val="Hyperlink"/>
          <w:noProof/>
        </w:rPr>
        <w:fldChar w:fldCharType="begin"/>
      </w:r>
      <w:r w:rsidRPr="00CE40E3">
        <w:rPr>
          <w:rStyle w:val="Hyperlink"/>
          <w:noProof/>
        </w:rPr>
        <w:instrText xml:space="preserve"> TOC \h \z \c "Figure" </w:instrText>
      </w:r>
      <w:r w:rsidRPr="00CE40E3">
        <w:rPr>
          <w:rStyle w:val="Hyperlink"/>
          <w:noProof/>
        </w:rPr>
        <w:fldChar w:fldCharType="separate"/>
      </w:r>
      <w:hyperlink w:anchor="_Toc520757552" w:history="1">
        <w:r w:rsidR="00013237" w:rsidRPr="00880198">
          <w:rPr>
            <w:rStyle w:val="Hyperlink"/>
            <w:noProof/>
          </w:rPr>
          <w:t>Figure 1: Simplified geological map of the Bushveld Complex and the surrounding Transvaal Supergroup (after Cawthorn. 2015).</w:t>
        </w:r>
        <w:r w:rsidR="00013237">
          <w:rPr>
            <w:noProof/>
            <w:webHidden/>
          </w:rPr>
          <w:tab/>
        </w:r>
        <w:r w:rsidR="00013237">
          <w:rPr>
            <w:noProof/>
            <w:webHidden/>
          </w:rPr>
          <w:fldChar w:fldCharType="begin"/>
        </w:r>
        <w:r w:rsidR="00013237">
          <w:rPr>
            <w:noProof/>
            <w:webHidden/>
          </w:rPr>
          <w:instrText xml:space="preserve"> PAGEREF _Toc520757552 \h </w:instrText>
        </w:r>
        <w:r w:rsidR="00013237">
          <w:rPr>
            <w:noProof/>
            <w:webHidden/>
          </w:rPr>
        </w:r>
        <w:r w:rsidR="00013237">
          <w:rPr>
            <w:noProof/>
            <w:webHidden/>
          </w:rPr>
          <w:fldChar w:fldCharType="separate"/>
        </w:r>
        <w:r w:rsidR="002645B6">
          <w:rPr>
            <w:noProof/>
            <w:webHidden/>
          </w:rPr>
          <w:t>22</w:t>
        </w:r>
        <w:r w:rsidR="00013237">
          <w:rPr>
            <w:noProof/>
            <w:webHidden/>
          </w:rPr>
          <w:fldChar w:fldCharType="end"/>
        </w:r>
      </w:hyperlink>
    </w:p>
    <w:p w14:paraId="37D04A11" w14:textId="46D9C197" w:rsidR="00013237" w:rsidRDefault="002645B6">
      <w:pPr>
        <w:pStyle w:val="TableofFigures"/>
        <w:tabs>
          <w:tab w:val="right" w:leader="dot" w:pos="9016"/>
        </w:tabs>
        <w:rPr>
          <w:rFonts w:eastAsiaTheme="minorEastAsia"/>
          <w:noProof/>
          <w:lang w:val="en-ZA" w:eastAsia="en-ZA"/>
        </w:rPr>
      </w:pPr>
      <w:hyperlink w:anchor="_Toc520757553" w:history="1">
        <w:r w:rsidR="00013237" w:rsidRPr="00880198">
          <w:rPr>
            <w:rStyle w:val="Hyperlink"/>
            <w:noProof/>
          </w:rPr>
          <w:t>Figure 2: Stratigraphy of the Lower Portion of the Rustenburg Layered Suite (after Schürmann et al., 1998).</w:t>
        </w:r>
        <w:r w:rsidR="00013237">
          <w:rPr>
            <w:noProof/>
            <w:webHidden/>
          </w:rPr>
          <w:tab/>
        </w:r>
        <w:r w:rsidR="00013237">
          <w:rPr>
            <w:noProof/>
            <w:webHidden/>
          </w:rPr>
          <w:fldChar w:fldCharType="begin"/>
        </w:r>
        <w:r w:rsidR="00013237">
          <w:rPr>
            <w:noProof/>
            <w:webHidden/>
          </w:rPr>
          <w:instrText xml:space="preserve"> PAGEREF _Toc520757553 \h </w:instrText>
        </w:r>
        <w:r w:rsidR="00013237">
          <w:rPr>
            <w:noProof/>
            <w:webHidden/>
          </w:rPr>
        </w:r>
        <w:r w:rsidR="00013237">
          <w:rPr>
            <w:noProof/>
            <w:webHidden/>
          </w:rPr>
          <w:fldChar w:fldCharType="separate"/>
        </w:r>
        <w:r>
          <w:rPr>
            <w:noProof/>
            <w:webHidden/>
          </w:rPr>
          <w:t>23</w:t>
        </w:r>
        <w:r w:rsidR="00013237">
          <w:rPr>
            <w:noProof/>
            <w:webHidden/>
          </w:rPr>
          <w:fldChar w:fldCharType="end"/>
        </w:r>
      </w:hyperlink>
    </w:p>
    <w:p w14:paraId="4CB64252" w14:textId="1CC7CE6B" w:rsidR="00013237" w:rsidRDefault="002645B6">
      <w:pPr>
        <w:pStyle w:val="TableofFigures"/>
        <w:tabs>
          <w:tab w:val="right" w:leader="dot" w:pos="9016"/>
        </w:tabs>
        <w:rPr>
          <w:rFonts w:eastAsiaTheme="minorEastAsia"/>
          <w:noProof/>
          <w:lang w:val="en-ZA" w:eastAsia="en-ZA"/>
        </w:rPr>
      </w:pPr>
      <w:hyperlink w:anchor="_Toc520757554" w:history="1">
        <w:r w:rsidR="00013237" w:rsidRPr="00880198">
          <w:rPr>
            <w:rStyle w:val="Hyperlink"/>
            <w:noProof/>
          </w:rPr>
          <w:t>Figure 3: Simplified geological map of the northeastern portion of the Eastern Limb of the Bushveld Complex showing the Phosiri, Phepane, Malope and Katkloof Domes, and the Schwerin Fold (after Johnson et al., 2004).</w:t>
        </w:r>
        <w:r w:rsidR="00013237">
          <w:rPr>
            <w:noProof/>
            <w:webHidden/>
          </w:rPr>
          <w:tab/>
        </w:r>
        <w:r w:rsidR="00013237">
          <w:rPr>
            <w:noProof/>
            <w:webHidden/>
          </w:rPr>
          <w:fldChar w:fldCharType="begin"/>
        </w:r>
        <w:r w:rsidR="00013237">
          <w:rPr>
            <w:noProof/>
            <w:webHidden/>
          </w:rPr>
          <w:instrText xml:space="preserve"> PAGEREF _Toc520757554 \h </w:instrText>
        </w:r>
        <w:r w:rsidR="00013237">
          <w:rPr>
            <w:noProof/>
            <w:webHidden/>
          </w:rPr>
        </w:r>
        <w:r w:rsidR="00013237">
          <w:rPr>
            <w:noProof/>
            <w:webHidden/>
          </w:rPr>
          <w:fldChar w:fldCharType="separate"/>
        </w:r>
        <w:r>
          <w:rPr>
            <w:noProof/>
            <w:webHidden/>
          </w:rPr>
          <w:t>25</w:t>
        </w:r>
        <w:r w:rsidR="00013237">
          <w:rPr>
            <w:noProof/>
            <w:webHidden/>
          </w:rPr>
          <w:fldChar w:fldCharType="end"/>
        </w:r>
      </w:hyperlink>
    </w:p>
    <w:p w14:paraId="071B1CF5" w14:textId="09463108" w:rsidR="00013237" w:rsidRDefault="002645B6">
      <w:pPr>
        <w:pStyle w:val="TableofFigures"/>
        <w:tabs>
          <w:tab w:val="right" w:leader="dot" w:pos="9016"/>
        </w:tabs>
        <w:rPr>
          <w:rFonts w:eastAsiaTheme="minorEastAsia"/>
          <w:noProof/>
          <w:lang w:val="en-ZA" w:eastAsia="en-ZA"/>
        </w:rPr>
      </w:pPr>
      <w:hyperlink w:anchor="_Toc520757555" w:history="1">
        <w:r w:rsidR="00013237" w:rsidRPr="00880198">
          <w:rPr>
            <w:rStyle w:val="Hyperlink"/>
            <w:noProof/>
          </w:rPr>
          <w:t>Figure 4: Historical Exploration and Drilling on the flanks of the Phosiri Dome</w:t>
        </w:r>
        <w:r w:rsidR="00013237">
          <w:rPr>
            <w:noProof/>
            <w:webHidden/>
          </w:rPr>
          <w:tab/>
        </w:r>
        <w:r w:rsidR="00013237">
          <w:rPr>
            <w:noProof/>
            <w:webHidden/>
          </w:rPr>
          <w:fldChar w:fldCharType="begin"/>
        </w:r>
        <w:r w:rsidR="00013237">
          <w:rPr>
            <w:noProof/>
            <w:webHidden/>
          </w:rPr>
          <w:instrText xml:space="preserve"> PAGEREF _Toc520757555 \h </w:instrText>
        </w:r>
        <w:r w:rsidR="00013237">
          <w:rPr>
            <w:noProof/>
            <w:webHidden/>
          </w:rPr>
        </w:r>
        <w:r w:rsidR="00013237">
          <w:rPr>
            <w:noProof/>
            <w:webHidden/>
          </w:rPr>
          <w:fldChar w:fldCharType="separate"/>
        </w:r>
        <w:r>
          <w:rPr>
            <w:noProof/>
            <w:webHidden/>
          </w:rPr>
          <w:t>28</w:t>
        </w:r>
        <w:r w:rsidR="00013237">
          <w:rPr>
            <w:noProof/>
            <w:webHidden/>
          </w:rPr>
          <w:fldChar w:fldCharType="end"/>
        </w:r>
      </w:hyperlink>
    </w:p>
    <w:p w14:paraId="36329C53" w14:textId="2642830C" w:rsidR="00013237" w:rsidRDefault="002645B6">
      <w:pPr>
        <w:pStyle w:val="TableofFigures"/>
        <w:tabs>
          <w:tab w:val="right" w:leader="dot" w:pos="9016"/>
        </w:tabs>
        <w:rPr>
          <w:rFonts w:eastAsiaTheme="minorEastAsia"/>
          <w:noProof/>
          <w:lang w:val="en-ZA" w:eastAsia="en-ZA"/>
        </w:rPr>
      </w:pPr>
      <w:hyperlink w:anchor="_Toc520757556" w:history="1">
        <w:r w:rsidR="00013237" w:rsidRPr="00880198">
          <w:rPr>
            <w:rStyle w:val="Hyperlink"/>
            <w:noProof/>
          </w:rPr>
          <w:t>Figure 5: Topographical image from aerial photos showing the seismic traverses and shotpoints (Campbell, 2010).</w:t>
        </w:r>
        <w:r w:rsidR="00013237">
          <w:rPr>
            <w:noProof/>
            <w:webHidden/>
          </w:rPr>
          <w:tab/>
        </w:r>
        <w:r w:rsidR="00013237">
          <w:rPr>
            <w:noProof/>
            <w:webHidden/>
          </w:rPr>
          <w:fldChar w:fldCharType="begin"/>
        </w:r>
        <w:r w:rsidR="00013237">
          <w:rPr>
            <w:noProof/>
            <w:webHidden/>
          </w:rPr>
          <w:instrText xml:space="preserve"> PAGEREF _Toc520757556 \h </w:instrText>
        </w:r>
        <w:r w:rsidR="00013237">
          <w:rPr>
            <w:noProof/>
            <w:webHidden/>
          </w:rPr>
        </w:r>
        <w:r w:rsidR="00013237">
          <w:rPr>
            <w:noProof/>
            <w:webHidden/>
          </w:rPr>
          <w:fldChar w:fldCharType="separate"/>
        </w:r>
        <w:r>
          <w:rPr>
            <w:noProof/>
            <w:webHidden/>
          </w:rPr>
          <w:t>29</w:t>
        </w:r>
        <w:r w:rsidR="00013237">
          <w:rPr>
            <w:noProof/>
            <w:webHidden/>
          </w:rPr>
          <w:fldChar w:fldCharType="end"/>
        </w:r>
      </w:hyperlink>
    </w:p>
    <w:p w14:paraId="4EA3F444" w14:textId="7985728A" w:rsidR="00013237" w:rsidRDefault="002645B6">
      <w:pPr>
        <w:pStyle w:val="TableofFigures"/>
        <w:tabs>
          <w:tab w:val="right" w:leader="dot" w:pos="9016"/>
        </w:tabs>
        <w:rPr>
          <w:rFonts w:eastAsiaTheme="minorEastAsia"/>
          <w:noProof/>
          <w:lang w:val="en-ZA" w:eastAsia="en-ZA"/>
        </w:rPr>
      </w:pPr>
      <w:hyperlink w:anchor="_Toc520757557" w:history="1">
        <w:r w:rsidR="00013237" w:rsidRPr="00880198">
          <w:rPr>
            <w:rStyle w:val="Hyperlink"/>
            <w:noProof/>
          </w:rPr>
          <w:t>Figure 6: Line 3 and Line 4 fence diagram showing continuity of reflectors and marker horizons H_5 through to H_8 representing the Giant Mottled Anorthosite in red through to the UG2 in blue, with the yellow line representing the floor contact of the Rustenburg Layered Suite with Transvaal Supergroup metasediments (Campbell, 2010).</w:t>
        </w:r>
        <w:r w:rsidR="00013237">
          <w:rPr>
            <w:noProof/>
            <w:webHidden/>
          </w:rPr>
          <w:tab/>
        </w:r>
        <w:r w:rsidR="00013237">
          <w:rPr>
            <w:noProof/>
            <w:webHidden/>
          </w:rPr>
          <w:fldChar w:fldCharType="begin"/>
        </w:r>
        <w:r w:rsidR="00013237">
          <w:rPr>
            <w:noProof/>
            <w:webHidden/>
          </w:rPr>
          <w:instrText xml:space="preserve"> PAGEREF _Toc520757557 \h </w:instrText>
        </w:r>
        <w:r w:rsidR="00013237">
          <w:rPr>
            <w:noProof/>
            <w:webHidden/>
          </w:rPr>
        </w:r>
        <w:r w:rsidR="00013237">
          <w:rPr>
            <w:noProof/>
            <w:webHidden/>
          </w:rPr>
          <w:fldChar w:fldCharType="separate"/>
        </w:r>
        <w:r>
          <w:rPr>
            <w:noProof/>
            <w:webHidden/>
          </w:rPr>
          <w:t>30</w:t>
        </w:r>
        <w:r w:rsidR="00013237">
          <w:rPr>
            <w:noProof/>
            <w:webHidden/>
          </w:rPr>
          <w:fldChar w:fldCharType="end"/>
        </w:r>
      </w:hyperlink>
    </w:p>
    <w:p w14:paraId="02DEC5ED" w14:textId="7100E518" w:rsidR="00013237" w:rsidRDefault="002645B6">
      <w:pPr>
        <w:pStyle w:val="TableofFigures"/>
        <w:tabs>
          <w:tab w:val="right" w:leader="dot" w:pos="9016"/>
        </w:tabs>
        <w:rPr>
          <w:rFonts w:eastAsiaTheme="minorEastAsia"/>
          <w:noProof/>
          <w:lang w:val="en-ZA" w:eastAsia="en-ZA"/>
        </w:rPr>
      </w:pPr>
      <w:hyperlink w:anchor="_Toc520757558" w:history="1">
        <w:r w:rsidR="00013237" w:rsidRPr="00880198">
          <w:rPr>
            <w:rStyle w:val="Hyperlink"/>
            <w:noProof/>
          </w:rPr>
          <w:t>Figure 7: Line 1 migrated section with interpretation overlay showing continuity of reflectors and marker horizons H_0 through to H_11 with the yellow line representing the floor contact of the Rustenburg Layered Suite with Transvaal Supergroup metasediments and the location of drill hole LES001 in white (Campbell, 2010).</w:t>
        </w:r>
        <w:r w:rsidR="00013237">
          <w:rPr>
            <w:noProof/>
            <w:webHidden/>
          </w:rPr>
          <w:tab/>
        </w:r>
        <w:r w:rsidR="00013237">
          <w:rPr>
            <w:noProof/>
            <w:webHidden/>
          </w:rPr>
          <w:fldChar w:fldCharType="begin"/>
        </w:r>
        <w:r w:rsidR="00013237">
          <w:rPr>
            <w:noProof/>
            <w:webHidden/>
          </w:rPr>
          <w:instrText xml:space="preserve"> PAGEREF _Toc520757558 \h </w:instrText>
        </w:r>
        <w:r w:rsidR="00013237">
          <w:rPr>
            <w:noProof/>
            <w:webHidden/>
          </w:rPr>
        </w:r>
        <w:r w:rsidR="00013237">
          <w:rPr>
            <w:noProof/>
            <w:webHidden/>
          </w:rPr>
          <w:fldChar w:fldCharType="separate"/>
        </w:r>
        <w:r>
          <w:rPr>
            <w:noProof/>
            <w:webHidden/>
          </w:rPr>
          <w:t>31</w:t>
        </w:r>
        <w:r w:rsidR="00013237">
          <w:rPr>
            <w:noProof/>
            <w:webHidden/>
          </w:rPr>
          <w:fldChar w:fldCharType="end"/>
        </w:r>
      </w:hyperlink>
    </w:p>
    <w:p w14:paraId="375BB3D2" w14:textId="24FC4F84" w:rsidR="00013237" w:rsidRDefault="002645B6">
      <w:pPr>
        <w:pStyle w:val="TableofFigures"/>
        <w:tabs>
          <w:tab w:val="right" w:leader="dot" w:pos="9016"/>
        </w:tabs>
        <w:rPr>
          <w:rFonts w:eastAsiaTheme="minorEastAsia"/>
          <w:noProof/>
          <w:lang w:val="en-ZA" w:eastAsia="en-ZA"/>
        </w:rPr>
      </w:pPr>
      <w:hyperlink w:anchor="_Toc520757559" w:history="1">
        <w:r w:rsidR="00013237" w:rsidRPr="00880198">
          <w:rPr>
            <w:rStyle w:val="Hyperlink"/>
            <w:noProof/>
          </w:rPr>
          <w:t>Figure 8: Isopach map of the UG2 Chromitite modeled from the results of the seismic survey showing its continuity and the relative paucity of structural disturbances. The western extent of the Rustenburg Layered Suite as derived from the Lesego gravity survey is indicated with the dashed yellow line, whilst the published location of the Transvaal Supergroup – Rustenburg Layered Suite contact is shown by the grey dashed line (Campbell, 2010).</w:t>
        </w:r>
        <w:r w:rsidR="00013237">
          <w:rPr>
            <w:noProof/>
            <w:webHidden/>
          </w:rPr>
          <w:tab/>
        </w:r>
        <w:r w:rsidR="00013237">
          <w:rPr>
            <w:noProof/>
            <w:webHidden/>
          </w:rPr>
          <w:fldChar w:fldCharType="begin"/>
        </w:r>
        <w:r w:rsidR="00013237">
          <w:rPr>
            <w:noProof/>
            <w:webHidden/>
          </w:rPr>
          <w:instrText xml:space="preserve"> PAGEREF _Toc520757559 \h </w:instrText>
        </w:r>
        <w:r w:rsidR="00013237">
          <w:rPr>
            <w:noProof/>
            <w:webHidden/>
          </w:rPr>
        </w:r>
        <w:r w:rsidR="00013237">
          <w:rPr>
            <w:noProof/>
            <w:webHidden/>
          </w:rPr>
          <w:fldChar w:fldCharType="separate"/>
        </w:r>
        <w:r>
          <w:rPr>
            <w:noProof/>
            <w:webHidden/>
          </w:rPr>
          <w:t>32</w:t>
        </w:r>
        <w:r w:rsidR="00013237">
          <w:rPr>
            <w:noProof/>
            <w:webHidden/>
          </w:rPr>
          <w:fldChar w:fldCharType="end"/>
        </w:r>
      </w:hyperlink>
    </w:p>
    <w:p w14:paraId="540E44E6" w14:textId="0A8798E7" w:rsidR="00013237" w:rsidRDefault="002645B6">
      <w:pPr>
        <w:pStyle w:val="TableofFigures"/>
        <w:tabs>
          <w:tab w:val="right" w:leader="dot" w:pos="9016"/>
        </w:tabs>
        <w:rPr>
          <w:rFonts w:eastAsiaTheme="minorEastAsia"/>
          <w:noProof/>
          <w:lang w:val="en-ZA" w:eastAsia="en-ZA"/>
        </w:rPr>
      </w:pPr>
      <w:hyperlink w:anchor="_Toc520757560" w:history="1">
        <w:r w:rsidR="00013237" w:rsidRPr="00880198">
          <w:rPr>
            <w:rStyle w:val="Hyperlink"/>
            <w:noProof/>
          </w:rPr>
          <w:t>Figure 9: Bouguer Gravity and surface elevation profiles along seismic lines 01 (top), 04 (middle) and 05 (bottom), illustrating the published floor rock contact and the suggested floor rock contact (black arrow) based on increased density of the Rustenburg Layered Suite lithologies (Campbell, 2010).</w:t>
        </w:r>
        <w:r w:rsidR="00013237">
          <w:rPr>
            <w:noProof/>
            <w:webHidden/>
          </w:rPr>
          <w:tab/>
        </w:r>
        <w:r w:rsidR="00013237">
          <w:rPr>
            <w:noProof/>
            <w:webHidden/>
          </w:rPr>
          <w:fldChar w:fldCharType="begin"/>
        </w:r>
        <w:r w:rsidR="00013237">
          <w:rPr>
            <w:noProof/>
            <w:webHidden/>
          </w:rPr>
          <w:instrText xml:space="preserve"> PAGEREF _Toc520757560 \h </w:instrText>
        </w:r>
        <w:r w:rsidR="00013237">
          <w:rPr>
            <w:noProof/>
            <w:webHidden/>
          </w:rPr>
        </w:r>
        <w:r w:rsidR="00013237">
          <w:rPr>
            <w:noProof/>
            <w:webHidden/>
          </w:rPr>
          <w:fldChar w:fldCharType="separate"/>
        </w:r>
        <w:r>
          <w:rPr>
            <w:noProof/>
            <w:webHidden/>
          </w:rPr>
          <w:t>33</w:t>
        </w:r>
        <w:r w:rsidR="00013237">
          <w:rPr>
            <w:noProof/>
            <w:webHidden/>
          </w:rPr>
          <w:fldChar w:fldCharType="end"/>
        </w:r>
      </w:hyperlink>
    </w:p>
    <w:p w14:paraId="42761295" w14:textId="496DF473" w:rsidR="00013237" w:rsidRDefault="002645B6">
      <w:pPr>
        <w:pStyle w:val="TableofFigures"/>
        <w:tabs>
          <w:tab w:val="right" w:leader="dot" w:pos="9016"/>
        </w:tabs>
        <w:rPr>
          <w:rFonts w:eastAsiaTheme="minorEastAsia"/>
          <w:noProof/>
          <w:lang w:val="en-ZA" w:eastAsia="en-ZA"/>
        </w:rPr>
      </w:pPr>
      <w:hyperlink w:anchor="_Toc520757561" w:history="1">
        <w:r w:rsidR="00013237" w:rsidRPr="00880198">
          <w:rPr>
            <w:rStyle w:val="Hyperlink"/>
            <w:noProof/>
          </w:rPr>
          <w:t>Figure 10: Total field magnetics image from the aeromagnetic survey flown over the project area showing interpreted faults (in black) and dykes (in white) (after Campbell, 2010). Red and purple indicates areas of relatively high magnetic intensity, highlighting IRUPS, dykes, Upper Zone lithologies and the Vermont Formation of the Pretoria Group, whilst green areas indicate areas of relatively low magnetic intensity of Main, Critical Zone and Transvaal Metasedimentary rocks. Note the shift of the Main Zone – Upper Zone boundary to the south based on the magnetic signature of the Upper Zone lithologies (after Schwellnus et al., 1962 and Campbell, 2010).</w:t>
        </w:r>
        <w:r w:rsidR="00013237">
          <w:rPr>
            <w:noProof/>
            <w:webHidden/>
          </w:rPr>
          <w:tab/>
        </w:r>
        <w:r w:rsidR="00013237">
          <w:rPr>
            <w:noProof/>
            <w:webHidden/>
          </w:rPr>
          <w:fldChar w:fldCharType="begin"/>
        </w:r>
        <w:r w:rsidR="00013237">
          <w:rPr>
            <w:noProof/>
            <w:webHidden/>
          </w:rPr>
          <w:instrText xml:space="preserve"> PAGEREF _Toc520757561 \h </w:instrText>
        </w:r>
        <w:r w:rsidR="00013237">
          <w:rPr>
            <w:noProof/>
            <w:webHidden/>
          </w:rPr>
        </w:r>
        <w:r w:rsidR="00013237">
          <w:rPr>
            <w:noProof/>
            <w:webHidden/>
          </w:rPr>
          <w:fldChar w:fldCharType="separate"/>
        </w:r>
        <w:r>
          <w:rPr>
            <w:noProof/>
            <w:webHidden/>
          </w:rPr>
          <w:t>35</w:t>
        </w:r>
        <w:r w:rsidR="00013237">
          <w:rPr>
            <w:noProof/>
            <w:webHidden/>
          </w:rPr>
          <w:fldChar w:fldCharType="end"/>
        </w:r>
      </w:hyperlink>
    </w:p>
    <w:p w14:paraId="46B3AE9A" w14:textId="4C1EBA47" w:rsidR="00013237" w:rsidRDefault="002645B6">
      <w:pPr>
        <w:pStyle w:val="TableofFigures"/>
        <w:tabs>
          <w:tab w:val="right" w:leader="dot" w:pos="9016"/>
        </w:tabs>
        <w:rPr>
          <w:rFonts w:eastAsiaTheme="minorEastAsia"/>
          <w:noProof/>
          <w:lang w:val="en-ZA" w:eastAsia="en-ZA"/>
        </w:rPr>
      </w:pPr>
      <w:hyperlink w:anchor="_Toc520757562" w:history="1">
        <w:r w:rsidR="00013237" w:rsidRPr="00880198">
          <w:rPr>
            <w:rStyle w:val="Hyperlink"/>
            <w:noProof/>
          </w:rPr>
          <w:t>Figure 11: Geological map showing chrome in soil values and mapped and interpreted structures in the Lesego project area, as well as the location of the two trenches. The dotted line refers to the 150 ppm Cr in soil contour (after Schwellnus et al., 1962 and data compiled by the author).</w:t>
        </w:r>
        <w:r w:rsidR="00013237">
          <w:rPr>
            <w:noProof/>
            <w:webHidden/>
          </w:rPr>
          <w:tab/>
        </w:r>
        <w:r w:rsidR="00013237">
          <w:rPr>
            <w:noProof/>
            <w:webHidden/>
          </w:rPr>
          <w:fldChar w:fldCharType="begin"/>
        </w:r>
        <w:r w:rsidR="00013237">
          <w:rPr>
            <w:noProof/>
            <w:webHidden/>
          </w:rPr>
          <w:instrText xml:space="preserve"> PAGEREF _Toc520757562 \h </w:instrText>
        </w:r>
        <w:r w:rsidR="00013237">
          <w:rPr>
            <w:noProof/>
            <w:webHidden/>
          </w:rPr>
        </w:r>
        <w:r w:rsidR="00013237">
          <w:rPr>
            <w:noProof/>
            <w:webHidden/>
          </w:rPr>
          <w:fldChar w:fldCharType="separate"/>
        </w:r>
        <w:r>
          <w:rPr>
            <w:noProof/>
            <w:webHidden/>
          </w:rPr>
          <w:t>37</w:t>
        </w:r>
        <w:r w:rsidR="00013237">
          <w:rPr>
            <w:noProof/>
            <w:webHidden/>
          </w:rPr>
          <w:fldChar w:fldCharType="end"/>
        </w:r>
      </w:hyperlink>
    </w:p>
    <w:p w14:paraId="763E26EE" w14:textId="298241F4" w:rsidR="00013237" w:rsidRDefault="002645B6">
      <w:pPr>
        <w:pStyle w:val="TableofFigures"/>
        <w:tabs>
          <w:tab w:val="right" w:leader="dot" w:pos="9016"/>
        </w:tabs>
        <w:rPr>
          <w:rFonts w:eastAsiaTheme="minorEastAsia"/>
          <w:noProof/>
          <w:lang w:val="en-ZA" w:eastAsia="en-ZA"/>
        </w:rPr>
      </w:pPr>
      <w:hyperlink w:anchor="_Toc520757563" w:history="1">
        <w:r w:rsidR="00013237" w:rsidRPr="00880198">
          <w:rPr>
            <w:rStyle w:val="Hyperlink"/>
            <w:noProof/>
          </w:rPr>
          <w:t>Figure 12: Wireframe model showing the extent and dip of the Merensky Reef (image on the left) and UG2 chromitite (image on the right) looking from the southeast towards the eastern flank of the dome.</w:t>
        </w:r>
        <w:r w:rsidR="00013237">
          <w:rPr>
            <w:noProof/>
            <w:webHidden/>
          </w:rPr>
          <w:tab/>
        </w:r>
        <w:r w:rsidR="00013237">
          <w:rPr>
            <w:noProof/>
            <w:webHidden/>
          </w:rPr>
          <w:fldChar w:fldCharType="begin"/>
        </w:r>
        <w:r w:rsidR="00013237">
          <w:rPr>
            <w:noProof/>
            <w:webHidden/>
          </w:rPr>
          <w:instrText xml:space="preserve"> PAGEREF _Toc520757563 \h </w:instrText>
        </w:r>
        <w:r w:rsidR="00013237">
          <w:rPr>
            <w:noProof/>
            <w:webHidden/>
          </w:rPr>
        </w:r>
        <w:r w:rsidR="00013237">
          <w:rPr>
            <w:noProof/>
            <w:webHidden/>
          </w:rPr>
          <w:fldChar w:fldCharType="separate"/>
        </w:r>
        <w:r>
          <w:rPr>
            <w:noProof/>
            <w:webHidden/>
          </w:rPr>
          <w:t>39</w:t>
        </w:r>
        <w:r w:rsidR="00013237">
          <w:rPr>
            <w:noProof/>
            <w:webHidden/>
          </w:rPr>
          <w:fldChar w:fldCharType="end"/>
        </w:r>
      </w:hyperlink>
    </w:p>
    <w:p w14:paraId="49686242" w14:textId="124A48C6" w:rsidR="00013237" w:rsidRDefault="002645B6">
      <w:pPr>
        <w:pStyle w:val="TableofFigures"/>
        <w:tabs>
          <w:tab w:val="right" w:leader="dot" w:pos="9016"/>
        </w:tabs>
        <w:rPr>
          <w:rFonts w:eastAsiaTheme="minorEastAsia"/>
          <w:noProof/>
          <w:lang w:val="en-ZA" w:eastAsia="en-ZA"/>
        </w:rPr>
      </w:pPr>
      <w:hyperlink w:anchor="_Toc520757564" w:history="1">
        <w:r w:rsidR="00013237" w:rsidRPr="00880198">
          <w:rPr>
            <w:rStyle w:val="Hyperlink"/>
            <w:noProof/>
          </w:rPr>
          <w:t>Figure 13: Three-dimensional view looking north of the exploration drill holes on the Phosiri Project showinga gabbro heavily contaminated with anatectic melt in orange.</w:t>
        </w:r>
        <w:r w:rsidR="00013237">
          <w:rPr>
            <w:noProof/>
            <w:webHidden/>
          </w:rPr>
          <w:tab/>
        </w:r>
        <w:r w:rsidR="00013237">
          <w:rPr>
            <w:noProof/>
            <w:webHidden/>
          </w:rPr>
          <w:fldChar w:fldCharType="begin"/>
        </w:r>
        <w:r w:rsidR="00013237">
          <w:rPr>
            <w:noProof/>
            <w:webHidden/>
          </w:rPr>
          <w:instrText xml:space="preserve"> PAGEREF _Toc520757564 \h </w:instrText>
        </w:r>
        <w:r w:rsidR="00013237">
          <w:rPr>
            <w:noProof/>
            <w:webHidden/>
          </w:rPr>
        </w:r>
        <w:r w:rsidR="00013237">
          <w:rPr>
            <w:noProof/>
            <w:webHidden/>
          </w:rPr>
          <w:fldChar w:fldCharType="separate"/>
        </w:r>
        <w:r>
          <w:rPr>
            <w:noProof/>
            <w:webHidden/>
          </w:rPr>
          <w:t>40</w:t>
        </w:r>
        <w:r w:rsidR="00013237">
          <w:rPr>
            <w:noProof/>
            <w:webHidden/>
          </w:rPr>
          <w:fldChar w:fldCharType="end"/>
        </w:r>
      </w:hyperlink>
    </w:p>
    <w:p w14:paraId="448E6A19" w14:textId="2E29BD0F" w:rsidR="00013237" w:rsidRDefault="002645B6">
      <w:pPr>
        <w:pStyle w:val="TableofFigures"/>
        <w:tabs>
          <w:tab w:val="right" w:leader="dot" w:pos="9016"/>
        </w:tabs>
        <w:rPr>
          <w:rFonts w:eastAsiaTheme="minorEastAsia"/>
          <w:noProof/>
          <w:lang w:val="en-ZA" w:eastAsia="en-ZA"/>
        </w:rPr>
      </w:pPr>
      <w:hyperlink w:anchor="_Toc520757565" w:history="1">
        <w:r w:rsidR="00013237" w:rsidRPr="00880198">
          <w:rPr>
            <w:rStyle w:val="Hyperlink"/>
            <w:noProof/>
          </w:rPr>
          <w:t xml:space="preserve">Figure 14: Photograph of drill core from drill hole LES039 located approximately 400 m from the Phosiri Dome, showing the deformed mottled anorthosite hangingwall to the Merensky Reef </w:t>
        </w:r>
        <w:r w:rsidR="00013237" w:rsidRPr="00880198">
          <w:rPr>
            <w:rStyle w:val="Hyperlink"/>
            <w:noProof/>
          </w:rPr>
          <w:lastRenderedPageBreak/>
          <w:t>pyroxenite. The mottled anorthosite shows strong foliations, indicating strain probably due to the post crystallization emplacement of the Phosiri Dome.</w:t>
        </w:r>
        <w:r w:rsidR="00013237">
          <w:rPr>
            <w:noProof/>
            <w:webHidden/>
          </w:rPr>
          <w:tab/>
        </w:r>
        <w:r w:rsidR="00013237">
          <w:rPr>
            <w:noProof/>
            <w:webHidden/>
          </w:rPr>
          <w:fldChar w:fldCharType="begin"/>
        </w:r>
        <w:r w:rsidR="00013237">
          <w:rPr>
            <w:noProof/>
            <w:webHidden/>
          </w:rPr>
          <w:instrText xml:space="preserve"> PAGEREF _Toc520757565 \h </w:instrText>
        </w:r>
        <w:r w:rsidR="00013237">
          <w:rPr>
            <w:noProof/>
            <w:webHidden/>
          </w:rPr>
        </w:r>
        <w:r w:rsidR="00013237">
          <w:rPr>
            <w:noProof/>
            <w:webHidden/>
          </w:rPr>
          <w:fldChar w:fldCharType="separate"/>
        </w:r>
        <w:r>
          <w:rPr>
            <w:noProof/>
            <w:webHidden/>
          </w:rPr>
          <w:t>40</w:t>
        </w:r>
        <w:r w:rsidR="00013237">
          <w:rPr>
            <w:noProof/>
            <w:webHidden/>
          </w:rPr>
          <w:fldChar w:fldCharType="end"/>
        </w:r>
      </w:hyperlink>
    </w:p>
    <w:p w14:paraId="26891F0B" w14:textId="3E6D7001" w:rsidR="00013237" w:rsidRDefault="002645B6">
      <w:pPr>
        <w:pStyle w:val="TableofFigures"/>
        <w:tabs>
          <w:tab w:val="right" w:leader="dot" w:pos="9016"/>
        </w:tabs>
        <w:rPr>
          <w:rFonts w:eastAsiaTheme="minorEastAsia"/>
          <w:noProof/>
          <w:lang w:val="en-ZA" w:eastAsia="en-ZA"/>
        </w:rPr>
      </w:pPr>
      <w:hyperlink w:anchor="_Toc520757566" w:history="1">
        <w:r w:rsidR="00013237" w:rsidRPr="00880198">
          <w:rPr>
            <w:rStyle w:val="Hyperlink"/>
            <w:noProof/>
          </w:rPr>
          <w:t>Figure 15: Location of all diamond exploration drill holes drilled on the Lesego lease area, as well as the seismic traverses conducted in 2007. The white block on the inset denotes the area displayed in the main image.</w:t>
        </w:r>
        <w:r w:rsidR="00013237">
          <w:rPr>
            <w:noProof/>
            <w:webHidden/>
          </w:rPr>
          <w:tab/>
        </w:r>
        <w:r w:rsidR="00013237">
          <w:rPr>
            <w:noProof/>
            <w:webHidden/>
          </w:rPr>
          <w:fldChar w:fldCharType="begin"/>
        </w:r>
        <w:r w:rsidR="00013237">
          <w:rPr>
            <w:noProof/>
            <w:webHidden/>
          </w:rPr>
          <w:instrText xml:space="preserve"> PAGEREF _Toc520757566 \h </w:instrText>
        </w:r>
        <w:r w:rsidR="00013237">
          <w:rPr>
            <w:noProof/>
            <w:webHidden/>
          </w:rPr>
        </w:r>
        <w:r w:rsidR="00013237">
          <w:rPr>
            <w:noProof/>
            <w:webHidden/>
          </w:rPr>
          <w:fldChar w:fldCharType="separate"/>
        </w:r>
        <w:r>
          <w:rPr>
            <w:noProof/>
            <w:webHidden/>
          </w:rPr>
          <w:t>41</w:t>
        </w:r>
        <w:r w:rsidR="00013237">
          <w:rPr>
            <w:noProof/>
            <w:webHidden/>
          </w:rPr>
          <w:fldChar w:fldCharType="end"/>
        </w:r>
      </w:hyperlink>
    </w:p>
    <w:p w14:paraId="7578BA4A" w14:textId="3D5641F5" w:rsidR="00013237" w:rsidRDefault="002645B6">
      <w:pPr>
        <w:pStyle w:val="TableofFigures"/>
        <w:tabs>
          <w:tab w:val="right" w:leader="dot" w:pos="9016"/>
        </w:tabs>
        <w:rPr>
          <w:rFonts w:eastAsiaTheme="minorEastAsia"/>
          <w:noProof/>
          <w:lang w:val="en-ZA" w:eastAsia="en-ZA"/>
        </w:rPr>
      </w:pPr>
      <w:hyperlink w:anchor="_Toc520757567" w:history="1">
        <w:r w:rsidR="00013237" w:rsidRPr="00880198">
          <w:rPr>
            <w:rStyle w:val="Hyperlink"/>
            <w:noProof/>
          </w:rPr>
          <w:t>Figure 16: Typical stratigraphy and grade profile across the UG2 Chromitite in the Lesego Lease Area. (a) Single reef facies, (b) Split reef facies with two chromitite seams separated by a pyroxenite parting (after Njowa and Clay, 2010).</w:t>
        </w:r>
        <w:r w:rsidR="00013237">
          <w:rPr>
            <w:noProof/>
            <w:webHidden/>
          </w:rPr>
          <w:tab/>
        </w:r>
        <w:r w:rsidR="00013237">
          <w:rPr>
            <w:noProof/>
            <w:webHidden/>
          </w:rPr>
          <w:fldChar w:fldCharType="begin"/>
        </w:r>
        <w:r w:rsidR="00013237">
          <w:rPr>
            <w:noProof/>
            <w:webHidden/>
          </w:rPr>
          <w:instrText xml:space="preserve"> PAGEREF _Toc520757567 \h </w:instrText>
        </w:r>
        <w:r w:rsidR="00013237">
          <w:rPr>
            <w:noProof/>
            <w:webHidden/>
          </w:rPr>
        </w:r>
        <w:r w:rsidR="00013237">
          <w:rPr>
            <w:noProof/>
            <w:webHidden/>
          </w:rPr>
          <w:fldChar w:fldCharType="separate"/>
        </w:r>
        <w:r>
          <w:rPr>
            <w:noProof/>
            <w:webHidden/>
          </w:rPr>
          <w:t>42</w:t>
        </w:r>
        <w:r w:rsidR="00013237">
          <w:rPr>
            <w:noProof/>
            <w:webHidden/>
          </w:rPr>
          <w:fldChar w:fldCharType="end"/>
        </w:r>
      </w:hyperlink>
    </w:p>
    <w:p w14:paraId="338FAC29" w14:textId="2E4CFD3E" w:rsidR="00013237" w:rsidRDefault="002645B6">
      <w:pPr>
        <w:pStyle w:val="TableofFigures"/>
        <w:tabs>
          <w:tab w:val="right" w:leader="dot" w:pos="9016"/>
        </w:tabs>
        <w:rPr>
          <w:rFonts w:eastAsiaTheme="minorEastAsia"/>
          <w:noProof/>
          <w:lang w:val="en-ZA" w:eastAsia="en-ZA"/>
        </w:rPr>
      </w:pPr>
      <w:hyperlink w:anchor="_Toc520757568" w:history="1">
        <w:r w:rsidR="00013237" w:rsidRPr="00880198">
          <w:rPr>
            <w:rStyle w:val="Hyperlink"/>
            <w:noProof/>
          </w:rPr>
          <w:t>Figure 17: Typical stratigraphy representing the average width and grade profile across the Merensky Reef in the Lesego Project Area (after Njowa and Clay, 2010).</w:t>
        </w:r>
        <w:r w:rsidR="00013237">
          <w:rPr>
            <w:noProof/>
            <w:webHidden/>
          </w:rPr>
          <w:tab/>
        </w:r>
        <w:r w:rsidR="00013237">
          <w:rPr>
            <w:noProof/>
            <w:webHidden/>
          </w:rPr>
          <w:fldChar w:fldCharType="begin"/>
        </w:r>
        <w:r w:rsidR="00013237">
          <w:rPr>
            <w:noProof/>
            <w:webHidden/>
          </w:rPr>
          <w:instrText xml:space="preserve"> PAGEREF _Toc520757568 \h </w:instrText>
        </w:r>
        <w:r w:rsidR="00013237">
          <w:rPr>
            <w:noProof/>
            <w:webHidden/>
          </w:rPr>
        </w:r>
        <w:r w:rsidR="00013237">
          <w:rPr>
            <w:noProof/>
            <w:webHidden/>
          </w:rPr>
          <w:fldChar w:fldCharType="separate"/>
        </w:r>
        <w:r>
          <w:rPr>
            <w:noProof/>
            <w:webHidden/>
          </w:rPr>
          <w:t>44</w:t>
        </w:r>
        <w:r w:rsidR="00013237">
          <w:rPr>
            <w:noProof/>
            <w:webHidden/>
          </w:rPr>
          <w:fldChar w:fldCharType="end"/>
        </w:r>
      </w:hyperlink>
    </w:p>
    <w:p w14:paraId="29CC5D5D" w14:textId="3054B37A" w:rsidR="00013237" w:rsidRDefault="002645B6">
      <w:pPr>
        <w:pStyle w:val="TableofFigures"/>
        <w:tabs>
          <w:tab w:val="right" w:leader="dot" w:pos="9016"/>
        </w:tabs>
        <w:rPr>
          <w:rFonts w:eastAsiaTheme="minorEastAsia"/>
          <w:noProof/>
          <w:lang w:val="en-ZA" w:eastAsia="en-ZA"/>
        </w:rPr>
      </w:pPr>
      <w:hyperlink w:anchor="_Toc520757569" w:history="1">
        <w:r w:rsidR="00013237" w:rsidRPr="00880198">
          <w:rPr>
            <w:rStyle w:val="Hyperlink"/>
            <w:noProof/>
          </w:rPr>
          <w:t>Figure 18: Contoured map of the Lesego Project Area showing 3PGE+Au, Cu and Ni grades over the Merensky Reef (top image) and UG2 (bottom image). Note the general improvement of grade with depth (to the right) and the low-grade portions at the margins of the resource.</w:t>
        </w:r>
        <w:r w:rsidR="00013237">
          <w:rPr>
            <w:noProof/>
            <w:webHidden/>
          </w:rPr>
          <w:tab/>
        </w:r>
        <w:r w:rsidR="00013237">
          <w:rPr>
            <w:noProof/>
            <w:webHidden/>
          </w:rPr>
          <w:fldChar w:fldCharType="begin"/>
        </w:r>
        <w:r w:rsidR="00013237">
          <w:rPr>
            <w:noProof/>
            <w:webHidden/>
          </w:rPr>
          <w:instrText xml:space="preserve"> PAGEREF _Toc520757569 \h </w:instrText>
        </w:r>
        <w:r w:rsidR="00013237">
          <w:rPr>
            <w:noProof/>
            <w:webHidden/>
          </w:rPr>
        </w:r>
        <w:r w:rsidR="00013237">
          <w:rPr>
            <w:noProof/>
            <w:webHidden/>
          </w:rPr>
          <w:fldChar w:fldCharType="separate"/>
        </w:r>
        <w:r>
          <w:rPr>
            <w:noProof/>
            <w:webHidden/>
          </w:rPr>
          <w:t>46</w:t>
        </w:r>
        <w:r w:rsidR="00013237">
          <w:rPr>
            <w:noProof/>
            <w:webHidden/>
          </w:rPr>
          <w:fldChar w:fldCharType="end"/>
        </w:r>
      </w:hyperlink>
    </w:p>
    <w:p w14:paraId="202682AB" w14:textId="176A115E" w:rsidR="00013237" w:rsidRDefault="002645B6">
      <w:pPr>
        <w:pStyle w:val="TableofFigures"/>
        <w:tabs>
          <w:tab w:val="right" w:leader="dot" w:pos="9016"/>
        </w:tabs>
        <w:rPr>
          <w:rFonts w:eastAsiaTheme="minorEastAsia"/>
          <w:noProof/>
          <w:lang w:val="en-ZA" w:eastAsia="en-ZA"/>
        </w:rPr>
      </w:pPr>
      <w:hyperlink w:anchor="_Toc520757570" w:history="1">
        <w:r w:rsidR="00013237" w:rsidRPr="00880198">
          <w:rPr>
            <w:rStyle w:val="Hyperlink"/>
            <w:noProof/>
          </w:rPr>
          <w:t>Figure 19: Oblique section looking northwest showing the primary development and secondary development required to access the steeply dipping portions of the ore body down to 1,200 m below surface.</w:t>
        </w:r>
        <w:r w:rsidR="00013237">
          <w:rPr>
            <w:noProof/>
            <w:webHidden/>
          </w:rPr>
          <w:tab/>
        </w:r>
        <w:r w:rsidR="00013237">
          <w:rPr>
            <w:noProof/>
            <w:webHidden/>
          </w:rPr>
          <w:fldChar w:fldCharType="begin"/>
        </w:r>
        <w:r w:rsidR="00013237">
          <w:rPr>
            <w:noProof/>
            <w:webHidden/>
          </w:rPr>
          <w:instrText xml:space="preserve"> PAGEREF _Toc520757570 \h </w:instrText>
        </w:r>
        <w:r w:rsidR="00013237">
          <w:rPr>
            <w:noProof/>
            <w:webHidden/>
          </w:rPr>
        </w:r>
        <w:r w:rsidR="00013237">
          <w:rPr>
            <w:noProof/>
            <w:webHidden/>
          </w:rPr>
          <w:fldChar w:fldCharType="separate"/>
        </w:r>
        <w:r>
          <w:rPr>
            <w:noProof/>
            <w:webHidden/>
          </w:rPr>
          <w:t>53</w:t>
        </w:r>
        <w:r w:rsidR="00013237">
          <w:rPr>
            <w:noProof/>
            <w:webHidden/>
          </w:rPr>
          <w:fldChar w:fldCharType="end"/>
        </w:r>
      </w:hyperlink>
    </w:p>
    <w:p w14:paraId="006F9159" w14:textId="516CBD0D" w:rsidR="00013237" w:rsidRDefault="002645B6">
      <w:pPr>
        <w:pStyle w:val="TableofFigures"/>
        <w:tabs>
          <w:tab w:val="right" w:leader="dot" w:pos="9016"/>
        </w:tabs>
        <w:rPr>
          <w:rFonts w:eastAsiaTheme="minorEastAsia"/>
          <w:noProof/>
          <w:lang w:val="en-ZA" w:eastAsia="en-ZA"/>
        </w:rPr>
      </w:pPr>
      <w:hyperlink w:anchor="_Toc520757571" w:history="1">
        <w:r w:rsidR="00013237" w:rsidRPr="00880198">
          <w:rPr>
            <w:rStyle w:val="Hyperlink"/>
            <w:noProof/>
          </w:rPr>
          <w:t>Figure 20: GoogleEarth image with the footprint of the tailings disposal facility in the core of the Phosiri Dome and the location of mine surface infrastructure on the eastern side of the eastern flank of the Dome.</w:t>
        </w:r>
        <w:r w:rsidR="00013237">
          <w:rPr>
            <w:noProof/>
            <w:webHidden/>
          </w:rPr>
          <w:tab/>
        </w:r>
        <w:r w:rsidR="00013237">
          <w:rPr>
            <w:noProof/>
            <w:webHidden/>
          </w:rPr>
          <w:fldChar w:fldCharType="begin"/>
        </w:r>
        <w:r w:rsidR="00013237">
          <w:rPr>
            <w:noProof/>
            <w:webHidden/>
          </w:rPr>
          <w:instrText xml:space="preserve"> PAGEREF _Toc520757571 \h </w:instrText>
        </w:r>
        <w:r w:rsidR="00013237">
          <w:rPr>
            <w:noProof/>
            <w:webHidden/>
          </w:rPr>
        </w:r>
        <w:r w:rsidR="00013237">
          <w:rPr>
            <w:noProof/>
            <w:webHidden/>
          </w:rPr>
          <w:fldChar w:fldCharType="separate"/>
        </w:r>
        <w:r>
          <w:rPr>
            <w:noProof/>
            <w:webHidden/>
          </w:rPr>
          <w:t>55</w:t>
        </w:r>
        <w:r w:rsidR="00013237">
          <w:rPr>
            <w:noProof/>
            <w:webHidden/>
          </w:rPr>
          <w:fldChar w:fldCharType="end"/>
        </w:r>
      </w:hyperlink>
    </w:p>
    <w:p w14:paraId="5327B1C9" w14:textId="59AB72E2" w:rsidR="00013237" w:rsidRDefault="002645B6">
      <w:pPr>
        <w:pStyle w:val="TableofFigures"/>
        <w:tabs>
          <w:tab w:val="right" w:leader="dot" w:pos="9016"/>
        </w:tabs>
        <w:rPr>
          <w:rFonts w:eastAsiaTheme="minorEastAsia"/>
          <w:noProof/>
          <w:lang w:val="en-ZA" w:eastAsia="en-ZA"/>
        </w:rPr>
      </w:pPr>
      <w:hyperlink w:anchor="_Toc520757572" w:history="1">
        <w:r w:rsidR="00013237" w:rsidRPr="00880198">
          <w:rPr>
            <w:rStyle w:val="Hyperlink"/>
            <w:noProof/>
          </w:rPr>
          <w:t>Figure 21: A comparison of the grade and tonnage of various mines on the Bushveld Complex (after Forrest, 2012).</w:t>
        </w:r>
        <w:r w:rsidR="00013237">
          <w:rPr>
            <w:noProof/>
            <w:webHidden/>
          </w:rPr>
          <w:tab/>
        </w:r>
        <w:r w:rsidR="00013237">
          <w:rPr>
            <w:noProof/>
            <w:webHidden/>
          </w:rPr>
          <w:fldChar w:fldCharType="begin"/>
        </w:r>
        <w:r w:rsidR="00013237">
          <w:rPr>
            <w:noProof/>
            <w:webHidden/>
          </w:rPr>
          <w:instrText xml:space="preserve"> PAGEREF _Toc520757572 \h </w:instrText>
        </w:r>
        <w:r w:rsidR="00013237">
          <w:rPr>
            <w:noProof/>
            <w:webHidden/>
          </w:rPr>
        </w:r>
        <w:r w:rsidR="00013237">
          <w:rPr>
            <w:noProof/>
            <w:webHidden/>
          </w:rPr>
          <w:fldChar w:fldCharType="separate"/>
        </w:r>
        <w:r>
          <w:rPr>
            <w:noProof/>
            <w:webHidden/>
          </w:rPr>
          <w:t>56</w:t>
        </w:r>
        <w:r w:rsidR="00013237">
          <w:rPr>
            <w:noProof/>
            <w:webHidden/>
          </w:rPr>
          <w:fldChar w:fldCharType="end"/>
        </w:r>
      </w:hyperlink>
    </w:p>
    <w:p w14:paraId="34DC5D8A" w14:textId="725C34C1" w:rsidR="00013237" w:rsidRDefault="002645B6">
      <w:pPr>
        <w:pStyle w:val="TableofFigures"/>
        <w:tabs>
          <w:tab w:val="right" w:leader="dot" w:pos="9016"/>
        </w:tabs>
        <w:rPr>
          <w:rFonts w:eastAsiaTheme="minorEastAsia"/>
          <w:noProof/>
          <w:lang w:val="en-ZA" w:eastAsia="en-ZA"/>
        </w:rPr>
      </w:pPr>
      <w:hyperlink w:anchor="_Toc520757573" w:history="1">
        <w:r w:rsidR="00013237" w:rsidRPr="00880198">
          <w:rPr>
            <w:rStyle w:val="Hyperlink"/>
            <w:noProof/>
          </w:rPr>
          <w:t>Figure 22: Comparison of the in-situ value per ton of Merensky Reef and UG2 Chromitite in the Eastern Bushveld Complex for various mines and projects (Source: Barker, 2008). Metal prices are spot prices on 26th January 2018. Note that for ease of comparison, Mogalakwena, PTM T-Zone, PTM F-Zone and Flatreef are all Northern Limb projects and are not considered Merensky Reef or UG2, but these have been included anyway as these projects are actively advancing and are useful benchmarks.</w:t>
        </w:r>
        <w:r w:rsidR="00013237">
          <w:rPr>
            <w:noProof/>
            <w:webHidden/>
          </w:rPr>
          <w:tab/>
        </w:r>
        <w:r w:rsidR="00013237">
          <w:rPr>
            <w:noProof/>
            <w:webHidden/>
          </w:rPr>
          <w:fldChar w:fldCharType="begin"/>
        </w:r>
        <w:r w:rsidR="00013237">
          <w:rPr>
            <w:noProof/>
            <w:webHidden/>
          </w:rPr>
          <w:instrText xml:space="preserve"> PAGEREF _Toc520757573 \h </w:instrText>
        </w:r>
        <w:r w:rsidR="00013237">
          <w:rPr>
            <w:noProof/>
            <w:webHidden/>
          </w:rPr>
        </w:r>
        <w:r w:rsidR="00013237">
          <w:rPr>
            <w:noProof/>
            <w:webHidden/>
          </w:rPr>
          <w:fldChar w:fldCharType="separate"/>
        </w:r>
        <w:r>
          <w:rPr>
            <w:noProof/>
            <w:webHidden/>
          </w:rPr>
          <w:t>57</w:t>
        </w:r>
        <w:r w:rsidR="00013237">
          <w:rPr>
            <w:noProof/>
            <w:webHidden/>
          </w:rPr>
          <w:fldChar w:fldCharType="end"/>
        </w:r>
      </w:hyperlink>
    </w:p>
    <w:p w14:paraId="3B111CF2" w14:textId="37183FA6" w:rsidR="004E254B" w:rsidRPr="004E254B" w:rsidRDefault="004E254B" w:rsidP="006B2F0A">
      <w:pPr>
        <w:pStyle w:val="Heading1"/>
        <w:rPr>
          <w:b/>
          <w:color w:val="000000" w:themeColor="text1"/>
        </w:rPr>
      </w:pPr>
      <w:r w:rsidRPr="00CE40E3">
        <w:rPr>
          <w:rStyle w:val="Hyperlink"/>
          <w:noProof/>
        </w:rPr>
        <w:fldChar w:fldCharType="end"/>
      </w:r>
      <w:r w:rsidRPr="004E254B">
        <w:rPr>
          <w:b/>
          <w:color w:val="000000" w:themeColor="text1"/>
        </w:rPr>
        <w:t xml:space="preserve"> </w:t>
      </w:r>
      <w:bookmarkStart w:id="10" w:name="_Toc520758764"/>
      <w:r>
        <w:rPr>
          <w:b/>
          <w:color w:val="000000" w:themeColor="text1"/>
        </w:rPr>
        <w:t>List</w:t>
      </w:r>
      <w:r w:rsidRPr="004E254B">
        <w:rPr>
          <w:b/>
          <w:color w:val="000000" w:themeColor="text1"/>
        </w:rPr>
        <w:t xml:space="preserve"> of </w:t>
      </w:r>
      <w:r>
        <w:rPr>
          <w:b/>
          <w:color w:val="000000" w:themeColor="text1"/>
        </w:rPr>
        <w:t>Tables</w:t>
      </w:r>
      <w:bookmarkEnd w:id="10"/>
    </w:p>
    <w:p w14:paraId="660CA520" w14:textId="5B978000" w:rsidR="00E928C2" w:rsidRDefault="004E254B">
      <w:pPr>
        <w:pStyle w:val="TableofFigures"/>
        <w:tabs>
          <w:tab w:val="right" w:leader="dot" w:pos="9016"/>
        </w:tabs>
        <w:rPr>
          <w:rFonts w:eastAsiaTheme="minorEastAsia"/>
          <w:noProof/>
          <w:lang w:val="en-ZA" w:eastAsia="en-ZA"/>
        </w:rPr>
      </w:pPr>
      <w:r>
        <w:rPr>
          <w:b/>
        </w:rPr>
        <w:fldChar w:fldCharType="begin"/>
      </w:r>
      <w:r>
        <w:rPr>
          <w:b/>
        </w:rPr>
        <w:instrText xml:space="preserve"> TOC \h \z \c "Table" </w:instrText>
      </w:r>
      <w:r>
        <w:rPr>
          <w:b/>
        </w:rPr>
        <w:fldChar w:fldCharType="separate"/>
      </w:r>
      <w:hyperlink w:anchor="_Toc520740328" w:history="1">
        <w:r w:rsidR="00E928C2" w:rsidRPr="00D979BD">
          <w:rPr>
            <w:rStyle w:val="Hyperlink"/>
            <w:noProof/>
          </w:rPr>
          <w:t>Table 1: Local stratigraphy and stratigraphic nomenclature used for the UG2 Chromitite at the Lesego Project (Hall, 2013)</w:t>
        </w:r>
        <w:r w:rsidR="00E928C2">
          <w:rPr>
            <w:noProof/>
            <w:webHidden/>
          </w:rPr>
          <w:tab/>
        </w:r>
        <w:r w:rsidR="00E928C2">
          <w:rPr>
            <w:noProof/>
            <w:webHidden/>
          </w:rPr>
          <w:fldChar w:fldCharType="begin"/>
        </w:r>
        <w:r w:rsidR="00E928C2">
          <w:rPr>
            <w:noProof/>
            <w:webHidden/>
          </w:rPr>
          <w:instrText xml:space="preserve"> PAGEREF _Toc520740328 \h </w:instrText>
        </w:r>
        <w:r w:rsidR="00E928C2">
          <w:rPr>
            <w:noProof/>
            <w:webHidden/>
          </w:rPr>
        </w:r>
        <w:r w:rsidR="00E928C2">
          <w:rPr>
            <w:noProof/>
            <w:webHidden/>
          </w:rPr>
          <w:fldChar w:fldCharType="separate"/>
        </w:r>
        <w:r w:rsidR="002645B6">
          <w:rPr>
            <w:noProof/>
            <w:webHidden/>
          </w:rPr>
          <w:t>14</w:t>
        </w:r>
        <w:r w:rsidR="00E928C2">
          <w:rPr>
            <w:noProof/>
            <w:webHidden/>
          </w:rPr>
          <w:fldChar w:fldCharType="end"/>
        </w:r>
      </w:hyperlink>
    </w:p>
    <w:p w14:paraId="0E27A72D" w14:textId="19C68730" w:rsidR="00E928C2" w:rsidRDefault="002645B6">
      <w:pPr>
        <w:pStyle w:val="TableofFigures"/>
        <w:tabs>
          <w:tab w:val="right" w:leader="dot" w:pos="9016"/>
        </w:tabs>
        <w:rPr>
          <w:rFonts w:eastAsiaTheme="minorEastAsia"/>
          <w:noProof/>
          <w:lang w:val="en-ZA" w:eastAsia="en-ZA"/>
        </w:rPr>
      </w:pPr>
      <w:hyperlink w:anchor="_Toc520740329" w:history="1">
        <w:r w:rsidR="00E928C2" w:rsidRPr="00D979BD">
          <w:rPr>
            <w:rStyle w:val="Hyperlink"/>
            <w:noProof/>
          </w:rPr>
          <w:t>Table 2: Local stratigraphy and stratigraphic nomenclature used for the Merensky Reef at the Lesego project (Hall, 2013)</w:t>
        </w:r>
        <w:r w:rsidR="00E928C2">
          <w:rPr>
            <w:noProof/>
            <w:webHidden/>
          </w:rPr>
          <w:tab/>
        </w:r>
        <w:r w:rsidR="00E928C2">
          <w:rPr>
            <w:noProof/>
            <w:webHidden/>
          </w:rPr>
          <w:fldChar w:fldCharType="begin"/>
        </w:r>
        <w:r w:rsidR="00E928C2">
          <w:rPr>
            <w:noProof/>
            <w:webHidden/>
          </w:rPr>
          <w:instrText xml:space="preserve"> PAGEREF _Toc520740329 \h </w:instrText>
        </w:r>
        <w:r w:rsidR="00E928C2">
          <w:rPr>
            <w:noProof/>
            <w:webHidden/>
          </w:rPr>
        </w:r>
        <w:r w:rsidR="00E928C2">
          <w:rPr>
            <w:noProof/>
            <w:webHidden/>
          </w:rPr>
          <w:fldChar w:fldCharType="separate"/>
        </w:r>
        <w:r>
          <w:rPr>
            <w:noProof/>
            <w:webHidden/>
          </w:rPr>
          <w:t>15</w:t>
        </w:r>
        <w:r w:rsidR="00E928C2">
          <w:rPr>
            <w:noProof/>
            <w:webHidden/>
          </w:rPr>
          <w:fldChar w:fldCharType="end"/>
        </w:r>
      </w:hyperlink>
    </w:p>
    <w:p w14:paraId="22452811" w14:textId="6CA1979E" w:rsidR="00E928C2" w:rsidRDefault="002645B6">
      <w:pPr>
        <w:pStyle w:val="TableofFigures"/>
        <w:tabs>
          <w:tab w:val="right" w:leader="dot" w:pos="9016"/>
        </w:tabs>
        <w:rPr>
          <w:rFonts w:eastAsiaTheme="minorEastAsia"/>
          <w:noProof/>
          <w:lang w:val="en-ZA" w:eastAsia="en-ZA"/>
        </w:rPr>
      </w:pPr>
      <w:hyperlink w:anchor="_Toc520740330" w:history="1">
        <w:r w:rsidR="00E928C2" w:rsidRPr="00D979BD">
          <w:rPr>
            <w:rStyle w:val="Hyperlink"/>
            <w:noProof/>
          </w:rPr>
          <w:t>Table 3: Mineral Resources of the Lesego Project as at June 2012. A discount of 17% has been applied for geological losses (after Hall, 2013).</w:t>
        </w:r>
        <w:r w:rsidR="00E928C2">
          <w:rPr>
            <w:noProof/>
            <w:webHidden/>
          </w:rPr>
          <w:tab/>
        </w:r>
        <w:r w:rsidR="00E928C2">
          <w:rPr>
            <w:noProof/>
            <w:webHidden/>
          </w:rPr>
          <w:fldChar w:fldCharType="begin"/>
        </w:r>
        <w:r w:rsidR="00E928C2">
          <w:rPr>
            <w:noProof/>
            <w:webHidden/>
          </w:rPr>
          <w:instrText xml:space="preserve"> PAGEREF _Toc520740330 \h </w:instrText>
        </w:r>
        <w:r w:rsidR="00E928C2">
          <w:rPr>
            <w:noProof/>
            <w:webHidden/>
          </w:rPr>
        </w:r>
        <w:r w:rsidR="00E928C2">
          <w:rPr>
            <w:noProof/>
            <w:webHidden/>
          </w:rPr>
          <w:fldChar w:fldCharType="separate"/>
        </w:r>
        <w:r>
          <w:rPr>
            <w:noProof/>
            <w:webHidden/>
          </w:rPr>
          <w:t>18</w:t>
        </w:r>
        <w:r w:rsidR="00E928C2">
          <w:rPr>
            <w:noProof/>
            <w:webHidden/>
          </w:rPr>
          <w:fldChar w:fldCharType="end"/>
        </w:r>
      </w:hyperlink>
    </w:p>
    <w:p w14:paraId="521EC8ED" w14:textId="2734E814" w:rsidR="00E928C2" w:rsidRDefault="002645B6">
      <w:pPr>
        <w:pStyle w:val="TableofFigures"/>
        <w:tabs>
          <w:tab w:val="right" w:leader="dot" w:pos="9016"/>
        </w:tabs>
        <w:rPr>
          <w:rFonts w:eastAsiaTheme="minorEastAsia"/>
          <w:noProof/>
          <w:lang w:val="en-ZA" w:eastAsia="en-ZA"/>
        </w:rPr>
      </w:pPr>
      <w:hyperlink w:anchor="_Toc520740331" w:history="1">
        <w:r w:rsidR="00E928C2" w:rsidRPr="00D979BD">
          <w:rPr>
            <w:rStyle w:val="Hyperlink"/>
            <w:noProof/>
          </w:rPr>
          <w:t>Table 4: 3PGE+Au prill split and Pt:Pd ratio for the Lesego Resource (after Hall, 2013).</w:t>
        </w:r>
        <w:r w:rsidR="00E928C2">
          <w:rPr>
            <w:noProof/>
            <w:webHidden/>
          </w:rPr>
          <w:tab/>
        </w:r>
        <w:r w:rsidR="00E928C2">
          <w:rPr>
            <w:noProof/>
            <w:webHidden/>
          </w:rPr>
          <w:fldChar w:fldCharType="begin"/>
        </w:r>
        <w:r w:rsidR="00E928C2">
          <w:rPr>
            <w:noProof/>
            <w:webHidden/>
          </w:rPr>
          <w:instrText xml:space="preserve"> PAGEREF _Toc520740331 \h </w:instrText>
        </w:r>
        <w:r w:rsidR="00E928C2">
          <w:rPr>
            <w:noProof/>
            <w:webHidden/>
          </w:rPr>
        </w:r>
        <w:r w:rsidR="00E928C2">
          <w:rPr>
            <w:noProof/>
            <w:webHidden/>
          </w:rPr>
          <w:fldChar w:fldCharType="separate"/>
        </w:r>
        <w:r>
          <w:rPr>
            <w:noProof/>
            <w:webHidden/>
          </w:rPr>
          <w:t>18</w:t>
        </w:r>
        <w:r w:rsidR="00E928C2">
          <w:rPr>
            <w:noProof/>
            <w:webHidden/>
          </w:rPr>
          <w:fldChar w:fldCharType="end"/>
        </w:r>
      </w:hyperlink>
    </w:p>
    <w:p w14:paraId="020F0125" w14:textId="3496B723" w:rsidR="00E928C2" w:rsidRDefault="002645B6">
      <w:pPr>
        <w:pStyle w:val="TableofFigures"/>
        <w:tabs>
          <w:tab w:val="right" w:leader="dot" w:pos="9016"/>
        </w:tabs>
        <w:rPr>
          <w:rFonts w:eastAsiaTheme="minorEastAsia"/>
          <w:noProof/>
          <w:lang w:val="en-ZA" w:eastAsia="en-ZA"/>
        </w:rPr>
      </w:pPr>
      <w:hyperlink w:anchor="_Toc520740332" w:history="1">
        <w:r w:rsidR="00E928C2" w:rsidRPr="00D979BD">
          <w:rPr>
            <w:rStyle w:val="Hyperlink"/>
            <w:noProof/>
          </w:rPr>
          <w:t>Table 5</w:t>
        </w:r>
        <w:r w:rsidR="00E928C2" w:rsidRPr="00D979BD">
          <w:rPr>
            <w:rStyle w:val="Hyperlink"/>
            <w:rFonts w:ascii="Arial" w:eastAsia="Times" w:hAnsi="Arial" w:cs="Times New Roman"/>
            <w:bCs/>
            <w:noProof/>
            <w:lang w:val="en-GB"/>
          </w:rPr>
          <w:t xml:space="preserve">: </w:t>
        </w:r>
        <w:r w:rsidR="00E928C2" w:rsidRPr="00D979BD">
          <w:rPr>
            <w:rStyle w:val="Hyperlink"/>
            <w:noProof/>
          </w:rPr>
          <w:t>Summary of the Rustenburg Layered Suite Stratigraphy (Cameron, 1980, 1982; Eales and Cawthorn, 1996; Von Gruenewaldt,1973; Njowa and Clay, 2010)</w:t>
        </w:r>
        <w:r w:rsidR="00E928C2">
          <w:rPr>
            <w:noProof/>
            <w:webHidden/>
          </w:rPr>
          <w:tab/>
        </w:r>
        <w:r w:rsidR="00E928C2">
          <w:rPr>
            <w:noProof/>
            <w:webHidden/>
          </w:rPr>
          <w:fldChar w:fldCharType="begin"/>
        </w:r>
        <w:r w:rsidR="00E928C2">
          <w:rPr>
            <w:noProof/>
            <w:webHidden/>
          </w:rPr>
          <w:instrText xml:space="preserve"> PAGEREF _Toc520740332 \h </w:instrText>
        </w:r>
        <w:r w:rsidR="00E928C2">
          <w:rPr>
            <w:noProof/>
            <w:webHidden/>
          </w:rPr>
        </w:r>
        <w:r w:rsidR="00E928C2">
          <w:rPr>
            <w:noProof/>
            <w:webHidden/>
          </w:rPr>
          <w:fldChar w:fldCharType="separate"/>
        </w:r>
        <w:r>
          <w:rPr>
            <w:noProof/>
            <w:webHidden/>
          </w:rPr>
          <w:t>24</w:t>
        </w:r>
        <w:r w:rsidR="00E928C2">
          <w:rPr>
            <w:noProof/>
            <w:webHidden/>
          </w:rPr>
          <w:fldChar w:fldCharType="end"/>
        </w:r>
      </w:hyperlink>
    </w:p>
    <w:p w14:paraId="14ABA224" w14:textId="35150A08" w:rsidR="00E928C2" w:rsidRDefault="002645B6">
      <w:pPr>
        <w:pStyle w:val="TableofFigures"/>
        <w:tabs>
          <w:tab w:val="right" w:leader="dot" w:pos="9016"/>
        </w:tabs>
        <w:rPr>
          <w:rFonts w:eastAsiaTheme="minorEastAsia"/>
          <w:noProof/>
          <w:lang w:val="en-ZA" w:eastAsia="en-ZA"/>
        </w:rPr>
      </w:pPr>
      <w:hyperlink w:anchor="_Toc520740333" w:history="1">
        <w:r w:rsidR="00E928C2" w:rsidRPr="00D979BD">
          <w:rPr>
            <w:rStyle w:val="Hyperlink"/>
            <w:noProof/>
          </w:rPr>
          <w:t>Table 6</w:t>
        </w:r>
        <w:r w:rsidR="00E928C2" w:rsidRPr="00D979BD">
          <w:rPr>
            <w:rStyle w:val="Hyperlink"/>
            <w:rFonts w:eastAsia="Times New Roman" w:cstheme="minorHAnsi"/>
            <w:bCs/>
            <w:noProof/>
            <w:lang w:val="en-ZA"/>
          </w:rPr>
          <w:t>: Summary of various exploration trenching and drilling campaigns in the vicinity of the Phosiri Dome.</w:t>
        </w:r>
        <w:r w:rsidR="00E928C2">
          <w:rPr>
            <w:noProof/>
            <w:webHidden/>
          </w:rPr>
          <w:tab/>
        </w:r>
        <w:r w:rsidR="00E928C2">
          <w:rPr>
            <w:noProof/>
            <w:webHidden/>
          </w:rPr>
          <w:fldChar w:fldCharType="begin"/>
        </w:r>
        <w:r w:rsidR="00E928C2">
          <w:rPr>
            <w:noProof/>
            <w:webHidden/>
          </w:rPr>
          <w:instrText xml:space="preserve"> PAGEREF _Toc520740333 \h </w:instrText>
        </w:r>
        <w:r w:rsidR="00E928C2">
          <w:rPr>
            <w:noProof/>
            <w:webHidden/>
          </w:rPr>
        </w:r>
        <w:r w:rsidR="00E928C2">
          <w:rPr>
            <w:noProof/>
            <w:webHidden/>
          </w:rPr>
          <w:fldChar w:fldCharType="separate"/>
        </w:r>
        <w:r>
          <w:rPr>
            <w:noProof/>
            <w:webHidden/>
          </w:rPr>
          <w:t>27</w:t>
        </w:r>
        <w:r w:rsidR="00E928C2">
          <w:rPr>
            <w:noProof/>
            <w:webHidden/>
          </w:rPr>
          <w:fldChar w:fldCharType="end"/>
        </w:r>
      </w:hyperlink>
    </w:p>
    <w:p w14:paraId="1777ED50" w14:textId="2F23DBE2" w:rsidR="00E928C2" w:rsidRDefault="002645B6">
      <w:pPr>
        <w:pStyle w:val="TableofFigures"/>
        <w:tabs>
          <w:tab w:val="right" w:leader="dot" w:pos="9016"/>
        </w:tabs>
        <w:rPr>
          <w:rFonts w:eastAsiaTheme="minorEastAsia"/>
          <w:noProof/>
          <w:lang w:val="en-ZA" w:eastAsia="en-ZA"/>
        </w:rPr>
      </w:pPr>
      <w:hyperlink w:anchor="_Toc520740334" w:history="1">
        <w:r w:rsidR="00E928C2" w:rsidRPr="00D979BD">
          <w:rPr>
            <w:rStyle w:val="Hyperlink"/>
            <w:noProof/>
          </w:rPr>
          <w:t>Table 7: PGE+Au, Ni and Cu grades over the entire sampled width of the two chromitite horizons identified in Trench 1, as well as the average grades from the UG1A and UG1B from Lesego’s exploration drill holes that intersected the UG1.</w:t>
        </w:r>
        <w:r w:rsidR="00E928C2">
          <w:rPr>
            <w:noProof/>
            <w:webHidden/>
          </w:rPr>
          <w:tab/>
        </w:r>
        <w:r w:rsidR="00E928C2">
          <w:rPr>
            <w:noProof/>
            <w:webHidden/>
          </w:rPr>
          <w:fldChar w:fldCharType="begin"/>
        </w:r>
        <w:r w:rsidR="00E928C2">
          <w:rPr>
            <w:noProof/>
            <w:webHidden/>
          </w:rPr>
          <w:instrText xml:space="preserve"> PAGEREF _Toc520740334 \h </w:instrText>
        </w:r>
        <w:r w:rsidR="00E928C2">
          <w:rPr>
            <w:noProof/>
            <w:webHidden/>
          </w:rPr>
        </w:r>
        <w:r w:rsidR="00E928C2">
          <w:rPr>
            <w:noProof/>
            <w:webHidden/>
          </w:rPr>
          <w:fldChar w:fldCharType="separate"/>
        </w:r>
        <w:r>
          <w:rPr>
            <w:noProof/>
            <w:webHidden/>
          </w:rPr>
          <w:t>38</w:t>
        </w:r>
        <w:r w:rsidR="00E928C2">
          <w:rPr>
            <w:noProof/>
            <w:webHidden/>
          </w:rPr>
          <w:fldChar w:fldCharType="end"/>
        </w:r>
      </w:hyperlink>
    </w:p>
    <w:p w14:paraId="6ED7E350" w14:textId="470A83B0" w:rsidR="00E928C2" w:rsidRDefault="002645B6">
      <w:pPr>
        <w:pStyle w:val="TableofFigures"/>
        <w:tabs>
          <w:tab w:val="right" w:leader="dot" w:pos="9016"/>
        </w:tabs>
        <w:rPr>
          <w:rFonts w:eastAsiaTheme="minorEastAsia"/>
          <w:noProof/>
          <w:lang w:val="en-ZA" w:eastAsia="en-ZA"/>
        </w:rPr>
      </w:pPr>
      <w:hyperlink w:anchor="_Toc520740335" w:history="1">
        <w:r w:rsidR="00E928C2" w:rsidRPr="00D979BD">
          <w:rPr>
            <w:rStyle w:val="Hyperlink"/>
            <w:noProof/>
          </w:rPr>
          <w:t>Table 8</w:t>
        </w:r>
        <w:r w:rsidR="00E928C2" w:rsidRPr="00D979BD">
          <w:rPr>
            <w:rStyle w:val="Hyperlink"/>
            <w:rFonts w:ascii="Arial" w:eastAsia="Times New Roman" w:hAnsi="Arial" w:cs="Times New Roman"/>
            <w:b/>
            <w:bCs/>
            <w:noProof/>
            <w:lang w:val="en-ZA"/>
          </w:rPr>
          <w:t xml:space="preserve">: </w:t>
        </w:r>
        <w:r w:rsidR="00E928C2" w:rsidRPr="00D979BD">
          <w:rPr>
            <w:rStyle w:val="Hyperlink"/>
            <w:rFonts w:ascii="Arial" w:eastAsia="Times New Roman" w:hAnsi="Arial" w:cs="Times New Roman"/>
            <w:bCs/>
            <w:noProof/>
            <w:lang w:val="en-ZA"/>
          </w:rPr>
          <w:t>Mineral Resources of the Lesego Project</w:t>
        </w:r>
        <w:r w:rsidR="00E928C2">
          <w:rPr>
            <w:noProof/>
            <w:webHidden/>
          </w:rPr>
          <w:tab/>
        </w:r>
        <w:r w:rsidR="00E928C2">
          <w:rPr>
            <w:noProof/>
            <w:webHidden/>
          </w:rPr>
          <w:fldChar w:fldCharType="begin"/>
        </w:r>
        <w:r w:rsidR="00E928C2">
          <w:rPr>
            <w:noProof/>
            <w:webHidden/>
          </w:rPr>
          <w:instrText xml:space="preserve"> PAGEREF _Toc520740335 \h </w:instrText>
        </w:r>
        <w:r w:rsidR="00E928C2">
          <w:rPr>
            <w:noProof/>
            <w:webHidden/>
          </w:rPr>
        </w:r>
        <w:r w:rsidR="00E928C2">
          <w:rPr>
            <w:noProof/>
            <w:webHidden/>
          </w:rPr>
          <w:fldChar w:fldCharType="separate"/>
        </w:r>
        <w:r>
          <w:rPr>
            <w:noProof/>
            <w:webHidden/>
          </w:rPr>
          <w:t>45</w:t>
        </w:r>
        <w:r w:rsidR="00E928C2">
          <w:rPr>
            <w:noProof/>
            <w:webHidden/>
          </w:rPr>
          <w:fldChar w:fldCharType="end"/>
        </w:r>
      </w:hyperlink>
    </w:p>
    <w:p w14:paraId="6B385850" w14:textId="12DAE854" w:rsidR="00E928C2" w:rsidRDefault="002645B6">
      <w:pPr>
        <w:pStyle w:val="TableofFigures"/>
        <w:tabs>
          <w:tab w:val="right" w:leader="dot" w:pos="9016"/>
        </w:tabs>
        <w:rPr>
          <w:rFonts w:eastAsiaTheme="minorEastAsia"/>
          <w:noProof/>
          <w:lang w:val="en-ZA" w:eastAsia="en-ZA"/>
        </w:rPr>
      </w:pPr>
      <w:hyperlink w:anchor="_Toc520740336" w:history="1">
        <w:r w:rsidR="00E928C2" w:rsidRPr="00D979BD">
          <w:rPr>
            <w:rStyle w:val="Hyperlink"/>
            <w:noProof/>
          </w:rPr>
          <w:t>Table 9</w:t>
        </w:r>
        <w:r w:rsidR="00E928C2" w:rsidRPr="00D979BD">
          <w:rPr>
            <w:rStyle w:val="Hyperlink"/>
            <w:rFonts w:ascii="Arial" w:eastAsia="Times New Roman" w:hAnsi="Arial" w:cs="Times New Roman"/>
            <w:b/>
            <w:bCs/>
            <w:noProof/>
            <w:lang w:val="en-ZA"/>
          </w:rPr>
          <w:t xml:space="preserve">: </w:t>
        </w:r>
        <w:r w:rsidR="00E928C2" w:rsidRPr="00D979BD">
          <w:rPr>
            <w:rStyle w:val="Hyperlink"/>
            <w:rFonts w:ascii="Arial" w:eastAsia="Times New Roman" w:hAnsi="Arial" w:cs="Times New Roman"/>
            <w:bCs/>
            <w:noProof/>
            <w:lang w:val="en-ZA"/>
          </w:rPr>
          <w:t>Prill splits for the Lesego Resource</w:t>
        </w:r>
        <w:r w:rsidR="00E928C2">
          <w:rPr>
            <w:noProof/>
            <w:webHidden/>
          </w:rPr>
          <w:tab/>
        </w:r>
        <w:r w:rsidR="00E928C2">
          <w:rPr>
            <w:noProof/>
            <w:webHidden/>
          </w:rPr>
          <w:fldChar w:fldCharType="begin"/>
        </w:r>
        <w:r w:rsidR="00E928C2">
          <w:rPr>
            <w:noProof/>
            <w:webHidden/>
          </w:rPr>
          <w:instrText xml:space="preserve"> PAGEREF _Toc520740336 \h </w:instrText>
        </w:r>
        <w:r w:rsidR="00E928C2">
          <w:rPr>
            <w:noProof/>
            <w:webHidden/>
          </w:rPr>
        </w:r>
        <w:r w:rsidR="00E928C2">
          <w:rPr>
            <w:noProof/>
            <w:webHidden/>
          </w:rPr>
          <w:fldChar w:fldCharType="separate"/>
        </w:r>
        <w:r>
          <w:rPr>
            <w:noProof/>
            <w:webHidden/>
          </w:rPr>
          <w:t>46</w:t>
        </w:r>
        <w:r w:rsidR="00E928C2">
          <w:rPr>
            <w:noProof/>
            <w:webHidden/>
          </w:rPr>
          <w:fldChar w:fldCharType="end"/>
        </w:r>
      </w:hyperlink>
    </w:p>
    <w:p w14:paraId="6538D9BE" w14:textId="09D907CB" w:rsidR="00DF74E7" w:rsidRPr="003D5E74" w:rsidRDefault="004E254B" w:rsidP="00FF3013">
      <w:pPr>
        <w:pStyle w:val="Heading1"/>
        <w:spacing w:after="120"/>
        <w:jc w:val="center"/>
        <w:rPr>
          <w:b/>
        </w:rPr>
      </w:pPr>
      <w:r>
        <w:fldChar w:fldCharType="end"/>
      </w:r>
      <w:r w:rsidR="002D7412">
        <w:br w:type="page"/>
      </w:r>
      <w:bookmarkStart w:id="11" w:name="_Toc520758765"/>
      <w:r w:rsidR="00DF74E7" w:rsidRPr="003D5E74">
        <w:rPr>
          <w:b/>
          <w:color w:val="000000" w:themeColor="text1"/>
        </w:rPr>
        <w:lastRenderedPageBreak/>
        <w:t>Chapter 1</w:t>
      </w:r>
      <w:bookmarkEnd w:id="11"/>
    </w:p>
    <w:p w14:paraId="0B6FC87D" w14:textId="5DBA789B" w:rsidR="00216CD2" w:rsidRPr="00DF74E7" w:rsidRDefault="00900DE6" w:rsidP="00FF3013">
      <w:pPr>
        <w:pStyle w:val="Heading2"/>
        <w:jc w:val="center"/>
        <w:rPr>
          <w:color w:val="000000" w:themeColor="text1"/>
        </w:rPr>
      </w:pPr>
      <w:bookmarkStart w:id="12" w:name="_Toc520758766"/>
      <w:r w:rsidRPr="00DF74E7">
        <w:rPr>
          <w:color w:val="000000" w:themeColor="text1"/>
        </w:rPr>
        <w:t>Study Aim and Objectives</w:t>
      </w:r>
      <w:bookmarkEnd w:id="12"/>
    </w:p>
    <w:p w14:paraId="3504AF6D" w14:textId="5EBBC4AC" w:rsidR="00F00B2F" w:rsidRDefault="00F00B2F" w:rsidP="0096654C">
      <w:pPr>
        <w:jc w:val="both"/>
      </w:pPr>
      <w:r>
        <w:t xml:space="preserve">This </w:t>
      </w:r>
      <w:r w:rsidR="006B2F0A">
        <w:t>Research Report</w:t>
      </w:r>
      <w:r>
        <w:t xml:space="preserve"> and included paper (Chapter 2) aims to capture the exploration history, methodology, and exploration strategy employed to define a previously undiscovered </w:t>
      </w:r>
      <w:r w:rsidR="00DA0230">
        <w:t xml:space="preserve">Platinum Group Elements (PGE) </w:t>
      </w:r>
      <w:r>
        <w:t xml:space="preserve">resource in an established mining area. The objective of this paper is to describe the newly defined ore body at the Lesego </w:t>
      </w:r>
      <w:r w:rsidR="006B2F0A">
        <w:t xml:space="preserve">Project </w:t>
      </w:r>
      <w:r w:rsidR="00776D29">
        <w:t>area and</w:t>
      </w:r>
      <w:r>
        <w:t xml:space="preserve"> compare it to the well documented surround</w:t>
      </w:r>
      <w:r w:rsidR="00B53D99">
        <w:t>ing</w:t>
      </w:r>
      <w:r>
        <w:t xml:space="preserve"> Merensky Reef and UG2 Chromitite resources in the Eastern Bushveld</w:t>
      </w:r>
      <w:r w:rsidR="006B2F0A">
        <w:t xml:space="preserve"> Complex, South Africa</w:t>
      </w:r>
      <w:r w:rsidR="00B53D99">
        <w:t>. The paper should provide guidance on exploration strategies for future exploration around similar structures in the Bushveld Complex.</w:t>
      </w:r>
    </w:p>
    <w:p w14:paraId="45253CB2" w14:textId="4E9523F3" w:rsidR="003F0C48" w:rsidRDefault="003F0C48" w:rsidP="00DF74E7">
      <w:pPr>
        <w:pStyle w:val="Heading2"/>
        <w:rPr>
          <w:color w:val="000000" w:themeColor="text1"/>
        </w:rPr>
      </w:pPr>
      <w:bookmarkStart w:id="13" w:name="_Toc520758767"/>
      <w:r>
        <w:rPr>
          <w:color w:val="000000" w:themeColor="text1"/>
        </w:rPr>
        <w:t>Introduction</w:t>
      </w:r>
      <w:bookmarkEnd w:id="13"/>
    </w:p>
    <w:p w14:paraId="4A910FCC" w14:textId="005FCCE6" w:rsidR="003F0C48" w:rsidRDefault="003F0C48" w:rsidP="003F0C48">
      <w:pPr>
        <w:jc w:val="both"/>
      </w:pPr>
      <w:r>
        <w:t xml:space="preserve">PGE mining in the Western Bushveld </w:t>
      </w:r>
      <w:r w:rsidR="006B2F0A">
        <w:t xml:space="preserve">Complex </w:t>
      </w:r>
      <w:r>
        <w:t xml:space="preserve">is a maturing industry, and traditional Merensky </w:t>
      </w:r>
      <w:r w:rsidR="006B2F0A">
        <w:t xml:space="preserve">Reef </w:t>
      </w:r>
      <w:r>
        <w:t xml:space="preserve">and UG2 </w:t>
      </w:r>
      <w:r w:rsidR="006B2F0A">
        <w:t xml:space="preserve">Chromitite </w:t>
      </w:r>
      <w:r>
        <w:t xml:space="preserve">resources are getting deeper and more expensive to </w:t>
      </w:r>
      <w:r w:rsidR="000F7D40">
        <w:t>exploit and</w:t>
      </w:r>
      <w:r>
        <w:t xml:space="preserve"> suppressed metal prices combined with increasing costs in the form of power and labour </w:t>
      </w:r>
      <w:r w:rsidR="006B2F0A">
        <w:t xml:space="preserve">are </w:t>
      </w:r>
      <w:r>
        <w:t xml:space="preserve">threatening the sustainability of these mines. PGE consumers require a stable source of supply to ensure the </w:t>
      </w:r>
      <w:r w:rsidR="008702C1">
        <w:t>long-term</w:t>
      </w:r>
      <w:r>
        <w:t xml:space="preserve"> viability of the PGE industry – consumers will look to other technologies to substitute the use of PGE’s in industry, should PGE producers not be able to guarantee a stable supply of PGE’s. </w:t>
      </w:r>
      <w:r w:rsidR="008702C1">
        <w:t xml:space="preserve">It is thus essential for the PGE industry that new cost-effective mines be brought online to replace depleting resources. Lower grade deposits typically require a high throughput to remain profitable, but the construction of new mines on the Eastern and Western </w:t>
      </w:r>
      <w:r w:rsidR="006B2F0A">
        <w:t xml:space="preserve">limbs of the </w:t>
      </w:r>
      <w:r w:rsidR="008702C1">
        <w:t xml:space="preserve">Bushveld </w:t>
      </w:r>
      <w:r w:rsidR="006B2F0A">
        <w:t xml:space="preserve">Complex </w:t>
      </w:r>
      <w:r w:rsidR="008702C1">
        <w:t xml:space="preserve">with a large capacity </w:t>
      </w:r>
      <w:r w:rsidR="006B2F0A">
        <w:t xml:space="preserve">is </w:t>
      </w:r>
      <w:r w:rsidR="008702C1">
        <w:t xml:space="preserve">capital intensive, and the increasing cost of capital, combined with the difficulties involved with narrow reef mining on the UG2 </w:t>
      </w:r>
      <w:r w:rsidR="006B2F0A">
        <w:t xml:space="preserve">Chromitite </w:t>
      </w:r>
      <w:r w:rsidR="008702C1">
        <w:t>and Merensky Reef m</w:t>
      </w:r>
      <w:r w:rsidR="006B2F0A">
        <w:t>akes low-grade high-</w:t>
      </w:r>
      <w:r w:rsidR="008702C1">
        <w:t xml:space="preserve">tonnage targets unattractive investment destinations. The search for new PGE deposits </w:t>
      </w:r>
      <w:r w:rsidR="006B2F0A">
        <w:t xml:space="preserve">in </w:t>
      </w:r>
      <w:r w:rsidR="008702C1">
        <w:t>the Bushveld has traditionally been along strike- and down-dip extensions of known deposits</w:t>
      </w:r>
      <w:r w:rsidR="004B3712">
        <w:t xml:space="preserve">. The Lesego Project represents a previously undiscovered high-grade resource that has been brought to exploitable depths </w:t>
      </w:r>
      <w:r w:rsidR="006B2F0A">
        <w:t xml:space="preserve">owing </w:t>
      </w:r>
      <w:r w:rsidR="004B3712">
        <w:t xml:space="preserve">to the upward displacement of floor rock during the emplacement of the </w:t>
      </w:r>
      <w:r w:rsidR="006B2F0A">
        <w:t xml:space="preserve">Rustenburg Layered Suite mafic-ultramafic magmas </w:t>
      </w:r>
      <w:r w:rsidR="004B3712">
        <w:t xml:space="preserve">as a result </w:t>
      </w:r>
      <w:r w:rsidR="004B3712" w:rsidRPr="007C68E6">
        <w:t>of gravitational forces.</w:t>
      </w:r>
      <w:r w:rsidR="004B3712">
        <w:t xml:space="preserve"> The unusual orientation of the reefs close to surface makes it ideal for mechanisation, resulting in a low cost</w:t>
      </w:r>
      <w:r w:rsidR="006B2F0A">
        <w:t>,</w:t>
      </w:r>
      <w:r w:rsidR="004B3712">
        <w:t xml:space="preserve"> safe and modern mine.</w:t>
      </w:r>
    </w:p>
    <w:p w14:paraId="10068393" w14:textId="7BFACDD4" w:rsidR="005A13F8" w:rsidRPr="00DA0230" w:rsidRDefault="005A13F8" w:rsidP="005A13F8">
      <w:pPr>
        <w:pStyle w:val="Heading2"/>
        <w:rPr>
          <w:color w:val="000000" w:themeColor="text1"/>
        </w:rPr>
      </w:pPr>
      <w:bookmarkStart w:id="14" w:name="_Toc520758768"/>
      <w:r w:rsidRPr="00DA0230">
        <w:rPr>
          <w:color w:val="000000" w:themeColor="text1"/>
        </w:rPr>
        <w:t>Location</w:t>
      </w:r>
      <w:bookmarkEnd w:id="14"/>
    </w:p>
    <w:p w14:paraId="3A0B57A3" w14:textId="6F42A36B" w:rsidR="005A13F8" w:rsidRDefault="005A13F8" w:rsidP="00DA0230">
      <w:pPr>
        <w:jc w:val="both"/>
      </w:pPr>
      <w:r w:rsidRPr="00DA0230">
        <w:t xml:space="preserve">The Lesego Project is located </w:t>
      </w:r>
      <w:r w:rsidR="00DA0230" w:rsidRPr="00DA0230">
        <w:t xml:space="preserve">approximately </w:t>
      </w:r>
      <w:r w:rsidRPr="00DA0230">
        <w:t xml:space="preserve">300 km to the northeast of </w:t>
      </w:r>
      <w:r w:rsidR="00DA0230" w:rsidRPr="00DA0230">
        <w:t>Johannesburg and</w:t>
      </w:r>
      <w:r w:rsidR="00DA0230">
        <w:t xml:space="preserve"> straddles the non-perennial Olifants River close to Apel, Sekukhuneland, Limpopo Province. The project is easily accessible by an unsealed all-weather road from the R37 Polokwane – Burgersfort road.</w:t>
      </w:r>
    </w:p>
    <w:p w14:paraId="7D6F95F6" w14:textId="606DB305" w:rsidR="00900DE6" w:rsidRPr="00DF74E7" w:rsidRDefault="004B3712" w:rsidP="00DF74E7">
      <w:pPr>
        <w:pStyle w:val="Heading2"/>
        <w:rPr>
          <w:color w:val="000000" w:themeColor="text1"/>
        </w:rPr>
      </w:pPr>
      <w:bookmarkStart w:id="15" w:name="_Toc520758769"/>
      <w:r>
        <w:rPr>
          <w:color w:val="000000" w:themeColor="text1"/>
        </w:rPr>
        <w:t>Regional Geology</w:t>
      </w:r>
      <w:bookmarkEnd w:id="15"/>
    </w:p>
    <w:p w14:paraId="3A6A9187" w14:textId="554D5AF8" w:rsidR="000924AB" w:rsidRDefault="000924AB" w:rsidP="000924AB">
      <w:pPr>
        <w:jc w:val="both"/>
      </w:pPr>
      <w:r>
        <w:t xml:space="preserve">Hans Merensky and his co-workers discovered </w:t>
      </w:r>
      <w:r w:rsidR="00DA0230">
        <w:t xml:space="preserve">PGE’s </w:t>
      </w:r>
      <w:r>
        <w:t xml:space="preserve">on the farm Maandagshoek (north of Steelpoort in the Mpumalanga Province, South Africa) in </w:t>
      </w:r>
      <w:r w:rsidRPr="007C68E6">
        <w:t>1924</w:t>
      </w:r>
      <w:r w:rsidR="006B2F0A" w:rsidRPr="007C68E6">
        <w:t xml:space="preserve"> (</w:t>
      </w:r>
      <w:r w:rsidR="007C68E6" w:rsidRPr="007C68E6">
        <w:t>Cawthorn, 1999</w:t>
      </w:r>
      <w:r w:rsidR="00F15D77">
        <w:t>a</w:t>
      </w:r>
      <w:r w:rsidR="006B2F0A" w:rsidRPr="00F15D77">
        <w:t>)</w:t>
      </w:r>
      <w:r w:rsidRPr="00F15D77">
        <w:t>.</w:t>
      </w:r>
      <w:r>
        <w:t xml:space="preserve"> The PGE’s are contained within a unit that was later </w:t>
      </w:r>
      <w:r w:rsidR="006B2F0A">
        <w:t xml:space="preserve">became </w:t>
      </w:r>
      <w:r>
        <w:t xml:space="preserve">referred to as the Merensky Reef, a specific, highly continuous horizon in the </w:t>
      </w:r>
      <w:r w:rsidR="001533E8">
        <w:t xml:space="preserve">Rustenburg Layered Suite of the </w:t>
      </w:r>
      <w:r>
        <w:t xml:space="preserve">Bushveld Complex. The Bushveld Complex </w:t>
      </w:r>
      <w:r w:rsidR="001533E8">
        <w:t xml:space="preserve">has </w:t>
      </w:r>
      <w:r>
        <w:t xml:space="preserve">most recently </w:t>
      </w:r>
      <w:r w:rsidR="001533E8">
        <w:t xml:space="preserve">been </w:t>
      </w:r>
      <w:r>
        <w:t xml:space="preserve">dated at </w:t>
      </w:r>
      <w:r w:rsidRPr="00E43DD3">
        <w:t>2.05</w:t>
      </w:r>
      <w:r w:rsidR="00E43DD3" w:rsidRPr="00E43DD3">
        <w:t>5</w:t>
      </w:r>
      <w:r w:rsidRPr="00E43DD3">
        <w:t xml:space="preserve"> Ga</w:t>
      </w:r>
      <w:r>
        <w:t xml:space="preserve"> </w:t>
      </w:r>
      <w:bookmarkStart w:id="16" w:name="_Hlk521051633"/>
      <w:r>
        <w:t xml:space="preserve">(Zeh </w:t>
      </w:r>
      <w:r>
        <w:rPr>
          <w:i/>
        </w:rPr>
        <w:t xml:space="preserve">et al, </w:t>
      </w:r>
      <w:r w:rsidRPr="00F20472">
        <w:t>2015)</w:t>
      </w:r>
      <w:bookmarkEnd w:id="16"/>
      <w:r>
        <w:t xml:space="preserve"> and is the largest layered igneous complex in the world (Cawthorn, </w:t>
      </w:r>
      <w:r w:rsidR="00F15D77">
        <w:t>1999b</w:t>
      </w:r>
      <w:r>
        <w:t>).</w:t>
      </w:r>
      <w:r w:rsidR="001533E8">
        <w:t xml:space="preserve"> </w:t>
      </w:r>
      <w:r>
        <w:t>Situated within the north-central Kaapvaal Craton, this massive Proterozoic intrusive body, or more likely a ser</w:t>
      </w:r>
      <w:r w:rsidR="001533E8">
        <w:t>ies of interconnected intrusions</w:t>
      </w:r>
      <w:r w:rsidR="00D503CA">
        <w:t xml:space="preserve"> </w:t>
      </w:r>
      <w:r w:rsidR="00D503CA" w:rsidRPr="00F15D77">
        <w:t>(</w:t>
      </w:r>
      <w:r w:rsidR="00F15D77" w:rsidRPr="00F15D77">
        <w:t>Cawthorn and Webb, 200</w:t>
      </w:r>
      <w:r w:rsidR="00F15D77">
        <w:t>1</w:t>
      </w:r>
      <w:r w:rsidR="00D503CA" w:rsidRPr="00F15D77">
        <w:t>)</w:t>
      </w:r>
      <w:r w:rsidRPr="00F15D77">
        <w:t>,</w:t>
      </w:r>
      <w:r>
        <w:t xml:space="preserve"> has a surface area of approximat</w:t>
      </w:r>
      <w:r w:rsidRPr="008C381B">
        <w:t>ely 90,000</w:t>
      </w:r>
      <w:r>
        <w:t xml:space="preserve"> </w:t>
      </w:r>
      <w:r w:rsidRPr="008C381B">
        <w:t>km</w:t>
      </w:r>
      <w:r w:rsidRPr="008C381B">
        <w:rPr>
          <w:vertAlign w:val="superscript"/>
        </w:rPr>
        <w:t>2</w:t>
      </w:r>
      <w:r w:rsidRPr="008C381B">
        <w:t>, with an east – we</w:t>
      </w:r>
      <w:r w:rsidR="001533E8">
        <w:t>st extent of 250 km and a north-</w:t>
      </w:r>
      <w:r w:rsidRPr="008C381B">
        <w:t>south extent in the order of 300 km</w:t>
      </w:r>
      <w:r>
        <w:t xml:space="preserve"> (Finn </w:t>
      </w:r>
      <w:r>
        <w:rPr>
          <w:i/>
        </w:rPr>
        <w:t>et al,</w:t>
      </w:r>
      <w:r>
        <w:t xml:space="preserve"> 2015). The </w:t>
      </w:r>
      <w:r w:rsidR="007D38CC">
        <w:t xml:space="preserve">Rustenburg Layered Suite </w:t>
      </w:r>
      <w:r>
        <w:t>magmas exhibit a transgressive relationship to the Transvaal Supergroup</w:t>
      </w:r>
      <w:r w:rsidR="007D38CC">
        <w:t xml:space="preserve"> </w:t>
      </w:r>
      <w:r w:rsidR="007D38CC" w:rsidRPr="00EB7946">
        <w:t>(</w:t>
      </w:r>
      <w:r w:rsidR="000F7D40">
        <w:t xml:space="preserve">Button, 1976, </w:t>
      </w:r>
      <w:r w:rsidR="00EB7946" w:rsidRPr="00EB7946">
        <w:t xml:space="preserve">Clarke </w:t>
      </w:r>
      <w:r w:rsidR="00EB7946" w:rsidRPr="00785551">
        <w:rPr>
          <w:i/>
        </w:rPr>
        <w:t>et al</w:t>
      </w:r>
      <w:r w:rsidR="00EB7946" w:rsidRPr="00EB7946">
        <w:t>, 2005</w:t>
      </w:r>
      <w:r w:rsidR="007D38CC" w:rsidRPr="00EB7946">
        <w:t>)</w:t>
      </w:r>
      <w:r w:rsidRPr="00EB7946">
        <w:t>,</w:t>
      </w:r>
      <w:r>
        <w:t xml:space="preserve"> a large sedimentary basin of late Archaean-Proterozoic age located within the north-central Kaapvaal Craton, which essentially forms the floor rocks to the Bushveld Complex.</w:t>
      </w:r>
    </w:p>
    <w:p w14:paraId="35ED8D33" w14:textId="0BD515F7" w:rsidR="000924AB" w:rsidRDefault="000924AB" w:rsidP="005E3BFD">
      <w:pPr>
        <w:jc w:val="both"/>
      </w:pPr>
      <w:r>
        <w:lastRenderedPageBreak/>
        <w:t xml:space="preserve">The Bushveld Complex </w:t>
      </w:r>
      <w:r w:rsidR="007D38CC">
        <w:t xml:space="preserve">comprises four main lobes </w:t>
      </w:r>
      <w:r w:rsidR="005E3BFD">
        <w:t>which are discussed in more detail in Chapter 2.</w:t>
      </w:r>
    </w:p>
    <w:p w14:paraId="392F747D" w14:textId="53356FFF" w:rsidR="00776511" w:rsidRDefault="000924AB" w:rsidP="000924AB">
      <w:pPr>
        <w:jc w:val="both"/>
      </w:pPr>
      <w:r>
        <w:t>The Complex consists of a mafic-ultramafic succession of layered and massive rocks known as the Rustenburg Layered Suite, a penecontemporaneous series of granitic rocks, termed the Lebowa Granite Suite</w:t>
      </w:r>
      <w:r w:rsidR="007D38CC">
        <w:t>,</w:t>
      </w:r>
      <w:r>
        <w:t xml:space="preserve"> and felsic extrusive rocks of the Rooiberg Group (Walraven </w:t>
      </w:r>
      <w:r w:rsidRPr="00AE5689">
        <w:rPr>
          <w:i/>
        </w:rPr>
        <w:t>et al</w:t>
      </w:r>
      <w:r w:rsidR="006C6F6E">
        <w:rPr>
          <w:i/>
        </w:rPr>
        <w:t>.</w:t>
      </w:r>
      <w:r>
        <w:t xml:space="preserve"> 1990, SACS, 1980), as seen in </w:t>
      </w:r>
      <w:r w:rsidR="001A7310">
        <w:t>Figure 1</w:t>
      </w:r>
      <w:r w:rsidR="00691EDC">
        <w:t xml:space="preserve"> in Chapter 2.</w:t>
      </w:r>
    </w:p>
    <w:p w14:paraId="3306E601" w14:textId="53350CBD" w:rsidR="001C0F66" w:rsidRDefault="001C0F66" w:rsidP="00EB02B2">
      <w:pPr>
        <w:jc w:val="both"/>
      </w:pPr>
      <w:r>
        <w:t>The Rustenburg Layered Suite stratigraphy is divided into five major units, from lowest to highest which are summarised in</w:t>
      </w:r>
      <w:r w:rsidRPr="005E3BFD">
        <w:t xml:space="preserve"> </w:t>
      </w:r>
      <w:r w:rsidR="006B28D5">
        <w:t>Table 5</w:t>
      </w:r>
      <w:r>
        <w:t xml:space="preserve"> </w:t>
      </w:r>
      <w:r w:rsidR="005E3BFD">
        <w:t>in Chapter 2.</w:t>
      </w:r>
    </w:p>
    <w:p w14:paraId="5E89DB1F" w14:textId="38F85A11" w:rsidR="00CC4457" w:rsidRDefault="00CC4457" w:rsidP="00CC4457">
      <w:pPr>
        <w:jc w:val="both"/>
      </w:pPr>
      <w:r>
        <w:t xml:space="preserve">The four limbs that comprise the Bushveld Complex may be subdivided into sectors, as described by Hatton and </w:t>
      </w:r>
      <w:r w:rsidR="007F30D2">
        <w:t>von</w:t>
      </w:r>
      <w:r>
        <w:t xml:space="preserve"> Gruenewaldt (1987). Sectors are subdivided into compartments that are structurally controlled with a unique internal stratigraphy (Scoon and Teigler, 1994). Complex boundary areas, in which the Lower, Critical, and Main zones are either partially absent or structurally disturbed, separate the sectors and compartments. The Upper Zone is generally contiguous between sectors. The eastern limb consists of western, central, and southern sectors with two intervening boundary areas (Fig</w:t>
      </w:r>
      <w:r w:rsidR="009569B5">
        <w:t>ure</w:t>
      </w:r>
      <w:r>
        <w:t xml:space="preserve"> </w:t>
      </w:r>
      <w:r w:rsidR="00080B51">
        <w:t>3</w:t>
      </w:r>
      <w:r>
        <w:t xml:space="preserve">). The geological setting of the eastern limb, with the exception of the disruptive boundary areas, is well known (Wager and Brown, 1968; </w:t>
      </w:r>
      <w:r w:rsidR="00672AF4">
        <w:t>V</w:t>
      </w:r>
      <w:r>
        <w:t xml:space="preserve">on Gruenewaldt </w:t>
      </w:r>
      <w:r w:rsidRPr="00785551">
        <w:rPr>
          <w:i/>
        </w:rPr>
        <w:t>et al</w:t>
      </w:r>
      <w:r>
        <w:t>., 1985), such that only a brief overview is presented here.</w:t>
      </w:r>
    </w:p>
    <w:p w14:paraId="41EF76C9" w14:textId="172A3565" w:rsidR="001C0F66" w:rsidRDefault="001C0F66" w:rsidP="001C0F66">
      <w:pPr>
        <w:jc w:val="both"/>
      </w:pPr>
      <w:r>
        <w:t>Chromitite and the PGE mineralisation are important economic components of the Rustenburg Layered Suite. The largest deposits of chromitite in the world occur in the Critical Zone of the Eastern and Western limbs of the Bushveld Complex. The PGE’s are concentrated in three principal reefs in the Rustenburg Layered Suite, the Merensky Reef, located just below the top of the Critical Zone, and the UG2 Chromitite located between 15</w:t>
      </w:r>
      <w:r w:rsidR="00E86661">
        <w:t xml:space="preserve"> </w:t>
      </w:r>
      <w:r>
        <w:t>m and 350</w:t>
      </w:r>
      <w:r w:rsidR="00E86661">
        <w:t xml:space="preserve"> </w:t>
      </w:r>
      <w:r>
        <w:t xml:space="preserve">m below (Cawthorn and Spies, 2003), in the Eastern and Western Limbs, </w:t>
      </w:r>
      <w:r w:rsidR="009569B5">
        <w:t>whereas</w:t>
      </w:r>
      <w:r>
        <w:t xml:space="preserve"> in the Northern Limb the PGE’s are concentrated in the Platreef (Cawthorn, 2015).</w:t>
      </w:r>
      <w:r w:rsidR="004110C4">
        <w:t xml:space="preserve"> Kruger (2005) gives an overview of the </w:t>
      </w:r>
      <w:r w:rsidR="00062FC3">
        <w:t xml:space="preserve">evolution of the magma chamber </w:t>
      </w:r>
      <w:r w:rsidR="004110C4">
        <w:t>as well as the relationship between the floor, intrusive, extrusive and roof rocks of the Bushveld Complex.</w:t>
      </w:r>
      <w:r w:rsidR="00062FC3">
        <w:t xml:space="preserve"> </w:t>
      </w:r>
    </w:p>
    <w:p w14:paraId="5682150B" w14:textId="735CCD15" w:rsidR="0095598E" w:rsidRDefault="001C0F66" w:rsidP="00C57328">
      <w:pPr>
        <w:jc w:val="both"/>
      </w:pPr>
      <w:r>
        <w:t xml:space="preserve">The geology of the Eastern Limb is well described by </w:t>
      </w:r>
      <w:r w:rsidR="00672AF4">
        <w:t>V</w:t>
      </w:r>
      <w:r w:rsidR="006E45A0">
        <w:t>on</w:t>
      </w:r>
      <w:r>
        <w:t xml:space="preserve"> Gruenewald</w:t>
      </w:r>
      <w:r w:rsidR="00763B26">
        <w:t>t</w:t>
      </w:r>
      <w:r>
        <w:t xml:space="preserve"> (1973), Molyneux (1974) and Cameron (1978). </w:t>
      </w:r>
      <w:bookmarkStart w:id="17" w:name="_Hlk507335833"/>
      <w:r w:rsidR="0095598E" w:rsidRPr="0095598E">
        <w:t>Ha</w:t>
      </w:r>
      <w:r w:rsidR="0095598E">
        <w:t xml:space="preserve">tton and </w:t>
      </w:r>
      <w:r w:rsidR="007F30D2">
        <w:t>v</w:t>
      </w:r>
      <w:r w:rsidR="006E45A0">
        <w:t>on</w:t>
      </w:r>
      <w:r w:rsidR="0095598E">
        <w:t xml:space="preserve"> Gruenewaldt (1987)</w:t>
      </w:r>
      <w:bookmarkEnd w:id="17"/>
      <w:r w:rsidR="009569B5">
        <w:t xml:space="preserve"> sub</w:t>
      </w:r>
      <w:r w:rsidR="0095598E">
        <w:t xml:space="preserve">divide the Eastern </w:t>
      </w:r>
      <w:r w:rsidR="009569B5">
        <w:t>Limb</w:t>
      </w:r>
      <w:r w:rsidR="0095598E">
        <w:t xml:space="preserve"> into three sectors, namely the Western Sector, Central Sector and Southern Sector, each separated by major structural features, and each showing significant variations in lithostratigraphy. The Wonderkop Fault and Phosiri Dome forms the boundary between the Western and Central Sector, and the Steelpoort Fault forms the boundary between the Central and Southern Sectors (Figure </w:t>
      </w:r>
      <w:r w:rsidR="00080B51">
        <w:t>3</w:t>
      </w:r>
      <w:r w:rsidR="0095598E">
        <w:t>).</w:t>
      </w:r>
    </w:p>
    <w:p w14:paraId="373A7058" w14:textId="1791A0ED" w:rsidR="0096654C" w:rsidRDefault="001C0F66" w:rsidP="00C57328">
      <w:pPr>
        <w:jc w:val="both"/>
      </w:pPr>
      <w:r>
        <w:t xml:space="preserve">The rocks of the </w:t>
      </w:r>
      <w:r w:rsidR="009569B5">
        <w:t>Rustenburg Layered Suite</w:t>
      </w:r>
      <w:r>
        <w:t xml:space="preserve"> </w:t>
      </w:r>
      <w:r w:rsidR="006A3ADA">
        <w:t xml:space="preserve">on </w:t>
      </w:r>
      <w:r>
        <w:t xml:space="preserve">the Eastern Limb, as well as the floor rocks, are particularly well exposed </w:t>
      </w:r>
      <w:r w:rsidR="00763B26">
        <w:t xml:space="preserve">where they are being actively eroded by the advancing Drakensberg Escarpment (Molyneux, 1998). </w:t>
      </w:r>
      <w:r w:rsidR="00ED5581">
        <w:t xml:space="preserve">In his doctoral thesis, </w:t>
      </w:r>
      <w:r w:rsidR="00672AF4">
        <w:t>V</w:t>
      </w:r>
      <w:r w:rsidR="006E45A0">
        <w:t>on</w:t>
      </w:r>
      <w:r w:rsidR="00763B26">
        <w:t xml:space="preserve"> Gruenewaldt </w:t>
      </w:r>
      <w:r w:rsidR="00ED5581">
        <w:t>(197</w:t>
      </w:r>
      <w:r w:rsidR="00EB7D71">
        <w:t>2</w:t>
      </w:r>
      <w:r w:rsidR="00ED5581">
        <w:t xml:space="preserve">) </w:t>
      </w:r>
      <w:r w:rsidR="006A3ADA">
        <w:t>focused</w:t>
      </w:r>
      <w:r w:rsidR="00763B26">
        <w:t xml:space="preserve"> on the Main and </w:t>
      </w:r>
      <w:r w:rsidR="003B61D6">
        <w:t xml:space="preserve">Upper Zones, with a particular focus on the Eastern </w:t>
      </w:r>
      <w:r w:rsidR="006A3ADA">
        <w:t>Limb, and published</w:t>
      </w:r>
      <w:r w:rsidR="00ED5581">
        <w:t xml:space="preserve"> this work the following year (</w:t>
      </w:r>
      <w:r w:rsidR="00672AF4">
        <w:t>V</w:t>
      </w:r>
      <w:r w:rsidR="006E45A0">
        <w:t>on</w:t>
      </w:r>
      <w:r w:rsidR="00ED5581">
        <w:t xml:space="preserve"> Gruenewaldt, 1973)</w:t>
      </w:r>
      <w:r w:rsidR="003B61D6">
        <w:t xml:space="preserve">. </w:t>
      </w:r>
      <w:r w:rsidR="006A3ADA">
        <w:t>Molyneux (1974) focused</w:t>
      </w:r>
      <w:r w:rsidR="00ED5581">
        <w:t xml:space="preserve"> on the roof rocks (including the Pretoria Group sediments), the Upper Zone and Main Zone in the northern and eastern portions of the Eastern </w:t>
      </w:r>
      <w:r w:rsidR="006A3ADA">
        <w:t>Limb</w:t>
      </w:r>
      <w:r w:rsidR="006C28C0">
        <w:t>, whilst Cameron (1980) and Cameron (</w:t>
      </w:r>
      <w:r w:rsidR="006A3ADA">
        <w:t>1982) focused</w:t>
      </w:r>
      <w:r w:rsidR="00E55BFB">
        <w:t xml:space="preserve"> on the </w:t>
      </w:r>
      <w:r w:rsidR="006C28C0">
        <w:t xml:space="preserve">Lower and </w:t>
      </w:r>
      <w:r w:rsidR="00E55BFB">
        <w:t xml:space="preserve">Upper Critical </w:t>
      </w:r>
      <w:r w:rsidR="006C28C0">
        <w:t>z</w:t>
      </w:r>
      <w:r w:rsidR="00E55BFB">
        <w:t>one</w:t>
      </w:r>
      <w:r w:rsidR="006C28C0">
        <w:t>s</w:t>
      </w:r>
      <w:r w:rsidR="00E55BFB">
        <w:t xml:space="preserve"> of the Eastern </w:t>
      </w:r>
      <w:r w:rsidR="006A3ADA">
        <w:t xml:space="preserve">Limb </w:t>
      </w:r>
      <w:r w:rsidR="006C28C0">
        <w:t>respectively</w:t>
      </w:r>
      <w:r w:rsidR="00E55BFB">
        <w:t>.</w:t>
      </w:r>
    </w:p>
    <w:p w14:paraId="1F0082B4" w14:textId="1A56BDB1" w:rsidR="00BD47DA" w:rsidRDefault="00BD47DA" w:rsidP="00BD47DA">
      <w:pPr>
        <w:jc w:val="both"/>
      </w:pPr>
      <w:r>
        <w:t>The economically important Critical Zone is exposed throughout the area from the Schwerin Fold westwards across the</w:t>
      </w:r>
      <w:r w:rsidR="006A3ADA">
        <w:t xml:space="preserve"> Katkloof Dome (Figure </w:t>
      </w:r>
      <w:r w:rsidR="00080B51">
        <w:t>3</w:t>
      </w:r>
      <w:r w:rsidR="006A3ADA">
        <w:t>)</w:t>
      </w:r>
      <w:r>
        <w:t xml:space="preserve"> and</w:t>
      </w:r>
      <w:r w:rsidR="006A3ADA">
        <w:t>,</w:t>
      </w:r>
      <w:r>
        <w:t xml:space="preserve"> as a broad generali</w:t>
      </w:r>
      <w:r w:rsidR="00CE367F">
        <w:t>s</w:t>
      </w:r>
      <w:r>
        <w:t xml:space="preserve">ation, the thickness of the Critical Zone increases from east of the Olifants River southeastwards towards the Steelpoort Fault (Figure </w:t>
      </w:r>
      <w:r w:rsidR="00080B51">
        <w:t>3</w:t>
      </w:r>
      <w:r>
        <w:t>, Cameron, 1982).</w:t>
      </w:r>
    </w:p>
    <w:p w14:paraId="35B47240" w14:textId="5DC0BBDA" w:rsidR="00E55BFB" w:rsidRDefault="006C28C0" w:rsidP="006C28C0">
      <w:pPr>
        <w:jc w:val="both"/>
      </w:pPr>
      <w:r>
        <w:lastRenderedPageBreak/>
        <w:t xml:space="preserve">The </w:t>
      </w:r>
      <w:r w:rsidR="00A06684">
        <w:t>Lower Critical Zone</w:t>
      </w:r>
      <w:r w:rsidR="00BD47DA">
        <w:t>, approximately 800 m thick,</w:t>
      </w:r>
      <w:r w:rsidR="00A06684">
        <w:t xml:space="preserve"> </w:t>
      </w:r>
      <w:r>
        <w:t xml:space="preserve">consists mostly of bronzitites, with </w:t>
      </w:r>
      <w:r w:rsidR="006A3ADA">
        <w:t xml:space="preserve">subsidiary </w:t>
      </w:r>
      <w:r>
        <w:t>dunites, harzburgites, and chromitites (Cameron, 1980)</w:t>
      </w:r>
      <w:r w:rsidR="00DA2C89">
        <w:t xml:space="preserve">, </w:t>
      </w:r>
      <w:r w:rsidR="006A3ADA">
        <w:t xml:space="preserve">whereas </w:t>
      </w:r>
      <w:r w:rsidR="00DA2C89">
        <w:t>the Upper Critical Zone</w:t>
      </w:r>
      <w:r w:rsidR="00BD47DA">
        <w:t>, approximately 1,000 m thick,</w:t>
      </w:r>
      <w:r w:rsidR="00DA2C89">
        <w:t xml:space="preserve"> </w:t>
      </w:r>
      <w:r w:rsidR="008B5CEE">
        <w:t xml:space="preserve">consists </w:t>
      </w:r>
      <w:r w:rsidR="00BD47DA">
        <w:t xml:space="preserve">of complex cyclical layering </w:t>
      </w:r>
      <w:r w:rsidR="008B5CEE">
        <w:t>primarily of norites with subordinate bronzite, anorthosites and the economically important chromitites.</w:t>
      </w:r>
      <w:r>
        <w:t xml:space="preserve"> </w:t>
      </w:r>
      <w:r w:rsidR="006A3ADA">
        <w:t>Cameron (1982) divided</w:t>
      </w:r>
      <w:r w:rsidR="00E55BFB">
        <w:t xml:space="preserve"> the</w:t>
      </w:r>
      <w:r>
        <w:t xml:space="preserve"> </w:t>
      </w:r>
      <w:r w:rsidR="00A06684">
        <w:t xml:space="preserve">Upper </w:t>
      </w:r>
      <w:r w:rsidR="00E55BFB">
        <w:t xml:space="preserve">Critical Zone into 14 </w:t>
      </w:r>
      <w:r w:rsidR="00EB7D71">
        <w:t>main units, in addition to the sequence from the base of the Merensky Reef to the top of the Bastard Reef</w:t>
      </w:r>
      <w:r>
        <w:t xml:space="preserve">. </w:t>
      </w:r>
      <w:r w:rsidR="00EB7D71">
        <w:t>Kruger (1990)</w:t>
      </w:r>
      <w:r>
        <w:t xml:space="preserve"> </w:t>
      </w:r>
      <w:r w:rsidR="006A3ADA">
        <w:t>placed</w:t>
      </w:r>
      <w:r w:rsidR="00062FC3">
        <w:t xml:space="preserve"> the Merensky Reef at the base of the Main Zone</w:t>
      </w:r>
      <w:r>
        <w:t>, based on relationships between petrography, mineralogy, and geochemistry.</w:t>
      </w:r>
    </w:p>
    <w:p w14:paraId="1566E5B7" w14:textId="675B2690" w:rsidR="00CE367F" w:rsidRDefault="00A63CBE" w:rsidP="006C28C0">
      <w:pPr>
        <w:jc w:val="both"/>
      </w:pPr>
      <w:r>
        <w:t>Chromite appears as a cumulus phase and forms layers th</w:t>
      </w:r>
      <w:r w:rsidR="006A3ADA">
        <w:t>r</w:t>
      </w:r>
      <w:r>
        <w:t xml:space="preserve">oughout the Critical Zone. The Lower Critical Zone hosts the Lower Group Chromitites (LG1 to LG7) and Middle Group Chromitites (MG3 to MG4), and the Upper Critical Zone hosts the MG1, MG2 and Upper Group Chromitites (UG1 to UG3). </w:t>
      </w:r>
      <w:r w:rsidR="00CA561F">
        <w:t xml:space="preserve">Overlying this sequence is the Merensky </w:t>
      </w:r>
      <w:r w:rsidR="003F18AA">
        <w:t>cyclic sequence</w:t>
      </w:r>
      <w:r w:rsidR="00CA561F">
        <w:t xml:space="preserve"> and </w:t>
      </w:r>
      <w:r w:rsidR="003F18AA">
        <w:t>the Bastard sequence</w:t>
      </w:r>
      <w:r w:rsidR="006A3ADA">
        <w:t xml:space="preserve"> (Eales &amp; Cawthorn, 1996)</w:t>
      </w:r>
      <w:r w:rsidR="00080B51">
        <w:t xml:space="preserve"> (</w:t>
      </w:r>
      <w:r w:rsidR="00080B51">
        <w:fldChar w:fldCharType="begin"/>
      </w:r>
      <w:r w:rsidR="00080B51">
        <w:instrText xml:space="preserve"> REF _Ref481581216 \h  \* MERGEFORMAT </w:instrText>
      </w:r>
      <w:r w:rsidR="00080B51">
        <w:fldChar w:fldCharType="separate"/>
      </w:r>
      <w:r w:rsidR="002645B6">
        <w:t>Figure 2</w:t>
      </w:r>
      <w:r w:rsidR="00080B51">
        <w:fldChar w:fldCharType="end"/>
      </w:r>
      <w:r w:rsidR="00080B51">
        <w:t>)</w:t>
      </w:r>
      <w:r w:rsidR="003F18AA">
        <w:t>.</w:t>
      </w:r>
    </w:p>
    <w:p w14:paraId="0D43767D" w14:textId="07759D85" w:rsidR="00D92AC9" w:rsidRDefault="003F18AA" w:rsidP="006C28C0">
      <w:pPr>
        <w:jc w:val="both"/>
      </w:pPr>
      <w:r>
        <w:t>The Main Zone</w:t>
      </w:r>
      <w:r w:rsidR="00D92AC9">
        <w:t xml:space="preserve">, as described by </w:t>
      </w:r>
      <w:r w:rsidR="00672AF4">
        <w:t>V</w:t>
      </w:r>
      <w:r w:rsidR="006E45A0">
        <w:t>on</w:t>
      </w:r>
      <w:r w:rsidR="00D92AC9">
        <w:t xml:space="preserve"> Gruenewaldt (1973)</w:t>
      </w:r>
      <w:r>
        <w:t xml:space="preserve"> is informally divided into three Subzones, namely A, B and C, which are roughly 800 m, 1,400 m and 800 m thick respectively. These zones contain prominent markers: </w:t>
      </w:r>
    </w:p>
    <w:p w14:paraId="47E92AD3" w14:textId="627ED0C5" w:rsidR="003F18AA" w:rsidRDefault="003F18AA" w:rsidP="00D92AC9">
      <w:pPr>
        <w:pStyle w:val="ListParagraph"/>
        <w:numPr>
          <w:ilvl w:val="0"/>
          <w:numId w:val="3"/>
        </w:numPr>
        <w:jc w:val="both"/>
      </w:pPr>
      <w:r>
        <w:t>Subzone A contains, from the base upwards, the Porph</w:t>
      </w:r>
      <w:r w:rsidR="00C913AE">
        <w:t>yri</w:t>
      </w:r>
      <w:r>
        <w:t xml:space="preserve">tic Norite separates the noritic lower portion of Subzone A from a gabbronorite upper portion. Within this upper portion, there are two mottled anorthosite marker horizons, </w:t>
      </w:r>
      <w:r w:rsidR="00D92AC9">
        <w:t>namely the Main Mottled Anorthosite (MMA) and the Upper Mottled Anorthosite (UMA), which forms the top of Subzone A.</w:t>
      </w:r>
    </w:p>
    <w:p w14:paraId="00E36BB1" w14:textId="22778D99" w:rsidR="00F44E7D" w:rsidRDefault="00D92AC9" w:rsidP="00F44E7D">
      <w:pPr>
        <w:pStyle w:val="ListParagraph"/>
        <w:numPr>
          <w:ilvl w:val="0"/>
          <w:numId w:val="3"/>
        </w:numPr>
        <w:jc w:val="both"/>
      </w:pPr>
      <w:r>
        <w:t xml:space="preserve">Subzone B consists of a homogenous sequence of gabbronorite with pigeonite </w:t>
      </w:r>
      <w:r w:rsidR="00F44E7D">
        <w:t>(instead of primary orthopyroxene). The Pyroxenite Marker marks the top of Subzone B.</w:t>
      </w:r>
    </w:p>
    <w:p w14:paraId="5F7FE12D" w14:textId="74C74E37" w:rsidR="00F44E7D" w:rsidRDefault="00B62F80" w:rsidP="00F44E7D">
      <w:pPr>
        <w:pStyle w:val="ListParagraph"/>
        <w:numPr>
          <w:ilvl w:val="0"/>
          <w:numId w:val="3"/>
        </w:numPr>
        <w:jc w:val="both"/>
      </w:pPr>
      <w:r>
        <w:t xml:space="preserve">Subzone C </w:t>
      </w:r>
      <w:r w:rsidR="004110C4">
        <w:t>consists mainly of norites and gabbronorites</w:t>
      </w:r>
      <w:r w:rsidR="00942302">
        <w:t>.</w:t>
      </w:r>
    </w:p>
    <w:p w14:paraId="4A83A285" w14:textId="36FEB770" w:rsidR="00386CA7" w:rsidRDefault="00386CA7" w:rsidP="00386CA7">
      <w:pPr>
        <w:jc w:val="both"/>
      </w:pPr>
      <w:r>
        <w:t xml:space="preserve">Nex </w:t>
      </w:r>
      <w:r>
        <w:rPr>
          <w:i/>
        </w:rPr>
        <w:t>et al.</w:t>
      </w:r>
      <w:r>
        <w:t xml:space="preserve"> (1998) divides the same package into 5 subzones, A through to E, based on the variation in relative abundance of different pyroxenes throughout the Main Zone. </w:t>
      </w:r>
    </w:p>
    <w:p w14:paraId="28EC2B35" w14:textId="2032EAAC" w:rsidR="00E55BFB" w:rsidRDefault="004110C4" w:rsidP="00386CA7">
      <w:pPr>
        <w:jc w:val="both"/>
      </w:pPr>
      <w:r>
        <w:t xml:space="preserve">The base of the Upper Zone </w:t>
      </w:r>
      <w:r w:rsidR="00942302">
        <w:t>is defined by the first appearance of cumulus magnetite (</w:t>
      </w:r>
      <w:r w:rsidR="00672AF4">
        <w:t>V</w:t>
      </w:r>
      <w:r w:rsidR="00942302">
        <w:t xml:space="preserve">on Gruenewaldt, 1972). It </w:t>
      </w:r>
      <w:r>
        <w:t>uncomformably overlies the Main Zone (Kruger, 2005)</w:t>
      </w:r>
      <w:r w:rsidR="004741A2">
        <w:t>.</w:t>
      </w:r>
    </w:p>
    <w:p w14:paraId="27C129CD" w14:textId="19052BA2" w:rsidR="00CC013E" w:rsidRDefault="00062FC3" w:rsidP="00C57328">
      <w:pPr>
        <w:jc w:val="both"/>
      </w:pPr>
      <w:r>
        <w:t>Generally,</w:t>
      </w:r>
      <w:r w:rsidR="00CC013E">
        <w:t xml:space="preserve"> the relationship between the Rustenburg Layered Suite and the roof rocks is poorly understood </w:t>
      </w:r>
      <w:r w:rsidR="00942302">
        <w:t>owing</w:t>
      </w:r>
      <w:r w:rsidR="00CC013E">
        <w:t xml:space="preserve"> to the intense metamorphism and ensuing emplacement of the granite. The sediment</w:t>
      </w:r>
      <w:r w:rsidR="00942302">
        <w:t>ary</w:t>
      </w:r>
      <w:r w:rsidR="00CC013E">
        <w:t xml:space="preserve"> rocks are sandwiched between granodiorite at the top of the Rustenburg Layered Suite and the overlying Lebowa Granite Suite and Rashoop Granophyre Suite (Molyneux, 1974).</w:t>
      </w:r>
    </w:p>
    <w:p w14:paraId="38010665" w14:textId="0E931CA6" w:rsidR="00DA5CC6" w:rsidRDefault="002849B1" w:rsidP="00C57328">
      <w:pPr>
        <w:jc w:val="both"/>
      </w:pPr>
      <w:r>
        <w:t xml:space="preserve">The </w:t>
      </w:r>
      <w:r w:rsidR="008F43EE">
        <w:t xml:space="preserve">relationship between the Bushveld Complex and the footwall rocks in the Eastern </w:t>
      </w:r>
      <w:r w:rsidR="00942302">
        <w:t xml:space="preserve">Limb </w:t>
      </w:r>
      <w:r w:rsidR="008F43EE">
        <w:t xml:space="preserve">is documented by Button (1976), who recognised the transgressive nature of the basal contact of the </w:t>
      </w:r>
      <w:r w:rsidR="004741A2">
        <w:t>Rustenburg Layered Suite</w:t>
      </w:r>
      <w:r w:rsidR="008F43EE">
        <w:t xml:space="preserve"> across the Transvaal Supergroup. Button (1978)</w:t>
      </w:r>
      <w:r w:rsidR="00DB1B87">
        <w:t xml:space="preserve"> recognised the occurrence </w:t>
      </w:r>
      <w:r w:rsidR="00D465CD">
        <w:t>of domal structures in the floor of Pretoria Group metasediments. These domes locally extend</w:t>
      </w:r>
      <w:r w:rsidR="00DB1B87">
        <w:t xml:space="preserve"> up into the Upper Zone, and </w:t>
      </w:r>
      <w:r w:rsidR="00D465CD">
        <w:t xml:space="preserve">Button (1976) </w:t>
      </w:r>
      <w:r w:rsidR="00DB1B87">
        <w:t xml:space="preserve">proposed that these domes are diapiric structures, </w:t>
      </w:r>
      <w:r w:rsidR="00D465CD">
        <w:t xml:space="preserve">owing </w:t>
      </w:r>
      <w:r w:rsidR="00DB1B87">
        <w:t>to the density contrast of the Rustenburg Layered Suite with the Pretoria Group metasediments. Sharpe and Chadwick (1982) proposed that the Katloof, Schwerin and Phosiri Domes (</w:t>
      </w:r>
      <w:r w:rsidR="00337384">
        <w:t xml:space="preserve">Figure </w:t>
      </w:r>
      <w:r w:rsidR="00785551">
        <w:t>3</w:t>
      </w:r>
      <w:r w:rsidR="00DB1B87">
        <w:t>) are still attached to the floor</w:t>
      </w:r>
      <w:r w:rsidR="00CA4987">
        <w:t xml:space="preserve">. </w:t>
      </w:r>
    </w:p>
    <w:p w14:paraId="6170EC96" w14:textId="570EF3F7" w:rsidR="00DA5CC6" w:rsidRDefault="00DA5CC6" w:rsidP="00C57328">
      <w:pPr>
        <w:jc w:val="both"/>
      </w:pPr>
      <w:r>
        <w:t xml:space="preserve">The Phosiri Dome is one of a number of domes consisting of high grade </w:t>
      </w:r>
      <w:r w:rsidR="00D465CD">
        <w:t xml:space="preserve">Pretoria Group </w:t>
      </w:r>
      <w:r>
        <w:t xml:space="preserve">metasedimentary rocks that occur in the Eastern </w:t>
      </w:r>
      <w:r w:rsidR="00D465CD">
        <w:t>Limb</w:t>
      </w:r>
      <w:r>
        <w:t xml:space="preserve"> (Uken and Watkeys, 1997, Gerya </w:t>
      </w:r>
      <w:r>
        <w:rPr>
          <w:i/>
        </w:rPr>
        <w:t xml:space="preserve">et al., </w:t>
      </w:r>
      <w:r>
        <w:t xml:space="preserve">2003, Johnson </w:t>
      </w:r>
      <w:r>
        <w:rPr>
          <w:i/>
        </w:rPr>
        <w:t xml:space="preserve">et al., </w:t>
      </w:r>
      <w:r>
        <w:t xml:space="preserve">2004, Clarke </w:t>
      </w:r>
      <w:r w:rsidRPr="00785551">
        <w:rPr>
          <w:i/>
        </w:rPr>
        <w:t>et al</w:t>
      </w:r>
      <w:r w:rsidR="00785551">
        <w:t>.</w:t>
      </w:r>
      <w:r>
        <w:t xml:space="preserve">, 2005, Longridge </w:t>
      </w:r>
      <w:r>
        <w:rPr>
          <w:i/>
        </w:rPr>
        <w:t>et al.,</w:t>
      </w:r>
      <w:r>
        <w:t xml:space="preserve"> 2006, Ireland and Penniston-Dorland, 2015).</w:t>
      </w:r>
    </w:p>
    <w:p w14:paraId="0F7BEF84" w14:textId="39BC4EBA" w:rsidR="00CA4987" w:rsidRDefault="00F03ED3" w:rsidP="00C57328">
      <w:pPr>
        <w:jc w:val="both"/>
      </w:pPr>
      <w:r>
        <w:t xml:space="preserve">Gerya </w:t>
      </w:r>
      <w:r w:rsidR="00785551" w:rsidRPr="00785551">
        <w:rPr>
          <w:i/>
        </w:rPr>
        <w:t>et al.</w:t>
      </w:r>
      <w:r>
        <w:rPr>
          <w:i/>
        </w:rPr>
        <w:t xml:space="preserve">’s </w:t>
      </w:r>
      <w:r>
        <w:t>(2003) m</w:t>
      </w:r>
      <w:r w:rsidR="00CA4987">
        <w:t xml:space="preserve">odelling results demonstrated </w:t>
      </w:r>
      <w:r>
        <w:t xml:space="preserve">that domes formed by amplification of </w:t>
      </w:r>
      <w:r w:rsidR="00CA4987">
        <w:t>pre-existing undulations in the floor to</w:t>
      </w:r>
      <w:r>
        <w:t xml:space="preserve"> the Bushveld Complex intrusion</w:t>
      </w:r>
      <w:r w:rsidR="00CA4987">
        <w:t xml:space="preserve"> </w:t>
      </w:r>
      <w:r>
        <w:t xml:space="preserve">that allowed </w:t>
      </w:r>
      <w:r w:rsidR="00CA4987">
        <w:t xml:space="preserve">an increased thermal </w:t>
      </w:r>
      <w:r w:rsidR="00CA4987">
        <w:lastRenderedPageBreak/>
        <w:t xml:space="preserve">gradient into the floor rocks in the vicinity of the </w:t>
      </w:r>
      <w:r w:rsidR="00337384">
        <w:t xml:space="preserve">undulations. It was also noted </w:t>
      </w:r>
      <w:r>
        <w:t xml:space="preserve">by the modelling </w:t>
      </w:r>
      <w:r w:rsidR="00337384">
        <w:t>that these domes have significant</w:t>
      </w:r>
      <w:r>
        <w:t>ly</w:t>
      </w:r>
      <w:r w:rsidR="00337384">
        <w:t xml:space="preserve"> influence</w:t>
      </w:r>
      <w:r>
        <w:t>d</w:t>
      </w:r>
      <w:r w:rsidR="00337384">
        <w:t xml:space="preserve"> the attitude of all the rocks of the Rustenburg Layered Suite in the vicinity of these domes.</w:t>
      </w:r>
    </w:p>
    <w:p w14:paraId="6C5E356E" w14:textId="276E0D2F" w:rsidR="00337384" w:rsidRDefault="00337384" w:rsidP="00C57328">
      <w:pPr>
        <w:jc w:val="both"/>
      </w:pPr>
      <w:r>
        <w:t xml:space="preserve">Longridge </w:t>
      </w:r>
      <w:r>
        <w:rPr>
          <w:i/>
        </w:rPr>
        <w:t>et al.</w:t>
      </w:r>
      <w:r>
        <w:t xml:space="preserve"> (2006) established that </w:t>
      </w:r>
      <w:r w:rsidR="00A40065">
        <w:t>in the vicinity of the Schwerin Fold, partial melts of footwall metapelitic rocks migrate</w:t>
      </w:r>
      <w:r w:rsidR="00F03ED3">
        <w:t>d</w:t>
      </w:r>
      <w:r w:rsidR="00A40065">
        <w:t xml:space="preserve"> along pre-existing structures. Both Longridge </w:t>
      </w:r>
      <w:r w:rsidR="00A40065">
        <w:rPr>
          <w:i/>
        </w:rPr>
        <w:t xml:space="preserve">et al. </w:t>
      </w:r>
      <w:r w:rsidR="00A40065">
        <w:t xml:space="preserve">(2006) and Gerya </w:t>
      </w:r>
      <w:r w:rsidR="00A40065">
        <w:rPr>
          <w:i/>
        </w:rPr>
        <w:t xml:space="preserve">et al. </w:t>
      </w:r>
      <w:r w:rsidR="00A40065">
        <w:t>(2003) propose</w:t>
      </w:r>
      <w:r w:rsidR="00F03ED3">
        <w:t>d</w:t>
      </w:r>
      <w:r w:rsidR="00A40065">
        <w:t xml:space="preserve"> multiple intrusive pulses for the Rustenburg Layered Suite </w:t>
      </w:r>
      <w:r w:rsidR="0054142D">
        <w:t xml:space="preserve">to allow </w:t>
      </w:r>
      <w:r w:rsidR="00A40065">
        <w:t xml:space="preserve">for </w:t>
      </w:r>
      <w:r w:rsidR="0054142D">
        <w:t xml:space="preserve">sustained heat flow </w:t>
      </w:r>
      <w:r w:rsidR="00F03ED3">
        <w:t>in order to meet the metamorphic temperatures</w:t>
      </w:r>
      <w:r w:rsidR="0054142D">
        <w:t xml:space="preserve"> required to allow for the formation of these diapirs and associated migmatites. Cawthorn and Walraven (1998) proposed that the </w:t>
      </w:r>
      <w:r w:rsidR="001C6684">
        <w:t>Rustenburg Layered Suite is a crystall</w:t>
      </w:r>
      <w:r w:rsidR="005D78EA">
        <w:t>isation</w:t>
      </w:r>
      <w:r w:rsidR="001C6684">
        <w:t xml:space="preserve"> product of several injections of magma that are not widely separated in time, such that previous injections of magma had not yet cooled significantly before the addition of the next injection of magma.</w:t>
      </w:r>
      <w:r w:rsidR="0054142D">
        <w:t xml:space="preserve"> </w:t>
      </w:r>
    </w:p>
    <w:p w14:paraId="1E46A994" w14:textId="318A104F" w:rsidR="00062FC3" w:rsidRPr="00DF74E7" w:rsidRDefault="00062FC3" w:rsidP="00DF74E7">
      <w:pPr>
        <w:pStyle w:val="Heading2"/>
        <w:rPr>
          <w:color w:val="000000" w:themeColor="text1"/>
        </w:rPr>
      </w:pPr>
      <w:bookmarkStart w:id="18" w:name="_Toc520758770"/>
      <w:r w:rsidRPr="00DF74E7">
        <w:rPr>
          <w:color w:val="000000" w:themeColor="text1"/>
        </w:rPr>
        <w:t>Local Geology</w:t>
      </w:r>
      <w:bookmarkEnd w:id="18"/>
    </w:p>
    <w:p w14:paraId="4670DAFD" w14:textId="780B784B" w:rsidR="00D72DC8" w:rsidRDefault="002849B1" w:rsidP="002849B1">
      <w:pPr>
        <w:jc w:val="both"/>
      </w:pPr>
      <w:r>
        <w:t xml:space="preserve">The Phosiri Dome (also known as the Zaaikloof Dome or Fortdraai Dome) </w:t>
      </w:r>
      <w:r w:rsidR="00DA5CC6">
        <w:t xml:space="preserve">represents a folded inlier of the </w:t>
      </w:r>
      <w:r w:rsidR="001C6684">
        <w:t xml:space="preserve">upper </w:t>
      </w:r>
      <w:r w:rsidR="00DA5CC6">
        <w:t>Pretoria Group metasediments of the early-Proterozoic Transvaal Supergroup (Sharp</w:t>
      </w:r>
      <w:r w:rsidR="001C6684">
        <w:t>e</w:t>
      </w:r>
      <w:r w:rsidR="00DA5CC6">
        <w:t xml:space="preserve"> and Chadwick, 1982) that is thought to have formed when underlying footwall rocks rose into the denser overlying Bushveld magmas (Uken and Watkeys, 1997, Uken, 1998, Gerya </w:t>
      </w:r>
      <w:r w:rsidR="00DA5CC6">
        <w:rPr>
          <w:i/>
        </w:rPr>
        <w:t xml:space="preserve">et al., </w:t>
      </w:r>
      <w:r w:rsidR="00DA5CC6">
        <w:t xml:space="preserve">2003).  </w:t>
      </w:r>
      <w:r w:rsidR="000525AC">
        <w:t xml:space="preserve">The western side of the Phosiri Dome is bounded by the Stofpoort and Wonderkop faults, and the fold </w:t>
      </w:r>
      <w:r w:rsidR="001C6684">
        <w:t>hinge</w:t>
      </w:r>
      <w:r w:rsidR="000525AC">
        <w:t xml:space="preserve"> plunges to the southeast at </w:t>
      </w:r>
      <w:r w:rsidR="006F2CCC">
        <w:t>between</w:t>
      </w:r>
      <w:r w:rsidR="000525AC">
        <w:t xml:space="preserve"> </w:t>
      </w:r>
      <w:r w:rsidR="006F2CCC">
        <w:t>30° and 40° (Uken, 1998).</w:t>
      </w:r>
    </w:p>
    <w:p w14:paraId="0157147D" w14:textId="1EA9E0B2" w:rsidR="009B40EF" w:rsidRPr="009B40EF" w:rsidRDefault="002849B1" w:rsidP="000525AC">
      <w:pPr>
        <w:jc w:val="both"/>
      </w:pPr>
      <w:r w:rsidRPr="00691EDC">
        <w:t>Button (1976) described the uppermost formations of the Pretoria Group</w:t>
      </w:r>
      <w:r w:rsidR="00766CE2" w:rsidRPr="00691EDC">
        <w:t xml:space="preserve"> in the area</w:t>
      </w:r>
      <w:r w:rsidR="009B40EF" w:rsidRPr="00691EDC">
        <w:t xml:space="preserve">. The </w:t>
      </w:r>
      <w:r w:rsidRPr="00691EDC">
        <w:t xml:space="preserve">oldest </w:t>
      </w:r>
      <w:r w:rsidR="009B40EF" w:rsidRPr="00691EDC">
        <w:t xml:space="preserve">unit, </w:t>
      </w:r>
      <w:r w:rsidRPr="00691EDC">
        <w:t>the</w:t>
      </w:r>
      <w:r w:rsidR="009B40EF" w:rsidRPr="00691EDC">
        <w:t xml:space="preserve"> Silverton Formation, consists</w:t>
      </w:r>
      <w:r w:rsidRPr="00691EDC">
        <w:t xml:space="preserve"> of the Boven Shale Member, the Machadodorp Volcanic Member and the Lydenburg Shale Member. The overlying Magaliesberg </w:t>
      </w:r>
      <w:r w:rsidR="009B40EF" w:rsidRPr="00691EDC">
        <w:t xml:space="preserve">Formation </w:t>
      </w:r>
      <w:r w:rsidRPr="00691EDC">
        <w:t>consists primarily of arenites and argillites</w:t>
      </w:r>
      <w:r w:rsidR="009B40EF" w:rsidRPr="00691EDC">
        <w:t>.</w:t>
      </w:r>
      <w:r w:rsidRPr="00691EDC">
        <w:t xml:space="preserve"> </w:t>
      </w:r>
      <w:r w:rsidR="009B40EF" w:rsidRPr="00691EDC">
        <w:t>T</w:t>
      </w:r>
      <w:r w:rsidRPr="00691EDC">
        <w:t xml:space="preserve">he </w:t>
      </w:r>
      <w:r w:rsidR="009B40EF" w:rsidRPr="00691EDC">
        <w:t xml:space="preserve">younger </w:t>
      </w:r>
      <w:r w:rsidRPr="00691EDC">
        <w:t xml:space="preserve">Vermont Formation consists of </w:t>
      </w:r>
      <w:r w:rsidR="009B40EF" w:rsidRPr="00691EDC">
        <w:t xml:space="preserve">cordierite-fibrolite-biotite schists </w:t>
      </w:r>
      <w:r w:rsidRPr="00691EDC">
        <w:t xml:space="preserve">with minor quartzites and carbonates, and the Lakenvalei Formation consists of a micaceous quartzite </w:t>
      </w:r>
      <w:r w:rsidR="009B40EF" w:rsidRPr="00691EDC">
        <w:t>(Uken, 1998)</w:t>
      </w:r>
      <w:r w:rsidRPr="00691EDC">
        <w:t>.</w:t>
      </w:r>
      <w:r w:rsidRPr="009B40EF">
        <w:t xml:space="preserve"> </w:t>
      </w:r>
    </w:p>
    <w:p w14:paraId="2F970420" w14:textId="24C8E7ED" w:rsidR="000525AC" w:rsidRDefault="002849B1" w:rsidP="000525AC">
      <w:pPr>
        <w:jc w:val="both"/>
      </w:pPr>
      <w:r w:rsidRPr="009B40EF">
        <w:t xml:space="preserve">The Main </w:t>
      </w:r>
      <w:r w:rsidR="009B40EF" w:rsidRPr="009B40EF">
        <w:t xml:space="preserve">Zone </w:t>
      </w:r>
      <w:r w:rsidRPr="009B40EF">
        <w:t xml:space="preserve">and Upper Zone in the area are described by </w:t>
      </w:r>
      <w:r w:rsidR="00672AF4">
        <w:t>V</w:t>
      </w:r>
      <w:r w:rsidR="006E45A0" w:rsidRPr="009B40EF">
        <w:t>on</w:t>
      </w:r>
      <w:r w:rsidRPr="009B40EF">
        <w:t xml:space="preserve"> Gruenewaldt (1973) and Molyneux (1974). Molyneux (1998) re-examined the area with the objective of unravelling the structure in the vicinity of the Wonderkop Fault and the Olifants River (Fig</w:t>
      </w:r>
      <w:r w:rsidR="009B40EF" w:rsidRPr="009B40EF">
        <w:t>ure</w:t>
      </w:r>
      <w:r w:rsidR="001D3B39">
        <w:t xml:space="preserve"> </w:t>
      </w:r>
      <w:r w:rsidR="000A197A">
        <w:t>3</w:t>
      </w:r>
      <w:r w:rsidR="001D3B39">
        <w:t>) and differentiated between lithologies within the Main Zone.</w:t>
      </w:r>
    </w:p>
    <w:p w14:paraId="529480B5" w14:textId="120092FB" w:rsidR="000525AC" w:rsidRDefault="000525AC" w:rsidP="000525AC">
      <w:pPr>
        <w:jc w:val="both"/>
      </w:pPr>
      <w:r>
        <w:t xml:space="preserve">Molyneux and Klinkert (1978) examined available geological and geophysical data from the </w:t>
      </w:r>
      <w:r w:rsidR="006F2CCC">
        <w:t>Rustenburg Layered Suite</w:t>
      </w:r>
      <w:r>
        <w:t xml:space="preserve"> of the Eastern Limb and focused on the Steelpoort, Sekhukhune, Wonderkop and Laersrif fault zones</w:t>
      </w:r>
      <w:r w:rsidR="006F2CCC">
        <w:t xml:space="preserve"> (Figure </w:t>
      </w:r>
      <w:r w:rsidR="00785551">
        <w:t>3</w:t>
      </w:r>
      <w:r w:rsidR="006F2CCC">
        <w:t>)</w:t>
      </w:r>
      <w:r>
        <w:t xml:space="preserve">. </w:t>
      </w:r>
      <w:r w:rsidRPr="005A1485">
        <w:t>Du Plessis and Walraven</w:t>
      </w:r>
      <w:r>
        <w:t xml:space="preserve"> (1990) examine</w:t>
      </w:r>
      <w:r w:rsidR="001D3B39">
        <w:t>d</w:t>
      </w:r>
      <w:r>
        <w:t xml:space="preserve"> and compare</w:t>
      </w:r>
      <w:r w:rsidR="001D3B39">
        <w:t>d</w:t>
      </w:r>
      <w:r>
        <w:t xml:space="preserve"> structural and stratigraphic aspects of the Lebowa Granite Suite and Rustenburg Layered Suite in relation to major structural features of the Kaapvaal Craton. From these two studies, as well as Uken (1998), it is concluded that the area between the Wonderkop and Stofpoort faults is a downthrown graben, and the Wonderkop fault is a left-lateral (sinistral) fault as a result of north-south directed compression.</w:t>
      </w:r>
    </w:p>
    <w:p w14:paraId="392BF8E3" w14:textId="313A70CD" w:rsidR="004845C4" w:rsidRDefault="004845C4" w:rsidP="002849B1">
      <w:pPr>
        <w:jc w:val="both"/>
      </w:pPr>
      <w:r w:rsidRPr="004845C4">
        <w:t xml:space="preserve">Schwellnus </w:t>
      </w:r>
      <w:r w:rsidRPr="004845C4">
        <w:rPr>
          <w:i/>
        </w:rPr>
        <w:t>et al.</w:t>
      </w:r>
      <w:r w:rsidRPr="004845C4">
        <w:t xml:space="preserve"> (1962</w:t>
      </w:r>
      <w:r w:rsidR="00B46C0F">
        <w:t>)</w:t>
      </w:r>
      <w:r>
        <w:t xml:space="preserve"> reported the occurrence of chromitite in close proximity to the contact between the </w:t>
      </w:r>
      <w:r w:rsidR="00B46C0F">
        <w:t xml:space="preserve">Rustenburg Layered Suite </w:t>
      </w:r>
      <w:r>
        <w:t>and t</w:t>
      </w:r>
      <w:r w:rsidR="00B46C0F">
        <w:t>he Pretoria Group metasediments</w:t>
      </w:r>
      <w:r>
        <w:t xml:space="preserve"> on Fortdraai, on the southern flank of the Phosiri Dome.</w:t>
      </w:r>
      <w:r w:rsidR="00B46C0F">
        <w:t xml:space="preserve"> In contrast, the contact between the Rustenburg Layered Suite and the Pretoria Group metasediments is less clear on the eastern flank. </w:t>
      </w:r>
      <w:r>
        <w:t xml:space="preserve">Uken (1998) </w:t>
      </w:r>
      <w:r w:rsidR="00B46C0F">
        <w:t xml:space="preserve">described </w:t>
      </w:r>
      <w:r w:rsidR="001E1242">
        <w:t>the presence of sporadic granite outcrops on the ea</w:t>
      </w:r>
      <w:r w:rsidR="00B46C0F">
        <w:t>stern flank of the Phosiri Dome. U</w:t>
      </w:r>
      <w:r w:rsidR="001E1242">
        <w:t xml:space="preserve">ntil drilled by Lesego, the orientation </w:t>
      </w:r>
      <w:r w:rsidR="00BB29A0">
        <w:t xml:space="preserve">and nature </w:t>
      </w:r>
      <w:r w:rsidR="001E1242">
        <w:t xml:space="preserve">of this granite was not </w:t>
      </w:r>
      <w:r w:rsidR="000E2CFA">
        <w:t>known,</w:t>
      </w:r>
      <w:r w:rsidR="001E1242">
        <w:t xml:space="preserve"> and the granite appears to have concealed Critical Zone lithologies near the eastern flank of the Phosiri Dome.</w:t>
      </w:r>
      <w:r w:rsidR="00436BC4">
        <w:t xml:space="preserve"> </w:t>
      </w:r>
    </w:p>
    <w:p w14:paraId="30D92F13" w14:textId="55C54C84" w:rsidR="001E1242" w:rsidRDefault="001E1242" w:rsidP="002849B1">
      <w:pPr>
        <w:jc w:val="both"/>
      </w:pPr>
      <w:r>
        <w:lastRenderedPageBreak/>
        <w:t>Drilling by Lesego Platinum, a</w:t>
      </w:r>
      <w:r w:rsidR="00444506">
        <w:t>s</w:t>
      </w:r>
      <w:r>
        <w:t xml:space="preserve"> discussed in Chapter 2, successfully </w:t>
      </w:r>
      <w:r w:rsidR="00D673C5">
        <w:t xml:space="preserve">delineated the UG2 and Merensky Reef close to the Phosiri Dome. </w:t>
      </w:r>
      <w:bookmarkStart w:id="19" w:name="_Hlk507352684"/>
      <w:r w:rsidR="00444506">
        <w:t>The</w:t>
      </w:r>
      <w:r w:rsidR="00B46C0F">
        <w:t xml:space="preserve"> formation of the</w:t>
      </w:r>
      <w:r w:rsidR="00444506">
        <w:t xml:space="preserve"> Phosiri Dome dramatic</w:t>
      </w:r>
      <w:r w:rsidR="00B46C0F">
        <w:t>ally</w:t>
      </w:r>
      <w:r w:rsidR="00444506">
        <w:t xml:space="preserve"> </w:t>
      </w:r>
      <w:r w:rsidR="00B46C0F">
        <w:t xml:space="preserve">modified the </w:t>
      </w:r>
      <w:r w:rsidR="00444506">
        <w:t>orientation of the reefs close to the flanks of the Dome. At a depth of 350 m</w:t>
      </w:r>
      <w:r w:rsidR="00B46C0F">
        <w:t xml:space="preserve"> closest to the Dome</w:t>
      </w:r>
      <w:r w:rsidR="00444506">
        <w:t>, the reefs dip at approximately 80°</w:t>
      </w:r>
      <w:r w:rsidR="00B46C0F">
        <w:t xml:space="preserve"> towards the east</w:t>
      </w:r>
      <w:r w:rsidR="00444506">
        <w:t xml:space="preserve">, gradually changing to </w:t>
      </w:r>
      <w:r w:rsidR="000E2CFA">
        <w:t xml:space="preserve">a dip of </w:t>
      </w:r>
      <w:r w:rsidR="00444506">
        <w:t xml:space="preserve">~30° </w:t>
      </w:r>
      <w:r w:rsidR="00B46C0F">
        <w:t xml:space="preserve">towards the east </w:t>
      </w:r>
      <w:r w:rsidR="00444506">
        <w:t xml:space="preserve">at 1,200 m depth below surface, </w:t>
      </w:r>
      <w:r w:rsidR="00FF5725">
        <w:t xml:space="preserve">flattening out to a constant 10° </w:t>
      </w:r>
      <w:r w:rsidR="00B46C0F">
        <w:t xml:space="preserve">towards the east </w:t>
      </w:r>
      <w:r w:rsidR="00FF5725">
        <w:t>at 1,600 m below surface (Fig</w:t>
      </w:r>
      <w:r w:rsidR="000E2CFA">
        <w:t>ure 12</w:t>
      </w:r>
      <w:r w:rsidR="00FF5725">
        <w:t>, Chapter 2).</w:t>
      </w:r>
      <w:bookmarkEnd w:id="19"/>
    </w:p>
    <w:p w14:paraId="5C733209" w14:textId="120BBB46" w:rsidR="00322909" w:rsidRDefault="00322909" w:rsidP="00DF74E7">
      <w:pPr>
        <w:pStyle w:val="Heading3"/>
        <w:rPr>
          <w:color w:val="000000" w:themeColor="text1"/>
        </w:rPr>
      </w:pPr>
      <w:bookmarkStart w:id="20" w:name="_Toc520758771"/>
      <w:r w:rsidRPr="00DF74E7">
        <w:rPr>
          <w:color w:val="000000" w:themeColor="text1"/>
        </w:rPr>
        <w:t>Comparison of Reef Facies</w:t>
      </w:r>
      <w:bookmarkEnd w:id="20"/>
    </w:p>
    <w:p w14:paraId="6815B222" w14:textId="0CA25680" w:rsidR="0078256B" w:rsidRPr="00DF74E7" w:rsidRDefault="001D2110" w:rsidP="00DF74E7">
      <w:pPr>
        <w:pStyle w:val="Heading4"/>
        <w:rPr>
          <w:color w:val="000000" w:themeColor="text1"/>
        </w:rPr>
      </w:pPr>
      <w:bookmarkStart w:id="21" w:name="_Toc520758772"/>
      <w:r w:rsidRPr="00DF74E7">
        <w:rPr>
          <w:color w:val="000000" w:themeColor="text1"/>
        </w:rPr>
        <w:t>UG</w:t>
      </w:r>
      <w:r w:rsidR="0078256B" w:rsidRPr="00DF74E7">
        <w:rPr>
          <w:color w:val="000000" w:themeColor="text1"/>
        </w:rPr>
        <w:t>2 facies variations</w:t>
      </w:r>
      <w:bookmarkEnd w:id="21"/>
    </w:p>
    <w:p w14:paraId="7AB86EA1" w14:textId="5B7CB410" w:rsidR="0095598E" w:rsidRDefault="0095598E" w:rsidP="00DB4C40">
      <w:pPr>
        <w:jc w:val="both"/>
      </w:pPr>
      <w:r>
        <w:t xml:space="preserve">At Lonmin’s Limpopo Division (previously Messina Platinum Mine), 23 km east of the Lesego Project area, in the </w:t>
      </w:r>
      <w:r w:rsidR="000E2CFA">
        <w:t xml:space="preserve">Western Sector </w:t>
      </w:r>
      <w:r w:rsidR="00436BC4">
        <w:t xml:space="preserve">of the </w:t>
      </w:r>
      <w:r w:rsidR="000E2CFA">
        <w:t xml:space="preserve">Limpopo Division </w:t>
      </w:r>
      <w:r w:rsidR="00436BC4">
        <w:t>mining lease area</w:t>
      </w:r>
      <w:r>
        <w:t xml:space="preserve">, </w:t>
      </w:r>
      <w:r w:rsidR="00DB4C40">
        <w:t>two facies of UG2 are apparent</w:t>
      </w:r>
      <w:r w:rsidR="00436BC4">
        <w:t xml:space="preserve"> (</w:t>
      </w:r>
      <w:r w:rsidR="00436BC4" w:rsidRPr="0095598E">
        <w:t>Ha</w:t>
      </w:r>
      <w:r w:rsidR="00436BC4">
        <w:t xml:space="preserve">tton and </w:t>
      </w:r>
      <w:r w:rsidR="007F30D2">
        <w:t>v</w:t>
      </w:r>
      <w:r w:rsidR="00672AF4">
        <w:t>on</w:t>
      </w:r>
      <w:r w:rsidR="00436BC4">
        <w:t xml:space="preserve"> Gruenewaldt, 1987)</w:t>
      </w:r>
      <w:r w:rsidR="00DB4C40">
        <w:t xml:space="preserve">. A single reef facies is present in the </w:t>
      </w:r>
      <w:r w:rsidR="001D265C">
        <w:t>west</w:t>
      </w:r>
      <w:r w:rsidR="00DB4C40">
        <w:t xml:space="preserve">, forming a single layer (0.98 - </w:t>
      </w:r>
      <w:r w:rsidR="00A014BE">
        <w:t>1.94 m thickness)</w:t>
      </w:r>
      <w:r w:rsidR="00DB4C40">
        <w:t xml:space="preserve">, whilst in the </w:t>
      </w:r>
      <w:r w:rsidR="001D265C">
        <w:t>east</w:t>
      </w:r>
      <w:r w:rsidR="00436BC4">
        <w:t>ern sector of the mining lease area</w:t>
      </w:r>
      <w:r w:rsidR="001D265C">
        <w:t xml:space="preserve"> the </w:t>
      </w:r>
      <w:r w:rsidR="00DB4C40">
        <w:t>chromitite layer consists of a lower, sulphide-rich</w:t>
      </w:r>
      <w:r w:rsidR="00436BC4">
        <w:t>,</w:t>
      </w:r>
      <w:r w:rsidR="00DB4C40">
        <w:t xml:space="preserve"> layer and an upper, sulphide-poor</w:t>
      </w:r>
      <w:r w:rsidR="00436BC4">
        <w:t>,</w:t>
      </w:r>
      <w:r w:rsidR="00DB4C40">
        <w:t xml:space="preserve"> layer</w:t>
      </w:r>
      <w:r w:rsidR="00A014BE">
        <w:t xml:space="preserve">, separated by a </w:t>
      </w:r>
      <w:r w:rsidR="00DB4C40">
        <w:t xml:space="preserve">pyroxenite parting </w:t>
      </w:r>
      <w:r>
        <w:t>(</w:t>
      </w:r>
      <w:r w:rsidR="00672AF4">
        <w:t>V</w:t>
      </w:r>
      <w:r>
        <w:t xml:space="preserve">on Gruenewaldt </w:t>
      </w:r>
      <w:r>
        <w:rPr>
          <w:i/>
        </w:rPr>
        <w:t xml:space="preserve">et </w:t>
      </w:r>
      <w:r w:rsidRPr="00887033">
        <w:rPr>
          <w:i/>
        </w:rPr>
        <w:t>al</w:t>
      </w:r>
      <w:r>
        <w:rPr>
          <w:i/>
        </w:rPr>
        <w:t>.</w:t>
      </w:r>
      <w:r>
        <w:t xml:space="preserve">, 1990, </w:t>
      </w:r>
      <w:r w:rsidRPr="00105BE5">
        <w:t>Lea</w:t>
      </w:r>
      <w:r>
        <w:t xml:space="preserve">, 1996). </w:t>
      </w:r>
      <w:r w:rsidR="00A014BE">
        <w:t>Both facies are hosted in a feldspathic pyroxenite sequence with an olivine-bearing pegmatoidal pyroxenite footwall in the east and an anorthosite footwall in the west.</w:t>
      </w:r>
    </w:p>
    <w:p w14:paraId="3486F0C8" w14:textId="239DBC3A" w:rsidR="0078256B" w:rsidRDefault="0078256B" w:rsidP="0078256B">
      <w:pPr>
        <w:jc w:val="both"/>
      </w:pPr>
      <w:r>
        <w:t>The UG2 on Bokoni Platinum Mine (previously Atok and Lebowa Platinum Mine</w:t>
      </w:r>
      <w:r w:rsidR="006A231E">
        <w:t>)</w:t>
      </w:r>
      <w:r w:rsidR="006A231E" w:rsidRPr="006A231E">
        <w:t>,</w:t>
      </w:r>
      <w:r w:rsidR="006A231E">
        <w:t xml:space="preserve"> approximately 20 km northeast of the Lesego Project,</w:t>
      </w:r>
      <w:r>
        <w:t xml:space="preserve"> is described by Mossom (1986) as a 0.60 m thick chromitite with a pegmatoidal feldspathic pyroxenite footwall. Overlying this seam </w:t>
      </w:r>
      <w:r w:rsidR="00436BC4">
        <w:t>is</w:t>
      </w:r>
      <w:r>
        <w:t xml:space="preserve"> the 0.2 - 0.3 m thick UG3 chromitite with leader seams, resulting in a combined thickness of approximately 1 m. This is similar to the thickness of the UG2 elsewhere in the </w:t>
      </w:r>
      <w:r w:rsidR="00436BC4">
        <w:t>Bushveld C</w:t>
      </w:r>
      <w:r>
        <w:t xml:space="preserve">omplex where the UG3 is absent, notably </w:t>
      </w:r>
      <w:r w:rsidR="00436BC4">
        <w:t>i</w:t>
      </w:r>
      <w:r>
        <w:t xml:space="preserve">n the Western Limb (Eales and Cawthorn, 1996).  </w:t>
      </w:r>
    </w:p>
    <w:p w14:paraId="79EA42BC" w14:textId="67927EBA" w:rsidR="00E546E7" w:rsidRDefault="00147374" w:rsidP="00147374">
      <w:pPr>
        <w:jc w:val="both"/>
      </w:pPr>
      <w:r>
        <w:t xml:space="preserve">The UG2 package at </w:t>
      </w:r>
      <w:r w:rsidR="00436BC4">
        <w:t xml:space="preserve">the </w:t>
      </w:r>
      <w:r>
        <w:t xml:space="preserve">Lesego </w:t>
      </w:r>
      <w:r w:rsidR="00436BC4">
        <w:t xml:space="preserve">Project </w:t>
      </w:r>
      <w:r>
        <w:t xml:space="preserve">shows both facies present in the </w:t>
      </w:r>
      <w:r w:rsidR="000E2CFA">
        <w:t>Western S</w:t>
      </w:r>
      <w:r>
        <w:t xml:space="preserve">ector at Lonmin Limpopo, but the bulk of the deposit consists of a single reef facies, with the split reef facies only present in the </w:t>
      </w:r>
      <w:r w:rsidR="00CA7428">
        <w:t>northern and southern portions</w:t>
      </w:r>
      <w:r w:rsidR="00582B8E">
        <w:t xml:space="preserve"> of the orebody</w:t>
      </w:r>
      <w:r>
        <w:t>.</w:t>
      </w:r>
      <w:r w:rsidR="001D2110">
        <w:t xml:space="preserve"> </w:t>
      </w:r>
      <w:r w:rsidR="00CA3317">
        <w:t xml:space="preserve">Table </w:t>
      </w:r>
      <w:r w:rsidR="00E546E7">
        <w:t>1</w:t>
      </w:r>
      <w:r w:rsidR="00CA3317">
        <w:t xml:space="preserve"> shows the typical stratigraphy of the UG2 Chromitite intersections from boreholes drilled at Lesego. On the split reef facies, the upper chrom</w:t>
      </w:r>
      <w:r w:rsidR="00436BC4">
        <w:t>itite</w:t>
      </w:r>
      <w:r w:rsidR="00CA3317">
        <w:t xml:space="preserve"> seam is termed the UG2A and the lower </w:t>
      </w:r>
      <w:r w:rsidR="00436BC4">
        <w:t xml:space="preserve">chromitite </w:t>
      </w:r>
      <w:r w:rsidR="00CA3317">
        <w:t>seam the UG2B.</w:t>
      </w:r>
    </w:p>
    <w:p w14:paraId="38FF0448" w14:textId="77777777" w:rsidR="00E546E7" w:rsidRDefault="00E546E7">
      <w:r>
        <w:br w:type="page"/>
      </w:r>
    </w:p>
    <w:p w14:paraId="6804CEBC" w14:textId="5D96D1DF" w:rsidR="00CA3317" w:rsidRDefault="00CA3317" w:rsidP="00CA3317">
      <w:pPr>
        <w:pStyle w:val="Caption"/>
      </w:pPr>
      <w:bookmarkStart w:id="22" w:name="_Toc520740328"/>
      <w:r>
        <w:lastRenderedPageBreak/>
        <w:t xml:space="preserve">Table </w:t>
      </w:r>
      <w:fldSimple w:instr=" SEQ Table \* ARABIC ">
        <w:r w:rsidR="002645B6">
          <w:rPr>
            <w:noProof/>
          </w:rPr>
          <w:t>1</w:t>
        </w:r>
      </w:fldSimple>
      <w:r>
        <w:t xml:space="preserve">: Local stratigraphy and stratigraphic nomenclature used for the UG2 Chromitite at the Lesego </w:t>
      </w:r>
      <w:r w:rsidR="00436BC4">
        <w:t xml:space="preserve">Project </w:t>
      </w:r>
      <w:r w:rsidR="00220669">
        <w:t>(</w:t>
      </w:r>
      <w:r w:rsidR="00220669" w:rsidRPr="00220669">
        <w:t>Hall, 2013</w:t>
      </w:r>
      <w:r w:rsidR="000A0B53" w:rsidRPr="00220669">
        <w:t>)</w:t>
      </w:r>
      <w:bookmarkEnd w:id="22"/>
    </w:p>
    <w:p w14:paraId="2FC81A02" w14:textId="77777777" w:rsidR="00CA3317" w:rsidRPr="00CA3317" w:rsidRDefault="00CA3317" w:rsidP="00CA3317">
      <w:pPr>
        <w:autoSpaceDE w:val="0"/>
        <w:autoSpaceDN w:val="0"/>
        <w:adjustRightInd w:val="0"/>
        <w:spacing w:before="10" w:after="0" w:line="30" w:lineRule="exact"/>
        <w:rPr>
          <w:rFonts w:ascii="Times New Roman" w:hAnsi="Times New Roman" w:cs="Times New Roman"/>
          <w:sz w:val="3"/>
          <w:szCs w:val="3"/>
          <w:lang w:val="en-ZA"/>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59"/>
        <w:gridCol w:w="1549"/>
        <w:gridCol w:w="1417"/>
        <w:gridCol w:w="4029"/>
      </w:tblGrid>
      <w:tr w:rsidR="00CA3317" w:rsidRPr="00CA3317" w14:paraId="3C5E573E" w14:textId="77777777" w:rsidTr="000A0B53">
        <w:trPr>
          <w:trHeight w:hRule="exact" w:val="449"/>
        </w:trPr>
        <w:tc>
          <w:tcPr>
            <w:tcW w:w="1559" w:type="dxa"/>
            <w:shd w:val="clear" w:color="auto" w:fill="auto"/>
          </w:tcPr>
          <w:p w14:paraId="2A9A7D98" w14:textId="53443F76" w:rsidR="00CA3317" w:rsidRPr="000A0B53" w:rsidRDefault="00436BC4" w:rsidP="000A0B53">
            <w:pPr>
              <w:autoSpaceDE w:val="0"/>
              <w:autoSpaceDN w:val="0"/>
              <w:adjustRightInd w:val="0"/>
              <w:spacing w:before="61" w:after="0" w:line="240" w:lineRule="auto"/>
              <w:ind w:left="102" w:right="-20"/>
              <w:jc w:val="center"/>
              <w:rPr>
                <w:rFonts w:cs="Times New Roman"/>
                <w:color w:val="000000" w:themeColor="text1"/>
                <w:sz w:val="18"/>
                <w:szCs w:val="18"/>
                <w:lang w:val="en-ZA"/>
              </w:rPr>
            </w:pPr>
            <w:r w:rsidRPr="000A0B53">
              <w:rPr>
                <w:rFonts w:cs="Arial"/>
                <w:b/>
                <w:bCs/>
                <w:color w:val="000000" w:themeColor="text1"/>
                <w:sz w:val="18"/>
                <w:szCs w:val="18"/>
                <w:lang w:val="en-ZA"/>
              </w:rPr>
              <w:t>NA</w:t>
            </w:r>
            <w:r w:rsidRPr="000A0B53">
              <w:rPr>
                <w:rFonts w:cs="Arial"/>
                <w:b/>
                <w:bCs/>
                <w:color w:val="000000" w:themeColor="text1"/>
                <w:spacing w:val="1"/>
                <w:sz w:val="18"/>
                <w:szCs w:val="18"/>
                <w:lang w:val="en-ZA"/>
              </w:rPr>
              <w:t>M</w:t>
            </w:r>
            <w:r w:rsidRPr="000A0B53">
              <w:rPr>
                <w:rFonts w:cs="Arial"/>
                <w:b/>
                <w:bCs/>
                <w:color w:val="000000" w:themeColor="text1"/>
                <w:sz w:val="18"/>
                <w:szCs w:val="18"/>
                <w:lang w:val="en-ZA"/>
              </w:rPr>
              <w:t>E</w:t>
            </w:r>
          </w:p>
        </w:tc>
        <w:tc>
          <w:tcPr>
            <w:tcW w:w="1549" w:type="dxa"/>
            <w:shd w:val="clear" w:color="auto" w:fill="auto"/>
          </w:tcPr>
          <w:p w14:paraId="03D0F2E9" w14:textId="06A0D9DB" w:rsidR="00CA3317" w:rsidRPr="000A0B53" w:rsidRDefault="00436BC4" w:rsidP="000A0B53">
            <w:pPr>
              <w:autoSpaceDE w:val="0"/>
              <w:autoSpaceDN w:val="0"/>
              <w:adjustRightInd w:val="0"/>
              <w:spacing w:before="61" w:after="0" w:line="240" w:lineRule="auto"/>
              <w:ind w:left="100" w:right="-20"/>
              <w:jc w:val="center"/>
              <w:rPr>
                <w:rFonts w:cs="Times New Roman"/>
                <w:color w:val="000000" w:themeColor="text1"/>
                <w:sz w:val="18"/>
                <w:szCs w:val="18"/>
                <w:lang w:val="en-ZA"/>
              </w:rPr>
            </w:pPr>
            <w:r w:rsidRPr="000A0B53">
              <w:rPr>
                <w:rFonts w:cs="Arial"/>
                <w:b/>
                <w:bCs/>
                <w:color w:val="000000" w:themeColor="text1"/>
                <w:spacing w:val="-3"/>
                <w:sz w:val="18"/>
                <w:szCs w:val="18"/>
                <w:lang w:val="en-ZA"/>
              </w:rPr>
              <w:t>A</w:t>
            </w:r>
            <w:r w:rsidRPr="000A0B53">
              <w:rPr>
                <w:rFonts w:cs="Arial"/>
                <w:b/>
                <w:bCs/>
                <w:color w:val="000000" w:themeColor="text1"/>
                <w:spacing w:val="2"/>
                <w:sz w:val="18"/>
                <w:szCs w:val="18"/>
                <w:lang w:val="en-ZA"/>
              </w:rPr>
              <w:t>B</w:t>
            </w:r>
            <w:r w:rsidRPr="000A0B53">
              <w:rPr>
                <w:rFonts w:cs="Arial"/>
                <w:b/>
                <w:bCs/>
                <w:color w:val="000000" w:themeColor="text1"/>
                <w:sz w:val="18"/>
                <w:szCs w:val="18"/>
                <w:lang w:val="en-ZA"/>
              </w:rPr>
              <w:t>BR</w:t>
            </w:r>
            <w:r w:rsidRPr="000A0B53">
              <w:rPr>
                <w:rFonts w:cs="Arial"/>
                <w:b/>
                <w:bCs/>
                <w:color w:val="000000" w:themeColor="text1"/>
                <w:spacing w:val="2"/>
                <w:sz w:val="18"/>
                <w:szCs w:val="18"/>
                <w:lang w:val="en-ZA"/>
              </w:rPr>
              <w:t>E</w:t>
            </w:r>
            <w:r w:rsidRPr="000A0B53">
              <w:rPr>
                <w:rFonts w:cs="Arial"/>
                <w:b/>
                <w:bCs/>
                <w:color w:val="000000" w:themeColor="text1"/>
                <w:spacing w:val="-3"/>
                <w:sz w:val="18"/>
                <w:szCs w:val="18"/>
                <w:lang w:val="en-ZA"/>
              </w:rPr>
              <w:t>V</w:t>
            </w:r>
            <w:r w:rsidRPr="000A0B53">
              <w:rPr>
                <w:rFonts w:cs="Arial"/>
                <w:b/>
                <w:bCs/>
                <w:color w:val="000000" w:themeColor="text1"/>
                <w:spacing w:val="2"/>
                <w:sz w:val="18"/>
                <w:szCs w:val="18"/>
                <w:lang w:val="en-ZA"/>
              </w:rPr>
              <w:t>I</w:t>
            </w:r>
            <w:r w:rsidRPr="000A0B53">
              <w:rPr>
                <w:rFonts w:cs="Arial"/>
                <w:b/>
                <w:bCs/>
                <w:color w:val="000000" w:themeColor="text1"/>
                <w:spacing w:val="-1"/>
                <w:sz w:val="18"/>
                <w:szCs w:val="18"/>
                <w:lang w:val="en-ZA"/>
              </w:rPr>
              <w:t>A</w:t>
            </w:r>
            <w:r w:rsidRPr="000A0B53">
              <w:rPr>
                <w:rFonts w:cs="Arial"/>
                <w:b/>
                <w:bCs/>
                <w:color w:val="000000" w:themeColor="text1"/>
                <w:sz w:val="18"/>
                <w:szCs w:val="18"/>
                <w:lang w:val="en-ZA"/>
              </w:rPr>
              <w:t>TION</w:t>
            </w:r>
          </w:p>
        </w:tc>
        <w:tc>
          <w:tcPr>
            <w:tcW w:w="1417" w:type="dxa"/>
            <w:shd w:val="clear" w:color="auto" w:fill="auto"/>
          </w:tcPr>
          <w:p w14:paraId="02037B16" w14:textId="53466AEA" w:rsidR="00CA3317" w:rsidRPr="000A0B53" w:rsidRDefault="00436BC4" w:rsidP="000A0B53">
            <w:pPr>
              <w:autoSpaceDE w:val="0"/>
              <w:autoSpaceDN w:val="0"/>
              <w:adjustRightInd w:val="0"/>
              <w:spacing w:before="61" w:after="0" w:line="240" w:lineRule="auto"/>
              <w:ind w:left="100" w:right="-20"/>
              <w:jc w:val="center"/>
              <w:rPr>
                <w:rFonts w:cs="Times New Roman"/>
                <w:color w:val="000000" w:themeColor="text1"/>
                <w:sz w:val="18"/>
                <w:szCs w:val="18"/>
                <w:lang w:val="en-ZA"/>
              </w:rPr>
            </w:pPr>
            <w:r w:rsidRPr="000A0B53">
              <w:rPr>
                <w:rFonts w:cs="Arial"/>
                <w:b/>
                <w:bCs/>
                <w:color w:val="000000" w:themeColor="text1"/>
                <w:sz w:val="18"/>
                <w:szCs w:val="18"/>
                <w:lang w:val="en-ZA"/>
              </w:rPr>
              <w:t>THI</w:t>
            </w:r>
            <w:r w:rsidRPr="000A0B53">
              <w:rPr>
                <w:rFonts w:cs="Arial"/>
                <w:b/>
                <w:bCs/>
                <w:color w:val="000000" w:themeColor="text1"/>
                <w:spacing w:val="-1"/>
                <w:sz w:val="18"/>
                <w:szCs w:val="18"/>
                <w:lang w:val="en-ZA"/>
              </w:rPr>
              <w:t>CK</w:t>
            </w:r>
            <w:r w:rsidRPr="000A0B53">
              <w:rPr>
                <w:rFonts w:cs="Arial"/>
                <w:b/>
                <w:bCs/>
                <w:color w:val="000000" w:themeColor="text1"/>
                <w:sz w:val="18"/>
                <w:szCs w:val="18"/>
                <w:lang w:val="en-ZA"/>
              </w:rPr>
              <w:t>N</w:t>
            </w:r>
            <w:r w:rsidRPr="000A0B53">
              <w:rPr>
                <w:rFonts w:cs="Arial"/>
                <w:b/>
                <w:bCs/>
                <w:color w:val="000000" w:themeColor="text1"/>
                <w:spacing w:val="-1"/>
                <w:sz w:val="18"/>
                <w:szCs w:val="18"/>
                <w:lang w:val="en-ZA"/>
              </w:rPr>
              <w:t>ESS</w:t>
            </w:r>
          </w:p>
        </w:tc>
        <w:tc>
          <w:tcPr>
            <w:tcW w:w="4029" w:type="dxa"/>
            <w:shd w:val="clear" w:color="auto" w:fill="auto"/>
          </w:tcPr>
          <w:p w14:paraId="5A95B56F" w14:textId="79AE8C3B" w:rsidR="00CA3317" w:rsidRPr="000A0B53" w:rsidRDefault="00436BC4" w:rsidP="000A0B53">
            <w:pPr>
              <w:autoSpaceDE w:val="0"/>
              <w:autoSpaceDN w:val="0"/>
              <w:adjustRightInd w:val="0"/>
              <w:spacing w:before="61" w:after="0" w:line="240" w:lineRule="auto"/>
              <w:ind w:left="100" w:right="-20"/>
              <w:jc w:val="center"/>
              <w:rPr>
                <w:rFonts w:cs="Times New Roman"/>
                <w:color w:val="000000" w:themeColor="text1"/>
                <w:sz w:val="18"/>
                <w:szCs w:val="18"/>
                <w:lang w:val="en-ZA"/>
              </w:rPr>
            </w:pPr>
            <w:r w:rsidRPr="000A0B53">
              <w:rPr>
                <w:rFonts w:cs="Arial"/>
                <w:b/>
                <w:bCs/>
                <w:color w:val="000000" w:themeColor="text1"/>
                <w:sz w:val="18"/>
                <w:szCs w:val="18"/>
                <w:lang w:val="en-ZA"/>
              </w:rPr>
              <w:t>D</w:t>
            </w:r>
            <w:r w:rsidRPr="000A0B53">
              <w:rPr>
                <w:rFonts w:cs="Arial"/>
                <w:b/>
                <w:bCs/>
                <w:color w:val="000000" w:themeColor="text1"/>
                <w:spacing w:val="-1"/>
                <w:sz w:val="18"/>
                <w:szCs w:val="18"/>
                <w:lang w:val="en-ZA"/>
              </w:rPr>
              <w:t>E</w:t>
            </w:r>
            <w:r w:rsidRPr="000A0B53">
              <w:rPr>
                <w:rFonts w:cs="Arial"/>
                <w:b/>
                <w:bCs/>
                <w:color w:val="000000" w:themeColor="text1"/>
                <w:sz w:val="18"/>
                <w:szCs w:val="18"/>
                <w:lang w:val="en-ZA"/>
              </w:rPr>
              <w:t>S</w:t>
            </w:r>
            <w:r w:rsidRPr="000A0B53">
              <w:rPr>
                <w:rFonts w:cs="Arial"/>
                <w:b/>
                <w:bCs/>
                <w:color w:val="000000" w:themeColor="text1"/>
                <w:spacing w:val="-1"/>
                <w:sz w:val="18"/>
                <w:szCs w:val="18"/>
                <w:lang w:val="en-ZA"/>
              </w:rPr>
              <w:t>C</w:t>
            </w:r>
            <w:r w:rsidRPr="000A0B53">
              <w:rPr>
                <w:rFonts w:cs="Arial"/>
                <w:b/>
                <w:bCs/>
                <w:color w:val="000000" w:themeColor="text1"/>
                <w:sz w:val="18"/>
                <w:szCs w:val="18"/>
                <w:lang w:val="en-ZA"/>
              </w:rPr>
              <w:t>RIPTION</w:t>
            </w:r>
          </w:p>
        </w:tc>
      </w:tr>
      <w:tr w:rsidR="00CA3317" w:rsidRPr="00CA3317" w14:paraId="52DFD6C4" w14:textId="77777777" w:rsidTr="000A0B53">
        <w:trPr>
          <w:trHeight w:hRule="exact" w:val="719"/>
        </w:trPr>
        <w:tc>
          <w:tcPr>
            <w:tcW w:w="1559" w:type="dxa"/>
          </w:tcPr>
          <w:p w14:paraId="0A45AFEE" w14:textId="77777777" w:rsidR="00CA3317" w:rsidRPr="00CA3317" w:rsidRDefault="00CA3317" w:rsidP="00CA3317">
            <w:pPr>
              <w:autoSpaceDE w:val="0"/>
              <w:autoSpaceDN w:val="0"/>
              <w:adjustRightInd w:val="0"/>
              <w:spacing w:before="87" w:after="0" w:line="260" w:lineRule="auto"/>
              <w:ind w:left="102" w:right="167"/>
              <w:rPr>
                <w:rFonts w:cs="Times New Roman"/>
                <w:sz w:val="24"/>
                <w:szCs w:val="24"/>
                <w:lang w:val="en-ZA"/>
              </w:rPr>
            </w:pPr>
            <w:r w:rsidRPr="00CA3317">
              <w:rPr>
                <w:rFonts w:cs="Arial"/>
                <w:color w:val="010202"/>
                <w:spacing w:val="-1"/>
                <w:sz w:val="18"/>
                <w:szCs w:val="18"/>
                <w:lang w:val="en-ZA"/>
              </w:rPr>
              <w:t>1</w:t>
            </w:r>
            <w:r w:rsidRPr="00CA3317">
              <w:rPr>
                <w:rFonts w:cs="Arial"/>
                <w:color w:val="010202"/>
                <w:position w:val="9"/>
                <w:sz w:val="12"/>
                <w:szCs w:val="12"/>
                <w:lang w:val="en-ZA"/>
              </w:rPr>
              <w:t>st</w:t>
            </w:r>
            <w:r w:rsidRPr="00CA3317">
              <w:rPr>
                <w:rFonts w:cs="Arial"/>
                <w:color w:val="010202"/>
                <w:spacing w:val="16"/>
                <w:position w:val="9"/>
                <w:sz w:val="12"/>
                <w:szCs w:val="12"/>
                <w:lang w:val="en-ZA"/>
              </w:rPr>
              <w:t xml:space="preserve"> </w:t>
            </w:r>
            <w:r w:rsidRPr="00CA3317">
              <w:rPr>
                <w:rFonts w:cs="Arial"/>
                <w:color w:val="010202"/>
                <w:sz w:val="18"/>
                <w:szCs w:val="18"/>
                <w:lang w:val="en-ZA"/>
              </w:rPr>
              <w:t>UG2 Le</w:t>
            </w:r>
            <w:r w:rsidRPr="00CA3317">
              <w:rPr>
                <w:rFonts w:cs="Arial"/>
                <w:color w:val="010202"/>
                <w:spacing w:val="1"/>
                <w:sz w:val="18"/>
                <w:szCs w:val="18"/>
                <w:lang w:val="en-ZA"/>
              </w:rPr>
              <w:t>a</w:t>
            </w:r>
            <w:r w:rsidRPr="00CA3317">
              <w:rPr>
                <w:rFonts w:cs="Arial"/>
                <w:color w:val="010202"/>
                <w:sz w:val="18"/>
                <w:szCs w:val="18"/>
                <w:lang w:val="en-ZA"/>
              </w:rPr>
              <w:t>der chromitite</w:t>
            </w:r>
          </w:p>
        </w:tc>
        <w:tc>
          <w:tcPr>
            <w:tcW w:w="1549" w:type="dxa"/>
          </w:tcPr>
          <w:p w14:paraId="2E7AFF19" w14:textId="77777777" w:rsidR="00CA3317" w:rsidRPr="00CA3317" w:rsidRDefault="00CA3317" w:rsidP="00CA3317">
            <w:pPr>
              <w:autoSpaceDE w:val="0"/>
              <w:autoSpaceDN w:val="0"/>
              <w:adjustRightInd w:val="0"/>
              <w:spacing w:before="15" w:after="0" w:line="220" w:lineRule="exact"/>
              <w:rPr>
                <w:rFonts w:cs="Times New Roman"/>
                <w:lang w:val="en-ZA"/>
              </w:rPr>
            </w:pPr>
          </w:p>
          <w:p w14:paraId="3F99406B" w14:textId="77777777" w:rsidR="00CA3317" w:rsidRPr="00CA3317" w:rsidRDefault="00CA3317" w:rsidP="00CA3317">
            <w:pPr>
              <w:autoSpaceDE w:val="0"/>
              <w:autoSpaceDN w:val="0"/>
              <w:adjustRightInd w:val="0"/>
              <w:spacing w:after="0" w:line="240" w:lineRule="auto"/>
              <w:ind w:left="100" w:right="-20"/>
              <w:rPr>
                <w:rFonts w:cs="Times New Roman"/>
                <w:sz w:val="24"/>
                <w:szCs w:val="24"/>
                <w:lang w:val="en-ZA"/>
              </w:rPr>
            </w:pPr>
            <w:r w:rsidRPr="00CA3317">
              <w:rPr>
                <w:rFonts w:cs="Arial"/>
                <w:color w:val="010202"/>
                <w:sz w:val="18"/>
                <w:szCs w:val="18"/>
                <w:lang w:val="en-ZA"/>
              </w:rPr>
              <w:t>UG2LD</w:t>
            </w:r>
            <w:r w:rsidRPr="00CA3317">
              <w:rPr>
                <w:rFonts w:cs="Arial"/>
                <w:color w:val="010202"/>
                <w:spacing w:val="1"/>
                <w:sz w:val="18"/>
                <w:szCs w:val="18"/>
                <w:lang w:val="en-ZA"/>
              </w:rPr>
              <w:t>R</w:t>
            </w:r>
            <w:r w:rsidRPr="00CA3317">
              <w:rPr>
                <w:rFonts w:cs="Arial"/>
                <w:color w:val="010202"/>
                <w:sz w:val="18"/>
                <w:szCs w:val="18"/>
                <w:lang w:val="en-ZA"/>
              </w:rPr>
              <w:t>1</w:t>
            </w:r>
          </w:p>
        </w:tc>
        <w:tc>
          <w:tcPr>
            <w:tcW w:w="1417" w:type="dxa"/>
          </w:tcPr>
          <w:p w14:paraId="754916A5" w14:textId="77777777" w:rsidR="00CA3317" w:rsidRPr="00CA3317" w:rsidRDefault="00CA3317" w:rsidP="00CA3317">
            <w:pPr>
              <w:autoSpaceDE w:val="0"/>
              <w:autoSpaceDN w:val="0"/>
              <w:adjustRightInd w:val="0"/>
              <w:spacing w:before="15" w:after="0" w:line="220" w:lineRule="exact"/>
              <w:rPr>
                <w:rFonts w:cs="Times New Roman"/>
                <w:lang w:val="en-ZA"/>
              </w:rPr>
            </w:pPr>
          </w:p>
          <w:p w14:paraId="0FF6A69D" w14:textId="77777777" w:rsidR="00CA3317" w:rsidRPr="00CA3317" w:rsidRDefault="00CA3317" w:rsidP="00CA3317">
            <w:pPr>
              <w:autoSpaceDE w:val="0"/>
              <w:autoSpaceDN w:val="0"/>
              <w:adjustRightInd w:val="0"/>
              <w:spacing w:after="0" w:line="240" w:lineRule="auto"/>
              <w:ind w:left="100" w:right="-20"/>
              <w:rPr>
                <w:rFonts w:cs="Times New Roman"/>
                <w:sz w:val="24"/>
                <w:szCs w:val="24"/>
                <w:lang w:val="en-ZA"/>
              </w:rPr>
            </w:pPr>
            <w:r w:rsidRPr="00CA3317">
              <w:rPr>
                <w:rFonts w:cs="Arial"/>
                <w:color w:val="010202"/>
                <w:sz w:val="18"/>
                <w:szCs w:val="18"/>
                <w:lang w:val="en-ZA"/>
              </w:rPr>
              <w:t>0.05 – 0.</w:t>
            </w:r>
            <w:r w:rsidRPr="00CA3317">
              <w:rPr>
                <w:rFonts w:cs="Arial"/>
                <w:color w:val="010202"/>
                <w:spacing w:val="1"/>
                <w:sz w:val="18"/>
                <w:szCs w:val="18"/>
                <w:lang w:val="en-ZA"/>
              </w:rPr>
              <w:t>1</w:t>
            </w:r>
            <w:r w:rsidRPr="00CA3317">
              <w:rPr>
                <w:rFonts w:cs="Arial"/>
                <w:color w:val="010202"/>
                <w:sz w:val="18"/>
                <w:szCs w:val="18"/>
                <w:lang w:val="en-ZA"/>
              </w:rPr>
              <w:t>5 m</w:t>
            </w:r>
          </w:p>
        </w:tc>
        <w:tc>
          <w:tcPr>
            <w:tcW w:w="4029" w:type="dxa"/>
          </w:tcPr>
          <w:p w14:paraId="04629374" w14:textId="77777777" w:rsidR="00CA3317" w:rsidRPr="00CA3317" w:rsidRDefault="00CA3317" w:rsidP="00CA3317">
            <w:pPr>
              <w:autoSpaceDE w:val="0"/>
              <w:autoSpaceDN w:val="0"/>
              <w:adjustRightInd w:val="0"/>
              <w:spacing w:before="1" w:after="0" w:line="120" w:lineRule="exact"/>
              <w:rPr>
                <w:rFonts w:cs="Times New Roman"/>
                <w:sz w:val="12"/>
                <w:szCs w:val="12"/>
                <w:lang w:val="en-ZA"/>
              </w:rPr>
            </w:pPr>
          </w:p>
          <w:p w14:paraId="54BF8861" w14:textId="485E9EF0" w:rsidR="00CA3317" w:rsidRPr="00CA3317" w:rsidRDefault="00CA3317" w:rsidP="00CA3317">
            <w:pPr>
              <w:autoSpaceDE w:val="0"/>
              <w:autoSpaceDN w:val="0"/>
              <w:adjustRightInd w:val="0"/>
              <w:spacing w:after="0" w:line="264" w:lineRule="auto"/>
              <w:ind w:left="100" w:right="517"/>
              <w:rPr>
                <w:rFonts w:cs="Times New Roman"/>
                <w:sz w:val="24"/>
                <w:szCs w:val="24"/>
                <w:lang w:val="en-ZA"/>
              </w:rPr>
            </w:pPr>
            <w:r w:rsidRPr="00CA3317">
              <w:rPr>
                <w:rFonts w:cs="Arial"/>
                <w:color w:val="010202"/>
                <w:sz w:val="18"/>
                <w:szCs w:val="18"/>
                <w:lang w:val="en-ZA"/>
              </w:rPr>
              <w:t>Fine</w:t>
            </w:r>
            <w:r w:rsidRPr="00CA3317">
              <w:rPr>
                <w:rFonts w:cs="Arial"/>
                <w:color w:val="010202"/>
                <w:spacing w:val="-1"/>
                <w:sz w:val="18"/>
                <w:szCs w:val="18"/>
                <w:lang w:val="en-ZA"/>
              </w:rPr>
              <w:t xml:space="preserve"> </w:t>
            </w:r>
            <w:r w:rsidRPr="00CA3317">
              <w:rPr>
                <w:rFonts w:cs="Arial"/>
                <w:color w:val="010202"/>
                <w:sz w:val="18"/>
                <w:szCs w:val="18"/>
                <w:lang w:val="en-ZA"/>
              </w:rPr>
              <w:t>gr</w:t>
            </w:r>
            <w:r w:rsidRPr="00CA3317">
              <w:rPr>
                <w:rFonts w:cs="Arial"/>
                <w:color w:val="010202"/>
                <w:spacing w:val="1"/>
                <w:sz w:val="18"/>
                <w:szCs w:val="18"/>
                <w:lang w:val="en-ZA"/>
              </w:rPr>
              <w:t>a</w:t>
            </w:r>
            <w:r w:rsidRPr="00CA3317">
              <w:rPr>
                <w:rFonts w:cs="Arial"/>
                <w:color w:val="010202"/>
                <w:sz w:val="18"/>
                <w:szCs w:val="18"/>
                <w:lang w:val="en-ZA"/>
              </w:rPr>
              <w:t>in</w:t>
            </w:r>
            <w:r w:rsidRPr="00CA3317">
              <w:rPr>
                <w:rFonts w:cs="Arial"/>
                <w:color w:val="010202"/>
                <w:spacing w:val="1"/>
                <w:sz w:val="18"/>
                <w:szCs w:val="18"/>
                <w:lang w:val="en-ZA"/>
              </w:rPr>
              <w:t>e</w:t>
            </w:r>
            <w:r w:rsidRPr="00CA3317">
              <w:rPr>
                <w:rFonts w:cs="Arial"/>
                <w:color w:val="010202"/>
                <w:sz w:val="18"/>
                <w:szCs w:val="18"/>
                <w:lang w:val="en-ZA"/>
              </w:rPr>
              <w:t>d</w:t>
            </w:r>
            <w:r w:rsidRPr="00CA3317">
              <w:rPr>
                <w:rFonts w:cs="Arial"/>
                <w:color w:val="010202"/>
                <w:spacing w:val="-1"/>
                <w:sz w:val="18"/>
                <w:szCs w:val="18"/>
                <w:lang w:val="en-ZA"/>
              </w:rPr>
              <w:t xml:space="preserve"> </w:t>
            </w:r>
            <w:r w:rsidRPr="00CA3317">
              <w:rPr>
                <w:rFonts w:cs="Arial"/>
                <w:color w:val="010202"/>
                <w:sz w:val="18"/>
                <w:szCs w:val="18"/>
                <w:lang w:val="en-ZA"/>
              </w:rPr>
              <w:t>chromitite</w:t>
            </w:r>
            <w:r w:rsidRPr="00CA3317">
              <w:rPr>
                <w:rFonts w:cs="Arial"/>
                <w:color w:val="010202"/>
                <w:spacing w:val="3"/>
                <w:sz w:val="18"/>
                <w:szCs w:val="18"/>
                <w:lang w:val="en-ZA"/>
              </w:rPr>
              <w:t xml:space="preserve"> </w:t>
            </w:r>
            <w:r w:rsidRPr="00CA3317">
              <w:rPr>
                <w:rFonts w:cs="Arial"/>
                <w:color w:val="010202"/>
                <w:spacing w:val="-3"/>
                <w:sz w:val="18"/>
                <w:szCs w:val="18"/>
                <w:lang w:val="en-ZA"/>
              </w:rPr>
              <w:t>w</w:t>
            </w:r>
            <w:r w:rsidRPr="00CA3317">
              <w:rPr>
                <w:rFonts w:cs="Arial"/>
                <w:color w:val="010202"/>
                <w:sz w:val="18"/>
                <w:szCs w:val="18"/>
                <w:lang w:val="en-ZA"/>
              </w:rPr>
              <w:t>i</w:t>
            </w:r>
            <w:r w:rsidRPr="00CA3317">
              <w:rPr>
                <w:rFonts w:cs="Arial"/>
                <w:color w:val="010202"/>
                <w:spacing w:val="2"/>
                <w:sz w:val="18"/>
                <w:szCs w:val="18"/>
                <w:lang w:val="en-ZA"/>
              </w:rPr>
              <w:t>t</w:t>
            </w:r>
            <w:r w:rsidRPr="00CA3317">
              <w:rPr>
                <w:rFonts w:cs="Arial"/>
                <w:color w:val="010202"/>
                <w:sz w:val="18"/>
                <w:szCs w:val="18"/>
                <w:lang w:val="en-ZA"/>
              </w:rPr>
              <w:t>h sharp, p</w:t>
            </w:r>
            <w:r w:rsidRPr="00CA3317">
              <w:rPr>
                <w:rFonts w:cs="Arial"/>
                <w:color w:val="010202"/>
                <w:spacing w:val="1"/>
                <w:sz w:val="18"/>
                <w:szCs w:val="18"/>
                <w:lang w:val="en-ZA"/>
              </w:rPr>
              <w:t>l</w:t>
            </w:r>
            <w:r w:rsidRPr="00CA3317">
              <w:rPr>
                <w:rFonts w:cs="Arial"/>
                <w:color w:val="010202"/>
                <w:sz w:val="18"/>
                <w:szCs w:val="18"/>
                <w:lang w:val="en-ZA"/>
              </w:rPr>
              <w:t>a</w:t>
            </w:r>
            <w:r w:rsidRPr="00CA3317">
              <w:rPr>
                <w:rFonts w:cs="Arial"/>
                <w:color w:val="010202"/>
                <w:spacing w:val="1"/>
                <w:sz w:val="18"/>
                <w:szCs w:val="18"/>
                <w:lang w:val="en-ZA"/>
              </w:rPr>
              <w:t>n</w:t>
            </w:r>
            <w:r w:rsidRPr="00CA3317">
              <w:rPr>
                <w:rFonts w:cs="Arial"/>
                <w:color w:val="010202"/>
                <w:sz w:val="18"/>
                <w:szCs w:val="18"/>
                <w:lang w:val="en-ZA"/>
              </w:rPr>
              <w:t>ar contacts</w:t>
            </w:r>
          </w:p>
        </w:tc>
      </w:tr>
      <w:tr w:rsidR="00CA3317" w:rsidRPr="00CA3317" w14:paraId="0718A760" w14:textId="77777777" w:rsidTr="000A0B53">
        <w:trPr>
          <w:trHeight w:hRule="exact" w:val="984"/>
        </w:trPr>
        <w:tc>
          <w:tcPr>
            <w:tcW w:w="1559" w:type="dxa"/>
          </w:tcPr>
          <w:p w14:paraId="703EFBC3" w14:textId="77777777" w:rsidR="00CA3317" w:rsidRPr="00CA3317" w:rsidRDefault="00CA3317" w:rsidP="00CA3317">
            <w:pPr>
              <w:autoSpaceDE w:val="0"/>
              <w:autoSpaceDN w:val="0"/>
              <w:adjustRightInd w:val="0"/>
              <w:spacing w:before="25" w:after="0" w:line="264" w:lineRule="auto"/>
              <w:ind w:left="102" w:right="413"/>
              <w:rPr>
                <w:rFonts w:cs="Times New Roman"/>
                <w:sz w:val="24"/>
                <w:szCs w:val="24"/>
                <w:lang w:val="en-ZA"/>
              </w:rPr>
            </w:pPr>
            <w:r w:rsidRPr="00CA3317">
              <w:rPr>
                <w:rFonts w:cs="Arial"/>
                <w:color w:val="010202"/>
                <w:sz w:val="18"/>
                <w:szCs w:val="18"/>
                <w:lang w:val="en-ZA"/>
              </w:rPr>
              <w:t>UG2 Le</w:t>
            </w:r>
            <w:r w:rsidRPr="00CA3317">
              <w:rPr>
                <w:rFonts w:cs="Arial"/>
                <w:color w:val="010202"/>
                <w:spacing w:val="1"/>
                <w:sz w:val="18"/>
                <w:szCs w:val="18"/>
                <w:lang w:val="en-ZA"/>
              </w:rPr>
              <w:t>a</w:t>
            </w:r>
            <w:r w:rsidRPr="00CA3317">
              <w:rPr>
                <w:rFonts w:cs="Arial"/>
                <w:color w:val="010202"/>
                <w:sz w:val="18"/>
                <w:szCs w:val="18"/>
                <w:lang w:val="en-ZA"/>
              </w:rPr>
              <w:t>der chromitite midd</w:t>
            </w:r>
            <w:r w:rsidRPr="00CA3317">
              <w:rPr>
                <w:rFonts w:cs="Arial"/>
                <w:color w:val="010202"/>
                <w:spacing w:val="1"/>
                <w:sz w:val="18"/>
                <w:szCs w:val="18"/>
                <w:lang w:val="en-ZA"/>
              </w:rPr>
              <w:t>l</w:t>
            </w:r>
            <w:r w:rsidRPr="00CA3317">
              <w:rPr>
                <w:rFonts w:cs="Arial"/>
                <w:color w:val="010202"/>
                <w:sz w:val="18"/>
                <w:szCs w:val="18"/>
                <w:lang w:val="en-ZA"/>
              </w:rPr>
              <w:t>i</w:t>
            </w:r>
            <w:r w:rsidRPr="00CA3317">
              <w:rPr>
                <w:rFonts w:cs="Arial"/>
                <w:color w:val="010202"/>
                <w:spacing w:val="1"/>
                <w:sz w:val="18"/>
                <w:szCs w:val="18"/>
                <w:lang w:val="en-ZA"/>
              </w:rPr>
              <w:t>n</w:t>
            </w:r>
            <w:r w:rsidRPr="00CA3317">
              <w:rPr>
                <w:rFonts w:cs="Arial"/>
                <w:color w:val="010202"/>
                <w:sz w:val="18"/>
                <w:szCs w:val="18"/>
                <w:lang w:val="en-ZA"/>
              </w:rPr>
              <w:t xml:space="preserve">g </w:t>
            </w:r>
            <w:r w:rsidRPr="00CA3317">
              <w:rPr>
                <w:rFonts w:cs="Arial"/>
                <w:color w:val="010202"/>
                <w:spacing w:val="1"/>
                <w:sz w:val="18"/>
                <w:szCs w:val="18"/>
                <w:lang w:val="en-ZA"/>
              </w:rPr>
              <w:t>p</w:t>
            </w:r>
            <w:r w:rsidRPr="00CA3317">
              <w:rPr>
                <w:rFonts w:cs="Arial"/>
                <w:color w:val="010202"/>
                <w:spacing w:val="-2"/>
                <w:sz w:val="18"/>
                <w:szCs w:val="18"/>
                <w:lang w:val="en-ZA"/>
              </w:rPr>
              <w:t>y</w:t>
            </w:r>
            <w:r w:rsidRPr="00CA3317">
              <w:rPr>
                <w:rFonts w:cs="Arial"/>
                <w:color w:val="010202"/>
                <w:spacing w:val="1"/>
                <w:sz w:val="18"/>
                <w:szCs w:val="18"/>
                <w:lang w:val="en-ZA"/>
              </w:rPr>
              <w:t>ro</w:t>
            </w:r>
            <w:r w:rsidRPr="00CA3317">
              <w:rPr>
                <w:rFonts w:cs="Arial"/>
                <w:color w:val="010202"/>
                <w:spacing w:val="-1"/>
                <w:sz w:val="18"/>
                <w:szCs w:val="18"/>
                <w:lang w:val="en-ZA"/>
              </w:rPr>
              <w:t>x</w:t>
            </w:r>
            <w:r w:rsidRPr="00CA3317">
              <w:rPr>
                <w:rFonts w:cs="Arial"/>
                <w:color w:val="010202"/>
                <w:spacing w:val="1"/>
                <w:sz w:val="18"/>
                <w:szCs w:val="18"/>
                <w:lang w:val="en-ZA"/>
              </w:rPr>
              <w:t>e</w:t>
            </w:r>
            <w:r w:rsidRPr="00CA3317">
              <w:rPr>
                <w:rFonts w:cs="Arial"/>
                <w:color w:val="010202"/>
                <w:spacing w:val="-1"/>
                <w:sz w:val="18"/>
                <w:szCs w:val="18"/>
                <w:lang w:val="en-ZA"/>
              </w:rPr>
              <w:t>n</w:t>
            </w:r>
            <w:r w:rsidRPr="00CA3317">
              <w:rPr>
                <w:rFonts w:cs="Arial"/>
                <w:color w:val="010202"/>
                <w:sz w:val="18"/>
                <w:szCs w:val="18"/>
                <w:lang w:val="en-ZA"/>
              </w:rPr>
              <w:t>i</w:t>
            </w:r>
            <w:r w:rsidRPr="00CA3317">
              <w:rPr>
                <w:rFonts w:cs="Arial"/>
                <w:color w:val="010202"/>
                <w:spacing w:val="1"/>
                <w:sz w:val="18"/>
                <w:szCs w:val="18"/>
                <w:lang w:val="en-ZA"/>
              </w:rPr>
              <w:t>te</w:t>
            </w:r>
          </w:p>
        </w:tc>
        <w:tc>
          <w:tcPr>
            <w:tcW w:w="1549" w:type="dxa"/>
          </w:tcPr>
          <w:p w14:paraId="3B4D4A85" w14:textId="77777777" w:rsidR="00CA3317" w:rsidRPr="00CA3317" w:rsidRDefault="00CA3317" w:rsidP="00CA3317">
            <w:pPr>
              <w:autoSpaceDE w:val="0"/>
              <w:autoSpaceDN w:val="0"/>
              <w:adjustRightInd w:val="0"/>
              <w:spacing w:before="8" w:after="0" w:line="160" w:lineRule="exact"/>
              <w:rPr>
                <w:rFonts w:cs="Times New Roman"/>
                <w:sz w:val="16"/>
                <w:szCs w:val="16"/>
                <w:lang w:val="en-ZA"/>
              </w:rPr>
            </w:pPr>
          </w:p>
          <w:p w14:paraId="1F30B2B3" w14:textId="77777777" w:rsidR="00CA3317" w:rsidRPr="00CA3317" w:rsidRDefault="00CA3317" w:rsidP="00CA3317">
            <w:pPr>
              <w:autoSpaceDE w:val="0"/>
              <w:autoSpaceDN w:val="0"/>
              <w:adjustRightInd w:val="0"/>
              <w:spacing w:after="0" w:line="240" w:lineRule="auto"/>
              <w:ind w:left="100" w:right="-20"/>
              <w:rPr>
                <w:rFonts w:cs="Times New Roman"/>
                <w:sz w:val="24"/>
                <w:szCs w:val="24"/>
                <w:lang w:val="en-ZA"/>
              </w:rPr>
            </w:pPr>
            <w:r w:rsidRPr="00CA3317">
              <w:rPr>
                <w:rFonts w:cs="Arial"/>
                <w:color w:val="010202"/>
                <w:sz w:val="18"/>
                <w:szCs w:val="18"/>
                <w:lang w:val="en-ZA"/>
              </w:rPr>
              <w:t>UG2</w:t>
            </w:r>
            <w:r w:rsidRPr="00CA3317">
              <w:rPr>
                <w:rFonts w:cs="Arial"/>
                <w:color w:val="010202"/>
                <w:spacing w:val="1"/>
                <w:sz w:val="18"/>
                <w:szCs w:val="18"/>
                <w:lang w:val="en-ZA"/>
              </w:rPr>
              <w:t>P</w:t>
            </w:r>
            <w:r w:rsidRPr="00CA3317">
              <w:rPr>
                <w:rFonts w:cs="Arial"/>
                <w:color w:val="010202"/>
                <w:sz w:val="18"/>
                <w:szCs w:val="18"/>
                <w:lang w:val="en-ZA"/>
              </w:rPr>
              <w:t>X1</w:t>
            </w:r>
          </w:p>
        </w:tc>
        <w:tc>
          <w:tcPr>
            <w:tcW w:w="1417" w:type="dxa"/>
          </w:tcPr>
          <w:p w14:paraId="2A444376" w14:textId="77777777" w:rsidR="00CA3317" w:rsidRPr="00CA3317" w:rsidRDefault="00CA3317" w:rsidP="00CA3317">
            <w:pPr>
              <w:autoSpaceDE w:val="0"/>
              <w:autoSpaceDN w:val="0"/>
              <w:adjustRightInd w:val="0"/>
              <w:spacing w:before="8" w:after="0" w:line="160" w:lineRule="exact"/>
              <w:rPr>
                <w:rFonts w:cs="Times New Roman"/>
                <w:sz w:val="16"/>
                <w:szCs w:val="16"/>
                <w:lang w:val="en-ZA"/>
              </w:rPr>
            </w:pPr>
          </w:p>
          <w:p w14:paraId="17DCD5D2" w14:textId="77777777" w:rsidR="00CA3317" w:rsidRPr="00CA3317" w:rsidRDefault="00CA3317" w:rsidP="00CA3317">
            <w:pPr>
              <w:autoSpaceDE w:val="0"/>
              <w:autoSpaceDN w:val="0"/>
              <w:adjustRightInd w:val="0"/>
              <w:spacing w:after="0" w:line="240" w:lineRule="auto"/>
              <w:ind w:left="100" w:right="-20"/>
              <w:rPr>
                <w:rFonts w:cs="Times New Roman"/>
                <w:sz w:val="24"/>
                <w:szCs w:val="24"/>
                <w:lang w:val="en-ZA"/>
              </w:rPr>
            </w:pPr>
            <w:r w:rsidRPr="00CA3317">
              <w:rPr>
                <w:rFonts w:cs="Arial"/>
                <w:color w:val="010202"/>
                <w:sz w:val="18"/>
                <w:szCs w:val="18"/>
                <w:lang w:val="en-ZA"/>
              </w:rPr>
              <w:t>0.1 – 2.5 m</w:t>
            </w:r>
          </w:p>
        </w:tc>
        <w:tc>
          <w:tcPr>
            <w:tcW w:w="4029" w:type="dxa"/>
          </w:tcPr>
          <w:p w14:paraId="0E038580" w14:textId="77777777" w:rsidR="00CA3317" w:rsidRPr="00CA3317" w:rsidRDefault="00CA3317" w:rsidP="00CA3317">
            <w:pPr>
              <w:autoSpaceDE w:val="0"/>
              <w:autoSpaceDN w:val="0"/>
              <w:adjustRightInd w:val="0"/>
              <w:spacing w:before="14" w:after="0" w:line="240" w:lineRule="exact"/>
              <w:rPr>
                <w:rFonts w:cs="Times New Roman"/>
                <w:sz w:val="24"/>
                <w:szCs w:val="24"/>
                <w:lang w:val="en-ZA"/>
              </w:rPr>
            </w:pPr>
          </w:p>
          <w:p w14:paraId="3825396C" w14:textId="77777777" w:rsidR="00CA3317" w:rsidRPr="00CA3317" w:rsidRDefault="00CA3317" w:rsidP="00CA3317">
            <w:pPr>
              <w:autoSpaceDE w:val="0"/>
              <w:autoSpaceDN w:val="0"/>
              <w:adjustRightInd w:val="0"/>
              <w:spacing w:after="0" w:line="264" w:lineRule="auto"/>
              <w:ind w:left="100" w:right="380"/>
              <w:rPr>
                <w:rFonts w:cs="Times New Roman"/>
                <w:sz w:val="24"/>
                <w:szCs w:val="24"/>
                <w:lang w:val="en-ZA"/>
              </w:rPr>
            </w:pPr>
            <w:r w:rsidRPr="00CA3317">
              <w:rPr>
                <w:rFonts w:cs="Arial"/>
                <w:color w:val="010202"/>
                <w:spacing w:val="1"/>
                <w:sz w:val="18"/>
                <w:szCs w:val="18"/>
                <w:lang w:val="en-ZA"/>
              </w:rPr>
              <w:t>P</w:t>
            </w:r>
            <w:r w:rsidRPr="00CA3317">
              <w:rPr>
                <w:rFonts w:cs="Arial"/>
                <w:color w:val="010202"/>
                <w:spacing w:val="-2"/>
                <w:sz w:val="18"/>
                <w:szCs w:val="18"/>
                <w:lang w:val="en-ZA"/>
              </w:rPr>
              <w:t>y</w:t>
            </w:r>
            <w:r w:rsidRPr="00CA3317">
              <w:rPr>
                <w:rFonts w:cs="Arial"/>
                <w:color w:val="010202"/>
                <w:sz w:val="18"/>
                <w:szCs w:val="18"/>
                <w:lang w:val="en-ZA"/>
              </w:rPr>
              <w:t>r</w:t>
            </w:r>
            <w:r w:rsidRPr="00CA3317">
              <w:rPr>
                <w:rFonts w:cs="Arial"/>
                <w:color w:val="010202"/>
                <w:spacing w:val="1"/>
                <w:sz w:val="18"/>
                <w:szCs w:val="18"/>
                <w:lang w:val="en-ZA"/>
              </w:rPr>
              <w:t>o</w:t>
            </w:r>
            <w:r w:rsidRPr="00CA3317">
              <w:rPr>
                <w:rFonts w:cs="Arial"/>
                <w:color w:val="010202"/>
                <w:sz w:val="18"/>
                <w:szCs w:val="18"/>
                <w:lang w:val="en-ZA"/>
              </w:rPr>
              <w:t>xe</w:t>
            </w:r>
            <w:r w:rsidRPr="00CA3317">
              <w:rPr>
                <w:rFonts w:cs="Arial"/>
                <w:color w:val="010202"/>
                <w:spacing w:val="1"/>
                <w:sz w:val="18"/>
                <w:szCs w:val="18"/>
                <w:lang w:val="en-ZA"/>
              </w:rPr>
              <w:t>n</w:t>
            </w:r>
            <w:r w:rsidRPr="00CA3317">
              <w:rPr>
                <w:rFonts w:cs="Arial"/>
                <w:color w:val="010202"/>
                <w:sz w:val="18"/>
                <w:szCs w:val="18"/>
                <w:lang w:val="en-ZA"/>
              </w:rPr>
              <w:t xml:space="preserve">ite </w:t>
            </w:r>
            <w:r w:rsidRPr="00CA3317">
              <w:rPr>
                <w:rFonts w:cs="Arial"/>
                <w:color w:val="010202"/>
                <w:spacing w:val="-3"/>
                <w:sz w:val="18"/>
                <w:szCs w:val="18"/>
                <w:lang w:val="en-ZA"/>
              </w:rPr>
              <w:t>w</w:t>
            </w:r>
            <w:r w:rsidRPr="00CA3317">
              <w:rPr>
                <w:rFonts w:cs="Arial"/>
                <w:color w:val="010202"/>
                <w:spacing w:val="-1"/>
                <w:sz w:val="18"/>
                <w:szCs w:val="18"/>
                <w:lang w:val="en-ZA"/>
              </w:rPr>
              <w:t>h</w:t>
            </w:r>
            <w:r w:rsidRPr="00CA3317">
              <w:rPr>
                <w:rFonts w:cs="Arial"/>
                <w:color w:val="010202"/>
                <w:spacing w:val="1"/>
                <w:sz w:val="18"/>
                <w:szCs w:val="18"/>
                <w:lang w:val="en-ZA"/>
              </w:rPr>
              <w:t>i</w:t>
            </w:r>
            <w:r w:rsidRPr="00CA3317">
              <w:rPr>
                <w:rFonts w:cs="Arial"/>
                <w:color w:val="010202"/>
                <w:sz w:val="18"/>
                <w:szCs w:val="18"/>
                <w:lang w:val="en-ZA"/>
              </w:rPr>
              <w:t>ch m</w:t>
            </w:r>
            <w:r w:rsidRPr="00CA3317">
              <w:rPr>
                <w:rFonts w:cs="Arial"/>
                <w:color w:val="010202"/>
                <w:spacing w:val="1"/>
                <w:sz w:val="18"/>
                <w:szCs w:val="18"/>
                <w:lang w:val="en-ZA"/>
              </w:rPr>
              <w:t>a</w:t>
            </w:r>
            <w:r w:rsidRPr="00CA3317">
              <w:rPr>
                <w:rFonts w:cs="Arial"/>
                <w:color w:val="010202"/>
                <w:sz w:val="18"/>
                <w:szCs w:val="18"/>
                <w:lang w:val="en-ZA"/>
              </w:rPr>
              <w:t>y</w:t>
            </w:r>
            <w:r w:rsidRPr="00CA3317">
              <w:rPr>
                <w:rFonts w:cs="Arial"/>
                <w:color w:val="010202"/>
                <w:spacing w:val="-2"/>
                <w:sz w:val="18"/>
                <w:szCs w:val="18"/>
                <w:lang w:val="en-ZA"/>
              </w:rPr>
              <w:t xml:space="preserve"> </w:t>
            </w:r>
            <w:r w:rsidRPr="00CA3317">
              <w:rPr>
                <w:rFonts w:cs="Arial"/>
                <w:color w:val="010202"/>
                <w:spacing w:val="1"/>
                <w:sz w:val="18"/>
                <w:szCs w:val="18"/>
                <w:lang w:val="en-ZA"/>
              </w:rPr>
              <w:t>c</w:t>
            </w:r>
            <w:r w:rsidRPr="00CA3317">
              <w:rPr>
                <w:rFonts w:cs="Arial"/>
                <w:color w:val="010202"/>
                <w:sz w:val="18"/>
                <w:szCs w:val="18"/>
                <w:lang w:val="en-ZA"/>
              </w:rPr>
              <w:t>onta</w:t>
            </w:r>
            <w:r w:rsidRPr="00CA3317">
              <w:rPr>
                <w:rFonts w:cs="Arial"/>
                <w:color w:val="010202"/>
                <w:spacing w:val="1"/>
                <w:sz w:val="18"/>
                <w:szCs w:val="18"/>
                <w:lang w:val="en-ZA"/>
              </w:rPr>
              <w:t>i</w:t>
            </w:r>
            <w:r w:rsidRPr="00CA3317">
              <w:rPr>
                <w:rFonts w:cs="Arial"/>
                <w:color w:val="010202"/>
                <w:sz w:val="18"/>
                <w:szCs w:val="18"/>
                <w:lang w:val="en-ZA"/>
              </w:rPr>
              <w:t>n</w:t>
            </w:r>
            <w:r w:rsidRPr="00CA3317">
              <w:rPr>
                <w:rFonts w:cs="Arial"/>
                <w:color w:val="010202"/>
                <w:spacing w:val="1"/>
                <w:sz w:val="18"/>
                <w:szCs w:val="18"/>
                <w:lang w:val="en-ZA"/>
              </w:rPr>
              <w:t xml:space="preserve"> </w:t>
            </w:r>
            <w:r w:rsidRPr="00CA3317">
              <w:rPr>
                <w:rFonts w:cs="Arial"/>
                <w:color w:val="010202"/>
                <w:sz w:val="18"/>
                <w:szCs w:val="18"/>
                <w:lang w:val="en-ZA"/>
              </w:rPr>
              <w:t>dissem</w:t>
            </w:r>
            <w:r w:rsidRPr="00CA3317">
              <w:rPr>
                <w:rFonts w:cs="Arial"/>
                <w:color w:val="010202"/>
                <w:spacing w:val="1"/>
                <w:sz w:val="18"/>
                <w:szCs w:val="18"/>
                <w:lang w:val="en-ZA"/>
              </w:rPr>
              <w:t>i</w:t>
            </w:r>
            <w:r w:rsidRPr="00CA3317">
              <w:rPr>
                <w:rFonts w:cs="Arial"/>
                <w:color w:val="010202"/>
                <w:sz w:val="18"/>
                <w:szCs w:val="18"/>
                <w:lang w:val="en-ZA"/>
              </w:rPr>
              <w:t>nated chromite</w:t>
            </w:r>
          </w:p>
        </w:tc>
      </w:tr>
      <w:tr w:rsidR="00CA3317" w:rsidRPr="00CA3317" w14:paraId="35853BB0" w14:textId="77777777" w:rsidTr="000A0B53">
        <w:trPr>
          <w:trHeight w:hRule="exact" w:val="714"/>
        </w:trPr>
        <w:tc>
          <w:tcPr>
            <w:tcW w:w="1559" w:type="dxa"/>
          </w:tcPr>
          <w:p w14:paraId="57D9B7C2" w14:textId="77777777" w:rsidR="00CA3317" w:rsidRPr="00CA3317" w:rsidRDefault="00CA3317" w:rsidP="00CA3317">
            <w:pPr>
              <w:autoSpaceDE w:val="0"/>
              <w:autoSpaceDN w:val="0"/>
              <w:adjustRightInd w:val="0"/>
              <w:spacing w:before="8" w:after="0" w:line="110" w:lineRule="exact"/>
              <w:rPr>
                <w:rFonts w:cs="Times New Roman"/>
                <w:sz w:val="11"/>
                <w:szCs w:val="11"/>
                <w:lang w:val="en-ZA"/>
              </w:rPr>
            </w:pPr>
          </w:p>
          <w:p w14:paraId="566B7BEB" w14:textId="77777777" w:rsidR="00CA3317" w:rsidRPr="00CA3317" w:rsidRDefault="00CA3317" w:rsidP="00CA3317">
            <w:pPr>
              <w:autoSpaceDE w:val="0"/>
              <w:autoSpaceDN w:val="0"/>
              <w:adjustRightInd w:val="0"/>
              <w:spacing w:after="0" w:line="264" w:lineRule="auto"/>
              <w:ind w:left="102" w:right="242"/>
              <w:rPr>
                <w:rFonts w:cs="Times New Roman"/>
                <w:sz w:val="24"/>
                <w:szCs w:val="24"/>
                <w:lang w:val="en-ZA"/>
              </w:rPr>
            </w:pPr>
            <w:r w:rsidRPr="00CA3317">
              <w:rPr>
                <w:rFonts w:cs="Arial"/>
                <w:color w:val="010202"/>
                <w:sz w:val="18"/>
                <w:szCs w:val="18"/>
                <w:lang w:val="en-ZA"/>
              </w:rPr>
              <w:t>Upper (UG2A) Chromitite</w:t>
            </w:r>
          </w:p>
        </w:tc>
        <w:tc>
          <w:tcPr>
            <w:tcW w:w="1549" w:type="dxa"/>
          </w:tcPr>
          <w:p w14:paraId="747DDC88" w14:textId="77777777" w:rsidR="00CA3317" w:rsidRPr="00CA3317" w:rsidRDefault="00CA3317" w:rsidP="00CA3317">
            <w:pPr>
              <w:autoSpaceDE w:val="0"/>
              <w:autoSpaceDN w:val="0"/>
              <w:adjustRightInd w:val="0"/>
              <w:spacing w:before="12" w:after="0" w:line="220" w:lineRule="exact"/>
              <w:rPr>
                <w:rFonts w:cs="Times New Roman"/>
                <w:lang w:val="en-ZA"/>
              </w:rPr>
            </w:pPr>
          </w:p>
          <w:p w14:paraId="1B823868" w14:textId="77777777" w:rsidR="00CA3317" w:rsidRPr="00CA3317" w:rsidRDefault="00CA3317" w:rsidP="00CA3317">
            <w:pPr>
              <w:autoSpaceDE w:val="0"/>
              <w:autoSpaceDN w:val="0"/>
              <w:adjustRightInd w:val="0"/>
              <w:spacing w:after="0" w:line="240" w:lineRule="auto"/>
              <w:ind w:left="100" w:right="-20"/>
              <w:rPr>
                <w:rFonts w:cs="Times New Roman"/>
                <w:sz w:val="24"/>
                <w:szCs w:val="24"/>
                <w:lang w:val="en-ZA"/>
              </w:rPr>
            </w:pPr>
            <w:r w:rsidRPr="00CA3317">
              <w:rPr>
                <w:rFonts w:cs="Arial"/>
                <w:color w:val="010202"/>
                <w:sz w:val="18"/>
                <w:szCs w:val="18"/>
                <w:lang w:val="en-ZA"/>
              </w:rPr>
              <w:t>UG2A</w:t>
            </w:r>
          </w:p>
        </w:tc>
        <w:tc>
          <w:tcPr>
            <w:tcW w:w="1417" w:type="dxa"/>
          </w:tcPr>
          <w:p w14:paraId="6DBAAFF1" w14:textId="77777777" w:rsidR="00CA3317" w:rsidRPr="00CA3317" w:rsidRDefault="00CA3317" w:rsidP="00CA3317">
            <w:pPr>
              <w:autoSpaceDE w:val="0"/>
              <w:autoSpaceDN w:val="0"/>
              <w:adjustRightInd w:val="0"/>
              <w:spacing w:before="12" w:after="0" w:line="220" w:lineRule="exact"/>
              <w:rPr>
                <w:rFonts w:cs="Times New Roman"/>
                <w:lang w:val="en-ZA"/>
              </w:rPr>
            </w:pPr>
          </w:p>
          <w:p w14:paraId="2DFC994D" w14:textId="77777777" w:rsidR="00CA3317" w:rsidRPr="00CA3317" w:rsidRDefault="00CA3317" w:rsidP="00CA3317">
            <w:pPr>
              <w:autoSpaceDE w:val="0"/>
              <w:autoSpaceDN w:val="0"/>
              <w:adjustRightInd w:val="0"/>
              <w:spacing w:after="0" w:line="240" w:lineRule="auto"/>
              <w:ind w:left="99" w:right="-20"/>
              <w:rPr>
                <w:rFonts w:cs="Times New Roman"/>
                <w:sz w:val="24"/>
                <w:szCs w:val="24"/>
                <w:lang w:val="en-ZA"/>
              </w:rPr>
            </w:pPr>
            <w:r w:rsidRPr="00CA3317">
              <w:rPr>
                <w:rFonts w:cs="Arial"/>
                <w:color w:val="010202"/>
                <w:sz w:val="18"/>
                <w:szCs w:val="18"/>
                <w:lang w:val="en-ZA"/>
              </w:rPr>
              <w:t>0.5 - 1.0 m</w:t>
            </w:r>
          </w:p>
        </w:tc>
        <w:tc>
          <w:tcPr>
            <w:tcW w:w="4029" w:type="dxa"/>
          </w:tcPr>
          <w:p w14:paraId="4E91F66A" w14:textId="77777777" w:rsidR="00CA3317" w:rsidRPr="00CA3317" w:rsidRDefault="00CA3317" w:rsidP="00CA3317">
            <w:pPr>
              <w:autoSpaceDE w:val="0"/>
              <w:autoSpaceDN w:val="0"/>
              <w:adjustRightInd w:val="0"/>
              <w:spacing w:before="12" w:after="0" w:line="220" w:lineRule="exact"/>
              <w:rPr>
                <w:rFonts w:cs="Times New Roman"/>
                <w:lang w:val="en-ZA"/>
              </w:rPr>
            </w:pPr>
          </w:p>
          <w:p w14:paraId="50A7195F" w14:textId="77777777" w:rsidR="00CA3317" w:rsidRPr="00CA3317" w:rsidRDefault="00CA3317" w:rsidP="00CA3317">
            <w:pPr>
              <w:autoSpaceDE w:val="0"/>
              <w:autoSpaceDN w:val="0"/>
              <w:adjustRightInd w:val="0"/>
              <w:spacing w:after="0" w:line="240" w:lineRule="auto"/>
              <w:ind w:left="99" w:right="-20"/>
              <w:rPr>
                <w:rFonts w:cs="Times New Roman"/>
                <w:sz w:val="24"/>
                <w:szCs w:val="24"/>
                <w:lang w:val="en-ZA"/>
              </w:rPr>
            </w:pPr>
            <w:r w:rsidRPr="00CA3317">
              <w:rPr>
                <w:rFonts w:cs="Arial"/>
                <w:color w:val="010202"/>
                <w:sz w:val="18"/>
                <w:szCs w:val="18"/>
                <w:lang w:val="en-ZA"/>
              </w:rPr>
              <w:t xml:space="preserve">Chromitite </w:t>
            </w:r>
            <w:r w:rsidRPr="00CA3317">
              <w:rPr>
                <w:rFonts w:cs="Arial"/>
                <w:color w:val="010202"/>
                <w:spacing w:val="1"/>
                <w:sz w:val="18"/>
                <w:szCs w:val="18"/>
                <w:lang w:val="en-ZA"/>
              </w:rPr>
              <w:t>la</w:t>
            </w:r>
            <w:r w:rsidRPr="00CA3317">
              <w:rPr>
                <w:rFonts w:cs="Arial"/>
                <w:color w:val="010202"/>
                <w:sz w:val="18"/>
                <w:szCs w:val="18"/>
                <w:lang w:val="en-ZA"/>
              </w:rPr>
              <w:t>y</w:t>
            </w:r>
            <w:r w:rsidRPr="00CA3317">
              <w:rPr>
                <w:rFonts w:cs="Arial"/>
                <w:color w:val="010202"/>
                <w:spacing w:val="1"/>
                <w:sz w:val="18"/>
                <w:szCs w:val="18"/>
                <w:lang w:val="en-ZA"/>
              </w:rPr>
              <w:t>e</w:t>
            </w:r>
            <w:r w:rsidRPr="00CA3317">
              <w:rPr>
                <w:rFonts w:cs="Arial"/>
                <w:color w:val="010202"/>
                <w:sz w:val="18"/>
                <w:szCs w:val="18"/>
                <w:lang w:val="en-ZA"/>
              </w:rPr>
              <w:t>r</w:t>
            </w:r>
            <w:r w:rsidRPr="00CA3317">
              <w:rPr>
                <w:rFonts w:cs="Arial"/>
                <w:color w:val="010202"/>
                <w:spacing w:val="1"/>
                <w:sz w:val="18"/>
                <w:szCs w:val="18"/>
                <w:lang w:val="en-ZA"/>
              </w:rPr>
              <w:t xml:space="preserve"> </w:t>
            </w:r>
            <w:r w:rsidRPr="00CA3317">
              <w:rPr>
                <w:rFonts w:cs="Arial"/>
                <w:color w:val="010202"/>
                <w:spacing w:val="-3"/>
                <w:sz w:val="18"/>
                <w:szCs w:val="18"/>
                <w:lang w:val="en-ZA"/>
              </w:rPr>
              <w:t>w</w:t>
            </w:r>
            <w:r w:rsidRPr="00CA3317">
              <w:rPr>
                <w:rFonts w:cs="Arial"/>
                <w:color w:val="010202"/>
                <w:sz w:val="18"/>
                <w:szCs w:val="18"/>
                <w:lang w:val="en-ZA"/>
              </w:rPr>
              <w:t>ith</w:t>
            </w:r>
            <w:r w:rsidRPr="00CA3317">
              <w:rPr>
                <w:rFonts w:cs="Arial"/>
                <w:color w:val="010202"/>
                <w:spacing w:val="-1"/>
                <w:sz w:val="18"/>
                <w:szCs w:val="18"/>
                <w:lang w:val="en-ZA"/>
              </w:rPr>
              <w:t xml:space="preserve"> </w:t>
            </w:r>
            <w:r w:rsidRPr="00CA3317">
              <w:rPr>
                <w:rFonts w:cs="Arial"/>
                <w:color w:val="010202"/>
                <w:spacing w:val="1"/>
                <w:sz w:val="18"/>
                <w:szCs w:val="18"/>
                <w:lang w:val="en-ZA"/>
              </w:rPr>
              <w:t>l</w:t>
            </w:r>
            <w:r w:rsidRPr="00CA3317">
              <w:rPr>
                <w:rFonts w:cs="Arial"/>
                <w:color w:val="010202"/>
                <w:sz w:val="18"/>
                <w:szCs w:val="18"/>
                <w:lang w:val="en-ZA"/>
              </w:rPr>
              <w:t>ittle</w:t>
            </w:r>
            <w:r w:rsidRPr="00CA3317">
              <w:rPr>
                <w:rFonts w:cs="Arial"/>
                <w:color w:val="010202"/>
                <w:spacing w:val="-2"/>
                <w:sz w:val="18"/>
                <w:szCs w:val="18"/>
                <w:lang w:val="en-ZA"/>
              </w:rPr>
              <w:t xml:space="preserve"> </w:t>
            </w:r>
            <w:r w:rsidRPr="00CA3317">
              <w:rPr>
                <w:rFonts w:cs="Arial"/>
                <w:color w:val="010202"/>
                <w:sz w:val="18"/>
                <w:szCs w:val="18"/>
                <w:lang w:val="en-ZA"/>
              </w:rPr>
              <w:t>sili</w:t>
            </w:r>
            <w:r w:rsidRPr="00CA3317">
              <w:rPr>
                <w:rFonts w:cs="Arial"/>
                <w:color w:val="010202"/>
                <w:spacing w:val="1"/>
                <w:sz w:val="18"/>
                <w:szCs w:val="18"/>
                <w:lang w:val="en-ZA"/>
              </w:rPr>
              <w:t>c</w:t>
            </w:r>
            <w:r w:rsidRPr="00CA3317">
              <w:rPr>
                <w:rFonts w:cs="Arial"/>
                <w:color w:val="010202"/>
                <w:sz w:val="18"/>
                <w:szCs w:val="18"/>
                <w:lang w:val="en-ZA"/>
              </w:rPr>
              <w:t>ate ga</w:t>
            </w:r>
            <w:r w:rsidRPr="00CA3317">
              <w:rPr>
                <w:rFonts w:cs="Arial"/>
                <w:color w:val="010202"/>
                <w:spacing w:val="1"/>
                <w:sz w:val="18"/>
                <w:szCs w:val="18"/>
                <w:lang w:val="en-ZA"/>
              </w:rPr>
              <w:t>n</w:t>
            </w:r>
            <w:r w:rsidRPr="00CA3317">
              <w:rPr>
                <w:rFonts w:cs="Arial"/>
                <w:color w:val="010202"/>
                <w:sz w:val="18"/>
                <w:szCs w:val="18"/>
                <w:lang w:val="en-ZA"/>
              </w:rPr>
              <w:t>g</w:t>
            </w:r>
            <w:r w:rsidRPr="00CA3317">
              <w:rPr>
                <w:rFonts w:cs="Arial"/>
                <w:color w:val="010202"/>
                <w:spacing w:val="1"/>
                <w:sz w:val="18"/>
                <w:szCs w:val="18"/>
                <w:lang w:val="en-ZA"/>
              </w:rPr>
              <w:t>u</w:t>
            </w:r>
            <w:r w:rsidRPr="00CA3317">
              <w:rPr>
                <w:rFonts w:cs="Arial"/>
                <w:color w:val="010202"/>
                <w:sz w:val="18"/>
                <w:szCs w:val="18"/>
                <w:lang w:val="en-ZA"/>
              </w:rPr>
              <w:t>e</w:t>
            </w:r>
          </w:p>
        </w:tc>
      </w:tr>
      <w:tr w:rsidR="00CA3317" w:rsidRPr="00CA3317" w14:paraId="556C0F42" w14:textId="77777777" w:rsidTr="000A0B53">
        <w:trPr>
          <w:trHeight w:hRule="exact" w:val="840"/>
        </w:trPr>
        <w:tc>
          <w:tcPr>
            <w:tcW w:w="1559" w:type="dxa"/>
          </w:tcPr>
          <w:p w14:paraId="534F912C" w14:textId="77777777" w:rsidR="00CA3317" w:rsidRPr="00CA3317" w:rsidRDefault="00CA3317" w:rsidP="00CA3317">
            <w:pPr>
              <w:autoSpaceDE w:val="0"/>
              <w:autoSpaceDN w:val="0"/>
              <w:adjustRightInd w:val="0"/>
              <w:spacing w:before="2" w:after="0" w:line="180" w:lineRule="exact"/>
              <w:rPr>
                <w:rFonts w:cs="Times New Roman"/>
                <w:sz w:val="18"/>
                <w:szCs w:val="18"/>
                <w:lang w:val="en-ZA"/>
              </w:rPr>
            </w:pPr>
          </w:p>
          <w:p w14:paraId="2E8134B4" w14:textId="77777777" w:rsidR="00CA3317" w:rsidRPr="00CA3317" w:rsidRDefault="00CA3317" w:rsidP="00CA3317">
            <w:pPr>
              <w:autoSpaceDE w:val="0"/>
              <w:autoSpaceDN w:val="0"/>
              <w:adjustRightInd w:val="0"/>
              <w:spacing w:after="0" w:line="264" w:lineRule="auto"/>
              <w:ind w:left="102" w:right="302"/>
              <w:rPr>
                <w:rFonts w:cs="Times New Roman"/>
                <w:sz w:val="24"/>
                <w:szCs w:val="24"/>
                <w:lang w:val="en-ZA"/>
              </w:rPr>
            </w:pPr>
            <w:r w:rsidRPr="00CA3317">
              <w:rPr>
                <w:rFonts w:cs="Arial"/>
                <w:color w:val="010202"/>
                <w:sz w:val="18"/>
                <w:szCs w:val="18"/>
                <w:lang w:val="en-ZA"/>
              </w:rPr>
              <w:t>UG2 mid</w:t>
            </w:r>
            <w:r w:rsidRPr="00CA3317">
              <w:rPr>
                <w:rFonts w:cs="Arial"/>
                <w:color w:val="010202"/>
                <w:spacing w:val="1"/>
                <w:sz w:val="18"/>
                <w:szCs w:val="18"/>
                <w:lang w:val="en-ZA"/>
              </w:rPr>
              <w:t>d</w:t>
            </w:r>
            <w:r w:rsidRPr="00CA3317">
              <w:rPr>
                <w:rFonts w:cs="Arial"/>
                <w:color w:val="010202"/>
                <w:sz w:val="18"/>
                <w:szCs w:val="18"/>
                <w:lang w:val="en-ZA"/>
              </w:rPr>
              <w:t>li</w:t>
            </w:r>
            <w:r w:rsidRPr="00CA3317">
              <w:rPr>
                <w:rFonts w:cs="Arial"/>
                <w:color w:val="010202"/>
                <w:spacing w:val="1"/>
                <w:sz w:val="18"/>
                <w:szCs w:val="18"/>
                <w:lang w:val="en-ZA"/>
              </w:rPr>
              <w:t>n</w:t>
            </w:r>
            <w:r w:rsidRPr="00CA3317">
              <w:rPr>
                <w:rFonts w:cs="Arial"/>
                <w:color w:val="010202"/>
                <w:sz w:val="18"/>
                <w:szCs w:val="18"/>
                <w:lang w:val="en-ZA"/>
              </w:rPr>
              <w:t xml:space="preserve">g </w:t>
            </w:r>
            <w:r w:rsidRPr="00CA3317">
              <w:rPr>
                <w:rFonts w:cs="Arial"/>
                <w:color w:val="010202"/>
                <w:spacing w:val="1"/>
                <w:sz w:val="18"/>
                <w:szCs w:val="18"/>
                <w:lang w:val="en-ZA"/>
              </w:rPr>
              <w:t>p</w:t>
            </w:r>
            <w:r w:rsidRPr="00CA3317">
              <w:rPr>
                <w:rFonts w:cs="Arial"/>
                <w:color w:val="010202"/>
                <w:spacing w:val="-2"/>
                <w:sz w:val="18"/>
                <w:szCs w:val="18"/>
                <w:lang w:val="en-ZA"/>
              </w:rPr>
              <w:t>y</w:t>
            </w:r>
            <w:r w:rsidRPr="00CA3317">
              <w:rPr>
                <w:rFonts w:cs="Arial"/>
                <w:color w:val="010202"/>
                <w:spacing w:val="1"/>
                <w:sz w:val="18"/>
                <w:szCs w:val="18"/>
                <w:lang w:val="en-ZA"/>
              </w:rPr>
              <w:t>ro</w:t>
            </w:r>
            <w:r w:rsidRPr="00CA3317">
              <w:rPr>
                <w:rFonts w:cs="Arial"/>
                <w:color w:val="010202"/>
                <w:spacing w:val="-1"/>
                <w:sz w:val="18"/>
                <w:szCs w:val="18"/>
                <w:lang w:val="en-ZA"/>
              </w:rPr>
              <w:t>x</w:t>
            </w:r>
            <w:r w:rsidRPr="00CA3317">
              <w:rPr>
                <w:rFonts w:cs="Arial"/>
                <w:color w:val="010202"/>
                <w:spacing w:val="1"/>
                <w:sz w:val="18"/>
                <w:szCs w:val="18"/>
                <w:lang w:val="en-ZA"/>
              </w:rPr>
              <w:t>e</w:t>
            </w:r>
            <w:r w:rsidRPr="00CA3317">
              <w:rPr>
                <w:rFonts w:cs="Arial"/>
                <w:color w:val="010202"/>
                <w:spacing w:val="-1"/>
                <w:sz w:val="18"/>
                <w:szCs w:val="18"/>
                <w:lang w:val="en-ZA"/>
              </w:rPr>
              <w:t>n</w:t>
            </w:r>
            <w:r w:rsidRPr="00CA3317">
              <w:rPr>
                <w:rFonts w:cs="Arial"/>
                <w:color w:val="010202"/>
                <w:sz w:val="18"/>
                <w:szCs w:val="18"/>
                <w:lang w:val="en-ZA"/>
              </w:rPr>
              <w:t>i</w:t>
            </w:r>
            <w:r w:rsidRPr="00CA3317">
              <w:rPr>
                <w:rFonts w:cs="Arial"/>
                <w:color w:val="010202"/>
                <w:spacing w:val="1"/>
                <w:sz w:val="18"/>
                <w:szCs w:val="18"/>
                <w:lang w:val="en-ZA"/>
              </w:rPr>
              <w:t>te</w:t>
            </w:r>
          </w:p>
        </w:tc>
        <w:tc>
          <w:tcPr>
            <w:tcW w:w="1549" w:type="dxa"/>
          </w:tcPr>
          <w:p w14:paraId="2DCFB090" w14:textId="77777777" w:rsidR="00CA3317" w:rsidRPr="00CA3317" w:rsidRDefault="00CA3317" w:rsidP="00CA3317">
            <w:pPr>
              <w:autoSpaceDE w:val="0"/>
              <w:autoSpaceDN w:val="0"/>
              <w:adjustRightInd w:val="0"/>
              <w:spacing w:before="16" w:after="0" w:line="280" w:lineRule="exact"/>
              <w:rPr>
                <w:rFonts w:cs="Times New Roman"/>
                <w:sz w:val="28"/>
                <w:szCs w:val="28"/>
                <w:lang w:val="en-ZA"/>
              </w:rPr>
            </w:pPr>
          </w:p>
          <w:p w14:paraId="13B54F9E" w14:textId="77777777" w:rsidR="00CA3317" w:rsidRPr="00CA3317" w:rsidRDefault="00CA3317" w:rsidP="00CA3317">
            <w:pPr>
              <w:autoSpaceDE w:val="0"/>
              <w:autoSpaceDN w:val="0"/>
              <w:adjustRightInd w:val="0"/>
              <w:spacing w:after="0" w:line="240" w:lineRule="auto"/>
              <w:ind w:left="100" w:right="-20"/>
              <w:rPr>
                <w:rFonts w:cs="Times New Roman"/>
                <w:sz w:val="24"/>
                <w:szCs w:val="24"/>
                <w:lang w:val="en-ZA"/>
              </w:rPr>
            </w:pPr>
            <w:r w:rsidRPr="00CA3317">
              <w:rPr>
                <w:rFonts w:cs="Arial"/>
                <w:color w:val="010202"/>
                <w:sz w:val="18"/>
                <w:szCs w:val="18"/>
                <w:lang w:val="en-ZA"/>
              </w:rPr>
              <w:t>UG2MPX</w:t>
            </w:r>
          </w:p>
        </w:tc>
        <w:tc>
          <w:tcPr>
            <w:tcW w:w="1417" w:type="dxa"/>
          </w:tcPr>
          <w:p w14:paraId="2DBC28EE" w14:textId="77777777" w:rsidR="00CA3317" w:rsidRPr="00CA3317" w:rsidRDefault="00CA3317" w:rsidP="00CA3317">
            <w:pPr>
              <w:autoSpaceDE w:val="0"/>
              <w:autoSpaceDN w:val="0"/>
              <w:adjustRightInd w:val="0"/>
              <w:spacing w:before="16" w:after="0" w:line="280" w:lineRule="exact"/>
              <w:rPr>
                <w:rFonts w:cs="Times New Roman"/>
                <w:sz w:val="28"/>
                <w:szCs w:val="28"/>
                <w:lang w:val="en-ZA"/>
              </w:rPr>
            </w:pPr>
          </w:p>
          <w:p w14:paraId="267B05B5" w14:textId="77777777" w:rsidR="00CA3317" w:rsidRPr="00CA3317" w:rsidRDefault="00CA3317" w:rsidP="00CA3317">
            <w:pPr>
              <w:autoSpaceDE w:val="0"/>
              <w:autoSpaceDN w:val="0"/>
              <w:adjustRightInd w:val="0"/>
              <w:spacing w:after="0" w:line="240" w:lineRule="auto"/>
              <w:ind w:left="100" w:right="-20"/>
              <w:rPr>
                <w:rFonts w:cs="Times New Roman"/>
                <w:sz w:val="24"/>
                <w:szCs w:val="24"/>
                <w:lang w:val="en-ZA"/>
              </w:rPr>
            </w:pPr>
            <w:r w:rsidRPr="00CA3317">
              <w:rPr>
                <w:rFonts w:cs="Arial"/>
                <w:color w:val="010202"/>
                <w:sz w:val="18"/>
                <w:szCs w:val="18"/>
                <w:lang w:val="en-ZA"/>
              </w:rPr>
              <w:t>0.1 - 1.0 m</w:t>
            </w:r>
          </w:p>
        </w:tc>
        <w:tc>
          <w:tcPr>
            <w:tcW w:w="4029" w:type="dxa"/>
          </w:tcPr>
          <w:p w14:paraId="5896C306" w14:textId="77777777" w:rsidR="00CA3317" w:rsidRPr="00CA3317" w:rsidRDefault="00CA3317" w:rsidP="00CA3317">
            <w:pPr>
              <w:autoSpaceDE w:val="0"/>
              <w:autoSpaceDN w:val="0"/>
              <w:adjustRightInd w:val="0"/>
              <w:spacing w:before="2" w:after="0" w:line="180" w:lineRule="exact"/>
              <w:rPr>
                <w:rFonts w:cs="Times New Roman"/>
                <w:sz w:val="18"/>
                <w:szCs w:val="18"/>
                <w:lang w:val="en-ZA"/>
              </w:rPr>
            </w:pPr>
          </w:p>
          <w:p w14:paraId="2AC4A7F4" w14:textId="77777777" w:rsidR="00CA3317" w:rsidRPr="00CA3317" w:rsidRDefault="00CA3317" w:rsidP="00CA3317">
            <w:pPr>
              <w:autoSpaceDE w:val="0"/>
              <w:autoSpaceDN w:val="0"/>
              <w:adjustRightInd w:val="0"/>
              <w:spacing w:after="0" w:line="264" w:lineRule="auto"/>
              <w:ind w:left="100" w:right="379"/>
              <w:rPr>
                <w:rFonts w:cs="Times New Roman"/>
                <w:sz w:val="24"/>
                <w:szCs w:val="24"/>
                <w:lang w:val="en-ZA"/>
              </w:rPr>
            </w:pPr>
            <w:r w:rsidRPr="00CA3317">
              <w:rPr>
                <w:rFonts w:cs="Arial"/>
                <w:color w:val="010202"/>
                <w:spacing w:val="1"/>
                <w:sz w:val="18"/>
                <w:szCs w:val="18"/>
                <w:lang w:val="en-ZA"/>
              </w:rPr>
              <w:t>P</w:t>
            </w:r>
            <w:r w:rsidRPr="00CA3317">
              <w:rPr>
                <w:rFonts w:cs="Arial"/>
                <w:color w:val="010202"/>
                <w:spacing w:val="-2"/>
                <w:sz w:val="18"/>
                <w:szCs w:val="18"/>
                <w:lang w:val="en-ZA"/>
              </w:rPr>
              <w:t>y</w:t>
            </w:r>
            <w:r w:rsidRPr="00CA3317">
              <w:rPr>
                <w:rFonts w:cs="Arial"/>
                <w:color w:val="010202"/>
                <w:sz w:val="18"/>
                <w:szCs w:val="18"/>
                <w:lang w:val="en-ZA"/>
              </w:rPr>
              <w:t>r</w:t>
            </w:r>
            <w:r w:rsidRPr="00CA3317">
              <w:rPr>
                <w:rFonts w:cs="Arial"/>
                <w:color w:val="010202"/>
                <w:spacing w:val="1"/>
                <w:sz w:val="18"/>
                <w:szCs w:val="18"/>
                <w:lang w:val="en-ZA"/>
              </w:rPr>
              <w:t>o</w:t>
            </w:r>
            <w:r w:rsidRPr="00CA3317">
              <w:rPr>
                <w:rFonts w:cs="Arial"/>
                <w:color w:val="010202"/>
                <w:sz w:val="18"/>
                <w:szCs w:val="18"/>
                <w:lang w:val="en-ZA"/>
              </w:rPr>
              <w:t>xe</w:t>
            </w:r>
            <w:r w:rsidRPr="00CA3317">
              <w:rPr>
                <w:rFonts w:cs="Arial"/>
                <w:color w:val="010202"/>
                <w:spacing w:val="1"/>
                <w:sz w:val="18"/>
                <w:szCs w:val="18"/>
                <w:lang w:val="en-ZA"/>
              </w:rPr>
              <w:t>n</w:t>
            </w:r>
            <w:r w:rsidRPr="00CA3317">
              <w:rPr>
                <w:rFonts w:cs="Arial"/>
                <w:color w:val="010202"/>
                <w:sz w:val="18"/>
                <w:szCs w:val="18"/>
                <w:lang w:val="en-ZA"/>
              </w:rPr>
              <w:t xml:space="preserve">ite </w:t>
            </w:r>
            <w:r w:rsidRPr="00CA3317">
              <w:rPr>
                <w:rFonts w:cs="Arial"/>
                <w:color w:val="010202"/>
                <w:spacing w:val="-3"/>
                <w:sz w:val="18"/>
                <w:szCs w:val="18"/>
                <w:lang w:val="en-ZA"/>
              </w:rPr>
              <w:t>w</w:t>
            </w:r>
            <w:r w:rsidRPr="00CA3317">
              <w:rPr>
                <w:rFonts w:cs="Arial"/>
                <w:color w:val="010202"/>
                <w:spacing w:val="-1"/>
                <w:sz w:val="18"/>
                <w:szCs w:val="18"/>
                <w:lang w:val="en-ZA"/>
              </w:rPr>
              <w:t>h</w:t>
            </w:r>
            <w:r w:rsidRPr="00CA3317">
              <w:rPr>
                <w:rFonts w:cs="Arial"/>
                <w:color w:val="010202"/>
                <w:spacing w:val="1"/>
                <w:sz w:val="18"/>
                <w:szCs w:val="18"/>
                <w:lang w:val="en-ZA"/>
              </w:rPr>
              <w:t>i</w:t>
            </w:r>
            <w:r w:rsidRPr="00CA3317">
              <w:rPr>
                <w:rFonts w:cs="Arial"/>
                <w:color w:val="010202"/>
                <w:sz w:val="18"/>
                <w:szCs w:val="18"/>
                <w:lang w:val="en-ZA"/>
              </w:rPr>
              <w:t>ch m</w:t>
            </w:r>
            <w:r w:rsidRPr="00CA3317">
              <w:rPr>
                <w:rFonts w:cs="Arial"/>
                <w:color w:val="010202"/>
                <w:spacing w:val="1"/>
                <w:sz w:val="18"/>
                <w:szCs w:val="18"/>
                <w:lang w:val="en-ZA"/>
              </w:rPr>
              <w:t>a</w:t>
            </w:r>
            <w:r w:rsidRPr="00CA3317">
              <w:rPr>
                <w:rFonts w:cs="Arial"/>
                <w:color w:val="010202"/>
                <w:sz w:val="18"/>
                <w:szCs w:val="18"/>
                <w:lang w:val="en-ZA"/>
              </w:rPr>
              <w:t>y</w:t>
            </w:r>
            <w:r w:rsidRPr="00CA3317">
              <w:rPr>
                <w:rFonts w:cs="Arial"/>
                <w:color w:val="010202"/>
                <w:spacing w:val="-2"/>
                <w:sz w:val="18"/>
                <w:szCs w:val="18"/>
                <w:lang w:val="en-ZA"/>
              </w:rPr>
              <w:t xml:space="preserve"> </w:t>
            </w:r>
            <w:r w:rsidRPr="00CA3317">
              <w:rPr>
                <w:rFonts w:cs="Arial"/>
                <w:color w:val="010202"/>
                <w:spacing w:val="1"/>
                <w:sz w:val="18"/>
                <w:szCs w:val="18"/>
                <w:lang w:val="en-ZA"/>
              </w:rPr>
              <w:t>c</w:t>
            </w:r>
            <w:r w:rsidRPr="00CA3317">
              <w:rPr>
                <w:rFonts w:cs="Arial"/>
                <w:color w:val="010202"/>
                <w:sz w:val="18"/>
                <w:szCs w:val="18"/>
                <w:lang w:val="en-ZA"/>
              </w:rPr>
              <w:t>onta</w:t>
            </w:r>
            <w:r w:rsidRPr="00CA3317">
              <w:rPr>
                <w:rFonts w:cs="Arial"/>
                <w:color w:val="010202"/>
                <w:spacing w:val="1"/>
                <w:sz w:val="18"/>
                <w:szCs w:val="18"/>
                <w:lang w:val="en-ZA"/>
              </w:rPr>
              <w:t>i</w:t>
            </w:r>
            <w:r w:rsidRPr="00CA3317">
              <w:rPr>
                <w:rFonts w:cs="Arial"/>
                <w:color w:val="010202"/>
                <w:sz w:val="18"/>
                <w:szCs w:val="18"/>
                <w:lang w:val="en-ZA"/>
              </w:rPr>
              <w:t>n</w:t>
            </w:r>
            <w:r w:rsidRPr="00CA3317">
              <w:rPr>
                <w:rFonts w:cs="Arial"/>
                <w:color w:val="010202"/>
                <w:spacing w:val="1"/>
                <w:sz w:val="18"/>
                <w:szCs w:val="18"/>
                <w:lang w:val="en-ZA"/>
              </w:rPr>
              <w:t xml:space="preserve"> </w:t>
            </w:r>
            <w:r w:rsidRPr="00CA3317">
              <w:rPr>
                <w:rFonts w:cs="Arial"/>
                <w:color w:val="010202"/>
                <w:sz w:val="18"/>
                <w:szCs w:val="18"/>
                <w:lang w:val="en-ZA"/>
              </w:rPr>
              <w:t>dissem</w:t>
            </w:r>
            <w:r w:rsidRPr="00CA3317">
              <w:rPr>
                <w:rFonts w:cs="Arial"/>
                <w:color w:val="010202"/>
                <w:spacing w:val="1"/>
                <w:sz w:val="18"/>
                <w:szCs w:val="18"/>
                <w:lang w:val="en-ZA"/>
              </w:rPr>
              <w:t>i</w:t>
            </w:r>
            <w:r w:rsidRPr="00CA3317">
              <w:rPr>
                <w:rFonts w:cs="Arial"/>
                <w:color w:val="010202"/>
                <w:sz w:val="18"/>
                <w:szCs w:val="18"/>
                <w:lang w:val="en-ZA"/>
              </w:rPr>
              <w:t>nated chromitite or t</w:t>
            </w:r>
            <w:r w:rsidRPr="00CA3317">
              <w:rPr>
                <w:rFonts w:cs="Arial"/>
                <w:color w:val="010202"/>
                <w:spacing w:val="1"/>
                <w:sz w:val="18"/>
                <w:szCs w:val="18"/>
                <w:lang w:val="en-ZA"/>
              </w:rPr>
              <w:t>h</w:t>
            </w:r>
            <w:r w:rsidRPr="00CA3317">
              <w:rPr>
                <w:rFonts w:cs="Arial"/>
                <w:color w:val="010202"/>
                <w:sz w:val="18"/>
                <w:szCs w:val="18"/>
                <w:lang w:val="en-ZA"/>
              </w:rPr>
              <w:t>in</w:t>
            </w:r>
            <w:r w:rsidRPr="00CA3317">
              <w:rPr>
                <w:rFonts w:cs="Arial"/>
                <w:color w:val="010202"/>
                <w:spacing w:val="-2"/>
                <w:sz w:val="18"/>
                <w:szCs w:val="18"/>
                <w:lang w:val="en-ZA"/>
              </w:rPr>
              <w:t xml:space="preserve"> </w:t>
            </w:r>
            <w:r w:rsidRPr="00CA3317">
              <w:rPr>
                <w:rFonts w:cs="Arial"/>
                <w:color w:val="010202"/>
                <w:sz w:val="18"/>
                <w:szCs w:val="18"/>
                <w:lang w:val="en-ZA"/>
              </w:rPr>
              <w:t>chromi</w:t>
            </w:r>
            <w:r w:rsidRPr="00CA3317">
              <w:rPr>
                <w:rFonts w:cs="Arial"/>
                <w:color w:val="010202"/>
                <w:spacing w:val="2"/>
                <w:sz w:val="18"/>
                <w:szCs w:val="18"/>
                <w:lang w:val="en-ZA"/>
              </w:rPr>
              <w:t>t</w:t>
            </w:r>
            <w:r w:rsidRPr="00CA3317">
              <w:rPr>
                <w:rFonts w:cs="Arial"/>
                <w:color w:val="010202"/>
                <w:sz w:val="18"/>
                <w:szCs w:val="18"/>
                <w:lang w:val="en-ZA"/>
              </w:rPr>
              <w:t>e stringers</w:t>
            </w:r>
          </w:p>
        </w:tc>
      </w:tr>
      <w:tr w:rsidR="00CA3317" w:rsidRPr="00CA3317" w14:paraId="5BEB8E46" w14:textId="77777777" w:rsidTr="000A0B53">
        <w:trPr>
          <w:trHeight w:hRule="exact" w:val="998"/>
        </w:trPr>
        <w:tc>
          <w:tcPr>
            <w:tcW w:w="1559" w:type="dxa"/>
          </w:tcPr>
          <w:p w14:paraId="2D924C17" w14:textId="77777777" w:rsidR="00CA3317" w:rsidRPr="00CA3317" w:rsidRDefault="00CA3317" w:rsidP="00CA3317">
            <w:pPr>
              <w:autoSpaceDE w:val="0"/>
              <w:autoSpaceDN w:val="0"/>
              <w:adjustRightInd w:val="0"/>
              <w:spacing w:before="1" w:after="0" w:line="260" w:lineRule="exact"/>
              <w:rPr>
                <w:rFonts w:cs="Times New Roman"/>
                <w:sz w:val="26"/>
                <w:szCs w:val="26"/>
                <w:lang w:val="en-ZA"/>
              </w:rPr>
            </w:pPr>
          </w:p>
          <w:p w14:paraId="607DE485" w14:textId="77777777" w:rsidR="00CA3317" w:rsidRPr="00CA3317" w:rsidRDefault="00CA3317" w:rsidP="00CA3317">
            <w:pPr>
              <w:autoSpaceDE w:val="0"/>
              <w:autoSpaceDN w:val="0"/>
              <w:adjustRightInd w:val="0"/>
              <w:spacing w:after="0" w:line="264" w:lineRule="auto"/>
              <w:ind w:left="102" w:right="242"/>
              <w:rPr>
                <w:rFonts w:cs="Times New Roman"/>
                <w:sz w:val="24"/>
                <w:szCs w:val="24"/>
                <w:lang w:val="en-ZA"/>
              </w:rPr>
            </w:pPr>
            <w:r w:rsidRPr="00CA3317">
              <w:rPr>
                <w:rFonts w:cs="Arial"/>
                <w:color w:val="010202"/>
                <w:sz w:val="18"/>
                <w:szCs w:val="18"/>
                <w:lang w:val="en-ZA"/>
              </w:rPr>
              <w:t>L</w:t>
            </w:r>
            <w:r w:rsidRPr="00CA3317">
              <w:rPr>
                <w:rFonts w:cs="Arial"/>
                <w:color w:val="010202"/>
                <w:spacing w:val="2"/>
                <w:sz w:val="18"/>
                <w:szCs w:val="18"/>
                <w:lang w:val="en-ZA"/>
              </w:rPr>
              <w:t>o</w:t>
            </w:r>
            <w:r w:rsidRPr="00CA3317">
              <w:rPr>
                <w:rFonts w:cs="Arial"/>
                <w:color w:val="010202"/>
                <w:spacing w:val="-3"/>
                <w:sz w:val="18"/>
                <w:szCs w:val="18"/>
                <w:lang w:val="en-ZA"/>
              </w:rPr>
              <w:t>w</w:t>
            </w:r>
            <w:r w:rsidRPr="00CA3317">
              <w:rPr>
                <w:rFonts w:cs="Arial"/>
                <w:color w:val="010202"/>
                <w:spacing w:val="1"/>
                <w:sz w:val="18"/>
                <w:szCs w:val="18"/>
                <w:lang w:val="en-ZA"/>
              </w:rPr>
              <w:t>e</w:t>
            </w:r>
            <w:r w:rsidRPr="00CA3317">
              <w:rPr>
                <w:rFonts w:cs="Arial"/>
                <w:color w:val="010202"/>
                <w:sz w:val="18"/>
                <w:szCs w:val="18"/>
                <w:lang w:val="en-ZA"/>
              </w:rPr>
              <w:t>r (UG2B) Chromitite</w:t>
            </w:r>
          </w:p>
        </w:tc>
        <w:tc>
          <w:tcPr>
            <w:tcW w:w="1549" w:type="dxa"/>
          </w:tcPr>
          <w:p w14:paraId="58B4BE2C" w14:textId="77777777" w:rsidR="00CA3317" w:rsidRPr="00CA3317" w:rsidRDefault="00CA3317" w:rsidP="00CA3317">
            <w:pPr>
              <w:autoSpaceDE w:val="0"/>
              <w:autoSpaceDN w:val="0"/>
              <w:adjustRightInd w:val="0"/>
              <w:spacing w:before="5" w:after="0" w:line="170" w:lineRule="exact"/>
              <w:rPr>
                <w:rFonts w:cs="Times New Roman"/>
                <w:sz w:val="17"/>
                <w:szCs w:val="17"/>
                <w:lang w:val="en-ZA"/>
              </w:rPr>
            </w:pPr>
          </w:p>
          <w:p w14:paraId="28F0817E" w14:textId="77777777" w:rsidR="00CA3317" w:rsidRPr="00CA3317" w:rsidRDefault="00CA3317" w:rsidP="00CA3317">
            <w:pPr>
              <w:autoSpaceDE w:val="0"/>
              <w:autoSpaceDN w:val="0"/>
              <w:adjustRightInd w:val="0"/>
              <w:spacing w:after="0" w:line="240" w:lineRule="auto"/>
              <w:ind w:left="100" w:right="-20"/>
              <w:rPr>
                <w:rFonts w:cs="Times New Roman"/>
                <w:sz w:val="24"/>
                <w:szCs w:val="24"/>
                <w:lang w:val="en-ZA"/>
              </w:rPr>
            </w:pPr>
            <w:r w:rsidRPr="00CA3317">
              <w:rPr>
                <w:rFonts w:cs="Arial"/>
                <w:color w:val="010202"/>
                <w:sz w:val="18"/>
                <w:szCs w:val="18"/>
                <w:lang w:val="en-ZA"/>
              </w:rPr>
              <w:t>UG2B</w:t>
            </w:r>
          </w:p>
        </w:tc>
        <w:tc>
          <w:tcPr>
            <w:tcW w:w="1417" w:type="dxa"/>
          </w:tcPr>
          <w:p w14:paraId="2DA47AA5" w14:textId="77777777" w:rsidR="00CA3317" w:rsidRPr="00CA3317" w:rsidRDefault="00CA3317" w:rsidP="00CA3317">
            <w:pPr>
              <w:autoSpaceDE w:val="0"/>
              <w:autoSpaceDN w:val="0"/>
              <w:adjustRightInd w:val="0"/>
              <w:spacing w:before="5" w:after="0" w:line="170" w:lineRule="exact"/>
              <w:rPr>
                <w:rFonts w:cs="Times New Roman"/>
                <w:sz w:val="17"/>
                <w:szCs w:val="17"/>
                <w:lang w:val="en-ZA"/>
              </w:rPr>
            </w:pPr>
          </w:p>
          <w:p w14:paraId="1A01C471" w14:textId="77777777" w:rsidR="00CA3317" w:rsidRPr="00CA3317" w:rsidRDefault="00CA3317" w:rsidP="00CA3317">
            <w:pPr>
              <w:autoSpaceDE w:val="0"/>
              <w:autoSpaceDN w:val="0"/>
              <w:adjustRightInd w:val="0"/>
              <w:spacing w:after="0" w:line="240" w:lineRule="auto"/>
              <w:ind w:left="99" w:right="-20"/>
              <w:rPr>
                <w:rFonts w:cs="Times New Roman"/>
                <w:sz w:val="24"/>
                <w:szCs w:val="24"/>
                <w:lang w:val="en-ZA"/>
              </w:rPr>
            </w:pPr>
            <w:r w:rsidRPr="00CA3317">
              <w:rPr>
                <w:rFonts w:cs="Arial"/>
                <w:color w:val="010202"/>
                <w:sz w:val="18"/>
                <w:szCs w:val="18"/>
                <w:lang w:val="en-ZA"/>
              </w:rPr>
              <w:t>1.0 – 4.0m</w:t>
            </w:r>
          </w:p>
        </w:tc>
        <w:tc>
          <w:tcPr>
            <w:tcW w:w="4029" w:type="dxa"/>
          </w:tcPr>
          <w:p w14:paraId="50D9D4E1" w14:textId="77777777" w:rsidR="00CA3317" w:rsidRPr="00CA3317" w:rsidRDefault="00CA3317" w:rsidP="00CA3317">
            <w:pPr>
              <w:autoSpaceDE w:val="0"/>
              <w:autoSpaceDN w:val="0"/>
              <w:adjustRightInd w:val="0"/>
              <w:spacing w:before="7" w:after="0" w:line="140" w:lineRule="exact"/>
              <w:rPr>
                <w:rFonts w:cs="Times New Roman"/>
                <w:sz w:val="14"/>
                <w:szCs w:val="14"/>
                <w:lang w:val="en-ZA"/>
              </w:rPr>
            </w:pPr>
          </w:p>
          <w:p w14:paraId="4FC88D8F" w14:textId="77777777" w:rsidR="00CA3317" w:rsidRPr="00CA3317" w:rsidRDefault="00CA3317" w:rsidP="00CA3317">
            <w:pPr>
              <w:autoSpaceDE w:val="0"/>
              <w:autoSpaceDN w:val="0"/>
              <w:adjustRightInd w:val="0"/>
              <w:spacing w:after="0" w:line="264" w:lineRule="auto"/>
              <w:ind w:left="100" w:right="136"/>
              <w:rPr>
                <w:rFonts w:cs="Times New Roman"/>
                <w:sz w:val="24"/>
                <w:szCs w:val="24"/>
                <w:lang w:val="en-ZA"/>
              </w:rPr>
            </w:pPr>
            <w:r w:rsidRPr="00CA3317">
              <w:rPr>
                <w:rFonts w:cs="Arial"/>
                <w:color w:val="010202"/>
                <w:sz w:val="18"/>
                <w:szCs w:val="18"/>
                <w:lang w:val="en-ZA"/>
              </w:rPr>
              <w:t>Chromitite la</w:t>
            </w:r>
            <w:r w:rsidRPr="00CA3317">
              <w:rPr>
                <w:rFonts w:cs="Arial"/>
                <w:color w:val="010202"/>
                <w:spacing w:val="-1"/>
                <w:sz w:val="18"/>
                <w:szCs w:val="18"/>
                <w:lang w:val="en-ZA"/>
              </w:rPr>
              <w:t>y</w:t>
            </w:r>
            <w:r w:rsidRPr="00CA3317">
              <w:rPr>
                <w:rFonts w:cs="Arial"/>
                <w:color w:val="010202"/>
                <w:spacing w:val="1"/>
                <w:sz w:val="18"/>
                <w:szCs w:val="18"/>
                <w:lang w:val="en-ZA"/>
              </w:rPr>
              <w:t>e</w:t>
            </w:r>
            <w:r w:rsidRPr="00CA3317">
              <w:rPr>
                <w:rFonts w:cs="Arial"/>
                <w:color w:val="010202"/>
                <w:sz w:val="18"/>
                <w:szCs w:val="18"/>
                <w:lang w:val="en-ZA"/>
              </w:rPr>
              <w:t>r</w:t>
            </w:r>
            <w:r w:rsidRPr="00CA3317">
              <w:rPr>
                <w:rFonts w:cs="Arial"/>
                <w:color w:val="010202"/>
                <w:spacing w:val="2"/>
                <w:sz w:val="18"/>
                <w:szCs w:val="18"/>
                <w:lang w:val="en-ZA"/>
              </w:rPr>
              <w:t xml:space="preserve"> </w:t>
            </w:r>
            <w:r w:rsidRPr="00CA3317">
              <w:rPr>
                <w:rFonts w:cs="Arial"/>
                <w:color w:val="010202"/>
                <w:spacing w:val="-3"/>
                <w:sz w:val="18"/>
                <w:szCs w:val="18"/>
                <w:lang w:val="en-ZA"/>
              </w:rPr>
              <w:t>w</w:t>
            </w:r>
            <w:r w:rsidRPr="00CA3317">
              <w:rPr>
                <w:rFonts w:cs="Arial"/>
                <w:color w:val="010202"/>
                <w:sz w:val="18"/>
                <w:szCs w:val="18"/>
                <w:lang w:val="en-ZA"/>
              </w:rPr>
              <w:t>ith</w:t>
            </w:r>
            <w:r w:rsidRPr="00CA3317">
              <w:rPr>
                <w:rFonts w:cs="Arial"/>
                <w:color w:val="010202"/>
                <w:spacing w:val="-1"/>
                <w:sz w:val="18"/>
                <w:szCs w:val="18"/>
                <w:lang w:val="en-ZA"/>
              </w:rPr>
              <w:t xml:space="preserve"> </w:t>
            </w:r>
            <w:r w:rsidRPr="00CA3317">
              <w:rPr>
                <w:rFonts w:cs="Arial"/>
                <w:color w:val="010202"/>
                <w:sz w:val="18"/>
                <w:szCs w:val="18"/>
                <w:lang w:val="en-ZA"/>
              </w:rPr>
              <w:t>m</w:t>
            </w:r>
            <w:r w:rsidRPr="00CA3317">
              <w:rPr>
                <w:rFonts w:cs="Arial"/>
                <w:color w:val="010202"/>
                <w:spacing w:val="-1"/>
                <w:sz w:val="18"/>
                <w:szCs w:val="18"/>
                <w:lang w:val="en-ZA"/>
              </w:rPr>
              <w:t>u</w:t>
            </w:r>
            <w:r w:rsidRPr="00CA3317">
              <w:rPr>
                <w:rFonts w:cs="Arial"/>
                <w:color w:val="010202"/>
                <w:spacing w:val="1"/>
                <w:sz w:val="18"/>
                <w:szCs w:val="18"/>
                <w:lang w:val="en-ZA"/>
              </w:rPr>
              <w:t>c</w:t>
            </w:r>
            <w:r w:rsidRPr="00CA3317">
              <w:rPr>
                <w:rFonts w:cs="Arial"/>
                <w:color w:val="010202"/>
                <w:sz w:val="18"/>
                <w:szCs w:val="18"/>
                <w:lang w:val="en-ZA"/>
              </w:rPr>
              <w:t>h sil</w:t>
            </w:r>
            <w:r w:rsidRPr="00CA3317">
              <w:rPr>
                <w:rFonts w:cs="Arial"/>
                <w:color w:val="010202"/>
                <w:spacing w:val="1"/>
                <w:sz w:val="18"/>
                <w:szCs w:val="18"/>
                <w:lang w:val="en-ZA"/>
              </w:rPr>
              <w:t>i</w:t>
            </w:r>
            <w:r w:rsidRPr="00CA3317">
              <w:rPr>
                <w:rFonts w:cs="Arial"/>
                <w:color w:val="010202"/>
                <w:sz w:val="18"/>
                <w:szCs w:val="18"/>
                <w:lang w:val="en-ZA"/>
              </w:rPr>
              <w:t>cate ga</w:t>
            </w:r>
            <w:r w:rsidRPr="00CA3317">
              <w:rPr>
                <w:rFonts w:cs="Arial"/>
                <w:color w:val="010202"/>
                <w:spacing w:val="1"/>
                <w:sz w:val="18"/>
                <w:szCs w:val="18"/>
                <w:lang w:val="en-ZA"/>
              </w:rPr>
              <w:t>n</w:t>
            </w:r>
            <w:r w:rsidRPr="00CA3317">
              <w:rPr>
                <w:rFonts w:cs="Arial"/>
                <w:color w:val="010202"/>
                <w:sz w:val="18"/>
                <w:szCs w:val="18"/>
                <w:lang w:val="en-ZA"/>
              </w:rPr>
              <w:t>g</w:t>
            </w:r>
            <w:r w:rsidRPr="00CA3317">
              <w:rPr>
                <w:rFonts w:cs="Arial"/>
                <w:color w:val="010202"/>
                <w:spacing w:val="1"/>
                <w:sz w:val="18"/>
                <w:szCs w:val="18"/>
                <w:lang w:val="en-ZA"/>
              </w:rPr>
              <w:t>u</w:t>
            </w:r>
            <w:r w:rsidRPr="00CA3317">
              <w:rPr>
                <w:rFonts w:cs="Arial"/>
                <w:color w:val="010202"/>
                <w:sz w:val="18"/>
                <w:szCs w:val="18"/>
                <w:lang w:val="en-ZA"/>
              </w:rPr>
              <w:t xml:space="preserve">e </w:t>
            </w:r>
            <w:r w:rsidRPr="00CA3317">
              <w:rPr>
                <w:rFonts w:cs="Arial"/>
                <w:color w:val="010202"/>
                <w:spacing w:val="1"/>
                <w:sz w:val="18"/>
                <w:szCs w:val="18"/>
                <w:lang w:val="en-ZA"/>
              </w:rPr>
              <w:t>a</w:t>
            </w:r>
            <w:r w:rsidRPr="00CA3317">
              <w:rPr>
                <w:rFonts w:cs="Arial"/>
                <w:color w:val="010202"/>
                <w:sz w:val="18"/>
                <w:szCs w:val="18"/>
                <w:lang w:val="en-ZA"/>
              </w:rPr>
              <w:t>nd visib</w:t>
            </w:r>
            <w:r w:rsidRPr="00CA3317">
              <w:rPr>
                <w:rFonts w:cs="Arial"/>
                <w:color w:val="010202"/>
                <w:spacing w:val="1"/>
                <w:sz w:val="18"/>
                <w:szCs w:val="18"/>
                <w:lang w:val="en-ZA"/>
              </w:rPr>
              <w:t>l</w:t>
            </w:r>
            <w:r w:rsidRPr="00CA3317">
              <w:rPr>
                <w:rFonts w:cs="Arial"/>
                <w:color w:val="010202"/>
                <w:sz w:val="18"/>
                <w:szCs w:val="18"/>
                <w:lang w:val="en-ZA"/>
              </w:rPr>
              <w:t>e dis</w:t>
            </w:r>
            <w:r w:rsidRPr="00CA3317">
              <w:rPr>
                <w:rFonts w:cs="Arial"/>
                <w:color w:val="010202"/>
                <w:spacing w:val="1"/>
                <w:sz w:val="18"/>
                <w:szCs w:val="18"/>
                <w:lang w:val="en-ZA"/>
              </w:rPr>
              <w:t>s</w:t>
            </w:r>
            <w:r w:rsidRPr="00CA3317">
              <w:rPr>
                <w:rFonts w:cs="Arial"/>
                <w:color w:val="010202"/>
                <w:sz w:val="18"/>
                <w:szCs w:val="18"/>
                <w:lang w:val="en-ZA"/>
              </w:rPr>
              <w:t>em</w:t>
            </w:r>
            <w:r w:rsidRPr="00CA3317">
              <w:rPr>
                <w:rFonts w:cs="Arial"/>
                <w:color w:val="010202"/>
                <w:spacing w:val="1"/>
                <w:sz w:val="18"/>
                <w:szCs w:val="18"/>
                <w:lang w:val="en-ZA"/>
              </w:rPr>
              <w:t>i</w:t>
            </w:r>
            <w:r w:rsidRPr="00CA3317">
              <w:rPr>
                <w:rFonts w:cs="Arial"/>
                <w:color w:val="010202"/>
                <w:sz w:val="18"/>
                <w:szCs w:val="18"/>
                <w:lang w:val="en-ZA"/>
              </w:rPr>
              <w:t xml:space="preserve">nated </w:t>
            </w:r>
            <w:r w:rsidRPr="00CA3317">
              <w:rPr>
                <w:rFonts w:cs="Arial"/>
                <w:color w:val="010202"/>
                <w:spacing w:val="1"/>
                <w:sz w:val="18"/>
                <w:szCs w:val="18"/>
                <w:lang w:val="en-ZA"/>
              </w:rPr>
              <w:t>b</w:t>
            </w:r>
            <w:r w:rsidRPr="00CA3317">
              <w:rPr>
                <w:rFonts w:cs="Arial"/>
                <w:color w:val="010202"/>
                <w:spacing w:val="-1"/>
                <w:sz w:val="18"/>
                <w:szCs w:val="18"/>
                <w:lang w:val="en-ZA"/>
              </w:rPr>
              <w:t>a</w:t>
            </w:r>
            <w:r w:rsidRPr="00CA3317">
              <w:rPr>
                <w:rFonts w:cs="Arial"/>
                <w:color w:val="010202"/>
                <w:sz w:val="18"/>
                <w:szCs w:val="18"/>
                <w:lang w:val="en-ZA"/>
              </w:rPr>
              <w:t>se m</w:t>
            </w:r>
            <w:r w:rsidRPr="00CA3317">
              <w:rPr>
                <w:rFonts w:cs="Arial"/>
                <w:color w:val="010202"/>
                <w:spacing w:val="1"/>
                <w:sz w:val="18"/>
                <w:szCs w:val="18"/>
                <w:lang w:val="en-ZA"/>
              </w:rPr>
              <w:t>e</w:t>
            </w:r>
            <w:r w:rsidRPr="00CA3317">
              <w:rPr>
                <w:rFonts w:cs="Arial"/>
                <w:color w:val="010202"/>
                <w:sz w:val="18"/>
                <w:szCs w:val="18"/>
                <w:lang w:val="en-ZA"/>
              </w:rPr>
              <w:t>tal sul</w:t>
            </w:r>
            <w:r w:rsidRPr="00CA3317">
              <w:rPr>
                <w:rFonts w:cs="Arial"/>
                <w:color w:val="010202"/>
                <w:spacing w:val="1"/>
                <w:sz w:val="18"/>
                <w:szCs w:val="18"/>
                <w:lang w:val="en-ZA"/>
              </w:rPr>
              <w:t>p</w:t>
            </w:r>
            <w:r w:rsidRPr="00CA3317">
              <w:rPr>
                <w:rFonts w:cs="Arial"/>
                <w:color w:val="010202"/>
                <w:sz w:val="18"/>
                <w:szCs w:val="18"/>
                <w:lang w:val="en-ZA"/>
              </w:rPr>
              <w:t>hi</w:t>
            </w:r>
            <w:r w:rsidRPr="00CA3317">
              <w:rPr>
                <w:rFonts w:cs="Arial"/>
                <w:color w:val="010202"/>
                <w:spacing w:val="1"/>
                <w:sz w:val="18"/>
                <w:szCs w:val="18"/>
                <w:lang w:val="en-ZA"/>
              </w:rPr>
              <w:t>d</w:t>
            </w:r>
            <w:r w:rsidRPr="00CA3317">
              <w:rPr>
                <w:rFonts w:cs="Arial"/>
                <w:color w:val="010202"/>
                <w:sz w:val="18"/>
                <w:szCs w:val="18"/>
                <w:lang w:val="en-ZA"/>
              </w:rPr>
              <w:t>e miner</w:t>
            </w:r>
            <w:r w:rsidRPr="00CA3317">
              <w:rPr>
                <w:rFonts w:cs="Arial"/>
                <w:color w:val="010202"/>
                <w:spacing w:val="1"/>
                <w:sz w:val="18"/>
                <w:szCs w:val="18"/>
                <w:lang w:val="en-ZA"/>
              </w:rPr>
              <w:t>a</w:t>
            </w:r>
            <w:r w:rsidRPr="00CA3317">
              <w:rPr>
                <w:rFonts w:cs="Arial"/>
                <w:color w:val="010202"/>
                <w:sz w:val="18"/>
                <w:szCs w:val="18"/>
                <w:lang w:val="en-ZA"/>
              </w:rPr>
              <w:t>li</w:t>
            </w:r>
            <w:r w:rsidRPr="00CA3317">
              <w:rPr>
                <w:rFonts w:cs="Arial"/>
                <w:color w:val="010202"/>
                <w:spacing w:val="1"/>
                <w:sz w:val="18"/>
                <w:szCs w:val="18"/>
                <w:lang w:val="en-ZA"/>
              </w:rPr>
              <w:t>s</w:t>
            </w:r>
            <w:r w:rsidRPr="00CA3317">
              <w:rPr>
                <w:rFonts w:cs="Arial"/>
                <w:color w:val="010202"/>
                <w:sz w:val="18"/>
                <w:szCs w:val="18"/>
                <w:lang w:val="en-ZA"/>
              </w:rPr>
              <w:t>ation</w:t>
            </w:r>
          </w:p>
        </w:tc>
      </w:tr>
      <w:tr w:rsidR="00CA3317" w:rsidRPr="00CA3317" w14:paraId="1E63E15A" w14:textId="77777777" w:rsidTr="000A0B53">
        <w:trPr>
          <w:trHeight w:hRule="exact" w:val="1127"/>
        </w:trPr>
        <w:tc>
          <w:tcPr>
            <w:tcW w:w="1559" w:type="dxa"/>
          </w:tcPr>
          <w:p w14:paraId="76BDFFC6" w14:textId="77777777" w:rsidR="00CA3317" w:rsidRPr="00CA3317" w:rsidRDefault="00CA3317" w:rsidP="00CA3317">
            <w:pPr>
              <w:autoSpaceDE w:val="0"/>
              <w:autoSpaceDN w:val="0"/>
              <w:adjustRightInd w:val="0"/>
              <w:spacing w:before="8" w:after="0" w:line="160" w:lineRule="exact"/>
              <w:rPr>
                <w:rFonts w:cs="Times New Roman"/>
                <w:sz w:val="16"/>
                <w:szCs w:val="16"/>
                <w:lang w:val="en-ZA"/>
              </w:rPr>
            </w:pPr>
          </w:p>
          <w:p w14:paraId="720A41CB" w14:textId="77777777" w:rsidR="00CA3317" w:rsidRPr="00CA3317" w:rsidRDefault="00CA3317" w:rsidP="00CA3317">
            <w:pPr>
              <w:autoSpaceDE w:val="0"/>
              <w:autoSpaceDN w:val="0"/>
              <w:adjustRightInd w:val="0"/>
              <w:spacing w:after="0" w:line="240" w:lineRule="auto"/>
              <w:ind w:left="102" w:right="-20"/>
              <w:rPr>
                <w:rFonts w:cs="Times New Roman"/>
                <w:sz w:val="24"/>
                <w:szCs w:val="24"/>
                <w:lang w:val="en-ZA"/>
              </w:rPr>
            </w:pPr>
            <w:r w:rsidRPr="00CA3317">
              <w:rPr>
                <w:rFonts w:cs="Arial"/>
                <w:color w:val="010202"/>
                <w:sz w:val="18"/>
                <w:szCs w:val="18"/>
                <w:lang w:val="en-ZA"/>
              </w:rPr>
              <w:t>UG2 peg</w:t>
            </w:r>
            <w:r w:rsidRPr="00CA3317">
              <w:rPr>
                <w:rFonts w:cs="Arial"/>
                <w:color w:val="010202"/>
                <w:spacing w:val="1"/>
                <w:sz w:val="18"/>
                <w:szCs w:val="18"/>
                <w:lang w:val="en-ZA"/>
              </w:rPr>
              <w:t>m</w:t>
            </w:r>
            <w:r w:rsidRPr="00CA3317">
              <w:rPr>
                <w:rFonts w:cs="Arial"/>
                <w:color w:val="010202"/>
                <w:sz w:val="18"/>
                <w:szCs w:val="18"/>
                <w:lang w:val="en-ZA"/>
              </w:rPr>
              <w:t>ato</w:t>
            </w:r>
            <w:r w:rsidRPr="00CA3317">
              <w:rPr>
                <w:rFonts w:cs="Arial"/>
                <w:color w:val="010202"/>
                <w:spacing w:val="1"/>
                <w:sz w:val="18"/>
                <w:szCs w:val="18"/>
                <w:lang w:val="en-ZA"/>
              </w:rPr>
              <w:t>i</w:t>
            </w:r>
            <w:r w:rsidRPr="00CA3317">
              <w:rPr>
                <w:rFonts w:cs="Arial"/>
                <w:color w:val="010202"/>
                <w:sz w:val="18"/>
                <w:szCs w:val="18"/>
                <w:lang w:val="en-ZA"/>
              </w:rPr>
              <w:t>d</w:t>
            </w:r>
          </w:p>
        </w:tc>
        <w:tc>
          <w:tcPr>
            <w:tcW w:w="1549" w:type="dxa"/>
          </w:tcPr>
          <w:p w14:paraId="0E8AF41F" w14:textId="77777777" w:rsidR="00CA3317" w:rsidRPr="00CA3317" w:rsidRDefault="00CA3317" w:rsidP="00CA3317">
            <w:pPr>
              <w:autoSpaceDE w:val="0"/>
              <w:autoSpaceDN w:val="0"/>
              <w:adjustRightInd w:val="0"/>
              <w:spacing w:before="8" w:after="0" w:line="160" w:lineRule="exact"/>
              <w:rPr>
                <w:rFonts w:cs="Times New Roman"/>
                <w:sz w:val="16"/>
                <w:szCs w:val="16"/>
                <w:lang w:val="en-ZA"/>
              </w:rPr>
            </w:pPr>
          </w:p>
          <w:p w14:paraId="03C407FB" w14:textId="77777777" w:rsidR="00CA3317" w:rsidRPr="00CA3317" w:rsidRDefault="00CA3317" w:rsidP="00CA3317">
            <w:pPr>
              <w:autoSpaceDE w:val="0"/>
              <w:autoSpaceDN w:val="0"/>
              <w:adjustRightInd w:val="0"/>
              <w:spacing w:after="0" w:line="240" w:lineRule="auto"/>
              <w:ind w:left="100" w:right="-20"/>
              <w:rPr>
                <w:rFonts w:cs="Times New Roman"/>
                <w:sz w:val="24"/>
                <w:szCs w:val="24"/>
                <w:lang w:val="en-ZA"/>
              </w:rPr>
            </w:pPr>
            <w:r w:rsidRPr="00CA3317">
              <w:rPr>
                <w:rFonts w:cs="Arial"/>
                <w:color w:val="010202"/>
                <w:sz w:val="18"/>
                <w:szCs w:val="18"/>
                <w:lang w:val="en-ZA"/>
              </w:rPr>
              <w:t>UG2PEG</w:t>
            </w:r>
          </w:p>
        </w:tc>
        <w:tc>
          <w:tcPr>
            <w:tcW w:w="1417" w:type="dxa"/>
          </w:tcPr>
          <w:p w14:paraId="1272DCF0" w14:textId="77777777" w:rsidR="00CA3317" w:rsidRPr="00CA3317" w:rsidRDefault="00CA3317" w:rsidP="00CA3317">
            <w:pPr>
              <w:autoSpaceDE w:val="0"/>
              <w:autoSpaceDN w:val="0"/>
              <w:adjustRightInd w:val="0"/>
              <w:spacing w:after="0" w:line="240" w:lineRule="auto"/>
              <w:rPr>
                <w:rFonts w:cs="Times New Roman"/>
                <w:sz w:val="24"/>
                <w:szCs w:val="24"/>
                <w:lang w:val="en-ZA"/>
              </w:rPr>
            </w:pPr>
          </w:p>
        </w:tc>
        <w:tc>
          <w:tcPr>
            <w:tcW w:w="4029" w:type="dxa"/>
          </w:tcPr>
          <w:p w14:paraId="5B9291DE" w14:textId="77777777" w:rsidR="00CA3317" w:rsidRPr="00CA3317" w:rsidRDefault="00CA3317" w:rsidP="00CA3317">
            <w:pPr>
              <w:autoSpaceDE w:val="0"/>
              <w:autoSpaceDN w:val="0"/>
              <w:adjustRightInd w:val="0"/>
              <w:spacing w:before="10" w:after="0" w:line="130" w:lineRule="exact"/>
              <w:rPr>
                <w:rFonts w:cs="Times New Roman"/>
                <w:sz w:val="13"/>
                <w:szCs w:val="13"/>
                <w:lang w:val="en-ZA"/>
              </w:rPr>
            </w:pPr>
          </w:p>
          <w:p w14:paraId="20F2D1B5" w14:textId="20A8911D" w:rsidR="00CA3317" w:rsidRPr="00CA3317" w:rsidRDefault="00CA3317" w:rsidP="00CA3317">
            <w:pPr>
              <w:autoSpaceDE w:val="0"/>
              <w:autoSpaceDN w:val="0"/>
              <w:adjustRightInd w:val="0"/>
              <w:spacing w:after="0" w:line="263" w:lineRule="auto"/>
              <w:ind w:left="100" w:right="289"/>
              <w:jc w:val="both"/>
              <w:rPr>
                <w:rFonts w:cs="Times New Roman"/>
                <w:sz w:val="24"/>
                <w:szCs w:val="24"/>
                <w:lang w:val="en-ZA"/>
              </w:rPr>
            </w:pPr>
            <w:r w:rsidRPr="00CA3317">
              <w:rPr>
                <w:rFonts w:cs="Arial"/>
                <w:color w:val="010202"/>
                <w:sz w:val="18"/>
                <w:szCs w:val="18"/>
                <w:lang w:val="en-ZA"/>
              </w:rPr>
              <w:t>Noritic com</w:t>
            </w:r>
            <w:r w:rsidRPr="00CA3317">
              <w:rPr>
                <w:rFonts w:cs="Arial"/>
                <w:color w:val="010202"/>
                <w:spacing w:val="1"/>
                <w:sz w:val="18"/>
                <w:szCs w:val="18"/>
                <w:lang w:val="en-ZA"/>
              </w:rPr>
              <w:t>p</w:t>
            </w:r>
            <w:r w:rsidRPr="00CA3317">
              <w:rPr>
                <w:rFonts w:cs="Arial"/>
                <w:color w:val="010202"/>
                <w:sz w:val="18"/>
                <w:szCs w:val="18"/>
                <w:lang w:val="en-ZA"/>
              </w:rPr>
              <w:t>o</w:t>
            </w:r>
            <w:r w:rsidRPr="00CA3317">
              <w:rPr>
                <w:rFonts w:cs="Arial"/>
                <w:color w:val="010202"/>
                <w:spacing w:val="1"/>
                <w:sz w:val="18"/>
                <w:szCs w:val="18"/>
                <w:lang w:val="en-ZA"/>
              </w:rPr>
              <w:t>s</w:t>
            </w:r>
            <w:r w:rsidRPr="00CA3317">
              <w:rPr>
                <w:rFonts w:cs="Arial"/>
                <w:color w:val="010202"/>
                <w:sz w:val="18"/>
                <w:szCs w:val="18"/>
                <w:lang w:val="en-ZA"/>
              </w:rPr>
              <w:t xml:space="preserve">ition </w:t>
            </w:r>
            <w:r w:rsidR="005A13F8">
              <w:rPr>
                <w:rFonts w:cs="Arial"/>
                <w:color w:val="010202"/>
                <w:sz w:val="18"/>
                <w:szCs w:val="18"/>
                <w:lang w:val="en-ZA"/>
              </w:rPr>
              <w:t>commonly</w:t>
            </w:r>
            <w:r w:rsidRPr="00CA3317">
              <w:rPr>
                <w:rFonts w:cs="Arial"/>
                <w:color w:val="010202"/>
                <w:sz w:val="18"/>
                <w:szCs w:val="18"/>
                <w:lang w:val="en-ZA"/>
              </w:rPr>
              <w:t xml:space="preserve"> </w:t>
            </w:r>
            <w:r w:rsidRPr="00CA3317">
              <w:rPr>
                <w:rFonts w:cs="Arial"/>
                <w:color w:val="010202"/>
                <w:spacing w:val="1"/>
                <w:sz w:val="18"/>
                <w:szCs w:val="18"/>
                <w:lang w:val="en-ZA"/>
              </w:rPr>
              <w:t>c</w:t>
            </w:r>
            <w:r w:rsidRPr="00CA3317">
              <w:rPr>
                <w:rFonts w:cs="Arial"/>
                <w:color w:val="010202"/>
                <w:sz w:val="18"/>
                <w:szCs w:val="18"/>
                <w:lang w:val="en-ZA"/>
              </w:rPr>
              <w:t>on</w:t>
            </w:r>
            <w:r w:rsidRPr="00CA3317">
              <w:rPr>
                <w:rFonts w:cs="Arial"/>
                <w:color w:val="010202"/>
                <w:spacing w:val="2"/>
                <w:sz w:val="18"/>
                <w:szCs w:val="18"/>
                <w:lang w:val="en-ZA"/>
              </w:rPr>
              <w:t>t</w:t>
            </w:r>
            <w:r w:rsidRPr="00CA3317">
              <w:rPr>
                <w:rFonts w:cs="Arial"/>
                <w:color w:val="010202"/>
                <w:sz w:val="18"/>
                <w:szCs w:val="18"/>
                <w:lang w:val="en-ZA"/>
              </w:rPr>
              <w:t>ain</w:t>
            </w:r>
            <w:r w:rsidRPr="00CA3317">
              <w:rPr>
                <w:rFonts w:cs="Arial"/>
                <w:color w:val="010202"/>
                <w:spacing w:val="1"/>
                <w:sz w:val="18"/>
                <w:szCs w:val="18"/>
                <w:lang w:val="en-ZA"/>
              </w:rPr>
              <w:t>i</w:t>
            </w:r>
            <w:r w:rsidRPr="00CA3317">
              <w:rPr>
                <w:rFonts w:cs="Arial"/>
                <w:color w:val="010202"/>
                <w:sz w:val="18"/>
                <w:szCs w:val="18"/>
                <w:lang w:val="en-ZA"/>
              </w:rPr>
              <w:t>ng ch</w:t>
            </w:r>
            <w:r w:rsidRPr="00CA3317">
              <w:rPr>
                <w:rFonts w:cs="Arial"/>
                <w:color w:val="010202"/>
                <w:spacing w:val="1"/>
                <w:sz w:val="18"/>
                <w:szCs w:val="18"/>
                <w:lang w:val="en-ZA"/>
              </w:rPr>
              <w:t>r</w:t>
            </w:r>
            <w:r w:rsidRPr="00CA3317">
              <w:rPr>
                <w:rFonts w:cs="Arial"/>
                <w:color w:val="010202"/>
                <w:spacing w:val="-1"/>
                <w:sz w:val="18"/>
                <w:szCs w:val="18"/>
                <w:lang w:val="en-ZA"/>
              </w:rPr>
              <w:t>o</w:t>
            </w:r>
            <w:r w:rsidRPr="00CA3317">
              <w:rPr>
                <w:rFonts w:cs="Arial"/>
                <w:color w:val="010202"/>
                <w:sz w:val="18"/>
                <w:szCs w:val="18"/>
                <w:lang w:val="en-ZA"/>
              </w:rPr>
              <w:t xml:space="preserve">mite stringers </w:t>
            </w:r>
            <w:r w:rsidRPr="00CA3317">
              <w:rPr>
                <w:rFonts w:cs="Arial"/>
                <w:color w:val="010202"/>
                <w:spacing w:val="1"/>
                <w:sz w:val="18"/>
                <w:szCs w:val="18"/>
                <w:lang w:val="en-ZA"/>
              </w:rPr>
              <w:t>a</w:t>
            </w:r>
            <w:r w:rsidRPr="00CA3317">
              <w:rPr>
                <w:rFonts w:cs="Arial"/>
                <w:color w:val="010202"/>
                <w:sz w:val="18"/>
                <w:szCs w:val="18"/>
                <w:lang w:val="en-ZA"/>
              </w:rPr>
              <w:t xml:space="preserve">nd </w:t>
            </w:r>
            <w:r w:rsidRPr="00CA3317">
              <w:rPr>
                <w:rFonts w:cs="Arial"/>
                <w:color w:val="010202"/>
                <w:spacing w:val="1"/>
                <w:sz w:val="18"/>
                <w:szCs w:val="18"/>
                <w:lang w:val="en-ZA"/>
              </w:rPr>
              <w:t>c</w:t>
            </w:r>
            <w:r w:rsidRPr="00CA3317">
              <w:rPr>
                <w:rFonts w:cs="Arial"/>
                <w:color w:val="010202"/>
                <w:sz w:val="18"/>
                <w:szCs w:val="18"/>
                <w:lang w:val="en-ZA"/>
              </w:rPr>
              <w:t>onc</w:t>
            </w:r>
            <w:r w:rsidRPr="00CA3317">
              <w:rPr>
                <w:rFonts w:cs="Arial"/>
                <w:color w:val="010202"/>
                <w:spacing w:val="1"/>
                <w:sz w:val="18"/>
                <w:szCs w:val="18"/>
                <w:lang w:val="en-ZA"/>
              </w:rPr>
              <w:t>e</w:t>
            </w:r>
            <w:r w:rsidRPr="00CA3317">
              <w:rPr>
                <w:rFonts w:cs="Arial"/>
                <w:color w:val="010202"/>
                <w:spacing w:val="-1"/>
                <w:sz w:val="18"/>
                <w:szCs w:val="18"/>
                <w:lang w:val="en-ZA"/>
              </w:rPr>
              <w:t>n</w:t>
            </w:r>
            <w:r w:rsidRPr="00CA3317">
              <w:rPr>
                <w:rFonts w:cs="Arial"/>
                <w:color w:val="010202"/>
                <w:sz w:val="18"/>
                <w:szCs w:val="18"/>
                <w:lang w:val="en-ZA"/>
              </w:rPr>
              <w:t>trati</w:t>
            </w:r>
            <w:r w:rsidRPr="00CA3317">
              <w:rPr>
                <w:rFonts w:cs="Arial"/>
                <w:color w:val="010202"/>
                <w:spacing w:val="1"/>
                <w:sz w:val="18"/>
                <w:szCs w:val="18"/>
                <w:lang w:val="en-ZA"/>
              </w:rPr>
              <w:t>o</w:t>
            </w:r>
            <w:r w:rsidRPr="00CA3317">
              <w:rPr>
                <w:rFonts w:cs="Arial"/>
                <w:color w:val="010202"/>
                <w:sz w:val="18"/>
                <w:szCs w:val="18"/>
                <w:lang w:val="en-ZA"/>
              </w:rPr>
              <w:t>ns,</w:t>
            </w:r>
            <w:r w:rsidRPr="00CA3317">
              <w:rPr>
                <w:rFonts w:cs="Arial"/>
                <w:color w:val="010202"/>
                <w:spacing w:val="-2"/>
                <w:sz w:val="18"/>
                <w:szCs w:val="18"/>
                <w:lang w:val="en-ZA"/>
              </w:rPr>
              <w:t xml:space="preserve"> </w:t>
            </w:r>
            <w:r w:rsidRPr="00CA3317">
              <w:rPr>
                <w:rFonts w:cs="Arial"/>
                <w:color w:val="010202"/>
                <w:sz w:val="18"/>
                <w:szCs w:val="18"/>
                <w:lang w:val="en-ZA"/>
              </w:rPr>
              <w:t xml:space="preserve">and </w:t>
            </w:r>
            <w:r w:rsidR="005A13F8">
              <w:rPr>
                <w:rFonts w:cs="Arial"/>
                <w:color w:val="010202"/>
                <w:sz w:val="18"/>
                <w:szCs w:val="18"/>
                <w:lang w:val="en-ZA"/>
              </w:rPr>
              <w:t>commonly</w:t>
            </w:r>
            <w:r w:rsidR="005A13F8" w:rsidRPr="00CA3317">
              <w:rPr>
                <w:rFonts w:cs="Arial"/>
                <w:color w:val="010202"/>
                <w:sz w:val="18"/>
                <w:szCs w:val="18"/>
                <w:lang w:val="en-ZA"/>
              </w:rPr>
              <w:t xml:space="preserve"> </w:t>
            </w:r>
            <w:r w:rsidRPr="00CA3317">
              <w:rPr>
                <w:rFonts w:cs="Arial"/>
                <w:color w:val="010202"/>
                <w:spacing w:val="-3"/>
                <w:sz w:val="18"/>
                <w:szCs w:val="18"/>
                <w:lang w:val="en-ZA"/>
              </w:rPr>
              <w:t>w</w:t>
            </w:r>
            <w:r w:rsidRPr="00CA3317">
              <w:rPr>
                <w:rFonts w:cs="Arial"/>
                <w:color w:val="010202"/>
                <w:spacing w:val="-1"/>
                <w:sz w:val="18"/>
                <w:szCs w:val="18"/>
                <w:lang w:val="en-ZA"/>
              </w:rPr>
              <w:t>e</w:t>
            </w:r>
            <w:r w:rsidRPr="00CA3317">
              <w:rPr>
                <w:rFonts w:cs="Arial"/>
                <w:color w:val="010202"/>
                <w:spacing w:val="1"/>
                <w:sz w:val="18"/>
                <w:szCs w:val="18"/>
                <w:lang w:val="en-ZA"/>
              </w:rPr>
              <w:t>l</w:t>
            </w:r>
            <w:r w:rsidRPr="00CA3317">
              <w:rPr>
                <w:rFonts w:cs="Arial"/>
                <w:color w:val="010202"/>
                <w:sz w:val="18"/>
                <w:szCs w:val="18"/>
                <w:lang w:val="en-ZA"/>
              </w:rPr>
              <w:t>l- miner</w:t>
            </w:r>
            <w:r w:rsidRPr="00CA3317">
              <w:rPr>
                <w:rFonts w:cs="Arial"/>
                <w:color w:val="010202"/>
                <w:spacing w:val="1"/>
                <w:sz w:val="18"/>
                <w:szCs w:val="18"/>
                <w:lang w:val="en-ZA"/>
              </w:rPr>
              <w:t>a</w:t>
            </w:r>
            <w:r w:rsidRPr="00CA3317">
              <w:rPr>
                <w:rFonts w:cs="Arial"/>
                <w:color w:val="010202"/>
                <w:sz w:val="18"/>
                <w:szCs w:val="18"/>
                <w:lang w:val="en-ZA"/>
              </w:rPr>
              <w:t>li</w:t>
            </w:r>
            <w:r w:rsidRPr="00CA3317">
              <w:rPr>
                <w:rFonts w:cs="Arial"/>
                <w:color w:val="010202"/>
                <w:spacing w:val="1"/>
                <w:sz w:val="18"/>
                <w:szCs w:val="18"/>
                <w:lang w:val="en-ZA"/>
              </w:rPr>
              <w:t>s</w:t>
            </w:r>
            <w:r w:rsidRPr="00CA3317">
              <w:rPr>
                <w:rFonts w:cs="Arial"/>
                <w:color w:val="010202"/>
                <w:sz w:val="18"/>
                <w:szCs w:val="18"/>
                <w:lang w:val="en-ZA"/>
              </w:rPr>
              <w:t>ed</w:t>
            </w:r>
            <w:r w:rsidRPr="00CA3317">
              <w:rPr>
                <w:rFonts w:cs="Arial"/>
                <w:color w:val="010202"/>
                <w:spacing w:val="2"/>
                <w:sz w:val="18"/>
                <w:szCs w:val="18"/>
                <w:lang w:val="en-ZA"/>
              </w:rPr>
              <w:t xml:space="preserve"> </w:t>
            </w:r>
            <w:r w:rsidRPr="00CA3317">
              <w:rPr>
                <w:rFonts w:cs="Arial"/>
                <w:color w:val="010202"/>
                <w:spacing w:val="-3"/>
                <w:sz w:val="18"/>
                <w:szCs w:val="18"/>
                <w:lang w:val="en-ZA"/>
              </w:rPr>
              <w:t>w</w:t>
            </w:r>
            <w:r w:rsidRPr="00CA3317">
              <w:rPr>
                <w:rFonts w:cs="Arial"/>
                <w:color w:val="010202"/>
                <w:sz w:val="18"/>
                <w:szCs w:val="18"/>
                <w:lang w:val="en-ZA"/>
              </w:rPr>
              <w:t>i</w:t>
            </w:r>
            <w:r w:rsidRPr="00CA3317">
              <w:rPr>
                <w:rFonts w:cs="Arial"/>
                <w:color w:val="010202"/>
                <w:spacing w:val="2"/>
                <w:sz w:val="18"/>
                <w:szCs w:val="18"/>
                <w:lang w:val="en-ZA"/>
              </w:rPr>
              <w:t>t</w:t>
            </w:r>
            <w:r w:rsidRPr="00CA3317">
              <w:rPr>
                <w:rFonts w:cs="Arial"/>
                <w:color w:val="010202"/>
                <w:sz w:val="18"/>
                <w:szCs w:val="18"/>
                <w:lang w:val="en-ZA"/>
              </w:rPr>
              <w:t>h base met</w:t>
            </w:r>
            <w:r w:rsidRPr="00CA3317">
              <w:rPr>
                <w:rFonts w:cs="Arial"/>
                <w:color w:val="010202"/>
                <w:spacing w:val="1"/>
                <w:sz w:val="18"/>
                <w:szCs w:val="18"/>
                <w:lang w:val="en-ZA"/>
              </w:rPr>
              <w:t>a</w:t>
            </w:r>
            <w:r w:rsidRPr="00CA3317">
              <w:rPr>
                <w:rFonts w:cs="Arial"/>
                <w:color w:val="010202"/>
                <w:sz w:val="18"/>
                <w:szCs w:val="18"/>
                <w:lang w:val="en-ZA"/>
              </w:rPr>
              <w:t>l sul</w:t>
            </w:r>
            <w:r w:rsidRPr="00CA3317">
              <w:rPr>
                <w:rFonts w:cs="Arial"/>
                <w:color w:val="010202"/>
                <w:spacing w:val="1"/>
                <w:sz w:val="18"/>
                <w:szCs w:val="18"/>
                <w:lang w:val="en-ZA"/>
              </w:rPr>
              <w:t>p</w:t>
            </w:r>
            <w:r w:rsidRPr="00CA3317">
              <w:rPr>
                <w:rFonts w:cs="Arial"/>
                <w:color w:val="010202"/>
                <w:sz w:val="18"/>
                <w:szCs w:val="18"/>
                <w:lang w:val="en-ZA"/>
              </w:rPr>
              <w:t>hi</w:t>
            </w:r>
            <w:r w:rsidRPr="00CA3317">
              <w:rPr>
                <w:rFonts w:cs="Arial"/>
                <w:color w:val="010202"/>
                <w:spacing w:val="1"/>
                <w:sz w:val="18"/>
                <w:szCs w:val="18"/>
                <w:lang w:val="en-ZA"/>
              </w:rPr>
              <w:t>d</w:t>
            </w:r>
            <w:r w:rsidRPr="00CA3317">
              <w:rPr>
                <w:rFonts w:cs="Arial"/>
                <w:color w:val="010202"/>
                <w:spacing w:val="-1"/>
                <w:sz w:val="18"/>
                <w:szCs w:val="18"/>
                <w:lang w:val="en-ZA"/>
              </w:rPr>
              <w:t>e</w:t>
            </w:r>
            <w:r w:rsidRPr="00CA3317">
              <w:rPr>
                <w:rFonts w:cs="Arial"/>
                <w:color w:val="010202"/>
                <w:sz w:val="18"/>
                <w:szCs w:val="18"/>
                <w:lang w:val="en-ZA"/>
              </w:rPr>
              <w:t>s</w:t>
            </w:r>
          </w:p>
        </w:tc>
      </w:tr>
    </w:tbl>
    <w:p w14:paraId="7F812B74" w14:textId="77777777" w:rsidR="00CA3317" w:rsidRDefault="00CA3317" w:rsidP="00147374">
      <w:pPr>
        <w:jc w:val="both"/>
      </w:pPr>
    </w:p>
    <w:p w14:paraId="729834FD" w14:textId="2EFF14ED" w:rsidR="00147374" w:rsidRDefault="001D2110" w:rsidP="00147374">
      <w:pPr>
        <w:jc w:val="both"/>
      </w:pPr>
      <w:r>
        <w:t xml:space="preserve">The UG2 </w:t>
      </w:r>
      <w:r w:rsidR="0010178F">
        <w:t xml:space="preserve">Chromitite on the </w:t>
      </w:r>
      <w:r>
        <w:t xml:space="preserve">Lesego </w:t>
      </w:r>
      <w:r w:rsidR="0010178F">
        <w:t xml:space="preserve">Project area </w:t>
      </w:r>
      <w:r>
        <w:t>is described in more detail in Chapter 2.</w:t>
      </w:r>
    </w:p>
    <w:p w14:paraId="194976AC" w14:textId="4E12D3DE" w:rsidR="0014666A" w:rsidRPr="00DF74E7" w:rsidRDefault="0014666A" w:rsidP="00DF74E7">
      <w:pPr>
        <w:pStyle w:val="Heading4"/>
        <w:rPr>
          <w:color w:val="000000" w:themeColor="text1"/>
        </w:rPr>
      </w:pPr>
      <w:bookmarkStart w:id="23" w:name="_Toc520758773"/>
      <w:r w:rsidRPr="00DF74E7">
        <w:rPr>
          <w:color w:val="000000" w:themeColor="text1"/>
        </w:rPr>
        <w:t>Merensky Reef facies variations</w:t>
      </w:r>
      <w:bookmarkEnd w:id="23"/>
    </w:p>
    <w:p w14:paraId="0D5237E8" w14:textId="6B1F7AB8" w:rsidR="009971C7" w:rsidRDefault="00C30F56" w:rsidP="00C30F56">
      <w:pPr>
        <w:jc w:val="both"/>
      </w:pPr>
      <w:r>
        <w:t xml:space="preserve">The Merensky Reef at Bokoni, Lesego and Lonmin Limpopo Section </w:t>
      </w:r>
      <w:r w:rsidR="005A13F8">
        <w:t xml:space="preserve">is </w:t>
      </w:r>
      <w:r>
        <w:t xml:space="preserve">situated near the top of the Merensky pyroxenite, which is a characteristic feature throughout the eastern Bushveld </w:t>
      </w:r>
      <w:r w:rsidR="005A13F8">
        <w:t xml:space="preserve">Complex </w:t>
      </w:r>
      <w:r>
        <w:t xml:space="preserve">(Mossom, 1986). </w:t>
      </w:r>
      <w:r w:rsidR="005A13F8">
        <w:t>V</w:t>
      </w:r>
      <w:r w:rsidR="006E45A0">
        <w:t>on</w:t>
      </w:r>
      <w:r w:rsidR="005A13F8">
        <w:t xml:space="preserve"> Gruenewaldt </w:t>
      </w:r>
      <w:r w:rsidR="005A13F8" w:rsidRPr="00785551">
        <w:rPr>
          <w:i/>
        </w:rPr>
        <w:t>et al</w:t>
      </w:r>
      <w:r w:rsidR="005A13F8">
        <w:t>.</w:t>
      </w:r>
      <w:r w:rsidR="00791470">
        <w:t xml:space="preserve"> (19</w:t>
      </w:r>
      <w:r w:rsidR="006E3D9C">
        <w:t>90</w:t>
      </w:r>
      <w:r w:rsidR="00791470">
        <w:t xml:space="preserve">) </w:t>
      </w:r>
      <w:r w:rsidR="005A13F8">
        <w:t>noted that chromitite</w:t>
      </w:r>
      <w:r w:rsidR="006E3D9C">
        <w:t xml:space="preserve"> stringers are limited to a few grains at the base of the pyroxenite, or </w:t>
      </w:r>
      <w:r w:rsidR="005A13F8">
        <w:t xml:space="preserve">are </w:t>
      </w:r>
      <w:r w:rsidR="006E3D9C">
        <w:t>absent,</w:t>
      </w:r>
      <w:r w:rsidR="00791470">
        <w:t xml:space="preserve"> </w:t>
      </w:r>
      <w:r w:rsidR="006E3D9C">
        <w:t>in the eastern section of Lonmin’s Limpopo Section</w:t>
      </w:r>
      <w:r w:rsidR="005A13F8">
        <w:t>;</w:t>
      </w:r>
      <w:r w:rsidR="006E3D9C">
        <w:t xml:space="preserve"> </w:t>
      </w:r>
      <w:r w:rsidR="00791470">
        <w:t>however</w:t>
      </w:r>
      <w:r w:rsidR="005A13F8">
        <w:t>;</w:t>
      </w:r>
      <w:r w:rsidR="00791470">
        <w:t xml:space="preserve"> further west there can be one, two, or </w:t>
      </w:r>
      <w:r w:rsidR="006E3D9C">
        <w:t xml:space="preserve">even </w:t>
      </w:r>
      <w:r w:rsidR="00791470">
        <w:t xml:space="preserve">three chromitite stringers. </w:t>
      </w:r>
    </w:p>
    <w:p w14:paraId="3CB4BBC3" w14:textId="0AF94260" w:rsidR="00791470" w:rsidRDefault="00BC051C" w:rsidP="00C30F56">
      <w:pPr>
        <w:jc w:val="both"/>
      </w:pPr>
      <w:r>
        <w:t xml:space="preserve">The Merensky Reef at Bokoni Mine </w:t>
      </w:r>
      <w:r w:rsidR="00C30F56">
        <w:t>contain</w:t>
      </w:r>
      <w:r w:rsidR="000A0B53">
        <w:t>s</w:t>
      </w:r>
      <w:r w:rsidR="00C30F56">
        <w:t xml:space="preserve"> </w:t>
      </w:r>
      <w:r>
        <w:t>two chromitite stringers</w:t>
      </w:r>
      <w:r w:rsidR="00C30F56">
        <w:t xml:space="preserve"> </w:t>
      </w:r>
      <w:r>
        <w:t xml:space="preserve">separated by </w:t>
      </w:r>
      <w:r w:rsidR="00C30F56">
        <w:t xml:space="preserve">approximately </w:t>
      </w:r>
      <w:r>
        <w:t xml:space="preserve">0.50 m </w:t>
      </w:r>
      <w:r w:rsidR="00C30F56">
        <w:t>of pyroxenite</w:t>
      </w:r>
      <w:r w:rsidR="000A0B53">
        <w:t>;</w:t>
      </w:r>
      <w:r w:rsidR="00C30F56">
        <w:t xml:space="preserve"> </w:t>
      </w:r>
      <w:r w:rsidR="000A0B53">
        <w:t xml:space="preserve">these </w:t>
      </w:r>
      <w:r w:rsidR="00C30F56">
        <w:t>define the mineable reef</w:t>
      </w:r>
      <w:r w:rsidR="000A0B53">
        <w:t>s</w:t>
      </w:r>
      <w:r w:rsidR="00C30F56">
        <w:t xml:space="preserve"> </w:t>
      </w:r>
      <w:r w:rsidR="000A0B53">
        <w:t>(</w:t>
      </w:r>
      <w:r w:rsidR="00C30F56">
        <w:t>Mossom, 1986).</w:t>
      </w:r>
      <w:r w:rsidR="009971C7">
        <w:t xml:space="preserve"> A pegmatoid</w:t>
      </w:r>
      <w:r w:rsidR="000A0B53">
        <w:t>al feldspathic pyroxenite</w:t>
      </w:r>
      <w:r w:rsidR="009971C7">
        <w:t xml:space="preserve"> </w:t>
      </w:r>
      <w:r w:rsidR="000A0B53">
        <w:t xml:space="preserve">(the “M2 pegmatoid”) </w:t>
      </w:r>
      <w:r w:rsidR="009971C7">
        <w:t>usually occurs directly beneath the minerali</w:t>
      </w:r>
      <w:r w:rsidR="001708DF">
        <w:t>s</w:t>
      </w:r>
      <w:r w:rsidR="009971C7">
        <w:t>ation at Bokoni</w:t>
      </w:r>
      <w:r w:rsidR="000A0B53">
        <w:t xml:space="preserve"> Mine</w:t>
      </w:r>
      <w:r w:rsidR="009971C7">
        <w:t xml:space="preserve">, Lesego </w:t>
      </w:r>
      <w:r w:rsidR="000A0B53">
        <w:t xml:space="preserve">Project </w:t>
      </w:r>
      <w:r w:rsidR="009971C7">
        <w:t>and Limpopo</w:t>
      </w:r>
      <w:r w:rsidR="000A0B53">
        <w:t xml:space="preserve"> Section</w:t>
      </w:r>
      <w:r w:rsidR="009971C7">
        <w:t xml:space="preserve">. </w:t>
      </w:r>
    </w:p>
    <w:p w14:paraId="1706C7AF" w14:textId="07A8C471" w:rsidR="009971C7" w:rsidRDefault="009971C7" w:rsidP="009971C7">
      <w:pPr>
        <w:jc w:val="both"/>
      </w:pPr>
      <w:r>
        <w:t>All three sections also contain sporadic minerali</w:t>
      </w:r>
      <w:r w:rsidR="001708DF">
        <w:t>s</w:t>
      </w:r>
      <w:r>
        <w:t>ation below the Merensky Reef in the middle and at the base of the pyroxenite (</w:t>
      </w:r>
      <w:r w:rsidR="00672AF4">
        <w:t>V</w:t>
      </w:r>
      <w:r>
        <w:t xml:space="preserve">on Gruenewaldt </w:t>
      </w:r>
      <w:r>
        <w:rPr>
          <w:i/>
        </w:rPr>
        <w:t xml:space="preserve">et </w:t>
      </w:r>
      <w:r w:rsidRPr="00887033">
        <w:rPr>
          <w:i/>
        </w:rPr>
        <w:t>al</w:t>
      </w:r>
      <w:r>
        <w:rPr>
          <w:i/>
        </w:rPr>
        <w:t>.</w:t>
      </w:r>
      <w:r>
        <w:t>, 1990), however at Bokoni this would appear to be related to potholing (Mossom, 1986).</w:t>
      </w:r>
    </w:p>
    <w:p w14:paraId="697FB47D" w14:textId="395FC5A5" w:rsidR="00E546E7" w:rsidRDefault="006F2112" w:rsidP="00791470">
      <w:pPr>
        <w:jc w:val="both"/>
      </w:pPr>
      <w:r>
        <w:t xml:space="preserve">Table </w:t>
      </w:r>
      <w:r w:rsidR="00FF3013">
        <w:t>2</w:t>
      </w:r>
      <w:r>
        <w:t xml:space="preserve"> shows the typical stratigraphy of the </w:t>
      </w:r>
      <w:r w:rsidR="00791470">
        <w:t xml:space="preserve">Merensky intersections from boreholes </w:t>
      </w:r>
      <w:r w:rsidR="009971C7">
        <w:t>drilled at Lesego</w:t>
      </w:r>
      <w:r>
        <w:t>, which</w:t>
      </w:r>
      <w:r w:rsidR="009971C7">
        <w:t xml:space="preserve"> </w:t>
      </w:r>
      <w:r w:rsidR="00352CBE">
        <w:t>commonly</w:t>
      </w:r>
      <w:r w:rsidR="00791470">
        <w:t xml:space="preserve"> exhibit </w:t>
      </w:r>
      <w:r w:rsidR="009971C7">
        <w:t xml:space="preserve">a </w:t>
      </w:r>
      <w:r w:rsidR="00791470">
        <w:t xml:space="preserve">single </w:t>
      </w:r>
      <w:r w:rsidR="009971C7">
        <w:t xml:space="preserve">well-developed </w:t>
      </w:r>
      <w:r w:rsidR="00791470">
        <w:t>chromit</w:t>
      </w:r>
      <w:r w:rsidR="001B1F1E">
        <w:t>ite</w:t>
      </w:r>
      <w:r w:rsidR="00791470">
        <w:t xml:space="preserve"> layer </w:t>
      </w:r>
      <w:r w:rsidR="009971C7">
        <w:t xml:space="preserve">approximately 5 </w:t>
      </w:r>
      <w:r w:rsidR="00352CBE">
        <w:t>m</w:t>
      </w:r>
      <w:r w:rsidR="009971C7">
        <w:t>m thick</w:t>
      </w:r>
      <w:r>
        <w:t xml:space="preserve"> </w:t>
      </w:r>
      <w:r w:rsidR="009971C7">
        <w:t>and a second</w:t>
      </w:r>
      <w:r w:rsidR="001B1F1E">
        <w:t>,</w:t>
      </w:r>
      <w:r w:rsidR="009971C7">
        <w:t xml:space="preserve"> more disseminated</w:t>
      </w:r>
      <w:r w:rsidR="001B1F1E">
        <w:t>, chromitite</w:t>
      </w:r>
      <w:r w:rsidR="009971C7">
        <w:t xml:space="preserve"> layer just above</w:t>
      </w:r>
      <w:r w:rsidR="001B1F1E">
        <w:t>,</w:t>
      </w:r>
      <w:r w:rsidR="009971C7">
        <w:t xml:space="preserve"> </w:t>
      </w:r>
      <w:r>
        <w:t>or within</w:t>
      </w:r>
      <w:r w:rsidR="001B1F1E">
        <w:t>,</w:t>
      </w:r>
      <w:r>
        <w:t xml:space="preserve"> the </w:t>
      </w:r>
      <w:r w:rsidR="001B1F1E">
        <w:t>pegmatoidal feldspathic pyroxenite</w:t>
      </w:r>
      <w:r>
        <w:t>.</w:t>
      </w:r>
    </w:p>
    <w:p w14:paraId="265AD4F3" w14:textId="77777777" w:rsidR="00E546E7" w:rsidRDefault="00E546E7">
      <w:r>
        <w:br w:type="page"/>
      </w:r>
    </w:p>
    <w:p w14:paraId="59C3C146" w14:textId="0341B0B2" w:rsidR="006F2112" w:rsidRDefault="006F2112" w:rsidP="006F2112">
      <w:pPr>
        <w:pStyle w:val="Caption"/>
      </w:pPr>
      <w:bookmarkStart w:id="24" w:name="_Toc520740329"/>
      <w:r>
        <w:lastRenderedPageBreak/>
        <w:t xml:space="preserve">Table </w:t>
      </w:r>
      <w:fldSimple w:instr=" SEQ Table \* ARABIC ">
        <w:r w:rsidR="002645B6">
          <w:rPr>
            <w:noProof/>
          </w:rPr>
          <w:t>2</w:t>
        </w:r>
      </w:fldSimple>
      <w:r>
        <w:t>: Local stratigraphy and stratigraphic nomenclature used for the Merensky Reef at the Lesego project</w:t>
      </w:r>
      <w:r w:rsidR="000A0B53">
        <w:t xml:space="preserve"> </w:t>
      </w:r>
      <w:r w:rsidR="00220669">
        <w:t>(</w:t>
      </w:r>
      <w:r w:rsidR="00FB4B78" w:rsidRPr="00220669">
        <w:t>Hall, 20</w:t>
      </w:r>
      <w:r w:rsidR="00220669" w:rsidRPr="00220669">
        <w:t>13</w:t>
      </w:r>
      <w:r w:rsidR="000A0B53" w:rsidRPr="00220669">
        <w:t>)</w:t>
      </w:r>
      <w:bookmarkEnd w:id="24"/>
    </w:p>
    <w:p w14:paraId="6208BD67" w14:textId="77777777" w:rsidR="006F2112" w:rsidRPr="006F2112" w:rsidRDefault="006F2112" w:rsidP="006F2112">
      <w:pPr>
        <w:autoSpaceDE w:val="0"/>
        <w:autoSpaceDN w:val="0"/>
        <w:adjustRightInd w:val="0"/>
        <w:spacing w:before="10" w:after="0" w:line="30" w:lineRule="exact"/>
        <w:rPr>
          <w:rFonts w:ascii="Times New Roman" w:hAnsi="Times New Roman" w:cs="Times New Roman"/>
          <w:sz w:val="3"/>
          <w:szCs w:val="3"/>
          <w:lang w:val="en-ZA"/>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74"/>
        <w:gridCol w:w="1319"/>
        <w:gridCol w:w="1276"/>
        <w:gridCol w:w="4100"/>
      </w:tblGrid>
      <w:tr w:rsidR="006F2112" w:rsidRPr="006F2112" w14:paraId="16C854CD" w14:textId="77777777" w:rsidTr="000A0B53">
        <w:trPr>
          <w:trHeight w:hRule="exact" w:val="373"/>
        </w:trPr>
        <w:tc>
          <w:tcPr>
            <w:tcW w:w="1374" w:type="dxa"/>
            <w:shd w:val="clear" w:color="auto" w:fill="auto"/>
          </w:tcPr>
          <w:p w14:paraId="04570EBC" w14:textId="4FE79189" w:rsidR="006F2112" w:rsidRPr="000A0B53" w:rsidRDefault="000A0B53" w:rsidP="006F2112">
            <w:pPr>
              <w:autoSpaceDE w:val="0"/>
              <w:autoSpaceDN w:val="0"/>
              <w:adjustRightInd w:val="0"/>
              <w:spacing w:before="61" w:after="0" w:line="240" w:lineRule="auto"/>
              <w:ind w:left="102" w:right="-20"/>
              <w:rPr>
                <w:rFonts w:cs="Times New Roman"/>
                <w:color w:val="000000" w:themeColor="text1"/>
                <w:sz w:val="24"/>
                <w:szCs w:val="24"/>
                <w:lang w:val="en-ZA"/>
              </w:rPr>
            </w:pPr>
            <w:r w:rsidRPr="000A0B53">
              <w:rPr>
                <w:rFonts w:cs="Arial"/>
                <w:b/>
                <w:bCs/>
                <w:color w:val="000000" w:themeColor="text1"/>
                <w:sz w:val="18"/>
                <w:szCs w:val="18"/>
                <w:lang w:val="en-ZA"/>
              </w:rPr>
              <w:t>NA</w:t>
            </w:r>
            <w:r w:rsidRPr="000A0B53">
              <w:rPr>
                <w:rFonts w:cs="Arial"/>
                <w:b/>
                <w:bCs/>
                <w:color w:val="000000" w:themeColor="text1"/>
                <w:spacing w:val="1"/>
                <w:sz w:val="18"/>
                <w:szCs w:val="18"/>
                <w:lang w:val="en-ZA"/>
              </w:rPr>
              <w:t>M</w:t>
            </w:r>
            <w:r w:rsidRPr="000A0B53">
              <w:rPr>
                <w:rFonts w:cs="Arial"/>
                <w:b/>
                <w:bCs/>
                <w:color w:val="000000" w:themeColor="text1"/>
                <w:sz w:val="18"/>
                <w:szCs w:val="18"/>
                <w:lang w:val="en-ZA"/>
              </w:rPr>
              <w:t>E</w:t>
            </w:r>
          </w:p>
        </w:tc>
        <w:tc>
          <w:tcPr>
            <w:tcW w:w="1319" w:type="dxa"/>
            <w:shd w:val="clear" w:color="auto" w:fill="auto"/>
          </w:tcPr>
          <w:p w14:paraId="1ADCEE82" w14:textId="603868E9" w:rsidR="006F2112" w:rsidRPr="000A0B53" w:rsidRDefault="000A0B53" w:rsidP="006F2112">
            <w:pPr>
              <w:autoSpaceDE w:val="0"/>
              <w:autoSpaceDN w:val="0"/>
              <w:adjustRightInd w:val="0"/>
              <w:spacing w:before="61" w:after="0" w:line="240" w:lineRule="auto"/>
              <w:ind w:left="100" w:right="-20"/>
              <w:rPr>
                <w:rFonts w:cs="Times New Roman"/>
                <w:color w:val="000000" w:themeColor="text1"/>
                <w:sz w:val="24"/>
                <w:szCs w:val="24"/>
                <w:lang w:val="en-ZA"/>
              </w:rPr>
            </w:pPr>
            <w:r w:rsidRPr="000A0B53">
              <w:rPr>
                <w:rFonts w:cs="Arial"/>
                <w:b/>
                <w:bCs/>
                <w:color w:val="000000" w:themeColor="text1"/>
                <w:spacing w:val="-3"/>
                <w:sz w:val="18"/>
                <w:szCs w:val="18"/>
                <w:lang w:val="en-ZA"/>
              </w:rPr>
              <w:t>A</w:t>
            </w:r>
            <w:r w:rsidRPr="000A0B53">
              <w:rPr>
                <w:rFonts w:cs="Arial"/>
                <w:b/>
                <w:bCs/>
                <w:color w:val="000000" w:themeColor="text1"/>
                <w:spacing w:val="2"/>
                <w:sz w:val="18"/>
                <w:szCs w:val="18"/>
                <w:lang w:val="en-ZA"/>
              </w:rPr>
              <w:t>B</w:t>
            </w:r>
            <w:r w:rsidRPr="000A0B53">
              <w:rPr>
                <w:rFonts w:cs="Arial"/>
                <w:b/>
                <w:bCs/>
                <w:color w:val="000000" w:themeColor="text1"/>
                <w:sz w:val="18"/>
                <w:szCs w:val="18"/>
                <w:lang w:val="en-ZA"/>
              </w:rPr>
              <w:t>BR</w:t>
            </w:r>
            <w:r w:rsidRPr="000A0B53">
              <w:rPr>
                <w:rFonts w:cs="Arial"/>
                <w:b/>
                <w:bCs/>
                <w:color w:val="000000" w:themeColor="text1"/>
                <w:spacing w:val="2"/>
                <w:sz w:val="18"/>
                <w:szCs w:val="18"/>
                <w:lang w:val="en-ZA"/>
              </w:rPr>
              <w:t>E</w:t>
            </w:r>
            <w:r w:rsidRPr="000A0B53">
              <w:rPr>
                <w:rFonts w:cs="Arial"/>
                <w:b/>
                <w:bCs/>
                <w:color w:val="000000" w:themeColor="text1"/>
                <w:spacing w:val="-3"/>
                <w:sz w:val="18"/>
                <w:szCs w:val="18"/>
                <w:lang w:val="en-ZA"/>
              </w:rPr>
              <w:t>V</w:t>
            </w:r>
            <w:r w:rsidRPr="000A0B53">
              <w:rPr>
                <w:rFonts w:cs="Arial"/>
                <w:b/>
                <w:bCs/>
                <w:color w:val="000000" w:themeColor="text1"/>
                <w:spacing w:val="2"/>
                <w:sz w:val="18"/>
                <w:szCs w:val="18"/>
                <w:lang w:val="en-ZA"/>
              </w:rPr>
              <w:t>I</w:t>
            </w:r>
            <w:r w:rsidRPr="000A0B53">
              <w:rPr>
                <w:rFonts w:cs="Arial"/>
                <w:b/>
                <w:bCs/>
                <w:color w:val="000000" w:themeColor="text1"/>
                <w:spacing w:val="-1"/>
                <w:sz w:val="18"/>
                <w:szCs w:val="18"/>
                <w:lang w:val="en-ZA"/>
              </w:rPr>
              <w:t>A</w:t>
            </w:r>
            <w:r w:rsidRPr="000A0B53">
              <w:rPr>
                <w:rFonts w:cs="Arial"/>
                <w:b/>
                <w:bCs/>
                <w:color w:val="000000" w:themeColor="text1"/>
                <w:sz w:val="18"/>
                <w:szCs w:val="18"/>
                <w:lang w:val="en-ZA"/>
              </w:rPr>
              <w:t>TION</w:t>
            </w:r>
          </w:p>
        </w:tc>
        <w:tc>
          <w:tcPr>
            <w:tcW w:w="1276" w:type="dxa"/>
            <w:shd w:val="clear" w:color="auto" w:fill="auto"/>
          </w:tcPr>
          <w:p w14:paraId="28B6AB26" w14:textId="370B473D" w:rsidR="006F2112" w:rsidRPr="000A0B53" w:rsidRDefault="000A0B53" w:rsidP="006F2112">
            <w:pPr>
              <w:autoSpaceDE w:val="0"/>
              <w:autoSpaceDN w:val="0"/>
              <w:adjustRightInd w:val="0"/>
              <w:spacing w:before="61" w:after="0" w:line="240" w:lineRule="auto"/>
              <w:ind w:left="100" w:right="-20"/>
              <w:rPr>
                <w:rFonts w:cs="Times New Roman"/>
                <w:color w:val="000000" w:themeColor="text1"/>
                <w:sz w:val="24"/>
                <w:szCs w:val="24"/>
                <w:lang w:val="en-ZA"/>
              </w:rPr>
            </w:pPr>
            <w:r w:rsidRPr="000A0B53">
              <w:rPr>
                <w:rFonts w:cs="Arial"/>
                <w:b/>
                <w:bCs/>
                <w:color w:val="000000" w:themeColor="text1"/>
                <w:sz w:val="18"/>
                <w:szCs w:val="18"/>
                <w:lang w:val="en-ZA"/>
              </w:rPr>
              <w:t>THI</w:t>
            </w:r>
            <w:r w:rsidRPr="000A0B53">
              <w:rPr>
                <w:rFonts w:cs="Arial"/>
                <w:b/>
                <w:bCs/>
                <w:color w:val="000000" w:themeColor="text1"/>
                <w:spacing w:val="-1"/>
                <w:sz w:val="18"/>
                <w:szCs w:val="18"/>
                <w:lang w:val="en-ZA"/>
              </w:rPr>
              <w:t>CK</w:t>
            </w:r>
            <w:r w:rsidRPr="000A0B53">
              <w:rPr>
                <w:rFonts w:cs="Arial"/>
                <w:b/>
                <w:bCs/>
                <w:color w:val="000000" w:themeColor="text1"/>
                <w:sz w:val="18"/>
                <w:szCs w:val="18"/>
                <w:lang w:val="en-ZA"/>
              </w:rPr>
              <w:t>N</w:t>
            </w:r>
            <w:r w:rsidRPr="000A0B53">
              <w:rPr>
                <w:rFonts w:cs="Arial"/>
                <w:b/>
                <w:bCs/>
                <w:color w:val="000000" w:themeColor="text1"/>
                <w:spacing w:val="-1"/>
                <w:sz w:val="18"/>
                <w:szCs w:val="18"/>
                <w:lang w:val="en-ZA"/>
              </w:rPr>
              <w:t>ESS</w:t>
            </w:r>
          </w:p>
        </w:tc>
        <w:tc>
          <w:tcPr>
            <w:tcW w:w="4100" w:type="dxa"/>
            <w:shd w:val="clear" w:color="auto" w:fill="auto"/>
          </w:tcPr>
          <w:p w14:paraId="02D093F2" w14:textId="412209B5" w:rsidR="006F2112" w:rsidRPr="000A0B53" w:rsidRDefault="000A0B53" w:rsidP="006F2112">
            <w:pPr>
              <w:autoSpaceDE w:val="0"/>
              <w:autoSpaceDN w:val="0"/>
              <w:adjustRightInd w:val="0"/>
              <w:spacing w:before="61" w:after="0" w:line="240" w:lineRule="auto"/>
              <w:ind w:left="100" w:right="-20"/>
              <w:rPr>
                <w:rFonts w:cs="Times New Roman"/>
                <w:color w:val="000000" w:themeColor="text1"/>
                <w:sz w:val="24"/>
                <w:szCs w:val="24"/>
                <w:lang w:val="en-ZA"/>
              </w:rPr>
            </w:pPr>
            <w:r w:rsidRPr="000A0B53">
              <w:rPr>
                <w:rFonts w:cs="Arial"/>
                <w:b/>
                <w:bCs/>
                <w:color w:val="000000" w:themeColor="text1"/>
                <w:sz w:val="18"/>
                <w:szCs w:val="18"/>
                <w:lang w:val="en-ZA"/>
              </w:rPr>
              <w:t>D</w:t>
            </w:r>
            <w:r w:rsidRPr="000A0B53">
              <w:rPr>
                <w:rFonts w:cs="Arial"/>
                <w:b/>
                <w:bCs/>
                <w:color w:val="000000" w:themeColor="text1"/>
                <w:spacing w:val="-1"/>
                <w:sz w:val="18"/>
                <w:szCs w:val="18"/>
                <w:lang w:val="en-ZA"/>
              </w:rPr>
              <w:t>E</w:t>
            </w:r>
            <w:r w:rsidRPr="000A0B53">
              <w:rPr>
                <w:rFonts w:cs="Arial"/>
                <w:b/>
                <w:bCs/>
                <w:color w:val="000000" w:themeColor="text1"/>
                <w:sz w:val="18"/>
                <w:szCs w:val="18"/>
                <w:lang w:val="en-ZA"/>
              </w:rPr>
              <w:t>S</w:t>
            </w:r>
            <w:r w:rsidRPr="000A0B53">
              <w:rPr>
                <w:rFonts w:cs="Arial"/>
                <w:b/>
                <w:bCs/>
                <w:color w:val="000000" w:themeColor="text1"/>
                <w:spacing w:val="-1"/>
                <w:sz w:val="18"/>
                <w:szCs w:val="18"/>
                <w:lang w:val="en-ZA"/>
              </w:rPr>
              <w:t>C</w:t>
            </w:r>
            <w:r w:rsidRPr="000A0B53">
              <w:rPr>
                <w:rFonts w:cs="Arial"/>
                <w:b/>
                <w:bCs/>
                <w:color w:val="000000" w:themeColor="text1"/>
                <w:sz w:val="18"/>
                <w:szCs w:val="18"/>
                <w:lang w:val="en-ZA"/>
              </w:rPr>
              <w:t>RIPTION</w:t>
            </w:r>
          </w:p>
        </w:tc>
      </w:tr>
      <w:tr w:rsidR="006F2112" w:rsidRPr="006F2112" w14:paraId="0E4C8DBB" w14:textId="77777777" w:rsidTr="006F2112">
        <w:trPr>
          <w:trHeight w:hRule="exact" w:val="617"/>
        </w:trPr>
        <w:tc>
          <w:tcPr>
            <w:tcW w:w="1374" w:type="dxa"/>
          </w:tcPr>
          <w:p w14:paraId="1E6A048F" w14:textId="77777777" w:rsidR="006F2112" w:rsidRPr="006F2112" w:rsidRDefault="006F2112" w:rsidP="006F2112">
            <w:pPr>
              <w:autoSpaceDE w:val="0"/>
              <w:autoSpaceDN w:val="0"/>
              <w:adjustRightInd w:val="0"/>
              <w:spacing w:before="69" w:after="0" w:line="264" w:lineRule="auto"/>
              <w:ind w:left="102" w:right="228"/>
              <w:rPr>
                <w:rFonts w:cs="Times New Roman"/>
                <w:sz w:val="24"/>
                <w:szCs w:val="24"/>
                <w:lang w:val="en-ZA"/>
              </w:rPr>
            </w:pPr>
            <w:r w:rsidRPr="006F2112">
              <w:rPr>
                <w:rFonts w:cs="Arial"/>
                <w:color w:val="010202"/>
                <w:sz w:val="18"/>
                <w:szCs w:val="18"/>
                <w:lang w:val="en-ZA"/>
              </w:rPr>
              <w:t>Ha</w:t>
            </w:r>
            <w:r w:rsidRPr="006F2112">
              <w:rPr>
                <w:rFonts w:cs="Arial"/>
                <w:color w:val="010202"/>
                <w:spacing w:val="1"/>
                <w:sz w:val="18"/>
                <w:szCs w:val="18"/>
                <w:lang w:val="en-ZA"/>
              </w:rPr>
              <w:t>n</w:t>
            </w:r>
            <w:r w:rsidRPr="006F2112">
              <w:rPr>
                <w:rFonts w:cs="Arial"/>
                <w:color w:val="010202"/>
                <w:spacing w:val="-1"/>
                <w:sz w:val="18"/>
                <w:szCs w:val="18"/>
                <w:lang w:val="en-ZA"/>
              </w:rPr>
              <w:t>g</w:t>
            </w:r>
            <w:r w:rsidRPr="006F2112">
              <w:rPr>
                <w:rFonts w:cs="Arial"/>
                <w:color w:val="010202"/>
                <w:sz w:val="18"/>
                <w:szCs w:val="18"/>
                <w:lang w:val="en-ZA"/>
              </w:rPr>
              <w:t>i</w:t>
            </w:r>
            <w:r w:rsidRPr="006F2112">
              <w:rPr>
                <w:rFonts w:cs="Arial"/>
                <w:color w:val="010202"/>
                <w:spacing w:val="1"/>
                <w:sz w:val="18"/>
                <w:szCs w:val="18"/>
                <w:lang w:val="en-ZA"/>
              </w:rPr>
              <w:t>n</w:t>
            </w:r>
            <w:r w:rsidRPr="006F2112">
              <w:rPr>
                <w:rFonts w:cs="Arial"/>
                <w:color w:val="010202"/>
                <w:spacing w:val="2"/>
                <w:sz w:val="18"/>
                <w:szCs w:val="18"/>
                <w:lang w:val="en-ZA"/>
              </w:rPr>
              <w:t>g</w:t>
            </w:r>
            <w:r w:rsidRPr="006F2112">
              <w:rPr>
                <w:rFonts w:cs="Arial"/>
                <w:color w:val="010202"/>
                <w:spacing w:val="-3"/>
                <w:sz w:val="18"/>
                <w:szCs w:val="18"/>
                <w:lang w:val="en-ZA"/>
              </w:rPr>
              <w:t>w</w:t>
            </w:r>
            <w:r w:rsidRPr="006F2112">
              <w:rPr>
                <w:rFonts w:cs="Arial"/>
                <w:color w:val="010202"/>
                <w:spacing w:val="1"/>
                <w:sz w:val="18"/>
                <w:szCs w:val="18"/>
                <w:lang w:val="en-ZA"/>
              </w:rPr>
              <w:t>a</w:t>
            </w:r>
            <w:r w:rsidRPr="006F2112">
              <w:rPr>
                <w:rFonts w:cs="Arial"/>
                <w:color w:val="010202"/>
                <w:sz w:val="18"/>
                <w:szCs w:val="18"/>
                <w:lang w:val="en-ZA"/>
              </w:rPr>
              <w:t xml:space="preserve">ll </w:t>
            </w:r>
            <w:r w:rsidRPr="006F2112">
              <w:rPr>
                <w:rFonts w:cs="Arial"/>
                <w:color w:val="010202"/>
                <w:spacing w:val="1"/>
                <w:sz w:val="18"/>
                <w:szCs w:val="18"/>
                <w:lang w:val="en-ZA"/>
              </w:rPr>
              <w:t>p</w:t>
            </w:r>
            <w:r w:rsidRPr="006F2112">
              <w:rPr>
                <w:rFonts w:cs="Arial"/>
                <w:color w:val="010202"/>
                <w:spacing w:val="-2"/>
                <w:sz w:val="18"/>
                <w:szCs w:val="18"/>
                <w:lang w:val="en-ZA"/>
              </w:rPr>
              <w:t>y</w:t>
            </w:r>
            <w:r w:rsidRPr="006F2112">
              <w:rPr>
                <w:rFonts w:cs="Arial"/>
                <w:color w:val="010202"/>
                <w:spacing w:val="1"/>
                <w:sz w:val="18"/>
                <w:szCs w:val="18"/>
                <w:lang w:val="en-ZA"/>
              </w:rPr>
              <w:t>ro</w:t>
            </w:r>
            <w:r w:rsidRPr="006F2112">
              <w:rPr>
                <w:rFonts w:cs="Arial"/>
                <w:color w:val="010202"/>
                <w:spacing w:val="-1"/>
                <w:sz w:val="18"/>
                <w:szCs w:val="18"/>
                <w:lang w:val="en-ZA"/>
              </w:rPr>
              <w:t>x</w:t>
            </w:r>
            <w:r w:rsidRPr="006F2112">
              <w:rPr>
                <w:rFonts w:cs="Arial"/>
                <w:color w:val="010202"/>
                <w:spacing w:val="1"/>
                <w:sz w:val="18"/>
                <w:szCs w:val="18"/>
                <w:lang w:val="en-ZA"/>
              </w:rPr>
              <w:t>e</w:t>
            </w:r>
            <w:r w:rsidRPr="006F2112">
              <w:rPr>
                <w:rFonts w:cs="Arial"/>
                <w:color w:val="010202"/>
                <w:spacing w:val="-1"/>
                <w:sz w:val="18"/>
                <w:szCs w:val="18"/>
                <w:lang w:val="en-ZA"/>
              </w:rPr>
              <w:t>n</w:t>
            </w:r>
            <w:r w:rsidRPr="006F2112">
              <w:rPr>
                <w:rFonts w:cs="Arial"/>
                <w:color w:val="010202"/>
                <w:sz w:val="18"/>
                <w:szCs w:val="18"/>
                <w:lang w:val="en-ZA"/>
              </w:rPr>
              <w:t>i</w:t>
            </w:r>
            <w:r w:rsidRPr="006F2112">
              <w:rPr>
                <w:rFonts w:cs="Arial"/>
                <w:color w:val="010202"/>
                <w:spacing w:val="1"/>
                <w:sz w:val="18"/>
                <w:szCs w:val="18"/>
                <w:lang w:val="en-ZA"/>
              </w:rPr>
              <w:t>te</w:t>
            </w:r>
          </w:p>
        </w:tc>
        <w:tc>
          <w:tcPr>
            <w:tcW w:w="1319" w:type="dxa"/>
          </w:tcPr>
          <w:p w14:paraId="643DA263" w14:textId="77777777" w:rsidR="006F2112" w:rsidRPr="006F2112" w:rsidRDefault="006F2112" w:rsidP="006F2112">
            <w:pPr>
              <w:autoSpaceDE w:val="0"/>
              <w:autoSpaceDN w:val="0"/>
              <w:adjustRightInd w:val="0"/>
              <w:spacing w:before="3" w:after="0" w:line="180" w:lineRule="exact"/>
              <w:rPr>
                <w:rFonts w:cs="Times New Roman"/>
                <w:sz w:val="18"/>
                <w:szCs w:val="18"/>
                <w:lang w:val="en-ZA"/>
              </w:rPr>
            </w:pPr>
          </w:p>
          <w:p w14:paraId="2B8B91E6" w14:textId="77777777" w:rsidR="006F2112" w:rsidRPr="006F2112" w:rsidRDefault="006F2112" w:rsidP="006F2112">
            <w:pPr>
              <w:autoSpaceDE w:val="0"/>
              <w:autoSpaceDN w:val="0"/>
              <w:adjustRightInd w:val="0"/>
              <w:spacing w:after="0" w:line="240" w:lineRule="auto"/>
              <w:ind w:left="100" w:right="-20"/>
              <w:rPr>
                <w:rFonts w:cs="Times New Roman"/>
                <w:sz w:val="24"/>
                <w:szCs w:val="24"/>
                <w:lang w:val="en-ZA"/>
              </w:rPr>
            </w:pPr>
            <w:r w:rsidRPr="006F2112">
              <w:rPr>
                <w:rFonts w:cs="Arial"/>
                <w:color w:val="010202"/>
                <w:sz w:val="18"/>
                <w:szCs w:val="18"/>
                <w:lang w:val="en-ZA"/>
              </w:rPr>
              <w:t>H</w:t>
            </w:r>
            <w:r w:rsidRPr="006F2112">
              <w:rPr>
                <w:rFonts w:cs="Arial"/>
                <w:color w:val="010202"/>
                <w:spacing w:val="1"/>
                <w:sz w:val="18"/>
                <w:szCs w:val="18"/>
                <w:lang w:val="en-ZA"/>
              </w:rPr>
              <w:t>W</w:t>
            </w:r>
            <w:r w:rsidRPr="006F2112">
              <w:rPr>
                <w:rFonts w:cs="Arial"/>
                <w:color w:val="010202"/>
                <w:sz w:val="18"/>
                <w:szCs w:val="18"/>
                <w:lang w:val="en-ZA"/>
              </w:rPr>
              <w:t>PX</w:t>
            </w:r>
          </w:p>
        </w:tc>
        <w:tc>
          <w:tcPr>
            <w:tcW w:w="1276" w:type="dxa"/>
          </w:tcPr>
          <w:p w14:paraId="2468E78B" w14:textId="77777777" w:rsidR="006F2112" w:rsidRPr="006F2112" w:rsidRDefault="006F2112" w:rsidP="006F2112">
            <w:pPr>
              <w:autoSpaceDE w:val="0"/>
              <w:autoSpaceDN w:val="0"/>
              <w:adjustRightInd w:val="0"/>
              <w:spacing w:before="3" w:after="0" w:line="180" w:lineRule="exact"/>
              <w:rPr>
                <w:rFonts w:cs="Times New Roman"/>
                <w:sz w:val="18"/>
                <w:szCs w:val="18"/>
                <w:lang w:val="en-ZA"/>
              </w:rPr>
            </w:pPr>
          </w:p>
          <w:p w14:paraId="678781CE" w14:textId="77777777" w:rsidR="006F2112" w:rsidRPr="006F2112" w:rsidRDefault="006F2112" w:rsidP="006F2112">
            <w:pPr>
              <w:autoSpaceDE w:val="0"/>
              <w:autoSpaceDN w:val="0"/>
              <w:adjustRightInd w:val="0"/>
              <w:spacing w:after="0" w:line="240" w:lineRule="auto"/>
              <w:ind w:left="101" w:right="-20"/>
              <w:rPr>
                <w:rFonts w:cs="Times New Roman"/>
                <w:sz w:val="24"/>
                <w:szCs w:val="24"/>
                <w:lang w:val="en-ZA"/>
              </w:rPr>
            </w:pPr>
            <w:r w:rsidRPr="006F2112">
              <w:rPr>
                <w:rFonts w:cs="Arial"/>
                <w:color w:val="010202"/>
                <w:sz w:val="18"/>
                <w:szCs w:val="18"/>
                <w:lang w:val="en-ZA"/>
              </w:rPr>
              <w:t>0.5 - 0.8 m</w:t>
            </w:r>
          </w:p>
        </w:tc>
        <w:tc>
          <w:tcPr>
            <w:tcW w:w="4100" w:type="dxa"/>
          </w:tcPr>
          <w:p w14:paraId="548BB285" w14:textId="77777777" w:rsidR="006F2112" w:rsidRPr="006F2112" w:rsidRDefault="006F2112" w:rsidP="006F2112">
            <w:pPr>
              <w:autoSpaceDE w:val="0"/>
              <w:autoSpaceDN w:val="0"/>
              <w:adjustRightInd w:val="0"/>
              <w:spacing w:before="69" w:after="0" w:line="264" w:lineRule="auto"/>
              <w:ind w:left="100" w:right="740"/>
              <w:rPr>
                <w:rFonts w:cs="Times New Roman"/>
                <w:sz w:val="24"/>
                <w:szCs w:val="24"/>
                <w:lang w:val="en-ZA"/>
              </w:rPr>
            </w:pPr>
            <w:r w:rsidRPr="006F2112">
              <w:rPr>
                <w:rFonts w:cs="Arial"/>
                <w:color w:val="010202"/>
                <w:spacing w:val="1"/>
                <w:sz w:val="18"/>
                <w:szCs w:val="18"/>
                <w:lang w:val="en-ZA"/>
              </w:rPr>
              <w:t>P</w:t>
            </w:r>
            <w:r w:rsidRPr="006F2112">
              <w:rPr>
                <w:rFonts w:cs="Arial"/>
                <w:color w:val="010202"/>
                <w:spacing w:val="-2"/>
                <w:sz w:val="18"/>
                <w:szCs w:val="18"/>
                <w:lang w:val="en-ZA"/>
              </w:rPr>
              <w:t>y</w:t>
            </w:r>
            <w:r w:rsidRPr="006F2112">
              <w:rPr>
                <w:rFonts w:cs="Arial"/>
                <w:color w:val="010202"/>
                <w:sz w:val="18"/>
                <w:szCs w:val="18"/>
                <w:lang w:val="en-ZA"/>
              </w:rPr>
              <w:t>r</w:t>
            </w:r>
            <w:r w:rsidRPr="006F2112">
              <w:rPr>
                <w:rFonts w:cs="Arial"/>
                <w:color w:val="010202"/>
                <w:spacing w:val="1"/>
                <w:sz w:val="18"/>
                <w:szCs w:val="18"/>
                <w:lang w:val="en-ZA"/>
              </w:rPr>
              <w:t>o</w:t>
            </w:r>
            <w:r w:rsidRPr="006F2112">
              <w:rPr>
                <w:rFonts w:cs="Arial"/>
                <w:color w:val="010202"/>
                <w:sz w:val="18"/>
                <w:szCs w:val="18"/>
                <w:lang w:val="en-ZA"/>
              </w:rPr>
              <w:t>xe</w:t>
            </w:r>
            <w:r w:rsidRPr="006F2112">
              <w:rPr>
                <w:rFonts w:cs="Arial"/>
                <w:color w:val="010202"/>
                <w:spacing w:val="1"/>
                <w:sz w:val="18"/>
                <w:szCs w:val="18"/>
                <w:lang w:val="en-ZA"/>
              </w:rPr>
              <w:t>n</w:t>
            </w:r>
            <w:r w:rsidRPr="006F2112">
              <w:rPr>
                <w:rFonts w:cs="Arial"/>
                <w:color w:val="010202"/>
                <w:sz w:val="18"/>
                <w:szCs w:val="18"/>
                <w:lang w:val="en-ZA"/>
              </w:rPr>
              <w:t>ite,</w:t>
            </w:r>
            <w:r w:rsidRPr="006F2112">
              <w:rPr>
                <w:rFonts w:cs="Arial"/>
                <w:color w:val="010202"/>
                <w:spacing w:val="-2"/>
                <w:sz w:val="18"/>
                <w:szCs w:val="18"/>
                <w:lang w:val="en-ZA"/>
              </w:rPr>
              <w:t xml:space="preserve"> </w:t>
            </w:r>
            <w:r w:rsidRPr="006F2112">
              <w:rPr>
                <w:rFonts w:cs="Arial"/>
                <w:color w:val="010202"/>
                <w:spacing w:val="-3"/>
                <w:sz w:val="18"/>
                <w:szCs w:val="18"/>
                <w:lang w:val="en-ZA"/>
              </w:rPr>
              <w:t>w</w:t>
            </w:r>
            <w:r w:rsidRPr="006F2112">
              <w:rPr>
                <w:rFonts w:cs="Arial"/>
                <w:color w:val="010202"/>
                <w:sz w:val="18"/>
                <w:szCs w:val="18"/>
                <w:lang w:val="en-ZA"/>
              </w:rPr>
              <w:t>i</w:t>
            </w:r>
            <w:r w:rsidRPr="006F2112">
              <w:rPr>
                <w:rFonts w:cs="Arial"/>
                <w:color w:val="010202"/>
                <w:spacing w:val="2"/>
                <w:sz w:val="18"/>
                <w:szCs w:val="18"/>
                <w:lang w:val="en-ZA"/>
              </w:rPr>
              <w:t>t</w:t>
            </w:r>
            <w:r w:rsidRPr="006F2112">
              <w:rPr>
                <w:rFonts w:cs="Arial"/>
                <w:color w:val="010202"/>
                <w:sz w:val="18"/>
                <w:szCs w:val="18"/>
                <w:lang w:val="en-ZA"/>
              </w:rPr>
              <w:t>h poor to</w:t>
            </w:r>
            <w:r w:rsidRPr="006F2112">
              <w:rPr>
                <w:rFonts w:cs="Arial"/>
                <w:color w:val="010202"/>
                <w:spacing w:val="-1"/>
                <w:sz w:val="18"/>
                <w:szCs w:val="18"/>
                <w:lang w:val="en-ZA"/>
              </w:rPr>
              <w:t xml:space="preserve"> </w:t>
            </w:r>
            <w:r w:rsidRPr="006F2112">
              <w:rPr>
                <w:rFonts w:cs="Arial"/>
                <w:color w:val="010202"/>
                <w:sz w:val="18"/>
                <w:szCs w:val="18"/>
                <w:lang w:val="en-ZA"/>
              </w:rPr>
              <w:t>m</w:t>
            </w:r>
            <w:r w:rsidRPr="006F2112">
              <w:rPr>
                <w:rFonts w:cs="Arial"/>
                <w:color w:val="010202"/>
                <w:spacing w:val="1"/>
                <w:sz w:val="18"/>
                <w:szCs w:val="18"/>
                <w:lang w:val="en-ZA"/>
              </w:rPr>
              <w:t>o</w:t>
            </w:r>
            <w:r w:rsidRPr="006F2112">
              <w:rPr>
                <w:rFonts w:cs="Arial"/>
                <w:color w:val="010202"/>
                <w:sz w:val="18"/>
                <w:szCs w:val="18"/>
                <w:lang w:val="en-ZA"/>
              </w:rPr>
              <w:t>d</w:t>
            </w:r>
            <w:r w:rsidRPr="006F2112">
              <w:rPr>
                <w:rFonts w:cs="Arial"/>
                <w:color w:val="010202"/>
                <w:spacing w:val="1"/>
                <w:sz w:val="18"/>
                <w:szCs w:val="18"/>
                <w:lang w:val="en-ZA"/>
              </w:rPr>
              <w:t>e</w:t>
            </w:r>
            <w:r w:rsidRPr="006F2112">
              <w:rPr>
                <w:rFonts w:cs="Arial"/>
                <w:color w:val="010202"/>
                <w:sz w:val="18"/>
                <w:szCs w:val="18"/>
                <w:lang w:val="en-ZA"/>
              </w:rPr>
              <w:t>rate base me</w:t>
            </w:r>
            <w:r w:rsidRPr="006F2112">
              <w:rPr>
                <w:rFonts w:cs="Arial"/>
                <w:color w:val="010202"/>
                <w:spacing w:val="2"/>
                <w:sz w:val="18"/>
                <w:szCs w:val="18"/>
                <w:lang w:val="en-ZA"/>
              </w:rPr>
              <w:t>t</w:t>
            </w:r>
            <w:r w:rsidRPr="006F2112">
              <w:rPr>
                <w:rFonts w:cs="Arial"/>
                <w:color w:val="010202"/>
                <w:spacing w:val="1"/>
                <w:sz w:val="18"/>
                <w:szCs w:val="18"/>
                <w:lang w:val="en-ZA"/>
              </w:rPr>
              <w:t>a</w:t>
            </w:r>
            <w:r w:rsidRPr="006F2112">
              <w:rPr>
                <w:rFonts w:cs="Arial"/>
                <w:color w:val="010202"/>
                <w:sz w:val="18"/>
                <w:szCs w:val="18"/>
                <w:lang w:val="en-ZA"/>
              </w:rPr>
              <w:t>l</w:t>
            </w:r>
            <w:r w:rsidRPr="006F2112">
              <w:rPr>
                <w:rFonts w:cs="Arial"/>
                <w:color w:val="010202"/>
                <w:spacing w:val="-3"/>
                <w:sz w:val="18"/>
                <w:szCs w:val="18"/>
                <w:lang w:val="en-ZA"/>
              </w:rPr>
              <w:t xml:space="preserve"> </w:t>
            </w:r>
            <w:r w:rsidRPr="006F2112">
              <w:rPr>
                <w:rFonts w:cs="Arial"/>
                <w:color w:val="010202"/>
                <w:sz w:val="18"/>
                <w:szCs w:val="18"/>
                <w:lang w:val="en-ZA"/>
              </w:rPr>
              <w:t>sul</w:t>
            </w:r>
            <w:r w:rsidRPr="006F2112">
              <w:rPr>
                <w:rFonts w:cs="Arial"/>
                <w:color w:val="010202"/>
                <w:spacing w:val="1"/>
                <w:sz w:val="18"/>
                <w:szCs w:val="18"/>
                <w:lang w:val="en-ZA"/>
              </w:rPr>
              <w:t>p</w:t>
            </w:r>
            <w:r w:rsidRPr="006F2112">
              <w:rPr>
                <w:rFonts w:cs="Arial"/>
                <w:color w:val="010202"/>
                <w:sz w:val="18"/>
                <w:szCs w:val="18"/>
                <w:lang w:val="en-ZA"/>
              </w:rPr>
              <w:t>hi</w:t>
            </w:r>
            <w:r w:rsidRPr="006F2112">
              <w:rPr>
                <w:rFonts w:cs="Arial"/>
                <w:color w:val="010202"/>
                <w:spacing w:val="1"/>
                <w:sz w:val="18"/>
                <w:szCs w:val="18"/>
                <w:lang w:val="en-ZA"/>
              </w:rPr>
              <w:t>d</w:t>
            </w:r>
            <w:r w:rsidRPr="006F2112">
              <w:rPr>
                <w:rFonts w:cs="Arial"/>
                <w:color w:val="010202"/>
                <w:sz w:val="18"/>
                <w:szCs w:val="18"/>
                <w:lang w:val="en-ZA"/>
              </w:rPr>
              <w:t>e mi</w:t>
            </w:r>
            <w:r w:rsidRPr="006F2112">
              <w:rPr>
                <w:rFonts w:cs="Arial"/>
                <w:color w:val="010202"/>
                <w:spacing w:val="1"/>
                <w:sz w:val="18"/>
                <w:szCs w:val="18"/>
                <w:lang w:val="en-ZA"/>
              </w:rPr>
              <w:t>n</w:t>
            </w:r>
            <w:r w:rsidRPr="006F2112">
              <w:rPr>
                <w:rFonts w:cs="Arial"/>
                <w:color w:val="010202"/>
                <w:spacing w:val="-1"/>
                <w:sz w:val="18"/>
                <w:szCs w:val="18"/>
                <w:lang w:val="en-ZA"/>
              </w:rPr>
              <w:t>e</w:t>
            </w:r>
            <w:r w:rsidRPr="006F2112">
              <w:rPr>
                <w:rFonts w:cs="Arial"/>
                <w:color w:val="010202"/>
                <w:sz w:val="18"/>
                <w:szCs w:val="18"/>
                <w:lang w:val="en-ZA"/>
              </w:rPr>
              <w:t>ralisat</w:t>
            </w:r>
            <w:r w:rsidRPr="006F2112">
              <w:rPr>
                <w:rFonts w:cs="Arial"/>
                <w:color w:val="010202"/>
                <w:spacing w:val="1"/>
                <w:sz w:val="18"/>
                <w:szCs w:val="18"/>
                <w:lang w:val="en-ZA"/>
              </w:rPr>
              <w:t>i</w:t>
            </w:r>
            <w:r w:rsidRPr="006F2112">
              <w:rPr>
                <w:rFonts w:cs="Arial"/>
                <w:color w:val="010202"/>
                <w:sz w:val="18"/>
                <w:szCs w:val="18"/>
                <w:lang w:val="en-ZA"/>
              </w:rPr>
              <w:t>on</w:t>
            </w:r>
          </w:p>
        </w:tc>
      </w:tr>
      <w:tr w:rsidR="006F2112" w:rsidRPr="006F2112" w14:paraId="79E2A52E" w14:textId="77777777" w:rsidTr="006F2112">
        <w:trPr>
          <w:trHeight w:hRule="exact" w:val="598"/>
        </w:trPr>
        <w:tc>
          <w:tcPr>
            <w:tcW w:w="1374" w:type="dxa"/>
          </w:tcPr>
          <w:p w14:paraId="29E60A9D" w14:textId="77777777" w:rsidR="006F2112" w:rsidRPr="006F2112" w:rsidRDefault="006F2112" w:rsidP="006F2112">
            <w:pPr>
              <w:autoSpaceDE w:val="0"/>
              <w:autoSpaceDN w:val="0"/>
              <w:adjustRightInd w:val="0"/>
              <w:spacing w:before="5" w:after="0" w:line="170" w:lineRule="exact"/>
              <w:rPr>
                <w:rFonts w:cs="Times New Roman"/>
                <w:sz w:val="17"/>
                <w:szCs w:val="17"/>
                <w:lang w:val="en-ZA"/>
              </w:rPr>
            </w:pPr>
          </w:p>
          <w:p w14:paraId="7931EE0A" w14:textId="77777777" w:rsidR="006F2112" w:rsidRPr="006F2112" w:rsidRDefault="006F2112" w:rsidP="006F2112">
            <w:pPr>
              <w:autoSpaceDE w:val="0"/>
              <w:autoSpaceDN w:val="0"/>
              <w:adjustRightInd w:val="0"/>
              <w:spacing w:after="0" w:line="240" w:lineRule="auto"/>
              <w:ind w:left="102" w:right="-20"/>
              <w:rPr>
                <w:rFonts w:cs="Times New Roman"/>
                <w:sz w:val="24"/>
                <w:szCs w:val="24"/>
                <w:lang w:val="en-ZA"/>
              </w:rPr>
            </w:pPr>
            <w:r w:rsidRPr="006F2112">
              <w:rPr>
                <w:rFonts w:cs="Arial"/>
                <w:color w:val="010202"/>
                <w:sz w:val="18"/>
                <w:szCs w:val="18"/>
                <w:lang w:val="en-ZA"/>
              </w:rPr>
              <w:t xml:space="preserve">M1 </w:t>
            </w:r>
            <w:r w:rsidRPr="006F2112">
              <w:rPr>
                <w:rFonts w:cs="Arial"/>
                <w:color w:val="010202"/>
                <w:spacing w:val="1"/>
                <w:sz w:val="18"/>
                <w:szCs w:val="18"/>
                <w:lang w:val="en-ZA"/>
              </w:rPr>
              <w:t>p</w:t>
            </w:r>
            <w:r w:rsidRPr="006F2112">
              <w:rPr>
                <w:rFonts w:cs="Arial"/>
                <w:color w:val="010202"/>
                <w:spacing w:val="-2"/>
                <w:sz w:val="18"/>
                <w:szCs w:val="18"/>
                <w:lang w:val="en-ZA"/>
              </w:rPr>
              <w:t>y</w:t>
            </w:r>
            <w:r w:rsidRPr="006F2112">
              <w:rPr>
                <w:rFonts w:cs="Arial"/>
                <w:color w:val="010202"/>
                <w:spacing w:val="1"/>
                <w:sz w:val="18"/>
                <w:szCs w:val="18"/>
                <w:lang w:val="en-ZA"/>
              </w:rPr>
              <w:t>ro</w:t>
            </w:r>
            <w:r w:rsidRPr="006F2112">
              <w:rPr>
                <w:rFonts w:cs="Arial"/>
                <w:color w:val="010202"/>
                <w:sz w:val="18"/>
                <w:szCs w:val="18"/>
                <w:lang w:val="en-ZA"/>
              </w:rPr>
              <w:t>x</w:t>
            </w:r>
            <w:r w:rsidRPr="006F2112">
              <w:rPr>
                <w:rFonts w:cs="Arial"/>
                <w:color w:val="010202"/>
                <w:spacing w:val="1"/>
                <w:sz w:val="18"/>
                <w:szCs w:val="18"/>
                <w:lang w:val="en-ZA"/>
              </w:rPr>
              <w:t>e</w:t>
            </w:r>
            <w:r w:rsidRPr="006F2112">
              <w:rPr>
                <w:rFonts w:cs="Arial"/>
                <w:color w:val="010202"/>
                <w:sz w:val="18"/>
                <w:szCs w:val="18"/>
                <w:lang w:val="en-ZA"/>
              </w:rPr>
              <w:t>nite</w:t>
            </w:r>
          </w:p>
        </w:tc>
        <w:tc>
          <w:tcPr>
            <w:tcW w:w="1319" w:type="dxa"/>
          </w:tcPr>
          <w:p w14:paraId="0B860101" w14:textId="77777777" w:rsidR="006F2112" w:rsidRPr="006F2112" w:rsidRDefault="006F2112" w:rsidP="006F2112">
            <w:pPr>
              <w:autoSpaceDE w:val="0"/>
              <w:autoSpaceDN w:val="0"/>
              <w:adjustRightInd w:val="0"/>
              <w:spacing w:before="5" w:after="0" w:line="170" w:lineRule="exact"/>
              <w:rPr>
                <w:rFonts w:cs="Times New Roman"/>
                <w:sz w:val="17"/>
                <w:szCs w:val="17"/>
                <w:lang w:val="en-ZA"/>
              </w:rPr>
            </w:pPr>
          </w:p>
          <w:p w14:paraId="2EE13125" w14:textId="77777777" w:rsidR="006F2112" w:rsidRPr="006F2112" w:rsidRDefault="006F2112" w:rsidP="006F2112">
            <w:pPr>
              <w:autoSpaceDE w:val="0"/>
              <w:autoSpaceDN w:val="0"/>
              <w:adjustRightInd w:val="0"/>
              <w:spacing w:after="0" w:line="240" w:lineRule="auto"/>
              <w:ind w:left="101" w:right="-20"/>
              <w:rPr>
                <w:rFonts w:cs="Times New Roman"/>
                <w:sz w:val="24"/>
                <w:szCs w:val="24"/>
                <w:lang w:val="en-ZA"/>
              </w:rPr>
            </w:pPr>
            <w:r w:rsidRPr="006F2112">
              <w:rPr>
                <w:rFonts w:cs="Arial"/>
                <w:color w:val="010202"/>
                <w:sz w:val="18"/>
                <w:szCs w:val="18"/>
                <w:lang w:val="en-ZA"/>
              </w:rPr>
              <w:t>MIPX</w:t>
            </w:r>
          </w:p>
        </w:tc>
        <w:tc>
          <w:tcPr>
            <w:tcW w:w="1276" w:type="dxa"/>
          </w:tcPr>
          <w:p w14:paraId="1027319C" w14:textId="77777777" w:rsidR="006F2112" w:rsidRPr="006F2112" w:rsidRDefault="006F2112" w:rsidP="006F2112">
            <w:pPr>
              <w:autoSpaceDE w:val="0"/>
              <w:autoSpaceDN w:val="0"/>
              <w:adjustRightInd w:val="0"/>
              <w:spacing w:before="5" w:after="0" w:line="170" w:lineRule="exact"/>
              <w:rPr>
                <w:rFonts w:cs="Times New Roman"/>
                <w:sz w:val="17"/>
                <w:szCs w:val="17"/>
                <w:lang w:val="en-ZA"/>
              </w:rPr>
            </w:pPr>
          </w:p>
          <w:p w14:paraId="4AA6E6FE" w14:textId="77777777" w:rsidR="006F2112" w:rsidRPr="006F2112" w:rsidRDefault="006F2112" w:rsidP="006F2112">
            <w:pPr>
              <w:autoSpaceDE w:val="0"/>
              <w:autoSpaceDN w:val="0"/>
              <w:adjustRightInd w:val="0"/>
              <w:spacing w:after="0" w:line="240" w:lineRule="auto"/>
              <w:ind w:left="101" w:right="-20"/>
              <w:rPr>
                <w:rFonts w:cs="Times New Roman"/>
                <w:sz w:val="24"/>
                <w:szCs w:val="24"/>
                <w:lang w:val="en-ZA"/>
              </w:rPr>
            </w:pPr>
            <w:r w:rsidRPr="006F2112">
              <w:rPr>
                <w:rFonts w:cs="Arial"/>
                <w:color w:val="010202"/>
                <w:sz w:val="18"/>
                <w:szCs w:val="18"/>
                <w:lang w:val="en-ZA"/>
              </w:rPr>
              <w:t>0.5 - 1.0 m</w:t>
            </w:r>
          </w:p>
        </w:tc>
        <w:tc>
          <w:tcPr>
            <w:tcW w:w="4100" w:type="dxa"/>
          </w:tcPr>
          <w:p w14:paraId="7FF87663" w14:textId="77777777" w:rsidR="006F2112" w:rsidRPr="006F2112" w:rsidRDefault="006F2112" w:rsidP="006F2112">
            <w:pPr>
              <w:autoSpaceDE w:val="0"/>
              <w:autoSpaceDN w:val="0"/>
              <w:adjustRightInd w:val="0"/>
              <w:spacing w:before="60" w:after="0" w:line="263" w:lineRule="auto"/>
              <w:ind w:left="100" w:right="170"/>
              <w:rPr>
                <w:rFonts w:cs="Times New Roman"/>
                <w:sz w:val="24"/>
                <w:szCs w:val="24"/>
                <w:lang w:val="en-ZA"/>
              </w:rPr>
            </w:pPr>
            <w:r w:rsidRPr="006F2112">
              <w:rPr>
                <w:rFonts w:cs="Arial"/>
                <w:color w:val="010202"/>
                <w:spacing w:val="1"/>
                <w:sz w:val="18"/>
                <w:szCs w:val="18"/>
                <w:lang w:val="en-ZA"/>
              </w:rPr>
              <w:t>P</w:t>
            </w:r>
            <w:r w:rsidRPr="006F2112">
              <w:rPr>
                <w:rFonts w:cs="Arial"/>
                <w:color w:val="010202"/>
                <w:spacing w:val="-2"/>
                <w:sz w:val="18"/>
                <w:szCs w:val="18"/>
                <w:lang w:val="en-ZA"/>
              </w:rPr>
              <w:t>y</w:t>
            </w:r>
            <w:r w:rsidRPr="006F2112">
              <w:rPr>
                <w:rFonts w:cs="Arial"/>
                <w:color w:val="010202"/>
                <w:sz w:val="18"/>
                <w:szCs w:val="18"/>
                <w:lang w:val="en-ZA"/>
              </w:rPr>
              <w:t>r</w:t>
            </w:r>
            <w:r w:rsidRPr="006F2112">
              <w:rPr>
                <w:rFonts w:cs="Arial"/>
                <w:color w:val="010202"/>
                <w:spacing w:val="1"/>
                <w:sz w:val="18"/>
                <w:szCs w:val="18"/>
                <w:lang w:val="en-ZA"/>
              </w:rPr>
              <w:t>o</w:t>
            </w:r>
            <w:r w:rsidRPr="006F2112">
              <w:rPr>
                <w:rFonts w:cs="Arial"/>
                <w:color w:val="010202"/>
                <w:sz w:val="18"/>
                <w:szCs w:val="18"/>
                <w:lang w:val="en-ZA"/>
              </w:rPr>
              <w:t>xe</w:t>
            </w:r>
            <w:r w:rsidRPr="006F2112">
              <w:rPr>
                <w:rFonts w:cs="Arial"/>
                <w:color w:val="010202"/>
                <w:spacing w:val="1"/>
                <w:sz w:val="18"/>
                <w:szCs w:val="18"/>
                <w:lang w:val="en-ZA"/>
              </w:rPr>
              <w:t>n</w:t>
            </w:r>
            <w:r w:rsidRPr="006F2112">
              <w:rPr>
                <w:rFonts w:cs="Arial"/>
                <w:color w:val="010202"/>
                <w:sz w:val="18"/>
                <w:szCs w:val="18"/>
                <w:lang w:val="en-ZA"/>
              </w:rPr>
              <w:t>ite,</w:t>
            </w:r>
            <w:r w:rsidRPr="006F2112">
              <w:rPr>
                <w:rFonts w:cs="Arial"/>
                <w:color w:val="010202"/>
                <w:spacing w:val="-3"/>
                <w:sz w:val="18"/>
                <w:szCs w:val="18"/>
                <w:lang w:val="en-ZA"/>
              </w:rPr>
              <w:t xml:space="preserve"> </w:t>
            </w:r>
            <w:r w:rsidRPr="006F2112">
              <w:rPr>
                <w:rFonts w:cs="Arial"/>
                <w:color w:val="010202"/>
                <w:sz w:val="18"/>
                <w:szCs w:val="18"/>
                <w:lang w:val="en-ZA"/>
              </w:rPr>
              <w:t>3-</w:t>
            </w:r>
            <w:r w:rsidRPr="006F2112">
              <w:rPr>
                <w:rFonts w:cs="Arial"/>
                <w:color w:val="010202"/>
                <w:spacing w:val="1"/>
                <w:sz w:val="18"/>
                <w:szCs w:val="18"/>
                <w:lang w:val="en-ZA"/>
              </w:rPr>
              <w:t>5</w:t>
            </w:r>
            <w:r w:rsidRPr="006F2112">
              <w:rPr>
                <w:rFonts w:cs="Arial"/>
                <w:color w:val="010202"/>
                <w:sz w:val="18"/>
                <w:szCs w:val="18"/>
                <w:lang w:val="en-ZA"/>
              </w:rPr>
              <w:t>% base met</w:t>
            </w:r>
            <w:r w:rsidRPr="006F2112">
              <w:rPr>
                <w:rFonts w:cs="Arial"/>
                <w:color w:val="010202"/>
                <w:spacing w:val="1"/>
                <w:sz w:val="18"/>
                <w:szCs w:val="18"/>
                <w:lang w:val="en-ZA"/>
              </w:rPr>
              <w:t>a</w:t>
            </w:r>
            <w:r w:rsidRPr="006F2112">
              <w:rPr>
                <w:rFonts w:cs="Arial"/>
                <w:color w:val="010202"/>
                <w:sz w:val="18"/>
                <w:szCs w:val="18"/>
                <w:lang w:val="en-ZA"/>
              </w:rPr>
              <w:t>l sul</w:t>
            </w:r>
            <w:r w:rsidRPr="006F2112">
              <w:rPr>
                <w:rFonts w:cs="Arial"/>
                <w:color w:val="010202"/>
                <w:spacing w:val="1"/>
                <w:sz w:val="18"/>
                <w:szCs w:val="18"/>
                <w:lang w:val="en-ZA"/>
              </w:rPr>
              <w:t>p</w:t>
            </w:r>
            <w:r w:rsidRPr="006F2112">
              <w:rPr>
                <w:rFonts w:cs="Arial"/>
                <w:color w:val="010202"/>
                <w:sz w:val="18"/>
                <w:szCs w:val="18"/>
                <w:lang w:val="en-ZA"/>
              </w:rPr>
              <w:t>hi</w:t>
            </w:r>
            <w:r w:rsidRPr="006F2112">
              <w:rPr>
                <w:rFonts w:cs="Arial"/>
                <w:color w:val="010202"/>
                <w:spacing w:val="1"/>
                <w:sz w:val="18"/>
                <w:szCs w:val="18"/>
                <w:lang w:val="en-ZA"/>
              </w:rPr>
              <w:t>d</w:t>
            </w:r>
            <w:r w:rsidRPr="006F2112">
              <w:rPr>
                <w:rFonts w:cs="Arial"/>
                <w:color w:val="010202"/>
                <w:sz w:val="18"/>
                <w:szCs w:val="18"/>
                <w:lang w:val="en-ZA"/>
              </w:rPr>
              <w:t>e mi</w:t>
            </w:r>
            <w:r w:rsidRPr="006F2112">
              <w:rPr>
                <w:rFonts w:cs="Arial"/>
                <w:color w:val="010202"/>
                <w:spacing w:val="1"/>
                <w:sz w:val="18"/>
                <w:szCs w:val="18"/>
                <w:lang w:val="en-ZA"/>
              </w:rPr>
              <w:t>n</w:t>
            </w:r>
            <w:r w:rsidRPr="006F2112">
              <w:rPr>
                <w:rFonts w:cs="Arial"/>
                <w:color w:val="010202"/>
                <w:spacing w:val="-1"/>
                <w:sz w:val="18"/>
                <w:szCs w:val="18"/>
                <w:lang w:val="en-ZA"/>
              </w:rPr>
              <w:t>e</w:t>
            </w:r>
            <w:r w:rsidRPr="006F2112">
              <w:rPr>
                <w:rFonts w:cs="Arial"/>
                <w:color w:val="010202"/>
                <w:sz w:val="18"/>
                <w:szCs w:val="18"/>
                <w:lang w:val="en-ZA"/>
              </w:rPr>
              <w:t>ralisat</w:t>
            </w:r>
            <w:r w:rsidRPr="006F2112">
              <w:rPr>
                <w:rFonts w:cs="Arial"/>
                <w:color w:val="010202"/>
                <w:spacing w:val="1"/>
                <w:sz w:val="18"/>
                <w:szCs w:val="18"/>
                <w:lang w:val="en-ZA"/>
              </w:rPr>
              <w:t>i</w:t>
            </w:r>
            <w:r w:rsidRPr="006F2112">
              <w:rPr>
                <w:rFonts w:cs="Arial"/>
                <w:color w:val="010202"/>
                <w:sz w:val="18"/>
                <w:szCs w:val="18"/>
                <w:lang w:val="en-ZA"/>
              </w:rPr>
              <w:t>on conta</w:t>
            </w:r>
            <w:r w:rsidRPr="006F2112">
              <w:rPr>
                <w:rFonts w:cs="Arial"/>
                <w:color w:val="010202"/>
                <w:spacing w:val="1"/>
                <w:sz w:val="18"/>
                <w:szCs w:val="18"/>
                <w:lang w:val="en-ZA"/>
              </w:rPr>
              <w:t>i</w:t>
            </w:r>
            <w:r w:rsidRPr="006F2112">
              <w:rPr>
                <w:rFonts w:cs="Arial"/>
                <w:color w:val="010202"/>
                <w:sz w:val="18"/>
                <w:szCs w:val="18"/>
                <w:lang w:val="en-ZA"/>
              </w:rPr>
              <w:t>ni</w:t>
            </w:r>
            <w:r w:rsidRPr="006F2112">
              <w:rPr>
                <w:rFonts w:cs="Arial"/>
                <w:color w:val="010202"/>
                <w:spacing w:val="1"/>
                <w:sz w:val="18"/>
                <w:szCs w:val="18"/>
                <w:lang w:val="en-ZA"/>
              </w:rPr>
              <w:t>n</w:t>
            </w:r>
            <w:r w:rsidRPr="006F2112">
              <w:rPr>
                <w:rFonts w:cs="Arial"/>
                <w:color w:val="010202"/>
                <w:sz w:val="18"/>
                <w:szCs w:val="18"/>
                <w:lang w:val="en-ZA"/>
              </w:rPr>
              <w:t>g the</w:t>
            </w:r>
            <w:r w:rsidRPr="006F2112">
              <w:rPr>
                <w:rFonts w:cs="Arial"/>
                <w:color w:val="010202"/>
                <w:spacing w:val="1"/>
                <w:sz w:val="18"/>
                <w:szCs w:val="18"/>
                <w:lang w:val="en-ZA"/>
              </w:rPr>
              <w:t xml:space="preserve"> </w:t>
            </w:r>
            <w:r w:rsidRPr="006F2112">
              <w:rPr>
                <w:rFonts w:cs="Arial"/>
                <w:color w:val="010202"/>
                <w:sz w:val="18"/>
                <w:szCs w:val="18"/>
                <w:lang w:val="en-ZA"/>
              </w:rPr>
              <w:t>MCR chromite</w:t>
            </w:r>
            <w:r w:rsidRPr="006F2112">
              <w:rPr>
                <w:rFonts w:cs="Arial"/>
                <w:color w:val="010202"/>
                <w:spacing w:val="1"/>
                <w:sz w:val="18"/>
                <w:szCs w:val="18"/>
                <w:lang w:val="en-ZA"/>
              </w:rPr>
              <w:t xml:space="preserve"> </w:t>
            </w:r>
            <w:r w:rsidRPr="006F2112">
              <w:rPr>
                <w:rFonts w:cs="Arial"/>
                <w:color w:val="010202"/>
                <w:sz w:val="18"/>
                <w:szCs w:val="18"/>
                <w:lang w:val="en-ZA"/>
              </w:rPr>
              <w:t>stringer(s)</w:t>
            </w:r>
          </w:p>
        </w:tc>
      </w:tr>
      <w:tr w:rsidR="006F2112" w:rsidRPr="006F2112" w14:paraId="732640FA" w14:textId="77777777" w:rsidTr="006F2112">
        <w:trPr>
          <w:trHeight w:hRule="exact" w:val="1025"/>
        </w:trPr>
        <w:tc>
          <w:tcPr>
            <w:tcW w:w="1374" w:type="dxa"/>
          </w:tcPr>
          <w:p w14:paraId="06E7C13D" w14:textId="77777777" w:rsidR="006F2112" w:rsidRPr="006F2112" w:rsidRDefault="006F2112" w:rsidP="006F2112">
            <w:pPr>
              <w:autoSpaceDE w:val="0"/>
              <w:autoSpaceDN w:val="0"/>
              <w:adjustRightInd w:val="0"/>
              <w:spacing w:before="17" w:after="0" w:line="260" w:lineRule="exact"/>
              <w:rPr>
                <w:rFonts w:cs="Times New Roman"/>
                <w:sz w:val="26"/>
                <w:szCs w:val="26"/>
                <w:lang w:val="en-ZA"/>
              </w:rPr>
            </w:pPr>
          </w:p>
          <w:p w14:paraId="03ECE774" w14:textId="77777777" w:rsidR="006F2112" w:rsidRPr="006F2112" w:rsidRDefault="006F2112" w:rsidP="006F2112">
            <w:pPr>
              <w:autoSpaceDE w:val="0"/>
              <w:autoSpaceDN w:val="0"/>
              <w:adjustRightInd w:val="0"/>
              <w:spacing w:after="0" w:line="240" w:lineRule="auto"/>
              <w:ind w:left="102" w:right="-20"/>
              <w:rPr>
                <w:rFonts w:cs="Times New Roman"/>
                <w:sz w:val="24"/>
                <w:szCs w:val="24"/>
                <w:lang w:val="en-ZA"/>
              </w:rPr>
            </w:pPr>
            <w:r w:rsidRPr="006F2112">
              <w:rPr>
                <w:rFonts w:cs="Arial"/>
                <w:color w:val="010202"/>
                <w:sz w:val="18"/>
                <w:szCs w:val="18"/>
                <w:lang w:val="en-ZA"/>
              </w:rPr>
              <w:t>M2 peg</w:t>
            </w:r>
            <w:r w:rsidRPr="006F2112">
              <w:rPr>
                <w:rFonts w:cs="Arial"/>
                <w:color w:val="010202"/>
                <w:spacing w:val="1"/>
                <w:sz w:val="18"/>
                <w:szCs w:val="18"/>
                <w:lang w:val="en-ZA"/>
              </w:rPr>
              <w:t>m</w:t>
            </w:r>
            <w:r w:rsidRPr="006F2112">
              <w:rPr>
                <w:rFonts w:cs="Arial"/>
                <w:color w:val="010202"/>
                <w:sz w:val="18"/>
                <w:szCs w:val="18"/>
                <w:lang w:val="en-ZA"/>
              </w:rPr>
              <w:t>atoid</w:t>
            </w:r>
          </w:p>
        </w:tc>
        <w:tc>
          <w:tcPr>
            <w:tcW w:w="1319" w:type="dxa"/>
          </w:tcPr>
          <w:p w14:paraId="3277F9A6" w14:textId="77777777" w:rsidR="006F2112" w:rsidRPr="006F2112" w:rsidRDefault="006F2112" w:rsidP="006F2112">
            <w:pPr>
              <w:autoSpaceDE w:val="0"/>
              <w:autoSpaceDN w:val="0"/>
              <w:adjustRightInd w:val="0"/>
              <w:spacing w:before="17" w:after="0" w:line="260" w:lineRule="exact"/>
              <w:rPr>
                <w:rFonts w:cs="Times New Roman"/>
                <w:sz w:val="26"/>
                <w:szCs w:val="26"/>
                <w:lang w:val="en-ZA"/>
              </w:rPr>
            </w:pPr>
          </w:p>
          <w:p w14:paraId="3FB12B19" w14:textId="77777777" w:rsidR="006F2112" w:rsidRPr="006F2112" w:rsidRDefault="006F2112" w:rsidP="006F2112">
            <w:pPr>
              <w:autoSpaceDE w:val="0"/>
              <w:autoSpaceDN w:val="0"/>
              <w:adjustRightInd w:val="0"/>
              <w:spacing w:after="0" w:line="240" w:lineRule="auto"/>
              <w:ind w:left="101" w:right="-20"/>
              <w:rPr>
                <w:rFonts w:cs="Times New Roman"/>
                <w:sz w:val="24"/>
                <w:szCs w:val="24"/>
                <w:lang w:val="en-ZA"/>
              </w:rPr>
            </w:pPr>
            <w:r w:rsidRPr="006F2112">
              <w:rPr>
                <w:rFonts w:cs="Arial"/>
                <w:color w:val="010202"/>
                <w:sz w:val="18"/>
                <w:szCs w:val="18"/>
                <w:lang w:val="en-ZA"/>
              </w:rPr>
              <w:t>M2PEG</w:t>
            </w:r>
          </w:p>
        </w:tc>
        <w:tc>
          <w:tcPr>
            <w:tcW w:w="1276" w:type="dxa"/>
          </w:tcPr>
          <w:p w14:paraId="0ACF371A" w14:textId="77777777" w:rsidR="006F2112" w:rsidRPr="006F2112" w:rsidRDefault="006F2112" w:rsidP="006F2112">
            <w:pPr>
              <w:autoSpaceDE w:val="0"/>
              <w:autoSpaceDN w:val="0"/>
              <w:adjustRightInd w:val="0"/>
              <w:spacing w:before="17" w:after="0" w:line="260" w:lineRule="exact"/>
              <w:rPr>
                <w:rFonts w:cs="Times New Roman"/>
                <w:sz w:val="26"/>
                <w:szCs w:val="26"/>
                <w:lang w:val="en-ZA"/>
              </w:rPr>
            </w:pPr>
          </w:p>
          <w:p w14:paraId="4A818BD4" w14:textId="77777777" w:rsidR="006F2112" w:rsidRPr="006F2112" w:rsidRDefault="006F2112" w:rsidP="006F2112">
            <w:pPr>
              <w:autoSpaceDE w:val="0"/>
              <w:autoSpaceDN w:val="0"/>
              <w:adjustRightInd w:val="0"/>
              <w:spacing w:after="0" w:line="240" w:lineRule="auto"/>
              <w:ind w:left="100" w:right="-20"/>
              <w:rPr>
                <w:rFonts w:cs="Times New Roman"/>
                <w:sz w:val="24"/>
                <w:szCs w:val="24"/>
                <w:lang w:val="en-ZA"/>
              </w:rPr>
            </w:pPr>
            <w:r w:rsidRPr="006F2112">
              <w:rPr>
                <w:rFonts w:cs="Arial"/>
                <w:color w:val="010202"/>
                <w:sz w:val="18"/>
                <w:szCs w:val="18"/>
                <w:lang w:val="en-ZA"/>
              </w:rPr>
              <w:t>0.1 - 1.0 m</w:t>
            </w:r>
          </w:p>
        </w:tc>
        <w:tc>
          <w:tcPr>
            <w:tcW w:w="4100" w:type="dxa"/>
          </w:tcPr>
          <w:p w14:paraId="66DE245F" w14:textId="77777777" w:rsidR="006F2112" w:rsidRPr="006F2112" w:rsidRDefault="006F2112" w:rsidP="006F2112">
            <w:pPr>
              <w:autoSpaceDE w:val="0"/>
              <w:autoSpaceDN w:val="0"/>
              <w:adjustRightInd w:val="0"/>
              <w:spacing w:before="48" w:after="0" w:line="263" w:lineRule="auto"/>
              <w:ind w:left="100" w:right="149"/>
              <w:rPr>
                <w:rFonts w:cs="Times New Roman"/>
                <w:sz w:val="24"/>
                <w:szCs w:val="24"/>
                <w:lang w:val="en-ZA"/>
              </w:rPr>
            </w:pPr>
            <w:r w:rsidRPr="006F2112">
              <w:rPr>
                <w:rFonts w:cs="Arial"/>
                <w:color w:val="010202"/>
                <w:sz w:val="18"/>
                <w:szCs w:val="18"/>
                <w:lang w:val="en-ZA"/>
              </w:rPr>
              <w:t>Pegmat</w:t>
            </w:r>
            <w:r w:rsidRPr="006F2112">
              <w:rPr>
                <w:rFonts w:cs="Arial"/>
                <w:color w:val="010202"/>
                <w:spacing w:val="1"/>
                <w:sz w:val="18"/>
                <w:szCs w:val="18"/>
                <w:lang w:val="en-ZA"/>
              </w:rPr>
              <w:t>o</w:t>
            </w:r>
            <w:r w:rsidRPr="006F2112">
              <w:rPr>
                <w:rFonts w:cs="Arial"/>
                <w:color w:val="010202"/>
                <w:sz w:val="18"/>
                <w:szCs w:val="18"/>
                <w:lang w:val="en-ZA"/>
              </w:rPr>
              <w:t>i</w:t>
            </w:r>
            <w:r w:rsidRPr="006F2112">
              <w:rPr>
                <w:rFonts w:cs="Arial"/>
                <w:color w:val="010202"/>
                <w:spacing w:val="1"/>
                <w:sz w:val="18"/>
                <w:szCs w:val="18"/>
                <w:lang w:val="en-ZA"/>
              </w:rPr>
              <w:t>d</w:t>
            </w:r>
            <w:r w:rsidRPr="006F2112">
              <w:rPr>
                <w:rFonts w:cs="Arial"/>
                <w:color w:val="010202"/>
                <w:spacing w:val="-1"/>
                <w:sz w:val="18"/>
                <w:szCs w:val="18"/>
                <w:lang w:val="en-ZA"/>
              </w:rPr>
              <w:t>a</w:t>
            </w:r>
            <w:r w:rsidRPr="006F2112">
              <w:rPr>
                <w:rFonts w:cs="Arial"/>
                <w:color w:val="010202"/>
                <w:sz w:val="18"/>
                <w:szCs w:val="18"/>
                <w:lang w:val="en-ZA"/>
              </w:rPr>
              <w:t>l f</w:t>
            </w:r>
            <w:r w:rsidRPr="006F2112">
              <w:rPr>
                <w:rFonts w:cs="Arial"/>
                <w:color w:val="010202"/>
                <w:spacing w:val="1"/>
                <w:sz w:val="18"/>
                <w:szCs w:val="18"/>
                <w:lang w:val="en-ZA"/>
              </w:rPr>
              <w:t>e</w:t>
            </w:r>
            <w:r w:rsidRPr="006F2112">
              <w:rPr>
                <w:rFonts w:cs="Arial"/>
                <w:color w:val="010202"/>
                <w:sz w:val="18"/>
                <w:szCs w:val="18"/>
                <w:lang w:val="en-ZA"/>
              </w:rPr>
              <w:t>lds</w:t>
            </w:r>
            <w:r w:rsidRPr="006F2112">
              <w:rPr>
                <w:rFonts w:cs="Arial"/>
                <w:color w:val="010202"/>
                <w:spacing w:val="1"/>
                <w:sz w:val="18"/>
                <w:szCs w:val="18"/>
                <w:lang w:val="en-ZA"/>
              </w:rPr>
              <w:t>p</w:t>
            </w:r>
            <w:r w:rsidRPr="006F2112">
              <w:rPr>
                <w:rFonts w:cs="Arial"/>
                <w:color w:val="010202"/>
                <w:sz w:val="18"/>
                <w:szCs w:val="18"/>
                <w:lang w:val="en-ZA"/>
              </w:rPr>
              <w:t>athic</w:t>
            </w:r>
            <w:r w:rsidRPr="006F2112">
              <w:rPr>
                <w:rFonts w:cs="Arial"/>
                <w:color w:val="010202"/>
                <w:spacing w:val="-1"/>
                <w:sz w:val="18"/>
                <w:szCs w:val="18"/>
                <w:lang w:val="en-ZA"/>
              </w:rPr>
              <w:t xml:space="preserve"> </w:t>
            </w:r>
            <w:r w:rsidRPr="006F2112">
              <w:rPr>
                <w:rFonts w:cs="Arial"/>
                <w:color w:val="010202"/>
                <w:spacing w:val="1"/>
                <w:sz w:val="18"/>
                <w:szCs w:val="18"/>
                <w:lang w:val="en-ZA"/>
              </w:rPr>
              <w:t>p</w:t>
            </w:r>
            <w:r w:rsidRPr="006F2112">
              <w:rPr>
                <w:rFonts w:cs="Arial"/>
                <w:color w:val="010202"/>
                <w:spacing w:val="-1"/>
                <w:sz w:val="18"/>
                <w:szCs w:val="18"/>
                <w:lang w:val="en-ZA"/>
              </w:rPr>
              <w:t>y</w:t>
            </w:r>
            <w:r w:rsidRPr="006F2112">
              <w:rPr>
                <w:rFonts w:cs="Arial"/>
                <w:color w:val="010202"/>
                <w:sz w:val="18"/>
                <w:szCs w:val="18"/>
                <w:lang w:val="en-ZA"/>
              </w:rPr>
              <w:t>r</w:t>
            </w:r>
            <w:r w:rsidRPr="006F2112">
              <w:rPr>
                <w:rFonts w:cs="Arial"/>
                <w:color w:val="010202"/>
                <w:spacing w:val="1"/>
                <w:sz w:val="18"/>
                <w:szCs w:val="18"/>
                <w:lang w:val="en-ZA"/>
              </w:rPr>
              <w:t>o</w:t>
            </w:r>
            <w:r w:rsidRPr="006F2112">
              <w:rPr>
                <w:rFonts w:cs="Arial"/>
                <w:color w:val="010202"/>
                <w:sz w:val="18"/>
                <w:szCs w:val="18"/>
                <w:lang w:val="en-ZA"/>
              </w:rPr>
              <w:t>xenite</w:t>
            </w:r>
            <w:r w:rsidRPr="006F2112">
              <w:rPr>
                <w:rFonts w:cs="Arial"/>
                <w:color w:val="010202"/>
                <w:spacing w:val="3"/>
                <w:sz w:val="18"/>
                <w:szCs w:val="18"/>
                <w:lang w:val="en-ZA"/>
              </w:rPr>
              <w:t xml:space="preserve"> </w:t>
            </w:r>
            <w:r w:rsidRPr="006F2112">
              <w:rPr>
                <w:rFonts w:cs="Arial"/>
                <w:color w:val="010202"/>
                <w:spacing w:val="-3"/>
                <w:sz w:val="18"/>
                <w:szCs w:val="18"/>
                <w:lang w:val="en-ZA"/>
              </w:rPr>
              <w:t>w</w:t>
            </w:r>
            <w:r w:rsidRPr="006F2112">
              <w:rPr>
                <w:rFonts w:cs="Arial"/>
                <w:color w:val="010202"/>
                <w:sz w:val="18"/>
                <w:szCs w:val="18"/>
                <w:lang w:val="en-ZA"/>
              </w:rPr>
              <w:t>i</w:t>
            </w:r>
            <w:r w:rsidRPr="006F2112">
              <w:rPr>
                <w:rFonts w:cs="Arial"/>
                <w:color w:val="010202"/>
                <w:spacing w:val="2"/>
                <w:sz w:val="18"/>
                <w:szCs w:val="18"/>
                <w:lang w:val="en-ZA"/>
              </w:rPr>
              <w:t>t</w:t>
            </w:r>
            <w:r w:rsidRPr="006F2112">
              <w:rPr>
                <w:rFonts w:cs="Arial"/>
                <w:color w:val="010202"/>
                <w:sz w:val="18"/>
                <w:szCs w:val="18"/>
                <w:lang w:val="en-ZA"/>
              </w:rPr>
              <w:t xml:space="preserve">h </w:t>
            </w:r>
            <w:r w:rsidRPr="006F2112">
              <w:rPr>
                <w:rFonts w:cs="Arial"/>
                <w:color w:val="010202"/>
                <w:spacing w:val="1"/>
                <w:sz w:val="18"/>
                <w:szCs w:val="18"/>
                <w:lang w:val="en-ZA"/>
              </w:rPr>
              <w:t>&gt;</w:t>
            </w:r>
            <w:r w:rsidRPr="006F2112">
              <w:rPr>
                <w:rFonts w:cs="Arial"/>
                <w:color w:val="010202"/>
                <w:spacing w:val="-1"/>
                <w:sz w:val="18"/>
                <w:szCs w:val="18"/>
                <w:lang w:val="en-ZA"/>
              </w:rPr>
              <w:t>5</w:t>
            </w:r>
            <w:r w:rsidRPr="006F2112">
              <w:rPr>
                <w:rFonts w:cs="Arial"/>
                <w:color w:val="010202"/>
                <w:sz w:val="18"/>
                <w:szCs w:val="18"/>
                <w:lang w:val="en-ZA"/>
              </w:rPr>
              <w:t>%</w:t>
            </w:r>
            <w:r w:rsidRPr="006F2112">
              <w:rPr>
                <w:rFonts w:cs="Arial"/>
                <w:color w:val="010202"/>
                <w:spacing w:val="-1"/>
                <w:sz w:val="18"/>
                <w:szCs w:val="18"/>
                <w:lang w:val="en-ZA"/>
              </w:rPr>
              <w:t xml:space="preserve"> </w:t>
            </w:r>
            <w:r w:rsidRPr="006F2112">
              <w:rPr>
                <w:rFonts w:cs="Arial"/>
                <w:color w:val="010202"/>
                <w:sz w:val="18"/>
                <w:szCs w:val="18"/>
                <w:lang w:val="en-ZA"/>
              </w:rPr>
              <w:t>base metal su</w:t>
            </w:r>
            <w:r w:rsidRPr="006F2112">
              <w:rPr>
                <w:rFonts w:cs="Arial"/>
                <w:color w:val="010202"/>
                <w:spacing w:val="1"/>
                <w:sz w:val="18"/>
                <w:szCs w:val="18"/>
                <w:lang w:val="en-ZA"/>
              </w:rPr>
              <w:t>l</w:t>
            </w:r>
            <w:r w:rsidRPr="006F2112">
              <w:rPr>
                <w:rFonts w:cs="Arial"/>
                <w:color w:val="010202"/>
                <w:sz w:val="18"/>
                <w:szCs w:val="18"/>
                <w:lang w:val="en-ZA"/>
              </w:rPr>
              <w:t>ph</w:t>
            </w:r>
            <w:r w:rsidRPr="006F2112">
              <w:rPr>
                <w:rFonts w:cs="Arial"/>
                <w:color w:val="010202"/>
                <w:spacing w:val="1"/>
                <w:sz w:val="18"/>
                <w:szCs w:val="18"/>
                <w:lang w:val="en-ZA"/>
              </w:rPr>
              <w:t>i</w:t>
            </w:r>
            <w:r w:rsidRPr="006F2112">
              <w:rPr>
                <w:rFonts w:cs="Arial"/>
                <w:color w:val="010202"/>
                <w:sz w:val="18"/>
                <w:szCs w:val="18"/>
                <w:lang w:val="en-ZA"/>
              </w:rPr>
              <w:t>de</w:t>
            </w:r>
            <w:r w:rsidRPr="006F2112">
              <w:rPr>
                <w:rFonts w:cs="Arial"/>
                <w:color w:val="010202"/>
                <w:spacing w:val="1"/>
                <w:sz w:val="18"/>
                <w:szCs w:val="18"/>
                <w:lang w:val="en-ZA"/>
              </w:rPr>
              <w:t xml:space="preserve"> </w:t>
            </w:r>
            <w:r w:rsidRPr="006F2112">
              <w:rPr>
                <w:rFonts w:cs="Arial"/>
                <w:color w:val="010202"/>
                <w:sz w:val="18"/>
                <w:szCs w:val="18"/>
                <w:lang w:val="en-ZA"/>
              </w:rPr>
              <w:t>miner</w:t>
            </w:r>
            <w:r w:rsidRPr="006F2112">
              <w:rPr>
                <w:rFonts w:cs="Arial"/>
                <w:color w:val="010202"/>
                <w:spacing w:val="1"/>
                <w:sz w:val="18"/>
                <w:szCs w:val="18"/>
                <w:lang w:val="en-ZA"/>
              </w:rPr>
              <w:t>a</w:t>
            </w:r>
            <w:r w:rsidRPr="006F2112">
              <w:rPr>
                <w:rFonts w:cs="Arial"/>
                <w:color w:val="010202"/>
                <w:sz w:val="18"/>
                <w:szCs w:val="18"/>
                <w:lang w:val="en-ZA"/>
              </w:rPr>
              <w:t>li</w:t>
            </w:r>
            <w:r w:rsidRPr="006F2112">
              <w:rPr>
                <w:rFonts w:cs="Arial"/>
                <w:color w:val="010202"/>
                <w:spacing w:val="1"/>
                <w:sz w:val="18"/>
                <w:szCs w:val="18"/>
                <w:lang w:val="en-ZA"/>
              </w:rPr>
              <w:t>s</w:t>
            </w:r>
            <w:r w:rsidRPr="006F2112">
              <w:rPr>
                <w:rFonts w:cs="Arial"/>
                <w:color w:val="010202"/>
                <w:sz w:val="18"/>
                <w:szCs w:val="18"/>
                <w:lang w:val="en-ZA"/>
              </w:rPr>
              <w:t>ation.</w:t>
            </w:r>
            <w:r w:rsidRPr="006F2112">
              <w:rPr>
                <w:rFonts w:cs="Arial"/>
                <w:color w:val="010202"/>
                <w:spacing w:val="1"/>
                <w:sz w:val="18"/>
                <w:szCs w:val="18"/>
                <w:lang w:val="en-ZA"/>
              </w:rPr>
              <w:t xml:space="preserve"> </w:t>
            </w:r>
            <w:r w:rsidRPr="006F2112">
              <w:rPr>
                <w:rFonts w:cs="Arial"/>
                <w:color w:val="010202"/>
                <w:sz w:val="18"/>
                <w:szCs w:val="18"/>
                <w:lang w:val="en-ZA"/>
              </w:rPr>
              <w:t>Often</w:t>
            </w:r>
            <w:r w:rsidRPr="006F2112">
              <w:rPr>
                <w:rFonts w:cs="Arial"/>
                <w:color w:val="010202"/>
                <w:spacing w:val="-4"/>
                <w:sz w:val="18"/>
                <w:szCs w:val="18"/>
                <w:lang w:val="en-ZA"/>
              </w:rPr>
              <w:t xml:space="preserve"> </w:t>
            </w:r>
            <w:r w:rsidRPr="006F2112">
              <w:rPr>
                <w:rFonts w:cs="Arial"/>
                <w:color w:val="010202"/>
                <w:sz w:val="18"/>
                <w:szCs w:val="18"/>
                <w:lang w:val="en-ZA"/>
              </w:rPr>
              <w:t>a chrom</w:t>
            </w:r>
            <w:r w:rsidRPr="006F2112">
              <w:rPr>
                <w:rFonts w:cs="Arial"/>
                <w:color w:val="010202"/>
                <w:spacing w:val="1"/>
                <w:sz w:val="18"/>
                <w:szCs w:val="18"/>
                <w:lang w:val="en-ZA"/>
              </w:rPr>
              <w:t>i</w:t>
            </w:r>
            <w:r w:rsidRPr="006F2112">
              <w:rPr>
                <w:rFonts w:cs="Arial"/>
                <w:color w:val="010202"/>
                <w:sz w:val="18"/>
                <w:szCs w:val="18"/>
                <w:lang w:val="en-ZA"/>
              </w:rPr>
              <w:t>te</w:t>
            </w:r>
            <w:r w:rsidRPr="006F2112">
              <w:rPr>
                <w:rFonts w:cs="Arial"/>
                <w:color w:val="010202"/>
                <w:spacing w:val="-2"/>
                <w:sz w:val="18"/>
                <w:szCs w:val="18"/>
                <w:lang w:val="en-ZA"/>
              </w:rPr>
              <w:t xml:space="preserve"> </w:t>
            </w:r>
            <w:r w:rsidRPr="006F2112">
              <w:rPr>
                <w:rFonts w:cs="Arial"/>
                <w:color w:val="010202"/>
                <w:sz w:val="18"/>
                <w:szCs w:val="18"/>
                <w:lang w:val="en-ZA"/>
              </w:rPr>
              <w:t xml:space="preserve">stringer </w:t>
            </w:r>
            <w:r w:rsidRPr="006F2112">
              <w:rPr>
                <w:rFonts w:cs="Arial"/>
                <w:color w:val="010202"/>
                <w:spacing w:val="1"/>
                <w:sz w:val="18"/>
                <w:szCs w:val="18"/>
                <w:lang w:val="en-ZA"/>
              </w:rPr>
              <w:t>u</w:t>
            </w:r>
            <w:r w:rsidRPr="006F2112">
              <w:rPr>
                <w:rFonts w:cs="Arial"/>
                <w:color w:val="010202"/>
                <w:sz w:val="18"/>
                <w:szCs w:val="18"/>
                <w:lang w:val="en-ZA"/>
              </w:rPr>
              <w:t>p to</w:t>
            </w:r>
            <w:r w:rsidRPr="006F2112">
              <w:rPr>
                <w:rFonts w:cs="Arial"/>
                <w:color w:val="010202"/>
                <w:spacing w:val="-1"/>
                <w:sz w:val="18"/>
                <w:szCs w:val="18"/>
                <w:lang w:val="en-ZA"/>
              </w:rPr>
              <w:t xml:space="preserve"> </w:t>
            </w:r>
            <w:r w:rsidRPr="006F2112">
              <w:rPr>
                <w:rFonts w:cs="Arial"/>
                <w:color w:val="010202"/>
                <w:sz w:val="18"/>
                <w:szCs w:val="18"/>
                <w:lang w:val="en-ZA"/>
              </w:rPr>
              <w:t>1</w:t>
            </w:r>
            <w:r w:rsidRPr="006F2112">
              <w:rPr>
                <w:rFonts w:cs="Arial"/>
                <w:color w:val="010202"/>
                <w:spacing w:val="1"/>
                <w:sz w:val="18"/>
                <w:szCs w:val="18"/>
                <w:lang w:val="en-ZA"/>
              </w:rPr>
              <w:t xml:space="preserve"> </w:t>
            </w:r>
            <w:r w:rsidRPr="006F2112">
              <w:rPr>
                <w:rFonts w:cs="Arial"/>
                <w:color w:val="010202"/>
                <w:sz w:val="18"/>
                <w:szCs w:val="18"/>
                <w:lang w:val="en-ZA"/>
              </w:rPr>
              <w:t>cm thick at</w:t>
            </w:r>
            <w:r w:rsidRPr="006F2112">
              <w:rPr>
                <w:rFonts w:cs="Arial"/>
                <w:color w:val="010202"/>
                <w:spacing w:val="-1"/>
                <w:sz w:val="18"/>
                <w:szCs w:val="18"/>
                <w:lang w:val="en-ZA"/>
              </w:rPr>
              <w:t xml:space="preserve"> </w:t>
            </w:r>
            <w:r w:rsidRPr="006F2112">
              <w:rPr>
                <w:rFonts w:cs="Arial"/>
                <w:color w:val="010202"/>
                <w:sz w:val="18"/>
                <w:szCs w:val="18"/>
                <w:lang w:val="en-ZA"/>
              </w:rPr>
              <w:t>the base or</w:t>
            </w:r>
            <w:r w:rsidRPr="006F2112">
              <w:rPr>
                <w:rFonts w:cs="Arial"/>
                <w:color w:val="010202"/>
                <w:spacing w:val="3"/>
                <w:sz w:val="18"/>
                <w:szCs w:val="18"/>
                <w:lang w:val="en-ZA"/>
              </w:rPr>
              <w:t xml:space="preserve"> </w:t>
            </w:r>
            <w:r w:rsidRPr="006F2112">
              <w:rPr>
                <w:rFonts w:cs="Arial"/>
                <w:color w:val="010202"/>
                <w:spacing w:val="-3"/>
                <w:sz w:val="18"/>
                <w:szCs w:val="18"/>
                <w:lang w:val="en-ZA"/>
              </w:rPr>
              <w:t>w</w:t>
            </w:r>
            <w:r w:rsidRPr="006F2112">
              <w:rPr>
                <w:rFonts w:cs="Arial"/>
                <w:color w:val="010202"/>
                <w:sz w:val="18"/>
                <w:szCs w:val="18"/>
                <w:lang w:val="en-ZA"/>
              </w:rPr>
              <w:t>it</w:t>
            </w:r>
            <w:r w:rsidRPr="006F2112">
              <w:rPr>
                <w:rFonts w:cs="Arial"/>
                <w:color w:val="010202"/>
                <w:spacing w:val="1"/>
                <w:sz w:val="18"/>
                <w:szCs w:val="18"/>
                <w:lang w:val="en-ZA"/>
              </w:rPr>
              <w:t>h</w:t>
            </w:r>
            <w:r w:rsidRPr="006F2112">
              <w:rPr>
                <w:rFonts w:cs="Arial"/>
                <w:color w:val="010202"/>
                <w:sz w:val="18"/>
                <w:szCs w:val="18"/>
                <w:lang w:val="en-ZA"/>
              </w:rPr>
              <w:t>in</w:t>
            </w:r>
            <w:r w:rsidRPr="006F2112">
              <w:rPr>
                <w:rFonts w:cs="Arial"/>
                <w:color w:val="010202"/>
                <w:spacing w:val="1"/>
                <w:sz w:val="18"/>
                <w:szCs w:val="18"/>
                <w:lang w:val="en-ZA"/>
              </w:rPr>
              <w:t xml:space="preserve"> </w:t>
            </w:r>
            <w:r w:rsidRPr="006F2112">
              <w:rPr>
                <w:rFonts w:cs="Arial"/>
                <w:color w:val="010202"/>
                <w:sz w:val="18"/>
                <w:szCs w:val="18"/>
                <w:lang w:val="en-ZA"/>
              </w:rPr>
              <w:t>the unit</w:t>
            </w:r>
          </w:p>
        </w:tc>
      </w:tr>
      <w:tr w:rsidR="006F2112" w:rsidRPr="006F2112" w14:paraId="04308191" w14:textId="77777777" w:rsidTr="006F2112">
        <w:trPr>
          <w:trHeight w:hRule="exact" w:val="796"/>
        </w:trPr>
        <w:tc>
          <w:tcPr>
            <w:tcW w:w="1374" w:type="dxa"/>
          </w:tcPr>
          <w:p w14:paraId="1D97A950" w14:textId="77777777" w:rsidR="006F2112" w:rsidRPr="006F2112" w:rsidRDefault="006F2112" w:rsidP="006F2112">
            <w:pPr>
              <w:autoSpaceDE w:val="0"/>
              <w:autoSpaceDN w:val="0"/>
              <w:adjustRightInd w:val="0"/>
              <w:spacing w:before="2" w:after="0" w:line="110" w:lineRule="exact"/>
              <w:rPr>
                <w:rFonts w:cs="Times New Roman"/>
                <w:sz w:val="11"/>
                <w:szCs w:val="11"/>
                <w:lang w:val="en-ZA"/>
              </w:rPr>
            </w:pPr>
          </w:p>
          <w:p w14:paraId="5E472A84" w14:textId="77777777" w:rsidR="006F2112" w:rsidRPr="006F2112" w:rsidRDefault="006F2112" w:rsidP="006F2112">
            <w:pPr>
              <w:autoSpaceDE w:val="0"/>
              <w:autoSpaceDN w:val="0"/>
              <w:adjustRightInd w:val="0"/>
              <w:spacing w:after="0" w:line="264" w:lineRule="auto"/>
              <w:ind w:left="102" w:right="377"/>
              <w:rPr>
                <w:rFonts w:cs="Times New Roman"/>
                <w:sz w:val="24"/>
                <w:szCs w:val="24"/>
                <w:lang w:val="en-ZA"/>
              </w:rPr>
            </w:pPr>
            <w:r w:rsidRPr="006F2112">
              <w:rPr>
                <w:rFonts w:cs="Arial"/>
                <w:color w:val="010202"/>
                <w:sz w:val="18"/>
                <w:szCs w:val="18"/>
                <w:lang w:val="en-ZA"/>
              </w:rPr>
              <w:t>F</w:t>
            </w:r>
            <w:r w:rsidRPr="006F2112">
              <w:rPr>
                <w:rFonts w:cs="Arial"/>
                <w:color w:val="010202"/>
                <w:spacing w:val="-1"/>
                <w:sz w:val="18"/>
                <w:szCs w:val="18"/>
                <w:lang w:val="en-ZA"/>
              </w:rPr>
              <w:t>oo</w:t>
            </w:r>
            <w:r w:rsidRPr="006F2112">
              <w:rPr>
                <w:rFonts w:cs="Arial"/>
                <w:color w:val="010202"/>
                <w:spacing w:val="2"/>
                <w:sz w:val="18"/>
                <w:szCs w:val="18"/>
                <w:lang w:val="en-ZA"/>
              </w:rPr>
              <w:t>t</w:t>
            </w:r>
            <w:r w:rsidRPr="006F2112">
              <w:rPr>
                <w:rFonts w:cs="Arial"/>
                <w:color w:val="010202"/>
                <w:spacing w:val="-3"/>
                <w:sz w:val="18"/>
                <w:szCs w:val="18"/>
                <w:lang w:val="en-ZA"/>
              </w:rPr>
              <w:t>w</w:t>
            </w:r>
            <w:r w:rsidRPr="006F2112">
              <w:rPr>
                <w:rFonts w:cs="Arial"/>
                <w:color w:val="010202"/>
                <w:spacing w:val="1"/>
                <w:sz w:val="18"/>
                <w:szCs w:val="18"/>
                <w:lang w:val="en-ZA"/>
              </w:rPr>
              <w:t>al</w:t>
            </w:r>
            <w:r w:rsidRPr="006F2112">
              <w:rPr>
                <w:rFonts w:cs="Arial"/>
                <w:color w:val="010202"/>
                <w:sz w:val="18"/>
                <w:szCs w:val="18"/>
                <w:lang w:val="en-ZA"/>
              </w:rPr>
              <w:t>l</w:t>
            </w:r>
            <w:r w:rsidRPr="006F2112">
              <w:rPr>
                <w:rFonts w:cs="Arial"/>
                <w:color w:val="010202"/>
                <w:spacing w:val="-1"/>
                <w:sz w:val="18"/>
                <w:szCs w:val="18"/>
                <w:lang w:val="en-ZA"/>
              </w:rPr>
              <w:t xml:space="preserve"> </w:t>
            </w:r>
            <w:r w:rsidRPr="006F2112">
              <w:rPr>
                <w:rFonts w:cs="Arial"/>
                <w:color w:val="010202"/>
                <w:spacing w:val="1"/>
                <w:sz w:val="18"/>
                <w:szCs w:val="18"/>
                <w:lang w:val="en-ZA"/>
              </w:rPr>
              <w:t>p</w:t>
            </w:r>
            <w:r w:rsidRPr="006F2112">
              <w:rPr>
                <w:rFonts w:cs="Arial"/>
                <w:color w:val="010202"/>
                <w:spacing w:val="-2"/>
                <w:sz w:val="18"/>
                <w:szCs w:val="18"/>
                <w:lang w:val="en-ZA"/>
              </w:rPr>
              <w:t>y</w:t>
            </w:r>
            <w:r w:rsidRPr="006F2112">
              <w:rPr>
                <w:rFonts w:cs="Arial"/>
                <w:color w:val="010202"/>
                <w:spacing w:val="1"/>
                <w:sz w:val="18"/>
                <w:szCs w:val="18"/>
                <w:lang w:val="en-ZA"/>
              </w:rPr>
              <w:t>ro</w:t>
            </w:r>
            <w:r w:rsidRPr="006F2112">
              <w:rPr>
                <w:rFonts w:cs="Arial"/>
                <w:color w:val="010202"/>
                <w:spacing w:val="-1"/>
                <w:sz w:val="18"/>
                <w:szCs w:val="18"/>
                <w:lang w:val="en-ZA"/>
              </w:rPr>
              <w:t>x</w:t>
            </w:r>
            <w:r w:rsidRPr="006F2112">
              <w:rPr>
                <w:rFonts w:cs="Arial"/>
                <w:color w:val="010202"/>
                <w:spacing w:val="1"/>
                <w:sz w:val="18"/>
                <w:szCs w:val="18"/>
                <w:lang w:val="en-ZA"/>
              </w:rPr>
              <w:t>e</w:t>
            </w:r>
            <w:r w:rsidRPr="006F2112">
              <w:rPr>
                <w:rFonts w:cs="Arial"/>
                <w:color w:val="010202"/>
                <w:spacing w:val="-1"/>
                <w:sz w:val="18"/>
                <w:szCs w:val="18"/>
                <w:lang w:val="en-ZA"/>
              </w:rPr>
              <w:t>n</w:t>
            </w:r>
            <w:r w:rsidRPr="006F2112">
              <w:rPr>
                <w:rFonts w:cs="Arial"/>
                <w:color w:val="010202"/>
                <w:sz w:val="18"/>
                <w:szCs w:val="18"/>
                <w:lang w:val="en-ZA"/>
              </w:rPr>
              <w:t>i</w:t>
            </w:r>
            <w:r w:rsidRPr="006F2112">
              <w:rPr>
                <w:rFonts w:cs="Arial"/>
                <w:color w:val="010202"/>
                <w:spacing w:val="1"/>
                <w:sz w:val="18"/>
                <w:szCs w:val="18"/>
                <w:lang w:val="en-ZA"/>
              </w:rPr>
              <w:t>te</w:t>
            </w:r>
          </w:p>
        </w:tc>
        <w:tc>
          <w:tcPr>
            <w:tcW w:w="1319" w:type="dxa"/>
          </w:tcPr>
          <w:p w14:paraId="6B36FC97" w14:textId="77777777" w:rsidR="006F2112" w:rsidRPr="006F2112" w:rsidRDefault="006F2112" w:rsidP="006F2112">
            <w:pPr>
              <w:autoSpaceDE w:val="0"/>
              <w:autoSpaceDN w:val="0"/>
              <w:adjustRightInd w:val="0"/>
              <w:spacing w:before="6" w:after="0" w:line="220" w:lineRule="exact"/>
              <w:rPr>
                <w:rFonts w:cs="Times New Roman"/>
                <w:lang w:val="en-ZA"/>
              </w:rPr>
            </w:pPr>
          </w:p>
          <w:p w14:paraId="3785299D" w14:textId="77777777" w:rsidR="006F2112" w:rsidRPr="006F2112" w:rsidRDefault="006F2112" w:rsidP="006F2112">
            <w:pPr>
              <w:autoSpaceDE w:val="0"/>
              <w:autoSpaceDN w:val="0"/>
              <w:adjustRightInd w:val="0"/>
              <w:spacing w:after="0" w:line="240" w:lineRule="auto"/>
              <w:ind w:left="100" w:right="-20"/>
              <w:rPr>
                <w:rFonts w:cs="Times New Roman"/>
                <w:sz w:val="24"/>
                <w:szCs w:val="24"/>
                <w:lang w:val="en-ZA"/>
              </w:rPr>
            </w:pPr>
            <w:r w:rsidRPr="006F2112">
              <w:rPr>
                <w:rFonts w:cs="Arial"/>
                <w:color w:val="010202"/>
                <w:sz w:val="18"/>
                <w:szCs w:val="18"/>
                <w:lang w:val="en-ZA"/>
              </w:rPr>
              <w:t>F</w:t>
            </w:r>
            <w:r w:rsidRPr="006F2112">
              <w:rPr>
                <w:rFonts w:cs="Arial"/>
                <w:color w:val="010202"/>
                <w:spacing w:val="1"/>
                <w:sz w:val="18"/>
                <w:szCs w:val="18"/>
                <w:lang w:val="en-ZA"/>
              </w:rPr>
              <w:t>W</w:t>
            </w:r>
            <w:r w:rsidRPr="006F2112">
              <w:rPr>
                <w:rFonts w:cs="Arial"/>
                <w:color w:val="010202"/>
                <w:sz w:val="18"/>
                <w:szCs w:val="18"/>
                <w:lang w:val="en-ZA"/>
              </w:rPr>
              <w:t>PX</w:t>
            </w:r>
          </w:p>
        </w:tc>
        <w:tc>
          <w:tcPr>
            <w:tcW w:w="1276" w:type="dxa"/>
          </w:tcPr>
          <w:p w14:paraId="0A9A3026" w14:textId="77777777" w:rsidR="006F2112" w:rsidRPr="006F2112" w:rsidRDefault="006F2112" w:rsidP="006F2112">
            <w:pPr>
              <w:autoSpaceDE w:val="0"/>
              <w:autoSpaceDN w:val="0"/>
              <w:adjustRightInd w:val="0"/>
              <w:spacing w:before="6" w:after="0" w:line="220" w:lineRule="exact"/>
              <w:rPr>
                <w:rFonts w:cs="Times New Roman"/>
                <w:lang w:val="en-ZA"/>
              </w:rPr>
            </w:pPr>
          </w:p>
          <w:p w14:paraId="5835D98D" w14:textId="77777777" w:rsidR="006F2112" w:rsidRPr="006F2112" w:rsidRDefault="006F2112" w:rsidP="006F2112">
            <w:pPr>
              <w:autoSpaceDE w:val="0"/>
              <w:autoSpaceDN w:val="0"/>
              <w:adjustRightInd w:val="0"/>
              <w:spacing w:after="0" w:line="240" w:lineRule="auto"/>
              <w:ind w:left="101" w:right="-20"/>
              <w:rPr>
                <w:rFonts w:cs="Times New Roman"/>
                <w:sz w:val="24"/>
                <w:szCs w:val="24"/>
                <w:lang w:val="en-ZA"/>
              </w:rPr>
            </w:pPr>
            <w:r w:rsidRPr="006F2112">
              <w:rPr>
                <w:rFonts w:cs="Arial"/>
                <w:color w:val="010202"/>
                <w:sz w:val="18"/>
                <w:szCs w:val="18"/>
                <w:lang w:val="en-ZA"/>
              </w:rPr>
              <w:t>1.0 – 4.0m</w:t>
            </w:r>
          </w:p>
        </w:tc>
        <w:tc>
          <w:tcPr>
            <w:tcW w:w="4100" w:type="dxa"/>
          </w:tcPr>
          <w:p w14:paraId="6CF4BE2C" w14:textId="37C7ED6C" w:rsidR="006F2112" w:rsidRPr="006F2112" w:rsidRDefault="006F2112" w:rsidP="006F2112">
            <w:pPr>
              <w:autoSpaceDE w:val="0"/>
              <w:autoSpaceDN w:val="0"/>
              <w:adjustRightInd w:val="0"/>
              <w:spacing w:before="17" w:after="0" w:line="264" w:lineRule="auto"/>
              <w:ind w:left="100" w:right="70"/>
              <w:rPr>
                <w:rFonts w:cs="Times New Roman"/>
                <w:sz w:val="24"/>
                <w:szCs w:val="24"/>
                <w:lang w:val="en-ZA"/>
              </w:rPr>
            </w:pPr>
            <w:r w:rsidRPr="006F2112">
              <w:rPr>
                <w:rFonts w:cs="Arial"/>
                <w:color w:val="010202"/>
                <w:spacing w:val="1"/>
                <w:sz w:val="18"/>
                <w:szCs w:val="18"/>
                <w:lang w:val="en-ZA"/>
              </w:rPr>
              <w:t>P</w:t>
            </w:r>
            <w:r w:rsidRPr="006F2112">
              <w:rPr>
                <w:rFonts w:cs="Arial"/>
                <w:color w:val="010202"/>
                <w:spacing w:val="-2"/>
                <w:sz w:val="18"/>
                <w:szCs w:val="18"/>
                <w:lang w:val="en-ZA"/>
              </w:rPr>
              <w:t>y</w:t>
            </w:r>
            <w:r w:rsidRPr="006F2112">
              <w:rPr>
                <w:rFonts w:cs="Arial"/>
                <w:color w:val="010202"/>
                <w:sz w:val="18"/>
                <w:szCs w:val="18"/>
                <w:lang w:val="en-ZA"/>
              </w:rPr>
              <w:t>r</w:t>
            </w:r>
            <w:r w:rsidRPr="006F2112">
              <w:rPr>
                <w:rFonts w:cs="Arial"/>
                <w:color w:val="010202"/>
                <w:spacing w:val="1"/>
                <w:sz w:val="18"/>
                <w:szCs w:val="18"/>
                <w:lang w:val="en-ZA"/>
              </w:rPr>
              <w:t>o</w:t>
            </w:r>
            <w:r w:rsidRPr="006F2112">
              <w:rPr>
                <w:rFonts w:cs="Arial"/>
                <w:color w:val="010202"/>
                <w:sz w:val="18"/>
                <w:szCs w:val="18"/>
                <w:lang w:val="en-ZA"/>
              </w:rPr>
              <w:t>xe</w:t>
            </w:r>
            <w:r w:rsidRPr="006F2112">
              <w:rPr>
                <w:rFonts w:cs="Arial"/>
                <w:color w:val="010202"/>
                <w:spacing w:val="1"/>
                <w:sz w:val="18"/>
                <w:szCs w:val="18"/>
                <w:lang w:val="en-ZA"/>
              </w:rPr>
              <w:t>n</w:t>
            </w:r>
            <w:r w:rsidRPr="006F2112">
              <w:rPr>
                <w:rFonts w:cs="Arial"/>
                <w:color w:val="010202"/>
                <w:sz w:val="18"/>
                <w:szCs w:val="18"/>
                <w:lang w:val="en-ZA"/>
              </w:rPr>
              <w:t>ite,</w:t>
            </w:r>
            <w:r w:rsidRPr="006F2112">
              <w:rPr>
                <w:rFonts w:cs="Arial"/>
                <w:color w:val="010202"/>
                <w:spacing w:val="-3"/>
                <w:sz w:val="18"/>
                <w:szCs w:val="18"/>
                <w:lang w:val="en-ZA"/>
              </w:rPr>
              <w:t xml:space="preserve"> </w:t>
            </w:r>
            <w:r w:rsidRPr="006F2112">
              <w:rPr>
                <w:rFonts w:cs="Arial"/>
                <w:color w:val="010202"/>
                <w:sz w:val="18"/>
                <w:szCs w:val="18"/>
                <w:lang w:val="en-ZA"/>
              </w:rPr>
              <w:t>p</w:t>
            </w:r>
            <w:r w:rsidRPr="006F2112">
              <w:rPr>
                <w:rFonts w:cs="Arial"/>
                <w:color w:val="010202"/>
                <w:spacing w:val="1"/>
                <w:sz w:val="18"/>
                <w:szCs w:val="18"/>
                <w:lang w:val="en-ZA"/>
              </w:rPr>
              <w:t>o</w:t>
            </w:r>
            <w:r w:rsidRPr="006F2112">
              <w:rPr>
                <w:rFonts w:cs="Arial"/>
                <w:color w:val="010202"/>
                <w:sz w:val="18"/>
                <w:szCs w:val="18"/>
                <w:lang w:val="en-ZA"/>
              </w:rPr>
              <w:t>or</w:t>
            </w:r>
            <w:r w:rsidRPr="006F2112">
              <w:rPr>
                <w:rFonts w:cs="Arial"/>
                <w:color w:val="010202"/>
                <w:spacing w:val="1"/>
                <w:sz w:val="18"/>
                <w:szCs w:val="18"/>
                <w:lang w:val="en-ZA"/>
              </w:rPr>
              <w:t>l</w:t>
            </w:r>
            <w:r w:rsidRPr="006F2112">
              <w:rPr>
                <w:rFonts w:cs="Arial"/>
                <w:color w:val="010202"/>
                <w:sz w:val="18"/>
                <w:szCs w:val="18"/>
                <w:lang w:val="en-ZA"/>
              </w:rPr>
              <w:t>y</w:t>
            </w:r>
            <w:r w:rsidRPr="006F2112">
              <w:rPr>
                <w:rFonts w:cs="Arial"/>
                <w:color w:val="010202"/>
                <w:spacing w:val="-2"/>
                <w:sz w:val="18"/>
                <w:szCs w:val="18"/>
                <w:lang w:val="en-ZA"/>
              </w:rPr>
              <w:t xml:space="preserve"> </w:t>
            </w:r>
            <w:r w:rsidRPr="006F2112">
              <w:rPr>
                <w:rFonts w:cs="Arial"/>
                <w:color w:val="010202"/>
                <w:spacing w:val="1"/>
                <w:sz w:val="18"/>
                <w:szCs w:val="18"/>
                <w:lang w:val="en-ZA"/>
              </w:rPr>
              <w:t>m</w:t>
            </w:r>
            <w:r w:rsidRPr="006F2112">
              <w:rPr>
                <w:rFonts w:cs="Arial"/>
                <w:color w:val="010202"/>
                <w:sz w:val="18"/>
                <w:szCs w:val="18"/>
                <w:lang w:val="en-ZA"/>
              </w:rPr>
              <w:t>ine</w:t>
            </w:r>
            <w:r w:rsidRPr="006F2112">
              <w:rPr>
                <w:rFonts w:cs="Arial"/>
                <w:color w:val="010202"/>
                <w:spacing w:val="1"/>
                <w:sz w:val="18"/>
                <w:szCs w:val="18"/>
                <w:lang w:val="en-ZA"/>
              </w:rPr>
              <w:t>r</w:t>
            </w:r>
            <w:r w:rsidRPr="006F2112">
              <w:rPr>
                <w:rFonts w:cs="Arial"/>
                <w:color w:val="010202"/>
                <w:sz w:val="18"/>
                <w:szCs w:val="18"/>
                <w:lang w:val="en-ZA"/>
              </w:rPr>
              <w:t>ali</w:t>
            </w:r>
            <w:r w:rsidRPr="006F2112">
              <w:rPr>
                <w:rFonts w:cs="Arial"/>
                <w:color w:val="010202"/>
                <w:spacing w:val="1"/>
                <w:sz w:val="18"/>
                <w:szCs w:val="18"/>
                <w:lang w:val="en-ZA"/>
              </w:rPr>
              <w:t>se</w:t>
            </w:r>
            <w:r w:rsidRPr="006F2112">
              <w:rPr>
                <w:rFonts w:cs="Arial"/>
                <w:color w:val="010202"/>
                <w:spacing w:val="-1"/>
                <w:sz w:val="18"/>
                <w:szCs w:val="18"/>
                <w:lang w:val="en-ZA"/>
              </w:rPr>
              <w:t>d</w:t>
            </w:r>
            <w:r w:rsidRPr="006F2112">
              <w:rPr>
                <w:rFonts w:cs="Arial"/>
                <w:color w:val="010202"/>
                <w:sz w:val="18"/>
                <w:szCs w:val="18"/>
                <w:lang w:val="en-ZA"/>
              </w:rPr>
              <w:t xml:space="preserve">, </w:t>
            </w:r>
            <w:r w:rsidRPr="006F2112">
              <w:rPr>
                <w:rFonts w:cs="Arial"/>
                <w:color w:val="010202"/>
                <w:spacing w:val="-3"/>
                <w:sz w:val="18"/>
                <w:szCs w:val="18"/>
                <w:lang w:val="en-ZA"/>
              </w:rPr>
              <w:t>w</w:t>
            </w:r>
            <w:r w:rsidRPr="006F2112">
              <w:rPr>
                <w:rFonts w:cs="Arial"/>
                <w:color w:val="010202"/>
                <w:sz w:val="18"/>
                <w:szCs w:val="18"/>
                <w:lang w:val="en-ZA"/>
              </w:rPr>
              <w:t>i</w:t>
            </w:r>
            <w:r w:rsidRPr="006F2112">
              <w:rPr>
                <w:rFonts w:cs="Arial"/>
                <w:color w:val="010202"/>
                <w:spacing w:val="2"/>
                <w:sz w:val="18"/>
                <w:szCs w:val="18"/>
                <w:lang w:val="en-ZA"/>
              </w:rPr>
              <w:t>t</w:t>
            </w:r>
            <w:r w:rsidRPr="006F2112">
              <w:rPr>
                <w:rFonts w:cs="Arial"/>
                <w:color w:val="010202"/>
                <w:sz w:val="18"/>
                <w:szCs w:val="18"/>
                <w:lang w:val="en-ZA"/>
              </w:rPr>
              <w:t>h cli</w:t>
            </w:r>
            <w:r w:rsidRPr="006F2112">
              <w:rPr>
                <w:rFonts w:cs="Arial"/>
                <w:color w:val="010202"/>
                <w:spacing w:val="1"/>
                <w:sz w:val="18"/>
                <w:szCs w:val="18"/>
                <w:lang w:val="en-ZA"/>
              </w:rPr>
              <w:t>n</w:t>
            </w:r>
            <w:r w:rsidRPr="006F2112">
              <w:rPr>
                <w:rFonts w:cs="Arial"/>
                <w:color w:val="010202"/>
                <w:sz w:val="18"/>
                <w:szCs w:val="18"/>
                <w:lang w:val="en-ZA"/>
              </w:rPr>
              <w:t>o</w:t>
            </w:r>
            <w:r w:rsidRPr="006F2112">
              <w:rPr>
                <w:rFonts w:cs="Arial"/>
                <w:color w:val="010202"/>
                <w:spacing w:val="1"/>
                <w:sz w:val="18"/>
                <w:szCs w:val="18"/>
                <w:lang w:val="en-ZA"/>
              </w:rPr>
              <w:t>p</w:t>
            </w:r>
            <w:r w:rsidRPr="006F2112">
              <w:rPr>
                <w:rFonts w:cs="Arial"/>
                <w:color w:val="010202"/>
                <w:sz w:val="18"/>
                <w:szCs w:val="18"/>
                <w:lang w:val="en-ZA"/>
              </w:rPr>
              <w:t>y</w:t>
            </w:r>
            <w:r w:rsidRPr="006F2112">
              <w:rPr>
                <w:rFonts w:cs="Arial"/>
                <w:color w:val="010202"/>
                <w:spacing w:val="1"/>
                <w:sz w:val="18"/>
                <w:szCs w:val="18"/>
                <w:lang w:val="en-ZA"/>
              </w:rPr>
              <w:t>r</w:t>
            </w:r>
            <w:r w:rsidRPr="006F2112">
              <w:rPr>
                <w:rFonts w:cs="Arial"/>
                <w:color w:val="010202"/>
                <w:sz w:val="18"/>
                <w:szCs w:val="18"/>
                <w:lang w:val="en-ZA"/>
              </w:rPr>
              <w:t>oxe</w:t>
            </w:r>
            <w:r w:rsidRPr="006F2112">
              <w:rPr>
                <w:rFonts w:cs="Arial"/>
                <w:color w:val="010202"/>
                <w:spacing w:val="1"/>
                <w:sz w:val="18"/>
                <w:szCs w:val="18"/>
                <w:lang w:val="en-ZA"/>
              </w:rPr>
              <w:t>n</w:t>
            </w:r>
            <w:r w:rsidRPr="006F2112">
              <w:rPr>
                <w:rFonts w:cs="Arial"/>
                <w:color w:val="010202"/>
                <w:sz w:val="18"/>
                <w:szCs w:val="18"/>
                <w:lang w:val="en-ZA"/>
              </w:rPr>
              <w:t>e ph</w:t>
            </w:r>
            <w:r w:rsidRPr="006F2112">
              <w:rPr>
                <w:rFonts w:cs="Arial"/>
                <w:color w:val="010202"/>
                <w:spacing w:val="1"/>
                <w:sz w:val="18"/>
                <w:szCs w:val="18"/>
                <w:lang w:val="en-ZA"/>
              </w:rPr>
              <w:t>e</w:t>
            </w:r>
            <w:r w:rsidRPr="006F2112">
              <w:rPr>
                <w:rFonts w:cs="Arial"/>
                <w:color w:val="010202"/>
                <w:sz w:val="18"/>
                <w:szCs w:val="18"/>
                <w:lang w:val="en-ZA"/>
              </w:rPr>
              <w:t>noc</w:t>
            </w:r>
            <w:r w:rsidRPr="006F2112">
              <w:rPr>
                <w:rFonts w:cs="Arial"/>
                <w:color w:val="010202"/>
                <w:spacing w:val="1"/>
                <w:sz w:val="18"/>
                <w:szCs w:val="18"/>
                <w:lang w:val="en-ZA"/>
              </w:rPr>
              <w:t>r</w:t>
            </w:r>
            <w:r w:rsidRPr="006F2112">
              <w:rPr>
                <w:rFonts w:cs="Arial"/>
                <w:color w:val="010202"/>
                <w:spacing w:val="-1"/>
                <w:sz w:val="18"/>
                <w:szCs w:val="18"/>
                <w:lang w:val="en-ZA"/>
              </w:rPr>
              <w:t>y</w:t>
            </w:r>
            <w:r w:rsidRPr="006F2112">
              <w:rPr>
                <w:rFonts w:cs="Arial"/>
                <w:color w:val="010202"/>
                <w:sz w:val="18"/>
                <w:szCs w:val="18"/>
                <w:lang w:val="en-ZA"/>
              </w:rPr>
              <w:t>sts,</w:t>
            </w:r>
            <w:r w:rsidRPr="006F2112">
              <w:rPr>
                <w:rFonts w:cs="Arial"/>
                <w:color w:val="010202"/>
                <w:spacing w:val="-3"/>
                <w:sz w:val="18"/>
                <w:szCs w:val="18"/>
                <w:lang w:val="en-ZA"/>
              </w:rPr>
              <w:t xml:space="preserve"> </w:t>
            </w:r>
            <w:r w:rsidRPr="006F2112">
              <w:rPr>
                <w:rFonts w:cs="Arial"/>
                <w:color w:val="010202"/>
                <w:sz w:val="18"/>
                <w:szCs w:val="18"/>
                <w:lang w:val="en-ZA"/>
              </w:rPr>
              <w:t>Chromite stri</w:t>
            </w:r>
            <w:r w:rsidRPr="006F2112">
              <w:rPr>
                <w:rFonts w:cs="Arial"/>
                <w:color w:val="010202"/>
                <w:spacing w:val="1"/>
                <w:sz w:val="18"/>
                <w:szCs w:val="18"/>
                <w:lang w:val="en-ZA"/>
              </w:rPr>
              <w:t>n</w:t>
            </w:r>
            <w:r w:rsidRPr="006F2112">
              <w:rPr>
                <w:rFonts w:cs="Arial"/>
                <w:color w:val="010202"/>
                <w:spacing w:val="-1"/>
                <w:sz w:val="18"/>
                <w:szCs w:val="18"/>
                <w:lang w:val="en-ZA"/>
              </w:rPr>
              <w:t>g</w:t>
            </w:r>
            <w:r w:rsidRPr="006F2112">
              <w:rPr>
                <w:rFonts w:cs="Arial"/>
                <w:color w:val="010202"/>
                <w:spacing w:val="1"/>
                <w:sz w:val="18"/>
                <w:szCs w:val="18"/>
                <w:lang w:val="en-ZA"/>
              </w:rPr>
              <w:t>e</w:t>
            </w:r>
            <w:r w:rsidRPr="006F2112">
              <w:rPr>
                <w:rFonts w:cs="Arial"/>
                <w:color w:val="010202"/>
                <w:sz w:val="18"/>
                <w:szCs w:val="18"/>
                <w:lang w:val="en-ZA"/>
              </w:rPr>
              <w:t>r at</w:t>
            </w:r>
            <w:r w:rsidRPr="006F2112">
              <w:rPr>
                <w:rFonts w:cs="Arial"/>
                <w:color w:val="010202"/>
                <w:spacing w:val="-1"/>
                <w:sz w:val="18"/>
                <w:szCs w:val="18"/>
                <w:lang w:val="en-ZA"/>
              </w:rPr>
              <w:t xml:space="preserve"> </w:t>
            </w:r>
            <w:r w:rsidRPr="006F2112">
              <w:rPr>
                <w:rFonts w:cs="Arial"/>
                <w:color w:val="010202"/>
                <w:sz w:val="18"/>
                <w:szCs w:val="18"/>
                <w:lang w:val="en-ZA"/>
              </w:rPr>
              <w:t>base in c</w:t>
            </w:r>
            <w:r w:rsidRPr="006F2112">
              <w:rPr>
                <w:rFonts w:cs="Arial"/>
                <w:color w:val="010202"/>
                <w:spacing w:val="1"/>
                <w:sz w:val="18"/>
                <w:szCs w:val="18"/>
                <w:lang w:val="en-ZA"/>
              </w:rPr>
              <w:t>o</w:t>
            </w:r>
            <w:r w:rsidRPr="006F2112">
              <w:rPr>
                <w:rFonts w:cs="Arial"/>
                <w:color w:val="010202"/>
                <w:sz w:val="18"/>
                <w:szCs w:val="18"/>
                <w:lang w:val="en-ZA"/>
              </w:rPr>
              <w:t>ntact</w:t>
            </w:r>
            <w:r w:rsidRPr="006F2112">
              <w:rPr>
                <w:rFonts w:cs="Arial"/>
                <w:color w:val="010202"/>
                <w:spacing w:val="-3"/>
                <w:sz w:val="18"/>
                <w:szCs w:val="18"/>
                <w:lang w:val="en-ZA"/>
              </w:rPr>
              <w:t xml:space="preserve"> w</w:t>
            </w:r>
            <w:r w:rsidRPr="006F2112">
              <w:rPr>
                <w:rFonts w:cs="Arial"/>
                <w:color w:val="010202"/>
                <w:sz w:val="18"/>
                <w:szCs w:val="18"/>
                <w:lang w:val="en-ZA"/>
              </w:rPr>
              <w:t>i</w:t>
            </w:r>
            <w:r w:rsidRPr="006F2112">
              <w:rPr>
                <w:rFonts w:cs="Arial"/>
                <w:color w:val="010202"/>
                <w:spacing w:val="2"/>
                <w:sz w:val="18"/>
                <w:szCs w:val="18"/>
                <w:lang w:val="en-ZA"/>
              </w:rPr>
              <w:t>t</w:t>
            </w:r>
            <w:r w:rsidRPr="006F2112">
              <w:rPr>
                <w:rFonts w:cs="Arial"/>
                <w:color w:val="010202"/>
                <w:sz w:val="18"/>
                <w:szCs w:val="18"/>
                <w:lang w:val="en-ZA"/>
              </w:rPr>
              <w:t>h</w:t>
            </w:r>
            <w:r>
              <w:rPr>
                <w:rFonts w:cs="Arial"/>
                <w:color w:val="010202"/>
                <w:sz w:val="18"/>
                <w:szCs w:val="18"/>
                <w:lang w:val="en-ZA"/>
              </w:rPr>
              <w:t xml:space="preserve"> </w:t>
            </w:r>
            <w:r w:rsidRPr="006F2112">
              <w:rPr>
                <w:rFonts w:cs="Arial"/>
                <w:color w:val="010202"/>
                <w:position w:val="-1"/>
                <w:sz w:val="18"/>
                <w:szCs w:val="18"/>
                <w:lang w:val="en-ZA"/>
              </w:rPr>
              <w:t>the un</w:t>
            </w:r>
            <w:r w:rsidRPr="006F2112">
              <w:rPr>
                <w:rFonts w:cs="Arial"/>
                <w:color w:val="010202"/>
                <w:spacing w:val="1"/>
                <w:position w:val="-1"/>
                <w:sz w:val="18"/>
                <w:szCs w:val="18"/>
                <w:lang w:val="en-ZA"/>
              </w:rPr>
              <w:t>d</w:t>
            </w:r>
            <w:r w:rsidRPr="006F2112">
              <w:rPr>
                <w:rFonts w:cs="Arial"/>
                <w:color w:val="010202"/>
                <w:position w:val="-1"/>
                <w:sz w:val="18"/>
                <w:szCs w:val="18"/>
                <w:lang w:val="en-ZA"/>
              </w:rPr>
              <w:t>er</w:t>
            </w:r>
            <w:r w:rsidRPr="006F2112">
              <w:rPr>
                <w:rFonts w:cs="Arial"/>
                <w:color w:val="010202"/>
                <w:spacing w:val="1"/>
                <w:position w:val="-1"/>
                <w:sz w:val="18"/>
                <w:szCs w:val="18"/>
                <w:lang w:val="en-ZA"/>
              </w:rPr>
              <w:t>l</w:t>
            </w:r>
            <w:r w:rsidRPr="006F2112">
              <w:rPr>
                <w:rFonts w:cs="Arial"/>
                <w:color w:val="010202"/>
                <w:spacing w:val="-1"/>
                <w:position w:val="-1"/>
                <w:sz w:val="18"/>
                <w:szCs w:val="18"/>
                <w:lang w:val="en-ZA"/>
              </w:rPr>
              <w:t>y</w:t>
            </w:r>
            <w:r w:rsidRPr="006F2112">
              <w:rPr>
                <w:rFonts w:cs="Arial"/>
                <w:color w:val="010202"/>
                <w:spacing w:val="1"/>
                <w:position w:val="-1"/>
                <w:sz w:val="18"/>
                <w:szCs w:val="18"/>
                <w:lang w:val="en-ZA"/>
              </w:rPr>
              <w:t>i</w:t>
            </w:r>
            <w:r w:rsidRPr="006F2112">
              <w:rPr>
                <w:rFonts w:cs="Arial"/>
                <w:color w:val="010202"/>
                <w:position w:val="-1"/>
                <w:sz w:val="18"/>
                <w:szCs w:val="18"/>
                <w:lang w:val="en-ZA"/>
              </w:rPr>
              <w:t>ng</w:t>
            </w:r>
            <w:r w:rsidRPr="006F2112">
              <w:rPr>
                <w:rFonts w:cs="Arial"/>
                <w:color w:val="010202"/>
                <w:spacing w:val="1"/>
                <w:position w:val="-1"/>
                <w:sz w:val="18"/>
                <w:szCs w:val="18"/>
                <w:lang w:val="en-ZA"/>
              </w:rPr>
              <w:t xml:space="preserve"> </w:t>
            </w:r>
            <w:r w:rsidRPr="006F2112">
              <w:rPr>
                <w:rFonts w:cs="Arial"/>
                <w:color w:val="010202"/>
                <w:position w:val="-1"/>
                <w:sz w:val="18"/>
                <w:szCs w:val="18"/>
                <w:lang w:val="en-ZA"/>
              </w:rPr>
              <w:t>Foo</w:t>
            </w:r>
            <w:r w:rsidRPr="006F2112">
              <w:rPr>
                <w:rFonts w:cs="Arial"/>
                <w:color w:val="010202"/>
                <w:spacing w:val="2"/>
                <w:position w:val="-1"/>
                <w:sz w:val="18"/>
                <w:szCs w:val="18"/>
                <w:lang w:val="en-ZA"/>
              </w:rPr>
              <w:t>t</w:t>
            </w:r>
            <w:r w:rsidRPr="006F2112">
              <w:rPr>
                <w:rFonts w:cs="Arial"/>
                <w:color w:val="010202"/>
                <w:spacing w:val="-3"/>
                <w:position w:val="-1"/>
                <w:sz w:val="18"/>
                <w:szCs w:val="18"/>
                <w:lang w:val="en-ZA"/>
              </w:rPr>
              <w:t>w</w:t>
            </w:r>
            <w:r w:rsidRPr="006F2112">
              <w:rPr>
                <w:rFonts w:cs="Arial"/>
                <w:color w:val="010202"/>
                <w:spacing w:val="1"/>
                <w:position w:val="-1"/>
                <w:sz w:val="18"/>
                <w:szCs w:val="18"/>
                <w:lang w:val="en-ZA"/>
              </w:rPr>
              <w:t>al</w:t>
            </w:r>
            <w:r w:rsidRPr="006F2112">
              <w:rPr>
                <w:rFonts w:cs="Arial"/>
                <w:color w:val="010202"/>
                <w:position w:val="-1"/>
                <w:sz w:val="18"/>
                <w:szCs w:val="18"/>
                <w:lang w:val="en-ZA"/>
              </w:rPr>
              <w:t>l</w:t>
            </w:r>
            <w:r w:rsidRPr="006F2112">
              <w:rPr>
                <w:rFonts w:cs="Arial"/>
                <w:color w:val="010202"/>
                <w:spacing w:val="-1"/>
                <w:position w:val="-1"/>
                <w:sz w:val="18"/>
                <w:szCs w:val="18"/>
                <w:lang w:val="en-ZA"/>
              </w:rPr>
              <w:t xml:space="preserve"> </w:t>
            </w:r>
            <w:r w:rsidRPr="006F2112">
              <w:rPr>
                <w:rFonts w:cs="Arial"/>
                <w:color w:val="010202"/>
                <w:position w:val="-1"/>
                <w:sz w:val="18"/>
                <w:szCs w:val="18"/>
                <w:lang w:val="en-ZA"/>
              </w:rPr>
              <w:t xml:space="preserve">unit </w:t>
            </w:r>
          </w:p>
        </w:tc>
      </w:tr>
    </w:tbl>
    <w:p w14:paraId="2EB6D132" w14:textId="49BF9CE3" w:rsidR="006F2112" w:rsidRDefault="006F2112" w:rsidP="00791470">
      <w:pPr>
        <w:jc w:val="both"/>
      </w:pPr>
    </w:p>
    <w:p w14:paraId="56F29E62" w14:textId="7C69B22D" w:rsidR="00D371D8" w:rsidRDefault="00D371D8" w:rsidP="00791470">
      <w:pPr>
        <w:jc w:val="both"/>
      </w:pPr>
      <w:r>
        <w:t xml:space="preserve">The M2 pegmatoid is a clearly recognised, well-mineralised and omni-present unit in the </w:t>
      </w:r>
      <w:r w:rsidR="000A0B53">
        <w:t>local</w:t>
      </w:r>
      <w:r>
        <w:t xml:space="preserve"> stratigraphy and has been used as the datum for defining the reef interval </w:t>
      </w:r>
      <w:r w:rsidR="009F2E56">
        <w:t xml:space="preserve">based on grade </w:t>
      </w:r>
      <w:r>
        <w:t xml:space="preserve">for the mineral resource </w:t>
      </w:r>
      <w:r w:rsidR="009F2E56">
        <w:t xml:space="preserve">estimation </w:t>
      </w:r>
      <w:r>
        <w:t>exercise. The M1 pyroxenite also carries high-tenor PGE and base metals and is added to the M2 pegmatoid</w:t>
      </w:r>
      <w:r w:rsidR="009F2E56">
        <w:t xml:space="preserve"> to form an ideal mining cut. In cases where the combined </w:t>
      </w:r>
      <w:r w:rsidR="009F2E56" w:rsidRPr="009F2E56">
        <w:t>M1 pyroxenite</w:t>
      </w:r>
      <w:r w:rsidR="009F2E56">
        <w:t xml:space="preserve"> plus </w:t>
      </w:r>
      <w:r w:rsidR="009F2E56" w:rsidRPr="009F2E56">
        <w:t>M2 pegmatoid</w:t>
      </w:r>
      <w:r w:rsidR="009F2E56">
        <w:t xml:space="preserve"> thicknesses fall short of the prescribed 1 m, hangingwall</w:t>
      </w:r>
      <w:r>
        <w:t xml:space="preserve"> and footwall pyroxenite are ad</w:t>
      </w:r>
      <w:r w:rsidR="009F2E56">
        <w:t>ded to make up the minimum width</w:t>
      </w:r>
      <w:r>
        <w:t>.</w:t>
      </w:r>
    </w:p>
    <w:p w14:paraId="2E3063DC" w14:textId="77777777" w:rsidR="00AA57F7" w:rsidRDefault="009971C7" w:rsidP="00791470">
      <w:pPr>
        <w:jc w:val="both"/>
      </w:pPr>
      <w:r>
        <w:t>The Merensky Reef at Lesego is described in more detail in Chapter 2.</w:t>
      </w:r>
    </w:p>
    <w:p w14:paraId="3D71D5D6" w14:textId="5755F97C" w:rsidR="0014666A" w:rsidRPr="00DF74E7" w:rsidRDefault="00AA57F7" w:rsidP="00DF74E7">
      <w:pPr>
        <w:pStyle w:val="Heading2"/>
        <w:rPr>
          <w:color w:val="000000" w:themeColor="text1"/>
        </w:rPr>
      </w:pPr>
      <w:bookmarkStart w:id="25" w:name="_Toc520758774"/>
      <w:r w:rsidRPr="00DF74E7">
        <w:rPr>
          <w:color w:val="000000" w:themeColor="text1"/>
        </w:rPr>
        <w:t>Exploration History</w:t>
      </w:r>
      <w:bookmarkEnd w:id="25"/>
      <w:r w:rsidR="009971C7" w:rsidRPr="00DF74E7">
        <w:rPr>
          <w:color w:val="000000" w:themeColor="text1"/>
        </w:rPr>
        <w:t xml:space="preserve"> </w:t>
      </w:r>
    </w:p>
    <w:p w14:paraId="2DA08371" w14:textId="304B83CA" w:rsidR="00C57328" w:rsidRDefault="00C57328" w:rsidP="00C57328">
      <w:pPr>
        <w:jc w:val="both"/>
      </w:pPr>
      <w:r w:rsidRPr="00B378B5">
        <w:t>The earliest exploration activity documented</w:t>
      </w:r>
      <w:r>
        <w:t xml:space="preserve"> in the area</w:t>
      </w:r>
      <w:r w:rsidRPr="00B378B5">
        <w:t xml:space="preserve"> is </w:t>
      </w:r>
      <w:r>
        <w:t>the DIG1</w:t>
      </w:r>
      <w:r w:rsidRPr="00B378B5">
        <w:t xml:space="preserve"> borehole </w:t>
      </w:r>
      <w:r w:rsidR="002001A3">
        <w:t xml:space="preserve">(Figure 4) </w:t>
      </w:r>
      <w:r w:rsidRPr="00B378B5">
        <w:t>drilled by Anglovaal Mining Limited (Anglovaal)</w:t>
      </w:r>
      <w:r w:rsidR="009F2E56">
        <w:t>,</w:t>
      </w:r>
      <w:r w:rsidRPr="00B378B5">
        <w:t xml:space="preserve"> described in a memorandum by Ingram and Keenan</w:t>
      </w:r>
      <w:r w:rsidR="009F2E56">
        <w:t xml:space="preserve"> (</w:t>
      </w:r>
      <w:r w:rsidR="00AA57F7">
        <w:t>1982</w:t>
      </w:r>
      <w:r>
        <w:t>).  DIG-1</w:t>
      </w:r>
      <w:r w:rsidRPr="00B378B5">
        <w:t xml:space="preserve"> was drilled on the farm Eerste Regt 502KS to the east of the Phosiri Dome and was collared in Main Zone rocks and drilled to a final depth of 508.40</w:t>
      </w:r>
      <w:r w:rsidR="00AA57F7">
        <w:t xml:space="preserve"> </w:t>
      </w:r>
      <w:r w:rsidRPr="00B378B5">
        <w:t>m. It stopped some 700</w:t>
      </w:r>
      <w:r w:rsidR="00AA57F7">
        <w:t xml:space="preserve"> </w:t>
      </w:r>
      <w:r w:rsidRPr="00B378B5">
        <w:t>m short of the top of the Critical Zone</w:t>
      </w:r>
      <w:r w:rsidR="009F2E56">
        <w:t>,</w:t>
      </w:r>
      <w:r w:rsidRPr="00B378B5">
        <w:t xml:space="preserve"> having intersected a succession of gabbros, norites, anorthosites and pyroxenites typical of the lower portion of the Main Zone</w:t>
      </w:r>
      <w:r>
        <w:t>.</w:t>
      </w:r>
    </w:p>
    <w:p w14:paraId="01DF57CD" w14:textId="53597A52" w:rsidR="00C57328" w:rsidRDefault="00C57328" w:rsidP="00AA57F7">
      <w:pPr>
        <w:jc w:val="both"/>
      </w:pPr>
      <w:r w:rsidRPr="0013326D">
        <w:t>In 1987,</w:t>
      </w:r>
      <w:r>
        <w:t xml:space="preserve"> General Mining (Genmin) undertook</w:t>
      </w:r>
      <w:r w:rsidRPr="0013326D">
        <w:t xml:space="preserve"> a </w:t>
      </w:r>
      <w:r>
        <w:t>seismic survey, trenching</w:t>
      </w:r>
      <w:r w:rsidR="009F2E56">
        <w:t>,</w:t>
      </w:r>
      <w:r>
        <w:t xml:space="preserve"> and a 10-hole </w:t>
      </w:r>
      <w:r w:rsidRPr="0013326D">
        <w:t xml:space="preserve">drilling </w:t>
      </w:r>
      <w:r w:rsidR="00AF2AFC">
        <w:t xml:space="preserve">program </w:t>
      </w:r>
      <w:r w:rsidRPr="0013326D">
        <w:t>covering part of the Phosiri Dome</w:t>
      </w:r>
      <w:r w:rsidR="00B0636B">
        <w:t xml:space="preserve"> (Figure 4)</w:t>
      </w:r>
      <w:r w:rsidRPr="0013326D">
        <w:t xml:space="preserve">. </w:t>
      </w:r>
    </w:p>
    <w:p w14:paraId="31697EB4" w14:textId="3435BEA8" w:rsidR="00C57328" w:rsidRDefault="00C57328" w:rsidP="00C57328">
      <w:pPr>
        <w:jc w:val="both"/>
      </w:pPr>
      <w:r>
        <w:t xml:space="preserve">Genmin drilled </w:t>
      </w:r>
      <w:r w:rsidRPr="004860BD">
        <w:t xml:space="preserve">vertical hole </w:t>
      </w:r>
      <w:r>
        <w:t xml:space="preserve">BH2698 </w:t>
      </w:r>
      <w:r w:rsidRPr="004860BD">
        <w:t>on the farm Eerste Regt 502KS to the east of the Phosiri Dome</w:t>
      </w:r>
      <w:r>
        <w:t xml:space="preserve"> and east of DIG1</w:t>
      </w:r>
      <w:r w:rsidR="0010178F">
        <w:t xml:space="preserve"> (</w:t>
      </w:r>
      <w:r w:rsidR="002001A3">
        <w:t xml:space="preserve">Figure 4 and </w:t>
      </w:r>
      <w:r w:rsidR="0010178F">
        <w:t>Figure 15)</w:t>
      </w:r>
      <w:r w:rsidRPr="004860BD">
        <w:t>. It was collared in Main Zone rocks an</w:t>
      </w:r>
      <w:r w:rsidR="0010178F">
        <w:t>d drilled to a final depth of 2,</w:t>
      </w:r>
      <w:r w:rsidRPr="004860BD">
        <w:t>506.51</w:t>
      </w:r>
      <w:r>
        <w:t xml:space="preserve"> </w:t>
      </w:r>
      <w:r w:rsidRPr="004860BD">
        <w:t>m. It intersected the Pyroxenite Marker at 195.57</w:t>
      </w:r>
      <w:r>
        <w:t xml:space="preserve"> </w:t>
      </w:r>
      <w:r w:rsidRPr="004860BD">
        <w:t>m and Upper and Main Mottled Anorthosites at 1</w:t>
      </w:r>
      <w:r w:rsidR="0010178F">
        <w:t>,</w:t>
      </w:r>
      <w:r w:rsidRPr="004860BD">
        <w:t>109.61</w:t>
      </w:r>
      <w:r>
        <w:t xml:space="preserve"> </w:t>
      </w:r>
      <w:r w:rsidRPr="004860BD">
        <w:t>m and 1</w:t>
      </w:r>
      <w:r w:rsidR="0010178F">
        <w:t>,</w:t>
      </w:r>
      <w:r w:rsidRPr="004860BD">
        <w:t>622.63</w:t>
      </w:r>
      <w:r>
        <w:t xml:space="preserve"> </w:t>
      </w:r>
      <w:r w:rsidRPr="004860BD">
        <w:t>m</w:t>
      </w:r>
      <w:r w:rsidR="009F2E56">
        <w:t>,</w:t>
      </w:r>
      <w:r w:rsidRPr="004860BD">
        <w:t xml:space="preserve"> respectively</w:t>
      </w:r>
      <w:r w:rsidR="0098202E">
        <w:t xml:space="preserve">. It </w:t>
      </w:r>
      <w:r w:rsidR="0098202E" w:rsidRPr="004860BD">
        <w:t>intersected</w:t>
      </w:r>
      <w:r w:rsidRPr="004860BD">
        <w:t xml:space="preserve"> </w:t>
      </w:r>
      <w:r>
        <w:t xml:space="preserve">Merensky Reef </w:t>
      </w:r>
      <w:r w:rsidRPr="004860BD">
        <w:t>an</w:t>
      </w:r>
      <w:r w:rsidR="0010178F">
        <w:t>d the UG2 Chromitite layer at 2,</w:t>
      </w:r>
      <w:r w:rsidRPr="004860BD">
        <w:t>166.80</w:t>
      </w:r>
      <w:r>
        <w:t xml:space="preserve"> </w:t>
      </w:r>
      <w:r w:rsidR="0010178F">
        <w:t>m and 2,</w:t>
      </w:r>
      <w:r w:rsidRPr="004860BD">
        <w:t>490.00</w:t>
      </w:r>
      <w:r>
        <w:t xml:space="preserve"> </w:t>
      </w:r>
      <w:r w:rsidRPr="004860BD">
        <w:t xml:space="preserve">m respectively. </w:t>
      </w:r>
      <w:r w:rsidR="00AA57F7">
        <w:t>Merensky Reef</w:t>
      </w:r>
      <w:r w:rsidR="00AA57F7" w:rsidRPr="004860BD">
        <w:t xml:space="preserve"> </w:t>
      </w:r>
      <w:r w:rsidRPr="004860BD">
        <w:t>assays ranged from 3.04</w:t>
      </w:r>
      <w:r>
        <w:t xml:space="preserve"> </w:t>
      </w:r>
      <w:r w:rsidRPr="004860BD">
        <w:t>g/t to 5.22</w:t>
      </w:r>
      <w:r>
        <w:t xml:space="preserve"> </w:t>
      </w:r>
      <w:r w:rsidRPr="004860BD">
        <w:t>g/t over widths of between 149</w:t>
      </w:r>
      <w:r>
        <w:t xml:space="preserve"> </w:t>
      </w:r>
      <w:r w:rsidRPr="004860BD">
        <w:t>cm and 382</w:t>
      </w:r>
      <w:r>
        <w:t xml:space="preserve"> </w:t>
      </w:r>
      <w:r w:rsidRPr="004860BD">
        <w:t>cm. The UG2 assays returned 7.60</w:t>
      </w:r>
      <w:r>
        <w:t xml:space="preserve"> </w:t>
      </w:r>
      <w:r w:rsidRPr="004860BD">
        <w:t>g/t to 8.83</w:t>
      </w:r>
      <w:r>
        <w:t xml:space="preserve"> </w:t>
      </w:r>
      <w:r w:rsidRPr="004860BD">
        <w:t>g/t over 63</w:t>
      </w:r>
      <w:r>
        <w:t xml:space="preserve"> </w:t>
      </w:r>
      <w:r w:rsidRPr="004860BD">
        <w:t>cm and 80</w:t>
      </w:r>
      <w:r>
        <w:t xml:space="preserve"> </w:t>
      </w:r>
      <w:r w:rsidRPr="004860BD">
        <w:t>cm.</w:t>
      </w:r>
      <w:r>
        <w:t xml:space="preserve"> </w:t>
      </w:r>
    </w:p>
    <w:p w14:paraId="372E7C29" w14:textId="35A8D8C6" w:rsidR="00C57328" w:rsidRDefault="00C57328" w:rsidP="00C57328">
      <w:pPr>
        <w:jc w:val="both"/>
      </w:pPr>
      <w:r>
        <w:t xml:space="preserve">Closer to the eastern flank of the Phosiri Dome, Genmin drilled two more holes. BH 3230 was drilled </w:t>
      </w:r>
      <w:r w:rsidR="0098202E">
        <w:t>at     -5</w:t>
      </w:r>
      <w:r w:rsidRPr="00B378B5">
        <w:t xml:space="preserve">0° towards 250° on Spelonk 478KS </w:t>
      </w:r>
      <w:r w:rsidR="0010178F">
        <w:t xml:space="preserve">(Figure 15) </w:t>
      </w:r>
      <w:r w:rsidRPr="00B378B5">
        <w:t>on the eastern margin of the Phosiri Dome. It was collared in quartz-bearing norites of the Main Zone and intersected the Bastard Pyroxenite at 453.42</w:t>
      </w:r>
      <w:r>
        <w:t xml:space="preserve"> </w:t>
      </w:r>
      <w:r w:rsidRPr="00B378B5">
        <w:t xml:space="preserve">m. The </w:t>
      </w:r>
      <w:r>
        <w:t xml:space="preserve">Merensky Reef </w:t>
      </w:r>
      <w:r w:rsidRPr="00B378B5">
        <w:t xml:space="preserve">was not </w:t>
      </w:r>
      <w:r w:rsidR="00457CD4" w:rsidRPr="00B378B5">
        <w:t>intersected,</w:t>
      </w:r>
      <w:r w:rsidRPr="00B378B5">
        <w:t xml:space="preserve"> and the borehole was terminated at 600</w:t>
      </w:r>
      <w:r>
        <w:t xml:space="preserve"> </w:t>
      </w:r>
      <w:r w:rsidRPr="00B378B5">
        <w:t xml:space="preserve">m. The Critical Zone lithologies were sheared and </w:t>
      </w:r>
      <w:r w:rsidR="0098202E">
        <w:t xml:space="preserve">described as </w:t>
      </w:r>
      <w:r w:rsidRPr="00B378B5">
        <w:t xml:space="preserve">“highly disturbed”. The </w:t>
      </w:r>
      <w:r>
        <w:t xml:space="preserve">Merensky Reef </w:t>
      </w:r>
      <w:r w:rsidRPr="00B378B5">
        <w:t>was considered to be absent and the UG2 was thought to be at least another 150</w:t>
      </w:r>
      <w:r>
        <w:t xml:space="preserve"> </w:t>
      </w:r>
      <w:r w:rsidRPr="00B378B5">
        <w:t>m below the end of the borehole</w:t>
      </w:r>
      <w:r w:rsidR="0098202E">
        <w:t xml:space="preserve"> </w:t>
      </w:r>
      <w:r w:rsidR="0098202E" w:rsidRPr="00B51EB8">
        <w:t>(</w:t>
      </w:r>
      <w:r w:rsidR="00B51EB8">
        <w:t>Ingram and Keenan, 1982</w:t>
      </w:r>
      <w:r w:rsidR="0098202E">
        <w:t>)</w:t>
      </w:r>
      <w:r w:rsidRPr="00B378B5">
        <w:t>.</w:t>
      </w:r>
    </w:p>
    <w:p w14:paraId="0D5DF04A" w14:textId="13D7F862" w:rsidR="00C57328" w:rsidRDefault="00C57328" w:rsidP="00C57328">
      <w:pPr>
        <w:jc w:val="both"/>
      </w:pPr>
      <w:r>
        <w:lastRenderedPageBreak/>
        <w:t xml:space="preserve">BH 3395 was </w:t>
      </w:r>
      <w:r w:rsidRPr="00B378B5">
        <w:t>drilled at -60° towards 285° on the farm Spelonk 478KS</w:t>
      </w:r>
      <w:r w:rsidR="0010178F">
        <w:t xml:space="preserve"> (</w:t>
      </w:r>
      <w:r w:rsidR="002001A3">
        <w:t xml:space="preserve">Figure 4 and </w:t>
      </w:r>
      <w:r w:rsidR="0010178F">
        <w:t>Figure 15)</w:t>
      </w:r>
      <w:r w:rsidRPr="00B378B5">
        <w:t xml:space="preserve">. It was collared in granite, </w:t>
      </w:r>
      <w:r w:rsidR="00AA57F7">
        <w:t>which was identified by Uken (1998),</w:t>
      </w:r>
      <w:r w:rsidRPr="00B378B5">
        <w:t xml:space="preserve"> on the farm Spelonk 478KS and reportedly intersected a barren anomalous </w:t>
      </w:r>
      <w:r>
        <w:t>Merensky Reef</w:t>
      </w:r>
      <w:r w:rsidRPr="00B378B5">
        <w:t xml:space="preserve"> at 595.70</w:t>
      </w:r>
      <w:r w:rsidR="00AA57F7">
        <w:t xml:space="preserve"> </w:t>
      </w:r>
      <w:r w:rsidRPr="00B378B5">
        <w:t xml:space="preserve">m. </w:t>
      </w:r>
      <w:r w:rsidR="00AA57F7">
        <w:t xml:space="preserve">A </w:t>
      </w:r>
      <w:r w:rsidR="00AA57F7" w:rsidRPr="00B378B5">
        <w:t>highly disrupted and sheared UG2 Chromitite over a width of 4</w:t>
      </w:r>
      <w:r w:rsidR="00AA57F7">
        <w:t xml:space="preserve"> </w:t>
      </w:r>
      <w:r w:rsidR="00AA57F7" w:rsidRPr="00B378B5">
        <w:t>m</w:t>
      </w:r>
      <w:r w:rsidRPr="00B378B5">
        <w:t xml:space="preserve"> was intersected at 816.45</w:t>
      </w:r>
      <w:r w:rsidR="00AA57F7">
        <w:t xml:space="preserve"> m</w:t>
      </w:r>
      <w:r w:rsidRPr="00B378B5">
        <w:t>.</w:t>
      </w:r>
    </w:p>
    <w:p w14:paraId="2B72370F" w14:textId="6C6B7249" w:rsidR="00591A57" w:rsidRPr="00DF74E7" w:rsidRDefault="00591A57" w:rsidP="00DF74E7">
      <w:pPr>
        <w:pStyle w:val="Heading2"/>
        <w:rPr>
          <w:color w:val="000000" w:themeColor="text1"/>
        </w:rPr>
      </w:pPr>
      <w:bookmarkStart w:id="26" w:name="_Toc501030985"/>
      <w:bookmarkStart w:id="27" w:name="_Toc520758775"/>
      <w:r w:rsidRPr="00DF74E7">
        <w:rPr>
          <w:color w:val="000000" w:themeColor="text1"/>
        </w:rPr>
        <w:t>Exploration Methodology</w:t>
      </w:r>
      <w:bookmarkEnd w:id="26"/>
      <w:r w:rsidR="0098202E">
        <w:rPr>
          <w:color w:val="000000" w:themeColor="text1"/>
        </w:rPr>
        <w:t xml:space="preserve"> of the Lesego Project</w:t>
      </w:r>
      <w:bookmarkEnd w:id="27"/>
    </w:p>
    <w:p w14:paraId="5794D2E9" w14:textId="0E039FFE" w:rsidR="005D3967" w:rsidRPr="00C470B5" w:rsidRDefault="005D3967" w:rsidP="005D3967">
      <w:pPr>
        <w:jc w:val="both"/>
      </w:pPr>
      <w:r>
        <w:t>A re-evaluation of the past exploration results from the 1980’s and 1990’s in 2004 by Lesego Platinum resulted in the decision to undertake further exploration in the area in a phased program, consisting of historical data compilation, geological mapping and trenching, soil geochemistry, a 2D seismic reflection survey, a gravity survey, airborne magnetics and diamond exploration drilling, the results of w</w:t>
      </w:r>
      <w:r w:rsidR="0098202E">
        <w:t>hich are discussed in Chapter 2. A</w:t>
      </w:r>
      <w:r>
        <w:t xml:space="preserve"> summary of the </w:t>
      </w:r>
      <w:r w:rsidR="00AB7C09">
        <w:t>specifications of the program</w:t>
      </w:r>
      <w:bookmarkStart w:id="28" w:name="_GoBack"/>
      <w:bookmarkEnd w:id="28"/>
      <w:r w:rsidR="00AB7C09">
        <w:t>mes</w:t>
      </w:r>
      <w:r>
        <w:t xml:space="preserve"> </w:t>
      </w:r>
      <w:r w:rsidR="0098202E">
        <w:t>is</w:t>
      </w:r>
      <w:r>
        <w:t xml:space="preserve"> presented below.</w:t>
      </w:r>
    </w:p>
    <w:p w14:paraId="57B6F771" w14:textId="77777777" w:rsidR="00591A57" w:rsidRPr="00DF74E7" w:rsidRDefault="00591A57" w:rsidP="00DF74E7">
      <w:pPr>
        <w:pStyle w:val="Heading3"/>
        <w:rPr>
          <w:color w:val="000000" w:themeColor="text1"/>
        </w:rPr>
      </w:pPr>
      <w:bookmarkStart w:id="29" w:name="_Toc501030986"/>
      <w:bookmarkStart w:id="30" w:name="_Toc520758776"/>
      <w:r w:rsidRPr="00DF74E7">
        <w:rPr>
          <w:color w:val="000000" w:themeColor="text1"/>
        </w:rPr>
        <w:t>Geophysics</w:t>
      </w:r>
      <w:bookmarkEnd w:id="29"/>
      <w:bookmarkEnd w:id="30"/>
    </w:p>
    <w:p w14:paraId="213F7E59" w14:textId="761EA8FD" w:rsidR="00591A57" w:rsidRPr="0013326D" w:rsidRDefault="00591A57" w:rsidP="00591A57">
      <w:pPr>
        <w:jc w:val="both"/>
      </w:pPr>
      <w:r w:rsidRPr="0013326D">
        <w:t>During the period September to October 2006, 2D seismic reflection</w:t>
      </w:r>
      <w:r w:rsidR="0041656C">
        <w:t xml:space="preserve"> and refraction</w:t>
      </w:r>
      <w:r w:rsidRPr="0013326D">
        <w:t xml:space="preserve">, Low Velocity Layer (LVL) </w:t>
      </w:r>
      <w:r w:rsidR="0041656C">
        <w:t>ground gravity surveys</w:t>
      </w:r>
      <w:r w:rsidRPr="0013326D">
        <w:t xml:space="preserve"> were carried out by GAP Geophysics (Pty) Limited over the Lesego </w:t>
      </w:r>
      <w:r>
        <w:t>lease area</w:t>
      </w:r>
      <w:r w:rsidRPr="0013326D">
        <w:t xml:space="preserve">. The seismic reflection survey was intended to map the distribution and elevations of geological marker horizons within Main and Critical Zone lithologies underlying the </w:t>
      </w:r>
      <w:r>
        <w:t xml:space="preserve">lease area </w:t>
      </w:r>
      <w:r w:rsidRPr="0013326D">
        <w:t>and in particular, the thick pyroxenite u</w:t>
      </w:r>
      <w:r>
        <w:t>nit hosting the UG2 Chromitite.</w:t>
      </w:r>
    </w:p>
    <w:p w14:paraId="1BDEDD13" w14:textId="5F60875D" w:rsidR="00591A57" w:rsidRDefault="00591A57" w:rsidP="00591A57">
      <w:pPr>
        <w:jc w:val="both"/>
      </w:pPr>
      <w:r w:rsidRPr="0013326D">
        <w:t>Seismic surveys were shot along five traverses (lines 1 to 5</w:t>
      </w:r>
      <w:r w:rsidR="0098202E">
        <w:t>, Figure 5</w:t>
      </w:r>
      <w:r w:rsidRPr="0013326D">
        <w:t>) totaling 23.4</w:t>
      </w:r>
      <w:r>
        <w:t xml:space="preserve"> </w:t>
      </w:r>
      <w:r w:rsidRPr="0013326D">
        <w:t>km</w:t>
      </w:r>
      <w:r>
        <w:t xml:space="preserve"> using</w:t>
      </w:r>
      <w:r w:rsidRPr="0013326D">
        <w:t xml:space="preserve"> a Bolt Land</w:t>
      </w:r>
      <w:r w:rsidR="0041656C">
        <w:t xml:space="preserve"> Airgun seismic energy source</w:t>
      </w:r>
      <w:r w:rsidRPr="0013326D">
        <w:t>. Stack and migrated sections from these surveys formed the</w:t>
      </w:r>
      <w:r>
        <w:t xml:space="preserve"> data input for interpretation.</w:t>
      </w:r>
      <w:r w:rsidR="0041656C">
        <w:t xml:space="preserve"> The results of this survey are discussed in Chapter 2.</w:t>
      </w:r>
    </w:p>
    <w:p w14:paraId="67D7ED9E" w14:textId="46E0396F" w:rsidR="00E20CE8" w:rsidRDefault="0041656C" w:rsidP="0041656C">
      <w:pPr>
        <w:jc w:val="both"/>
      </w:pPr>
      <w:r>
        <w:rPr>
          <w:bCs/>
          <w:szCs w:val="24"/>
        </w:rPr>
        <w:t>A h</w:t>
      </w:r>
      <w:r w:rsidRPr="007204CD">
        <w:rPr>
          <w:bCs/>
          <w:szCs w:val="24"/>
        </w:rPr>
        <w:t xml:space="preserve">igh-resolution </w:t>
      </w:r>
      <w:r>
        <w:rPr>
          <w:bCs/>
          <w:szCs w:val="24"/>
        </w:rPr>
        <w:t>helicopter-borne ma</w:t>
      </w:r>
      <w:r w:rsidRPr="007204CD">
        <w:rPr>
          <w:bCs/>
          <w:szCs w:val="24"/>
        </w:rPr>
        <w:t xml:space="preserve">gnetic, </w:t>
      </w:r>
      <w:r>
        <w:rPr>
          <w:bCs/>
          <w:szCs w:val="24"/>
        </w:rPr>
        <w:t>digital terrain model (</w:t>
      </w:r>
      <w:r w:rsidRPr="007204CD">
        <w:rPr>
          <w:bCs/>
          <w:szCs w:val="24"/>
        </w:rPr>
        <w:t>DTM</w:t>
      </w:r>
      <w:r>
        <w:rPr>
          <w:bCs/>
          <w:szCs w:val="24"/>
        </w:rPr>
        <w:t>)</w:t>
      </w:r>
      <w:r w:rsidRPr="007204CD">
        <w:rPr>
          <w:bCs/>
          <w:szCs w:val="24"/>
        </w:rPr>
        <w:t xml:space="preserve"> </w:t>
      </w:r>
      <w:r>
        <w:rPr>
          <w:bCs/>
          <w:szCs w:val="24"/>
        </w:rPr>
        <w:t>and radiometric survey</w:t>
      </w:r>
      <w:r w:rsidRPr="007204CD">
        <w:rPr>
          <w:bCs/>
          <w:szCs w:val="24"/>
        </w:rPr>
        <w:t xml:space="preserve"> along </w:t>
      </w:r>
      <w:r>
        <w:rPr>
          <w:bCs/>
          <w:szCs w:val="24"/>
        </w:rPr>
        <w:t xml:space="preserve">1,520 </w:t>
      </w:r>
      <w:r w:rsidRPr="007204CD">
        <w:rPr>
          <w:bCs/>
          <w:szCs w:val="24"/>
        </w:rPr>
        <w:t xml:space="preserve">km of line over </w:t>
      </w:r>
      <w:r>
        <w:rPr>
          <w:bCs/>
          <w:szCs w:val="24"/>
        </w:rPr>
        <w:t xml:space="preserve">approximately 135 </w:t>
      </w:r>
      <w:r w:rsidRPr="007204CD">
        <w:rPr>
          <w:bCs/>
          <w:szCs w:val="24"/>
        </w:rPr>
        <w:t>km</w:t>
      </w:r>
      <w:r w:rsidRPr="007204CD">
        <w:rPr>
          <w:bCs/>
          <w:szCs w:val="24"/>
          <w:vertAlign w:val="superscript"/>
        </w:rPr>
        <w:t>2</w:t>
      </w:r>
      <w:r w:rsidRPr="007204CD">
        <w:rPr>
          <w:bCs/>
          <w:szCs w:val="24"/>
        </w:rPr>
        <w:t xml:space="preserve"> </w:t>
      </w:r>
      <w:r>
        <w:rPr>
          <w:bCs/>
          <w:szCs w:val="24"/>
        </w:rPr>
        <w:t xml:space="preserve">was flown at 100 m line spacing in an east-west direction. Tie line spacing was 1,000 m in a north-south direction. </w:t>
      </w:r>
      <w:r w:rsidR="00DA4F3B">
        <w:t xml:space="preserve">The </w:t>
      </w:r>
      <w:r w:rsidR="00DA3356">
        <w:t xml:space="preserve">magnetic </w:t>
      </w:r>
      <w:r w:rsidR="00DA4F3B">
        <w:t xml:space="preserve">survey was successful in detecting probable </w:t>
      </w:r>
      <w:r w:rsidR="00DA4F3B" w:rsidRPr="00B05838">
        <w:t>iron-rich ultr</w:t>
      </w:r>
      <w:r w:rsidR="00DA4F3B">
        <w:t xml:space="preserve">amafic pegmatite (IRUP) </w:t>
      </w:r>
      <w:r w:rsidR="0098202E">
        <w:t>(</w:t>
      </w:r>
      <w:r w:rsidR="0098202E" w:rsidRPr="00B05838">
        <w:t>Viljoen and Scoon, 1985)</w:t>
      </w:r>
      <w:r w:rsidR="0098202E">
        <w:t xml:space="preserve"> </w:t>
      </w:r>
      <w:r w:rsidR="00DA4F3B">
        <w:t xml:space="preserve">bodies </w:t>
      </w:r>
      <w:r w:rsidR="002001A3">
        <w:t>(Figure 11</w:t>
      </w:r>
      <w:r w:rsidR="0098202E">
        <w:t>)</w:t>
      </w:r>
      <w:r w:rsidR="00DA4F3B">
        <w:t>. T</w:t>
      </w:r>
      <w:r>
        <w:t>he results of this survey are discussed in Chapter 2.</w:t>
      </w:r>
      <w:r w:rsidR="00DA4F3B">
        <w:t xml:space="preserve"> </w:t>
      </w:r>
    </w:p>
    <w:p w14:paraId="6DBBD14E" w14:textId="348C70F5" w:rsidR="007B2D60" w:rsidRPr="00DF74E7" w:rsidRDefault="007B2D60" w:rsidP="00DF74E7">
      <w:pPr>
        <w:pStyle w:val="Heading3"/>
        <w:rPr>
          <w:color w:val="000000" w:themeColor="text1"/>
        </w:rPr>
      </w:pPr>
      <w:bookmarkStart w:id="31" w:name="_Toc520758777"/>
      <w:r w:rsidRPr="00DF74E7">
        <w:rPr>
          <w:color w:val="000000" w:themeColor="text1"/>
        </w:rPr>
        <w:t>Soil Geochemistry</w:t>
      </w:r>
      <w:bookmarkEnd w:id="31"/>
    </w:p>
    <w:p w14:paraId="2EBA2D97" w14:textId="0CCEC70D" w:rsidR="007B2D60" w:rsidRPr="0013326D" w:rsidRDefault="007B2D60" w:rsidP="007B2D60">
      <w:pPr>
        <w:jc w:val="both"/>
      </w:pPr>
      <w:r>
        <w:t xml:space="preserve">A </w:t>
      </w:r>
      <w:r w:rsidRPr="0013326D">
        <w:t xml:space="preserve">soil sampling survey was carried out </w:t>
      </w:r>
      <w:r>
        <w:t xml:space="preserve">in </w:t>
      </w:r>
      <w:r w:rsidRPr="0013326D">
        <w:t>August 2007</w:t>
      </w:r>
      <w:r>
        <w:t xml:space="preserve"> </w:t>
      </w:r>
      <w:r w:rsidR="00B5387A">
        <w:t>along</w:t>
      </w:r>
      <w:r w:rsidR="00361E41">
        <w:t xml:space="preserve"> </w:t>
      </w:r>
      <w:r w:rsidR="00361E41" w:rsidRPr="0013326D">
        <w:t xml:space="preserve">13 traverses </w:t>
      </w:r>
      <w:r w:rsidR="00361E41">
        <w:t>perpendicular to the eastern flank of the Phosiri Dome</w:t>
      </w:r>
      <w:r w:rsidR="002001A3">
        <w:t xml:space="preserve"> (Figure 11</w:t>
      </w:r>
      <w:r w:rsidR="00B5387A" w:rsidRPr="0013326D">
        <w:t xml:space="preserve"> </w:t>
      </w:r>
      <w:r w:rsidR="00B5387A">
        <w:t>in Chapter 2).</w:t>
      </w:r>
      <w:r w:rsidR="00361E41">
        <w:t xml:space="preserve"> </w:t>
      </w:r>
      <w:r w:rsidR="00B5387A">
        <w:t>A</w:t>
      </w:r>
      <w:r w:rsidR="00361E41" w:rsidRPr="0013326D">
        <w:t xml:space="preserve"> total of 430 individual samples were collected</w:t>
      </w:r>
      <w:r w:rsidR="00AA1EE2">
        <w:t xml:space="preserve"> at station spacings of 50 m, covering an area </w:t>
      </w:r>
      <w:r w:rsidRPr="0013326D">
        <w:t>6.5</w:t>
      </w:r>
      <w:r>
        <w:t xml:space="preserve"> </w:t>
      </w:r>
      <w:r w:rsidRPr="0013326D">
        <w:t>km long and approximately 1.5</w:t>
      </w:r>
      <w:r>
        <w:t xml:space="preserve"> </w:t>
      </w:r>
      <w:r w:rsidR="00AA1EE2">
        <w:t>km wide.</w:t>
      </w:r>
      <w:r w:rsidR="00B5387A">
        <w:t xml:space="preserve"> </w:t>
      </w:r>
      <w:r w:rsidRPr="0013326D">
        <w:t>The survey was designed to geochemically assess the potential presence of sub-outcropping Upper Critical Zone rocks</w:t>
      </w:r>
      <w:r w:rsidR="00B5387A">
        <w:t>,</w:t>
      </w:r>
      <w:r w:rsidRPr="0013326D">
        <w:t xml:space="preserve"> including the UG2 Chromitite and the </w:t>
      </w:r>
      <w:r>
        <w:t>Merensky Reef</w:t>
      </w:r>
      <w:r w:rsidRPr="0013326D">
        <w:t xml:space="preserve">. The survey area is covered by sandy soils in the relatively flat-lying eastern part and by rock scree along the slopes of the </w:t>
      </w:r>
      <w:r w:rsidR="00C659AB">
        <w:t xml:space="preserve">ridge along the western boundary that is underlain by Pretoria Group metasediments. </w:t>
      </w:r>
      <w:r w:rsidR="00AA1EE2">
        <w:t xml:space="preserve">Samples were </w:t>
      </w:r>
      <w:r w:rsidR="00AA1EE2" w:rsidRPr="00AA1EE2">
        <w:t xml:space="preserve">dried and screened to -0.18 mm prior to an aqua regia digestion and multi-element analysis using </w:t>
      </w:r>
      <w:r w:rsidR="00AA1EE2">
        <w:t>a</w:t>
      </w:r>
      <w:r w:rsidR="00C659AB">
        <w:t>n</w:t>
      </w:r>
      <w:r w:rsidR="00AA1EE2">
        <w:t xml:space="preserve"> ICP-MS finish.</w:t>
      </w:r>
    </w:p>
    <w:p w14:paraId="4BE34C8F" w14:textId="62181B98" w:rsidR="007B2D60" w:rsidRPr="00DF74E7" w:rsidRDefault="00AA1EE2" w:rsidP="00DF74E7">
      <w:pPr>
        <w:pStyle w:val="Heading3"/>
        <w:rPr>
          <w:color w:val="000000" w:themeColor="text1"/>
        </w:rPr>
      </w:pPr>
      <w:bookmarkStart w:id="32" w:name="_Toc520758778"/>
      <w:r w:rsidRPr="00DF74E7">
        <w:rPr>
          <w:color w:val="000000" w:themeColor="text1"/>
        </w:rPr>
        <w:t>Geological Mapping</w:t>
      </w:r>
      <w:bookmarkEnd w:id="32"/>
    </w:p>
    <w:p w14:paraId="69BE7463" w14:textId="4C52E312" w:rsidR="00216CD2" w:rsidRPr="0013326D" w:rsidRDefault="00216CD2" w:rsidP="00216CD2">
      <w:pPr>
        <w:jc w:val="both"/>
      </w:pPr>
      <w:r w:rsidRPr="0013326D">
        <w:t xml:space="preserve">The </w:t>
      </w:r>
      <w:r w:rsidR="00AA1EE2" w:rsidRPr="0013326D">
        <w:t>focus</w:t>
      </w:r>
      <w:r w:rsidRPr="0013326D">
        <w:t xml:space="preserve"> of the geological mapping </w:t>
      </w:r>
      <w:r>
        <w:t xml:space="preserve">was </w:t>
      </w:r>
      <w:r w:rsidRPr="0013326D">
        <w:t>to</w:t>
      </w:r>
      <w:r>
        <w:t xml:space="preserve"> trace the </w:t>
      </w:r>
      <w:r w:rsidRPr="0013326D">
        <w:t xml:space="preserve">Main Zone mottled anorthosites, pyroxenite layers and other persistent units </w:t>
      </w:r>
      <w:r>
        <w:t xml:space="preserve">within the Main Zone </w:t>
      </w:r>
      <w:r w:rsidRPr="0013326D">
        <w:t xml:space="preserve">in order to detect major faulting and structural disturbances, as well as allow for </w:t>
      </w:r>
      <w:r>
        <w:t>Merensky Reef</w:t>
      </w:r>
      <w:r w:rsidRPr="0013326D">
        <w:t xml:space="preserve"> and UG2 Chromitite horizon elevations to be modelled where topograp</w:t>
      </w:r>
      <w:r>
        <w:t>hy precluded seismic coverage.</w:t>
      </w:r>
      <w:r w:rsidR="00AA1EE2">
        <w:t xml:space="preserve"> The results of this mapping are presented in Figure 1</w:t>
      </w:r>
      <w:r w:rsidR="002001A3">
        <w:t>1</w:t>
      </w:r>
      <w:r w:rsidR="00AA1EE2">
        <w:t xml:space="preserve"> in Chapter 2.</w:t>
      </w:r>
    </w:p>
    <w:p w14:paraId="275FA177" w14:textId="5DAFDF3F" w:rsidR="00E63F9B" w:rsidRPr="00DF74E7" w:rsidRDefault="00E63F9B" w:rsidP="00DF74E7">
      <w:pPr>
        <w:pStyle w:val="Heading3"/>
        <w:rPr>
          <w:color w:val="000000" w:themeColor="text1"/>
        </w:rPr>
      </w:pPr>
      <w:bookmarkStart w:id="33" w:name="_Toc520758779"/>
      <w:r w:rsidRPr="00DF74E7">
        <w:rPr>
          <w:color w:val="000000" w:themeColor="text1"/>
        </w:rPr>
        <w:t>Exploration Drilling</w:t>
      </w:r>
      <w:r w:rsidR="00DF74E7">
        <w:rPr>
          <w:color w:val="000000" w:themeColor="text1"/>
        </w:rPr>
        <w:t xml:space="preserve"> and Mineral Resource Statement</w:t>
      </w:r>
      <w:bookmarkEnd w:id="33"/>
    </w:p>
    <w:p w14:paraId="41795FC1" w14:textId="343C2063" w:rsidR="00AE465D" w:rsidRPr="0013326D" w:rsidRDefault="00AE465D" w:rsidP="00AE465D">
      <w:pPr>
        <w:jc w:val="both"/>
      </w:pPr>
      <w:r>
        <w:t>The</w:t>
      </w:r>
      <w:r w:rsidRPr="0013326D">
        <w:t xml:space="preserve"> seismic survey</w:t>
      </w:r>
      <w:r>
        <w:t xml:space="preserve"> was used to site </w:t>
      </w:r>
      <w:r w:rsidRPr="0013326D">
        <w:t>a</w:t>
      </w:r>
      <w:r>
        <w:t>n initial</w:t>
      </w:r>
      <w:r w:rsidRPr="0013326D">
        <w:t xml:space="preserve"> series of </w:t>
      </w:r>
      <w:r>
        <w:t xml:space="preserve">five </w:t>
      </w:r>
      <w:r w:rsidRPr="0013326D">
        <w:t xml:space="preserve">diamond boreholes </w:t>
      </w:r>
      <w:r w:rsidR="00582C90">
        <w:t>in 2008</w:t>
      </w:r>
      <w:r w:rsidR="003D514F">
        <w:t xml:space="preserve"> and 2009</w:t>
      </w:r>
      <w:r w:rsidR="00582C90">
        <w:t xml:space="preserve"> </w:t>
      </w:r>
      <w:r w:rsidRPr="0013326D">
        <w:t xml:space="preserve">along the seismic lines to test the nature of the identified </w:t>
      </w:r>
      <w:r>
        <w:t xml:space="preserve">reflectors and calibrate the survey with the drilling </w:t>
      </w:r>
      <w:r>
        <w:lastRenderedPageBreak/>
        <w:t>results, as well as to</w:t>
      </w:r>
      <w:r w:rsidRPr="0013326D">
        <w:t xml:space="preserve"> obtain a statistically relevant sample of intersections to allow for a reasonable estimate of average global grades for both UG2 Chromitite and </w:t>
      </w:r>
      <w:r>
        <w:t>Merensky Reef</w:t>
      </w:r>
      <w:r w:rsidRPr="0013326D">
        <w:t>.</w:t>
      </w:r>
      <w:r>
        <w:t xml:space="preserve"> These five holes</w:t>
      </w:r>
      <w:r w:rsidR="00B435AA">
        <w:t xml:space="preserve"> were drilled in 2007. C</w:t>
      </w:r>
      <w:r>
        <w:t>ombined with the results of the seismic survey which proved the continuity of the reef at depths below 1</w:t>
      </w:r>
      <w:r w:rsidR="00B435AA">
        <w:t xml:space="preserve"> </w:t>
      </w:r>
      <w:r>
        <w:t xml:space="preserve">200 m below surface, allowed for the declaration of a 27.76 </w:t>
      </w:r>
      <w:r w:rsidR="00B05838">
        <w:t>million-ounce</w:t>
      </w:r>
      <w:r>
        <w:t xml:space="preserve"> 3PGE+Au SAMREC compliant Inferred Resource</w:t>
      </w:r>
      <w:r w:rsidR="008C5FB6">
        <w:t xml:space="preserve"> </w:t>
      </w:r>
      <w:r>
        <w:t>as at 31</w:t>
      </w:r>
      <w:r w:rsidRPr="00AE465D">
        <w:rPr>
          <w:vertAlign w:val="superscript"/>
        </w:rPr>
        <w:t>st</w:t>
      </w:r>
      <w:r>
        <w:t xml:space="preserve"> December 2009</w:t>
      </w:r>
      <w:r w:rsidR="00B435AA">
        <w:t xml:space="preserve"> (Njowa and Clay, 2010)</w:t>
      </w:r>
      <w:r>
        <w:t>.</w:t>
      </w:r>
    </w:p>
    <w:p w14:paraId="2EB725D6" w14:textId="17809DB9" w:rsidR="00AE465D" w:rsidRDefault="00AE465D" w:rsidP="00B05838">
      <w:pPr>
        <w:jc w:val="both"/>
      </w:pPr>
      <w:r w:rsidRPr="0013326D">
        <w:t xml:space="preserve">A </w:t>
      </w:r>
      <w:r>
        <w:t xml:space="preserve">further 51 boreholes were drilled </w:t>
      </w:r>
      <w:r w:rsidR="00B435AA">
        <w:t xml:space="preserve">between </w:t>
      </w:r>
      <w:r w:rsidR="003D514F">
        <w:t>the</w:t>
      </w:r>
      <w:r w:rsidR="00B435AA">
        <w:t xml:space="preserve"> period of 2010 to 2012, </w:t>
      </w:r>
      <w:r>
        <w:t xml:space="preserve">with several deflections on each reef intersection, totaling 86,550 m, over the lease area. A </w:t>
      </w:r>
      <w:r w:rsidR="002B05F3">
        <w:t xml:space="preserve">total </w:t>
      </w:r>
      <w:r w:rsidR="00B435AA">
        <w:t xml:space="preserve">of </w:t>
      </w:r>
      <w:r w:rsidR="00B05838">
        <w:t>278</w:t>
      </w:r>
      <w:r w:rsidR="00B435AA">
        <w:t xml:space="preserve"> reef intersections, totaling 1 </w:t>
      </w:r>
      <w:r w:rsidR="00B05838">
        <w:t xml:space="preserve">703.52 m, </w:t>
      </w:r>
      <w:r w:rsidR="002B05F3">
        <w:t>were assayed for PGE, Ni and Cu and used for the mineral resource estimation</w:t>
      </w:r>
      <w:r w:rsidR="00B435AA">
        <w:t xml:space="preserve"> (Hall, 2013)</w:t>
      </w:r>
      <w:r w:rsidR="00B05838">
        <w:t xml:space="preserve">. Each Merensky Reef intersection was optimised for the maximum 3PGE+Au, over a minimum of one meter in true width, while retaining the same stratigraphic interval between intersections in the same borehole. </w:t>
      </w:r>
    </w:p>
    <w:p w14:paraId="57492058" w14:textId="0B498E29" w:rsidR="00B05838" w:rsidRDefault="00B05838" w:rsidP="00B05838">
      <w:pPr>
        <w:jc w:val="both"/>
      </w:pPr>
      <w:r>
        <w:t xml:space="preserve">The UG2 was separated into single and split reef facies. For the single reef facies, the grade was optimised over the true width of the combined UG2B plus UG2A Chromitite layers together with any included pyroxenite parting with a thickness of less than 30 cm. Lengths of the immediate footwall (UG2PEG) were added where this was necessary to make up a minimum </w:t>
      </w:r>
      <w:r w:rsidR="00B435AA">
        <w:t>one-meter</w:t>
      </w:r>
      <w:r>
        <w:t xml:space="preserve"> true thickness or where the PGE grade in that unit was higher than the combined UG2B to UG2A interval. For both the Merensky</w:t>
      </w:r>
      <w:r w:rsidR="00B435AA">
        <w:t xml:space="preserve"> </w:t>
      </w:r>
      <w:r w:rsidR="001947BD">
        <w:t>Reef and</w:t>
      </w:r>
      <w:r>
        <w:t xml:space="preserve"> UG2</w:t>
      </w:r>
      <w:r w:rsidR="00B435AA">
        <w:t xml:space="preserve"> Chromitite</w:t>
      </w:r>
      <w:r>
        <w:t>, the intersections in each borehole were length- and density-weighted and averaged</w:t>
      </w:r>
      <w:r w:rsidR="00B435AA">
        <w:t xml:space="preserve"> (Appendix 7)</w:t>
      </w:r>
      <w:r>
        <w:t>.</w:t>
      </w:r>
    </w:p>
    <w:p w14:paraId="0E4DDF87" w14:textId="1BEE7DA9" w:rsidR="00B05838" w:rsidRDefault="00B05838" w:rsidP="00B435AA">
      <w:pPr>
        <w:jc w:val="both"/>
      </w:pPr>
      <w:r>
        <w:t xml:space="preserve">A global discount of 17% was applied to the resource statement to account for geological losses </w:t>
      </w:r>
      <w:r w:rsidR="00B435AA">
        <w:t>owing</w:t>
      </w:r>
      <w:r>
        <w:t xml:space="preserve"> to faulting, potholing, dykes and </w:t>
      </w:r>
      <w:r w:rsidR="00D96689">
        <w:t>IRUPs</w:t>
      </w:r>
      <w:r w:rsidR="00FB4B78">
        <w:t>.</w:t>
      </w:r>
      <w:r w:rsidR="000A50A6">
        <w:t xml:space="preserve"> </w:t>
      </w:r>
      <w:r w:rsidR="00D96689">
        <w:t xml:space="preserve">The project resources are presented in Table </w:t>
      </w:r>
      <w:r w:rsidR="001947BD">
        <w:t>3 and</w:t>
      </w:r>
      <w:r w:rsidR="00FB4B78">
        <w:t xml:space="preserve"> resulted in a 39.2 million-ounce 3PGE+Au SAMREC compliant resource at 6.03 g/t 3PGE+Au (Hall, 2013)</w:t>
      </w:r>
      <w:r w:rsidR="00D96689">
        <w:t>.</w:t>
      </w:r>
    </w:p>
    <w:p w14:paraId="2737AC09" w14:textId="772FFD9D" w:rsidR="000A50A6" w:rsidRDefault="00D96689" w:rsidP="001947BD">
      <w:pPr>
        <w:jc w:val="both"/>
      </w:pPr>
      <w:r>
        <w:t xml:space="preserve">The Pt:Pd ratio on the Merensky Reef and UG2 </w:t>
      </w:r>
      <w:r w:rsidR="000A50A6">
        <w:t xml:space="preserve">Chromitite </w:t>
      </w:r>
      <w:r>
        <w:t>is typical of that of the Western and Central sectors of the Eastern Bushveld</w:t>
      </w:r>
      <w:r w:rsidR="000A50A6">
        <w:t xml:space="preserve"> Complex</w:t>
      </w:r>
      <w:r>
        <w:t>, with a</w:t>
      </w:r>
      <w:r w:rsidR="000A50A6">
        <w:t>n</w:t>
      </w:r>
      <w:r>
        <w:t xml:space="preserve"> ~2:1 Pt:Pd ratio for the Merensky Reef and a ~1:1 for the UG2 </w:t>
      </w:r>
      <w:r w:rsidR="000A50A6">
        <w:t xml:space="preserve">Chromitite </w:t>
      </w:r>
      <w:r>
        <w:t xml:space="preserve">(Table </w:t>
      </w:r>
      <w:r w:rsidR="00FB4B78">
        <w:t>4</w:t>
      </w:r>
      <w:r>
        <w:t>).</w:t>
      </w:r>
    </w:p>
    <w:p w14:paraId="2A89F86E" w14:textId="77777777" w:rsidR="000A50A6" w:rsidRDefault="000A50A6">
      <w:r>
        <w:br w:type="page"/>
      </w:r>
    </w:p>
    <w:p w14:paraId="25CCBDAE" w14:textId="2B1DE842" w:rsidR="00DA4F3B" w:rsidRDefault="00DA4F3B" w:rsidP="00DA4F3B">
      <w:pPr>
        <w:pStyle w:val="Caption"/>
      </w:pPr>
      <w:bookmarkStart w:id="34" w:name="_Toc520740330"/>
      <w:r>
        <w:lastRenderedPageBreak/>
        <w:t xml:space="preserve">Table </w:t>
      </w:r>
      <w:fldSimple w:instr=" SEQ Table \* ARABIC ">
        <w:r w:rsidR="002645B6">
          <w:rPr>
            <w:noProof/>
          </w:rPr>
          <w:t>3</w:t>
        </w:r>
      </w:fldSimple>
      <w:r>
        <w:t>: Mineral Resources of the Lesego Project as at June 2012. A discount of 17% has been applied for geological losses</w:t>
      </w:r>
      <w:r w:rsidR="00AB0608">
        <w:t xml:space="preserve"> (after Hall, 2013)</w:t>
      </w:r>
      <w:r>
        <w:t>.</w:t>
      </w:r>
      <w:bookmarkEnd w:id="34"/>
    </w:p>
    <w:p w14:paraId="40D7355D" w14:textId="77777777" w:rsidR="00DA4F3B" w:rsidRDefault="00DA4F3B" w:rsidP="00B05838">
      <w:r w:rsidRPr="00DA4F3B">
        <w:rPr>
          <w:noProof/>
        </w:rPr>
        <w:drawing>
          <wp:inline distT="0" distB="0" distL="0" distR="0" wp14:anchorId="6058EFB3" wp14:editId="7F9847CF">
            <wp:extent cx="5943600" cy="280537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2805379"/>
                    </a:xfrm>
                    <a:prstGeom prst="rect">
                      <a:avLst/>
                    </a:prstGeom>
                    <a:noFill/>
                    <a:ln>
                      <a:noFill/>
                    </a:ln>
                  </pic:spPr>
                </pic:pic>
              </a:graphicData>
            </a:graphic>
          </wp:inline>
        </w:drawing>
      </w:r>
    </w:p>
    <w:p w14:paraId="7F81E474" w14:textId="77777777" w:rsidR="00D96689" w:rsidRDefault="00D96689" w:rsidP="00B05838"/>
    <w:p w14:paraId="1433B469" w14:textId="3FF6A319" w:rsidR="00D96689" w:rsidRDefault="00D96689" w:rsidP="00D96689">
      <w:pPr>
        <w:pStyle w:val="Caption"/>
      </w:pPr>
      <w:bookmarkStart w:id="35" w:name="_Toc520740331"/>
      <w:r>
        <w:t xml:space="preserve">Table </w:t>
      </w:r>
      <w:fldSimple w:instr=" SEQ Table \* ARABIC ">
        <w:r w:rsidR="002645B6">
          <w:rPr>
            <w:noProof/>
          </w:rPr>
          <w:t>4</w:t>
        </w:r>
      </w:fldSimple>
      <w:r>
        <w:t>: 3PGE+Au prill split and Pt:Pd ratio for the Lesego Resource</w:t>
      </w:r>
      <w:r w:rsidR="00FB4B78">
        <w:t xml:space="preserve"> (after Hall, 2013)</w:t>
      </w:r>
      <w:r>
        <w:t>.</w:t>
      </w:r>
      <w:bookmarkEnd w:id="35"/>
    </w:p>
    <w:p w14:paraId="037D54C5" w14:textId="223079F2" w:rsidR="00D96689" w:rsidRDefault="00D96689" w:rsidP="00B05838">
      <w:r w:rsidRPr="00D96689">
        <w:rPr>
          <w:noProof/>
        </w:rPr>
        <w:drawing>
          <wp:inline distT="0" distB="0" distL="0" distR="0" wp14:anchorId="18076455" wp14:editId="243FAFD1">
            <wp:extent cx="2838450" cy="55804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88338" cy="567852"/>
                    </a:xfrm>
                    <a:prstGeom prst="rect">
                      <a:avLst/>
                    </a:prstGeom>
                    <a:noFill/>
                    <a:ln>
                      <a:noFill/>
                    </a:ln>
                  </pic:spPr>
                </pic:pic>
              </a:graphicData>
            </a:graphic>
          </wp:inline>
        </w:drawing>
      </w:r>
    </w:p>
    <w:p w14:paraId="7F5B2189" w14:textId="2F638278" w:rsidR="000A50A6" w:rsidRDefault="000A50A6" w:rsidP="000A50A6">
      <w:pPr>
        <w:jc w:val="both"/>
      </w:pPr>
    </w:p>
    <w:p w14:paraId="33492427" w14:textId="2EA6A1C1" w:rsidR="00FB4B78" w:rsidRPr="00220669" w:rsidRDefault="00FB4B78" w:rsidP="00220669">
      <w:pPr>
        <w:pStyle w:val="Heading2"/>
        <w:rPr>
          <w:color w:val="000000" w:themeColor="text1"/>
        </w:rPr>
      </w:pPr>
      <w:bookmarkStart w:id="36" w:name="_Toc520758780"/>
      <w:r w:rsidRPr="00220669">
        <w:rPr>
          <w:color w:val="000000" w:themeColor="text1"/>
        </w:rPr>
        <w:t>Author’s Responsibilities</w:t>
      </w:r>
      <w:bookmarkEnd w:id="36"/>
    </w:p>
    <w:p w14:paraId="6A944159" w14:textId="7BA2E67B" w:rsidR="000A50A6" w:rsidRDefault="000A50A6" w:rsidP="000A50A6">
      <w:pPr>
        <w:jc w:val="both"/>
      </w:pPr>
      <w:r>
        <w:t>The responsibilities and involvement of the author in the work presented in this research report is as follows:</w:t>
      </w:r>
    </w:p>
    <w:p w14:paraId="549BDBB5" w14:textId="65EEA683" w:rsidR="000A50A6" w:rsidRDefault="00AF2AFC" w:rsidP="000A50A6">
      <w:pPr>
        <w:pStyle w:val="ListParagraph"/>
        <w:numPr>
          <w:ilvl w:val="0"/>
          <w:numId w:val="1"/>
        </w:numPr>
        <w:jc w:val="both"/>
      </w:pPr>
      <w:r>
        <w:t>The complete d</w:t>
      </w:r>
      <w:r w:rsidR="000A50A6">
        <w:t xml:space="preserve">rafting of the paper </w:t>
      </w:r>
      <w:r w:rsidR="002001A3">
        <w:t xml:space="preserve">to be </w:t>
      </w:r>
      <w:r w:rsidR="000A50A6">
        <w:t>submitted to the Soci</w:t>
      </w:r>
      <w:r w:rsidR="002001A3">
        <w:t>ety of Economic Geologists semi-</w:t>
      </w:r>
      <w:r w:rsidR="000A50A6">
        <w:t>quarterly journal, Economic Geology</w:t>
      </w:r>
      <w:r>
        <w:t>, with reviews from co-authors</w:t>
      </w:r>
      <w:r w:rsidR="002001A3">
        <w:t>.</w:t>
      </w:r>
    </w:p>
    <w:p w14:paraId="189F4572" w14:textId="0F76E442" w:rsidR="00AF2AFC" w:rsidRDefault="00AF2AFC" w:rsidP="000A50A6">
      <w:pPr>
        <w:pStyle w:val="ListParagraph"/>
        <w:numPr>
          <w:ilvl w:val="0"/>
          <w:numId w:val="1"/>
        </w:numPr>
        <w:jc w:val="both"/>
      </w:pPr>
      <w:r>
        <w:t>Supervision of the material sampled for co-authors Buurman and Price</w:t>
      </w:r>
      <w:r w:rsidR="002001A3">
        <w:t>.</w:t>
      </w:r>
    </w:p>
    <w:p w14:paraId="7A488990" w14:textId="5F1F6455" w:rsidR="000A50A6" w:rsidRDefault="000A50A6" w:rsidP="000A50A6">
      <w:pPr>
        <w:pStyle w:val="ListParagraph"/>
        <w:numPr>
          <w:ilvl w:val="0"/>
          <w:numId w:val="1"/>
        </w:numPr>
        <w:jc w:val="both"/>
      </w:pPr>
      <w:r>
        <w:t>Compilation of geological maps from various data sources</w:t>
      </w:r>
      <w:r w:rsidR="002001A3">
        <w:t>.</w:t>
      </w:r>
    </w:p>
    <w:p w14:paraId="4BD25F35" w14:textId="5258FF19" w:rsidR="000A50A6" w:rsidRDefault="000A50A6" w:rsidP="000A50A6">
      <w:pPr>
        <w:pStyle w:val="ListParagraph"/>
        <w:numPr>
          <w:ilvl w:val="0"/>
          <w:numId w:val="1"/>
        </w:numPr>
        <w:jc w:val="both"/>
      </w:pPr>
      <w:r>
        <w:t>Compilation of figures for the paper</w:t>
      </w:r>
      <w:r w:rsidR="002001A3">
        <w:t>.</w:t>
      </w:r>
    </w:p>
    <w:p w14:paraId="609B64DF" w14:textId="77777777" w:rsidR="000A50A6" w:rsidRDefault="000A50A6" w:rsidP="000A50A6">
      <w:pPr>
        <w:pStyle w:val="ListParagraph"/>
        <w:numPr>
          <w:ilvl w:val="0"/>
          <w:numId w:val="1"/>
        </w:numPr>
        <w:jc w:val="both"/>
      </w:pPr>
      <w:r>
        <w:t>I was Exploration Manager and then Project Manager for the Lesego Project since October 2008. My responsibilities included:</w:t>
      </w:r>
    </w:p>
    <w:p w14:paraId="44799913" w14:textId="4C09F724" w:rsidR="000A50A6" w:rsidRDefault="000A50A6" w:rsidP="000A50A6">
      <w:pPr>
        <w:pStyle w:val="ListParagraph"/>
        <w:numPr>
          <w:ilvl w:val="1"/>
          <w:numId w:val="1"/>
        </w:numPr>
        <w:jc w:val="both"/>
      </w:pPr>
      <w:r>
        <w:t xml:space="preserve">Development of the exploration </w:t>
      </w:r>
      <w:r w:rsidR="00AF2AFC">
        <w:t xml:space="preserve">program </w:t>
      </w:r>
      <w:r>
        <w:t>to ensure sufficient information would be available for the completion of a full definitive feasibility study;</w:t>
      </w:r>
      <w:r w:rsidR="003F204E">
        <w:t xml:space="preserve"> including the planning of drill spacing and deflections and ensuring that sufficient resource would be in a SAMREC compliant Measured and Indicated Resource category;</w:t>
      </w:r>
    </w:p>
    <w:p w14:paraId="355B0C6E" w14:textId="1BA07295" w:rsidR="003F204E" w:rsidRDefault="003F204E" w:rsidP="000A50A6">
      <w:pPr>
        <w:pStyle w:val="ListParagraph"/>
        <w:numPr>
          <w:ilvl w:val="1"/>
          <w:numId w:val="1"/>
        </w:numPr>
        <w:jc w:val="both"/>
      </w:pPr>
      <w:r>
        <w:t>Liaison with laboratories for assay techniques;</w:t>
      </w:r>
    </w:p>
    <w:p w14:paraId="07F2547C" w14:textId="2728B53B" w:rsidR="000A50A6" w:rsidRDefault="000A50A6" w:rsidP="000A50A6">
      <w:pPr>
        <w:pStyle w:val="ListParagraph"/>
        <w:numPr>
          <w:ilvl w:val="1"/>
          <w:numId w:val="1"/>
        </w:numPr>
        <w:jc w:val="both"/>
      </w:pPr>
      <w:r>
        <w:t>Assistance with the collation of historical geological data and literature relating to the area under investigation to ensure an efficient an</w:t>
      </w:r>
      <w:r w:rsidR="00AF2AFC">
        <w:t>d targeted exploration program</w:t>
      </w:r>
      <w:r>
        <w:t>;</w:t>
      </w:r>
    </w:p>
    <w:p w14:paraId="769FBFB5" w14:textId="77777777" w:rsidR="000A50A6" w:rsidRDefault="000A50A6" w:rsidP="000A50A6">
      <w:pPr>
        <w:pStyle w:val="ListParagraph"/>
        <w:numPr>
          <w:ilvl w:val="1"/>
          <w:numId w:val="1"/>
        </w:numPr>
        <w:jc w:val="both"/>
      </w:pPr>
      <w:r>
        <w:t>Siting of drill holes to ensure a declaration of a SAMREC compliant Indicated and Measured Resource;</w:t>
      </w:r>
    </w:p>
    <w:p w14:paraId="698A7877" w14:textId="77777777" w:rsidR="000A50A6" w:rsidRDefault="000A50A6" w:rsidP="000A50A6">
      <w:pPr>
        <w:pStyle w:val="ListParagraph"/>
        <w:numPr>
          <w:ilvl w:val="1"/>
          <w:numId w:val="1"/>
        </w:numPr>
        <w:jc w:val="both"/>
      </w:pPr>
      <w:r>
        <w:lastRenderedPageBreak/>
        <w:t>Development of a strategy and siting of drill holes to enable the discovery of the resource between 1,200 m and 350 m (prior to my involvement, the resource was only defined to from depths 1,200 m below surface;</w:t>
      </w:r>
    </w:p>
    <w:p w14:paraId="5EF219DC" w14:textId="77777777" w:rsidR="00AF2AFC" w:rsidRDefault="000A50A6" w:rsidP="000A50A6">
      <w:pPr>
        <w:pStyle w:val="ListParagraph"/>
        <w:numPr>
          <w:ilvl w:val="1"/>
          <w:numId w:val="1"/>
        </w:numPr>
        <w:jc w:val="both"/>
      </w:pPr>
      <w:r>
        <w:t xml:space="preserve">Examination and partial logging of core </w:t>
      </w:r>
      <w:r w:rsidR="00AF2AFC">
        <w:t>with a focus on the Merensky Reef, UG2 Chromitites and UG1 Chromitites</w:t>
      </w:r>
    </w:p>
    <w:p w14:paraId="003C54DC" w14:textId="0EB19F82" w:rsidR="000A50A6" w:rsidRDefault="00AF2AFC" w:rsidP="000A50A6">
      <w:pPr>
        <w:pStyle w:val="ListParagraph"/>
        <w:numPr>
          <w:ilvl w:val="1"/>
          <w:numId w:val="1"/>
        </w:numPr>
        <w:jc w:val="both"/>
      </w:pPr>
      <w:r>
        <w:t xml:space="preserve">Input on the </w:t>
      </w:r>
      <w:r w:rsidR="000A50A6">
        <w:t>development of a localised stratigraphic column;</w:t>
      </w:r>
    </w:p>
    <w:p w14:paraId="215FC3A9" w14:textId="3C637DF8" w:rsidR="005F282C" w:rsidRDefault="005F282C" w:rsidP="005F282C">
      <w:pPr>
        <w:pStyle w:val="ListParagraph"/>
        <w:numPr>
          <w:ilvl w:val="1"/>
          <w:numId w:val="1"/>
        </w:numPr>
        <w:jc w:val="both"/>
      </w:pPr>
      <w:r>
        <w:t>Project management of the “Large Mine” Scoping, Prefeasibility and Definitive Feasibility Studies, and Project management of the “Upper Mine” Scoping and Prefeasibility Studies; which are briefly discussed in Chapter 3;</w:t>
      </w:r>
    </w:p>
    <w:p w14:paraId="2590376B" w14:textId="77777777" w:rsidR="000A50A6" w:rsidRDefault="000A50A6" w:rsidP="000A50A6">
      <w:pPr>
        <w:pStyle w:val="ListParagraph"/>
        <w:numPr>
          <w:ilvl w:val="1"/>
          <w:numId w:val="1"/>
        </w:numPr>
        <w:jc w:val="both"/>
      </w:pPr>
      <w:r>
        <w:t>Project management of all aspects of licensing (Mining Right Application, Integrated Water Use License, Environmental Authorisation);</w:t>
      </w:r>
    </w:p>
    <w:p w14:paraId="28AABFE4" w14:textId="77777777" w:rsidR="000A50A6" w:rsidRDefault="000A50A6" w:rsidP="000A50A6">
      <w:pPr>
        <w:pStyle w:val="ListParagraph"/>
        <w:numPr>
          <w:ilvl w:val="1"/>
          <w:numId w:val="1"/>
        </w:numPr>
        <w:jc w:val="both"/>
      </w:pPr>
      <w:r>
        <w:t>Sample selection for metallurgical and geotechnical testing to ensure adequate characterisation of the deposit;</w:t>
      </w:r>
    </w:p>
    <w:p w14:paraId="399062A6" w14:textId="77777777" w:rsidR="000A50A6" w:rsidRDefault="000A50A6" w:rsidP="000A50A6">
      <w:pPr>
        <w:pStyle w:val="ListParagraph"/>
        <w:numPr>
          <w:ilvl w:val="1"/>
          <w:numId w:val="1"/>
        </w:numPr>
        <w:jc w:val="both"/>
      </w:pPr>
      <w:r>
        <w:t>Development, in conjunction with consultants and laboratories, of a metallurgical test work program to allow for the design of a flotation plant;</w:t>
      </w:r>
    </w:p>
    <w:p w14:paraId="73254574" w14:textId="77777777" w:rsidR="000A50A6" w:rsidRDefault="000A50A6" w:rsidP="000A50A6">
      <w:pPr>
        <w:pStyle w:val="ListParagraph"/>
        <w:numPr>
          <w:ilvl w:val="1"/>
          <w:numId w:val="1"/>
        </w:numPr>
        <w:jc w:val="both"/>
      </w:pPr>
      <w:r>
        <w:t>Liaison with three different tribal authorities to obtain permission to drill and surface right access;</w:t>
      </w:r>
    </w:p>
    <w:p w14:paraId="77E67A75" w14:textId="77777777" w:rsidR="000A50A6" w:rsidRDefault="000A50A6" w:rsidP="000A50A6">
      <w:pPr>
        <w:pStyle w:val="ListParagraph"/>
        <w:numPr>
          <w:ilvl w:val="1"/>
          <w:numId w:val="1"/>
        </w:numPr>
        <w:jc w:val="both"/>
      </w:pPr>
      <w:r>
        <w:t>Liaison with various government departments, communities and tribal authorities for approval of Infrastructure Development Projects within the Social and Labour Plan and overall development of the Social and Labour Plan;</w:t>
      </w:r>
    </w:p>
    <w:p w14:paraId="5FF4DC81" w14:textId="500D35F9" w:rsidR="000A50A6" w:rsidRDefault="000A50A6" w:rsidP="000A50A6">
      <w:pPr>
        <w:pStyle w:val="ListParagraph"/>
        <w:numPr>
          <w:ilvl w:val="1"/>
          <w:numId w:val="1"/>
        </w:numPr>
        <w:jc w:val="both"/>
      </w:pPr>
      <w:r>
        <w:t xml:space="preserve">Project management of </w:t>
      </w:r>
      <w:r w:rsidR="00420B5E">
        <w:t xml:space="preserve">all aspects listed above </w:t>
      </w:r>
      <w:r>
        <w:t>from 2009 to 2018.</w:t>
      </w:r>
    </w:p>
    <w:tbl>
      <w:tblPr>
        <w:tblStyle w:val="TableGrid"/>
        <w:tblW w:w="0" w:type="auto"/>
        <w:tblLook w:val="04A0" w:firstRow="1" w:lastRow="0" w:firstColumn="1" w:lastColumn="0" w:noHBand="0" w:noVBand="1"/>
      </w:tblPr>
      <w:tblGrid>
        <w:gridCol w:w="1696"/>
        <w:gridCol w:w="5954"/>
        <w:gridCol w:w="1366"/>
      </w:tblGrid>
      <w:tr w:rsidR="003E2BC4" w:rsidRPr="003E2BC4" w14:paraId="172B5112" w14:textId="77777777" w:rsidTr="003E2BC4">
        <w:tc>
          <w:tcPr>
            <w:tcW w:w="1696" w:type="dxa"/>
          </w:tcPr>
          <w:p w14:paraId="49791E73" w14:textId="6FEE925B" w:rsidR="003E2BC4" w:rsidRPr="003E2BC4" w:rsidRDefault="003E2BC4" w:rsidP="000A50A6">
            <w:pPr>
              <w:jc w:val="both"/>
              <w:rPr>
                <w:b/>
                <w:sz w:val="20"/>
              </w:rPr>
            </w:pPr>
            <w:r w:rsidRPr="003E2BC4">
              <w:rPr>
                <w:b/>
                <w:sz w:val="20"/>
              </w:rPr>
              <w:t>Author</w:t>
            </w:r>
          </w:p>
        </w:tc>
        <w:tc>
          <w:tcPr>
            <w:tcW w:w="5954" w:type="dxa"/>
          </w:tcPr>
          <w:p w14:paraId="4691F818" w14:textId="3402A060" w:rsidR="003E2BC4" w:rsidRPr="003E2BC4" w:rsidRDefault="003E2BC4" w:rsidP="000A50A6">
            <w:pPr>
              <w:jc w:val="both"/>
              <w:rPr>
                <w:b/>
                <w:sz w:val="20"/>
              </w:rPr>
            </w:pPr>
            <w:r w:rsidRPr="003E2BC4">
              <w:rPr>
                <w:b/>
                <w:sz w:val="20"/>
              </w:rPr>
              <w:t>Role</w:t>
            </w:r>
          </w:p>
        </w:tc>
        <w:tc>
          <w:tcPr>
            <w:tcW w:w="1366" w:type="dxa"/>
          </w:tcPr>
          <w:p w14:paraId="68E79425" w14:textId="51F1F5DE" w:rsidR="003E2BC4" w:rsidRPr="003E2BC4" w:rsidRDefault="003E2BC4" w:rsidP="000A50A6">
            <w:pPr>
              <w:jc w:val="both"/>
              <w:rPr>
                <w:b/>
                <w:sz w:val="20"/>
              </w:rPr>
            </w:pPr>
            <w:r w:rsidRPr="003E2BC4">
              <w:rPr>
                <w:b/>
                <w:sz w:val="20"/>
              </w:rPr>
              <w:t xml:space="preserve">Percentage </w:t>
            </w:r>
            <w:r>
              <w:rPr>
                <w:b/>
                <w:sz w:val="20"/>
              </w:rPr>
              <w:t>Involvement</w:t>
            </w:r>
          </w:p>
        </w:tc>
      </w:tr>
      <w:tr w:rsidR="003E2BC4" w:rsidRPr="003E2BC4" w14:paraId="34CBB36B" w14:textId="77777777" w:rsidTr="003E2BC4">
        <w:tc>
          <w:tcPr>
            <w:tcW w:w="1696" w:type="dxa"/>
          </w:tcPr>
          <w:p w14:paraId="73D1DC27" w14:textId="565349BD" w:rsidR="003E2BC4" w:rsidRPr="003E2BC4" w:rsidRDefault="003E2BC4" w:rsidP="000A50A6">
            <w:pPr>
              <w:jc w:val="both"/>
              <w:rPr>
                <w:sz w:val="20"/>
              </w:rPr>
            </w:pPr>
            <w:r w:rsidRPr="003E2BC4">
              <w:rPr>
                <w:sz w:val="20"/>
              </w:rPr>
              <w:t>Paul Nex</w:t>
            </w:r>
          </w:p>
        </w:tc>
        <w:tc>
          <w:tcPr>
            <w:tcW w:w="5954" w:type="dxa"/>
          </w:tcPr>
          <w:p w14:paraId="54F7C259" w14:textId="53FFA97A" w:rsidR="003E2BC4" w:rsidRPr="003E2BC4" w:rsidRDefault="003E2BC4" w:rsidP="000A50A6">
            <w:pPr>
              <w:jc w:val="both"/>
              <w:rPr>
                <w:sz w:val="20"/>
              </w:rPr>
            </w:pPr>
            <w:r w:rsidRPr="003E2BC4">
              <w:rPr>
                <w:sz w:val="20"/>
              </w:rPr>
              <w:t>Initial introduction to the project and for my field orientation, as well as contributed greatly towards the structural understanding of the Lesego project, with particular focus on the timing of the emplacement of the Phosiri Dome with respect to the Rustenburg Layered Suite</w:t>
            </w:r>
          </w:p>
        </w:tc>
        <w:tc>
          <w:tcPr>
            <w:tcW w:w="1366" w:type="dxa"/>
          </w:tcPr>
          <w:p w14:paraId="3FE7A5AD" w14:textId="295A4FD9" w:rsidR="003E2BC4" w:rsidRPr="003E2BC4" w:rsidRDefault="003E2BC4" w:rsidP="000A50A6">
            <w:pPr>
              <w:jc w:val="both"/>
              <w:rPr>
                <w:sz w:val="20"/>
              </w:rPr>
            </w:pPr>
            <w:r>
              <w:rPr>
                <w:sz w:val="20"/>
              </w:rPr>
              <w:t>10%</w:t>
            </w:r>
          </w:p>
        </w:tc>
      </w:tr>
      <w:tr w:rsidR="003E2BC4" w:rsidRPr="003E2BC4" w14:paraId="05BD215B" w14:textId="77777777" w:rsidTr="003E2BC4">
        <w:tc>
          <w:tcPr>
            <w:tcW w:w="1696" w:type="dxa"/>
          </w:tcPr>
          <w:p w14:paraId="05AED3FC" w14:textId="7F3AFFBC" w:rsidR="003E2BC4" w:rsidRPr="003E2BC4" w:rsidRDefault="003E2BC4" w:rsidP="000A50A6">
            <w:pPr>
              <w:jc w:val="both"/>
              <w:rPr>
                <w:sz w:val="20"/>
              </w:rPr>
            </w:pPr>
            <w:r w:rsidRPr="003E2BC4">
              <w:rPr>
                <w:sz w:val="20"/>
              </w:rPr>
              <w:t>Keith Matier</w:t>
            </w:r>
          </w:p>
        </w:tc>
        <w:tc>
          <w:tcPr>
            <w:tcW w:w="5954" w:type="dxa"/>
          </w:tcPr>
          <w:p w14:paraId="029C8D5F" w14:textId="77777777" w:rsidR="003E2BC4" w:rsidRPr="003E2BC4" w:rsidRDefault="003E2BC4" w:rsidP="000A50A6">
            <w:pPr>
              <w:jc w:val="both"/>
              <w:rPr>
                <w:sz w:val="20"/>
              </w:rPr>
            </w:pPr>
            <w:r w:rsidRPr="003E2BC4">
              <w:rPr>
                <w:sz w:val="20"/>
              </w:rPr>
              <w:t>Exploration Manager for the management of the initial period of exploration on the Phosiri Dome from 2006 through to 2008</w:t>
            </w:r>
          </w:p>
          <w:p w14:paraId="4AE830C8" w14:textId="77777777" w:rsidR="003E2BC4" w:rsidRPr="003E2BC4" w:rsidRDefault="003E2BC4" w:rsidP="003E2BC4">
            <w:pPr>
              <w:jc w:val="both"/>
              <w:rPr>
                <w:sz w:val="20"/>
              </w:rPr>
            </w:pPr>
            <w:r w:rsidRPr="003E2BC4">
              <w:rPr>
                <w:sz w:val="20"/>
              </w:rPr>
              <w:t>planning of the geophysics, soil geochemistry and initial 5-hole drilling programs.</w:t>
            </w:r>
          </w:p>
          <w:p w14:paraId="1F07224C" w14:textId="7B0ED209" w:rsidR="003E2BC4" w:rsidRPr="003E2BC4" w:rsidRDefault="003E2BC4" w:rsidP="000A50A6">
            <w:pPr>
              <w:jc w:val="both"/>
              <w:rPr>
                <w:sz w:val="20"/>
              </w:rPr>
            </w:pPr>
          </w:p>
        </w:tc>
        <w:tc>
          <w:tcPr>
            <w:tcW w:w="1366" w:type="dxa"/>
          </w:tcPr>
          <w:p w14:paraId="6FBB767A" w14:textId="66A65F27" w:rsidR="003E2BC4" w:rsidRPr="003E2BC4" w:rsidRDefault="003E2BC4" w:rsidP="000A50A6">
            <w:pPr>
              <w:jc w:val="both"/>
              <w:rPr>
                <w:sz w:val="20"/>
              </w:rPr>
            </w:pPr>
            <w:r>
              <w:rPr>
                <w:sz w:val="20"/>
              </w:rPr>
              <w:t>10%</w:t>
            </w:r>
          </w:p>
        </w:tc>
      </w:tr>
      <w:tr w:rsidR="003E2BC4" w:rsidRPr="003E2BC4" w14:paraId="4B3F400A" w14:textId="77777777" w:rsidTr="003E2BC4">
        <w:tc>
          <w:tcPr>
            <w:tcW w:w="1696" w:type="dxa"/>
          </w:tcPr>
          <w:p w14:paraId="43B55D6D" w14:textId="5C1C5DA8" w:rsidR="003E2BC4" w:rsidRPr="003E2BC4" w:rsidRDefault="003E2BC4" w:rsidP="000A50A6">
            <w:pPr>
              <w:jc w:val="both"/>
              <w:rPr>
                <w:sz w:val="20"/>
              </w:rPr>
            </w:pPr>
            <w:r w:rsidRPr="003E2BC4">
              <w:rPr>
                <w:sz w:val="20"/>
              </w:rPr>
              <w:t>Jamie Price</w:t>
            </w:r>
          </w:p>
        </w:tc>
        <w:tc>
          <w:tcPr>
            <w:tcW w:w="5954" w:type="dxa"/>
          </w:tcPr>
          <w:p w14:paraId="1FCDEF5F" w14:textId="5D09BC01" w:rsidR="003E2BC4" w:rsidRPr="003E2BC4" w:rsidRDefault="003E2BC4" w:rsidP="000A50A6">
            <w:pPr>
              <w:jc w:val="both"/>
              <w:rPr>
                <w:sz w:val="20"/>
              </w:rPr>
            </w:pPr>
            <w:r w:rsidRPr="003E2BC4">
              <w:rPr>
                <w:sz w:val="20"/>
              </w:rPr>
              <w:t>Mineralogical studies on the Merensky Reef; provided summaries of the precious metal mineral assemblages presented in Chapter 2</w:t>
            </w:r>
          </w:p>
        </w:tc>
        <w:tc>
          <w:tcPr>
            <w:tcW w:w="1366" w:type="dxa"/>
          </w:tcPr>
          <w:p w14:paraId="3A64E202" w14:textId="4D9F4007" w:rsidR="003E2BC4" w:rsidRPr="003E2BC4" w:rsidRDefault="003E2BC4" w:rsidP="000A50A6">
            <w:pPr>
              <w:jc w:val="both"/>
              <w:rPr>
                <w:sz w:val="20"/>
              </w:rPr>
            </w:pPr>
            <w:r>
              <w:rPr>
                <w:sz w:val="20"/>
              </w:rPr>
              <w:t>2.5%</w:t>
            </w:r>
          </w:p>
        </w:tc>
      </w:tr>
      <w:tr w:rsidR="003E2BC4" w:rsidRPr="003E2BC4" w14:paraId="462C787E" w14:textId="77777777" w:rsidTr="003E2BC4">
        <w:tc>
          <w:tcPr>
            <w:tcW w:w="1696" w:type="dxa"/>
          </w:tcPr>
          <w:p w14:paraId="5488AD41" w14:textId="605D8923" w:rsidR="003E2BC4" w:rsidRPr="003E2BC4" w:rsidRDefault="003E2BC4" w:rsidP="000A50A6">
            <w:pPr>
              <w:jc w:val="both"/>
              <w:rPr>
                <w:sz w:val="20"/>
              </w:rPr>
            </w:pPr>
            <w:r w:rsidRPr="003E2BC4">
              <w:rPr>
                <w:sz w:val="20"/>
              </w:rPr>
              <w:t>Innes Buurman</w:t>
            </w:r>
          </w:p>
        </w:tc>
        <w:tc>
          <w:tcPr>
            <w:tcW w:w="5954" w:type="dxa"/>
          </w:tcPr>
          <w:p w14:paraId="1A6B667D" w14:textId="626EC315" w:rsidR="003E2BC4" w:rsidRPr="003E2BC4" w:rsidRDefault="003E2BC4" w:rsidP="000A50A6">
            <w:pPr>
              <w:jc w:val="both"/>
              <w:rPr>
                <w:sz w:val="20"/>
              </w:rPr>
            </w:pPr>
            <w:r w:rsidRPr="003E2BC4">
              <w:rPr>
                <w:sz w:val="20"/>
              </w:rPr>
              <w:t>Mineralogical studies on the Merensky Reef; provided summaries of the precious metal mineral assemblages presented in Chapter 2</w:t>
            </w:r>
          </w:p>
        </w:tc>
        <w:tc>
          <w:tcPr>
            <w:tcW w:w="1366" w:type="dxa"/>
          </w:tcPr>
          <w:p w14:paraId="25479504" w14:textId="443C07C6" w:rsidR="003E2BC4" w:rsidRPr="003E2BC4" w:rsidRDefault="003E2BC4" w:rsidP="000A50A6">
            <w:pPr>
              <w:jc w:val="both"/>
              <w:rPr>
                <w:sz w:val="20"/>
              </w:rPr>
            </w:pPr>
            <w:r>
              <w:rPr>
                <w:sz w:val="20"/>
              </w:rPr>
              <w:t>2.5%</w:t>
            </w:r>
          </w:p>
        </w:tc>
      </w:tr>
      <w:tr w:rsidR="003E2BC4" w:rsidRPr="003E2BC4" w14:paraId="3DDC860C" w14:textId="77777777" w:rsidTr="003E2BC4">
        <w:tc>
          <w:tcPr>
            <w:tcW w:w="1696" w:type="dxa"/>
          </w:tcPr>
          <w:p w14:paraId="54F0435B" w14:textId="52EC688F" w:rsidR="003E2BC4" w:rsidRPr="003E2BC4" w:rsidRDefault="003E2BC4" w:rsidP="000A50A6">
            <w:pPr>
              <w:jc w:val="both"/>
              <w:rPr>
                <w:sz w:val="20"/>
              </w:rPr>
            </w:pPr>
            <w:r>
              <w:rPr>
                <w:sz w:val="20"/>
              </w:rPr>
              <w:t>Richard Montjoie</w:t>
            </w:r>
          </w:p>
        </w:tc>
        <w:tc>
          <w:tcPr>
            <w:tcW w:w="5954" w:type="dxa"/>
          </w:tcPr>
          <w:p w14:paraId="2054E343" w14:textId="4137F7CD" w:rsidR="003E2BC4" w:rsidRPr="003E2BC4" w:rsidRDefault="003E2BC4" w:rsidP="000A50A6">
            <w:pPr>
              <w:jc w:val="both"/>
              <w:rPr>
                <w:sz w:val="20"/>
              </w:rPr>
            </w:pPr>
            <w:r>
              <w:rPr>
                <w:sz w:val="20"/>
              </w:rPr>
              <w:t>Activities as listed above</w:t>
            </w:r>
          </w:p>
        </w:tc>
        <w:tc>
          <w:tcPr>
            <w:tcW w:w="1366" w:type="dxa"/>
          </w:tcPr>
          <w:p w14:paraId="739F35B6" w14:textId="315DC759" w:rsidR="003E2BC4" w:rsidRDefault="003E2BC4" w:rsidP="000A50A6">
            <w:pPr>
              <w:jc w:val="both"/>
              <w:rPr>
                <w:sz w:val="20"/>
              </w:rPr>
            </w:pPr>
            <w:r>
              <w:rPr>
                <w:sz w:val="20"/>
              </w:rPr>
              <w:t>70%</w:t>
            </w:r>
          </w:p>
        </w:tc>
      </w:tr>
    </w:tbl>
    <w:p w14:paraId="2BB5BDEE" w14:textId="77777777" w:rsidR="003E2BC4" w:rsidRDefault="003E2BC4" w:rsidP="000A50A6">
      <w:pPr>
        <w:jc w:val="both"/>
      </w:pPr>
    </w:p>
    <w:p w14:paraId="1B92C0C9" w14:textId="5EBDA026" w:rsidR="00AF2AFC" w:rsidRDefault="00AF2AFC" w:rsidP="000A50A6">
      <w:pPr>
        <w:jc w:val="both"/>
      </w:pPr>
      <w:r>
        <w:t>This research report and journal submission (Chapter 2) was drafted in its entirety while I was at the University. I was responsible for the compilation and summation of the exploration results presented in this research report.</w:t>
      </w:r>
    </w:p>
    <w:p w14:paraId="7A82A46D" w14:textId="3C2F71B6" w:rsidR="000A50A6" w:rsidRDefault="000A50A6" w:rsidP="000A50A6">
      <w:pPr>
        <w:jc w:val="both"/>
      </w:pPr>
      <w:r>
        <w:t xml:space="preserve">Chapter 2 forms the complete submission, including references, of a regular paper to Economic Geology, an independent journal published by the Society of Economic Geologists (SEG). The paper presents new and unpublished exploration results, exploration techniques, the mineral deposit profile and a potential new source of metal. </w:t>
      </w:r>
    </w:p>
    <w:p w14:paraId="6D2681D0" w14:textId="47ADAA4E" w:rsidR="00DF74E7" w:rsidRDefault="000A50A6" w:rsidP="003E2BC4">
      <w:pPr>
        <w:jc w:val="both"/>
      </w:pPr>
      <w:r>
        <w:t xml:space="preserve">The manuscript text, references, tables and figures </w:t>
      </w:r>
      <w:r w:rsidR="00FB4B78">
        <w:t>follow</w:t>
      </w:r>
      <w:r>
        <w:t xml:space="preserve"> the format and style required by the SEG. Spelling and grammar is in the format and style required by SEG, and conforms to the AGI Glossary of Geology, Chicago Manual of Style, and Merriam-Webster’s Collegiate Dictionary.</w:t>
      </w:r>
      <w:r w:rsidR="00DF74E7">
        <w:br w:type="page"/>
      </w:r>
    </w:p>
    <w:p w14:paraId="0AB4E4D1" w14:textId="77777777" w:rsidR="00DF74E7" w:rsidRDefault="00DF74E7" w:rsidP="00DF74E7">
      <w:pPr>
        <w:pStyle w:val="Heading1"/>
        <w:jc w:val="center"/>
        <w:rPr>
          <w:b/>
          <w:color w:val="000000" w:themeColor="text1"/>
        </w:rPr>
      </w:pPr>
      <w:bookmarkStart w:id="37" w:name="_Toc520758781"/>
      <w:r w:rsidRPr="00DF74E7">
        <w:rPr>
          <w:b/>
          <w:color w:val="000000" w:themeColor="text1"/>
        </w:rPr>
        <w:lastRenderedPageBreak/>
        <w:t>Chapter 2</w:t>
      </w:r>
      <w:bookmarkEnd w:id="37"/>
    </w:p>
    <w:p w14:paraId="31D6AF16" w14:textId="77777777" w:rsidR="00DF74E7" w:rsidRDefault="00DF74E7" w:rsidP="00DF74E7"/>
    <w:p w14:paraId="04F77865" w14:textId="2B4C5876" w:rsidR="00FF3013" w:rsidRPr="00DF74E7" w:rsidRDefault="00FF3013" w:rsidP="00FF3013">
      <w:pPr>
        <w:pStyle w:val="Heading2"/>
        <w:jc w:val="center"/>
        <w:rPr>
          <w:color w:val="000000" w:themeColor="text1"/>
        </w:rPr>
      </w:pPr>
      <w:r>
        <w:rPr>
          <w:color w:val="000000" w:themeColor="text1"/>
        </w:rPr>
        <w:t>Submission to Economic Geology</w:t>
      </w:r>
    </w:p>
    <w:p w14:paraId="0F0DEE69" w14:textId="77777777" w:rsidR="00EB7946" w:rsidRDefault="00EB7946" w:rsidP="00FF3013">
      <w:pPr>
        <w:jc w:val="center"/>
        <w:sectPr w:rsidR="00EB7946" w:rsidSect="00FB4B78">
          <w:footerReference w:type="default" r:id="rId11"/>
          <w:pgSz w:w="11906" w:h="16838" w:code="9"/>
          <w:pgMar w:top="1440" w:right="1440" w:bottom="1440" w:left="1440" w:header="708" w:footer="708" w:gutter="0"/>
          <w:pgNumType w:start="1"/>
          <w:cols w:space="708"/>
          <w:titlePg/>
          <w:docGrid w:linePitch="360"/>
        </w:sectPr>
      </w:pPr>
    </w:p>
    <w:p w14:paraId="7C54243B" w14:textId="77777777" w:rsidR="00EB7946" w:rsidRPr="00EB7946" w:rsidRDefault="00EB7946" w:rsidP="00EB7946">
      <w:pPr>
        <w:jc w:val="center"/>
        <w:rPr>
          <w:rFonts w:ascii="Calibri" w:eastAsia="Calibri" w:hAnsi="Calibri" w:cs="Times New Roman"/>
          <w:b/>
        </w:rPr>
      </w:pPr>
      <w:r w:rsidRPr="00EB7946">
        <w:rPr>
          <w:rFonts w:ascii="Calibri" w:eastAsia="Calibri" w:hAnsi="Calibri" w:cs="Times New Roman"/>
          <w:b/>
        </w:rPr>
        <w:lastRenderedPageBreak/>
        <w:t xml:space="preserve">Exploration, Discovery, Characteristics and Resource of the Lesego </w:t>
      </w:r>
    </w:p>
    <w:p w14:paraId="42FEF108" w14:textId="77777777" w:rsidR="00EB7946" w:rsidRPr="00EB7946" w:rsidRDefault="00EB7946" w:rsidP="00EB7946">
      <w:pPr>
        <w:jc w:val="center"/>
        <w:rPr>
          <w:rFonts w:ascii="Calibri" w:eastAsia="Calibri" w:hAnsi="Calibri" w:cs="Times New Roman"/>
          <w:b/>
        </w:rPr>
      </w:pPr>
      <w:r w:rsidRPr="00EB7946">
        <w:rPr>
          <w:rFonts w:ascii="Calibri" w:eastAsia="Calibri" w:hAnsi="Calibri" w:cs="Times New Roman"/>
          <w:b/>
        </w:rPr>
        <w:t xml:space="preserve"> PGE Deposit, Phosiri Dome, Bushveld Complex, South Africa</w:t>
      </w:r>
    </w:p>
    <w:p w14:paraId="497194A6" w14:textId="77777777" w:rsidR="00EB7946" w:rsidRPr="00EB7946" w:rsidRDefault="00EB7946" w:rsidP="00EB7946">
      <w:pPr>
        <w:jc w:val="center"/>
        <w:rPr>
          <w:rFonts w:ascii="Calibri" w:eastAsia="Calibri" w:hAnsi="Calibri" w:cs="Times New Roman"/>
          <w:b/>
          <w:vertAlign w:val="superscript"/>
        </w:rPr>
      </w:pPr>
      <w:r w:rsidRPr="00EB7946">
        <w:rPr>
          <w:rFonts w:ascii="Calibri" w:eastAsia="Calibri" w:hAnsi="Calibri" w:cs="Times New Roman"/>
          <w:b/>
        </w:rPr>
        <w:t>Montjoie, R.</w:t>
      </w:r>
      <w:r w:rsidRPr="00EB7946">
        <w:rPr>
          <w:rFonts w:ascii="Calibri" w:eastAsia="Calibri" w:hAnsi="Calibri" w:cs="Times New Roman"/>
          <w:b/>
          <w:vertAlign w:val="superscript"/>
        </w:rPr>
        <w:t>1</w:t>
      </w:r>
      <w:r w:rsidRPr="00EB7946">
        <w:rPr>
          <w:rFonts w:ascii="Calibri" w:eastAsia="Calibri" w:hAnsi="Calibri" w:cs="Times New Roman"/>
          <w:b/>
        </w:rPr>
        <w:t xml:space="preserve"> Nex. P.A.M.</w:t>
      </w:r>
      <w:r w:rsidRPr="00EB7946">
        <w:rPr>
          <w:rFonts w:ascii="Calibri" w:eastAsia="Calibri" w:hAnsi="Calibri" w:cs="Times New Roman"/>
          <w:b/>
          <w:vertAlign w:val="superscript"/>
        </w:rPr>
        <w:t>2</w:t>
      </w:r>
      <w:r w:rsidRPr="00EB7946">
        <w:rPr>
          <w:rFonts w:ascii="Calibri" w:eastAsia="Calibri" w:hAnsi="Calibri" w:cs="Times New Roman"/>
          <w:b/>
        </w:rPr>
        <w:t>, Price, J.</w:t>
      </w:r>
      <w:r w:rsidRPr="00EB7946">
        <w:rPr>
          <w:rFonts w:ascii="Calibri" w:eastAsia="Calibri" w:hAnsi="Calibri" w:cs="Times New Roman"/>
          <w:b/>
          <w:vertAlign w:val="superscript"/>
        </w:rPr>
        <w:t>3</w:t>
      </w:r>
      <w:r w:rsidRPr="00EB7946">
        <w:rPr>
          <w:rFonts w:ascii="Calibri" w:eastAsia="Calibri" w:hAnsi="Calibri" w:cs="Times New Roman"/>
          <w:b/>
        </w:rPr>
        <w:t>, Buurman., I</w:t>
      </w:r>
      <w:r w:rsidRPr="00EB7946">
        <w:rPr>
          <w:rFonts w:ascii="Calibri" w:eastAsia="Calibri" w:hAnsi="Calibri" w:cs="Times New Roman"/>
          <w:b/>
          <w:vertAlign w:val="superscript"/>
        </w:rPr>
        <w:t>1</w:t>
      </w:r>
      <w:r w:rsidRPr="00EB7946">
        <w:rPr>
          <w:rFonts w:ascii="Calibri" w:eastAsia="Calibri" w:hAnsi="Calibri" w:cs="Times New Roman"/>
          <w:b/>
        </w:rPr>
        <w:t>. Matier, K.</w:t>
      </w:r>
      <w:r w:rsidRPr="00EB7946">
        <w:rPr>
          <w:rFonts w:ascii="Calibri" w:eastAsia="Calibri" w:hAnsi="Calibri" w:cs="Times New Roman"/>
          <w:b/>
          <w:vertAlign w:val="superscript"/>
        </w:rPr>
        <w:t>4</w:t>
      </w:r>
    </w:p>
    <w:p w14:paraId="25608EDB" w14:textId="77777777" w:rsidR="00EB7946" w:rsidRPr="00EB7946" w:rsidRDefault="00EB7946" w:rsidP="00EB7946">
      <w:pPr>
        <w:spacing w:after="0"/>
        <w:rPr>
          <w:rFonts w:ascii="Calibri" w:eastAsia="Calibri" w:hAnsi="Calibri" w:cs="Times New Roman"/>
          <w:sz w:val="20"/>
        </w:rPr>
      </w:pPr>
      <w:r w:rsidRPr="00EB7946">
        <w:rPr>
          <w:rFonts w:ascii="Calibri" w:eastAsia="Calibri" w:hAnsi="Calibri" w:cs="Times New Roman"/>
          <w:sz w:val="20"/>
          <w:vertAlign w:val="superscript"/>
        </w:rPr>
        <w:t>1</w:t>
      </w:r>
      <w:r w:rsidRPr="00EB7946">
        <w:rPr>
          <w:rFonts w:ascii="Calibri" w:eastAsia="Calibri" w:hAnsi="Calibri" w:cs="Times New Roman"/>
          <w:sz w:val="20"/>
        </w:rPr>
        <w:t xml:space="preserve"> Umbono Financial Services. Suite 201, Private Bag X30500, Houghton, 2041, South Africa. Email: rmontjoie@umbono.com</w:t>
      </w:r>
    </w:p>
    <w:p w14:paraId="04552647" w14:textId="77777777" w:rsidR="00EB7946" w:rsidRPr="00EB7946" w:rsidRDefault="00EB7946" w:rsidP="00EB7946">
      <w:pPr>
        <w:spacing w:after="0"/>
        <w:rPr>
          <w:rFonts w:ascii="Calibri" w:eastAsia="Calibri" w:hAnsi="Calibri" w:cs="Times New Roman"/>
          <w:sz w:val="20"/>
        </w:rPr>
      </w:pPr>
      <w:r w:rsidRPr="00EB7946">
        <w:rPr>
          <w:rFonts w:ascii="Calibri" w:eastAsia="Calibri" w:hAnsi="Calibri" w:cs="Times New Roman"/>
          <w:sz w:val="20"/>
          <w:vertAlign w:val="superscript"/>
        </w:rPr>
        <w:t>2</w:t>
      </w:r>
      <w:r w:rsidRPr="00EB7946">
        <w:rPr>
          <w:rFonts w:ascii="Calibri" w:eastAsia="Calibri" w:hAnsi="Calibri" w:cs="Times New Roman"/>
          <w:sz w:val="20"/>
        </w:rPr>
        <w:t xml:space="preserve"> Department of Geosciences, University of the Witwatersrand, PO Wits, 2050, South Africa</w:t>
      </w:r>
    </w:p>
    <w:p w14:paraId="51AA268B" w14:textId="77777777" w:rsidR="00EB7946" w:rsidRPr="00EB7946" w:rsidRDefault="00EB7946" w:rsidP="00EB7946">
      <w:pPr>
        <w:spacing w:after="0"/>
        <w:rPr>
          <w:rFonts w:ascii="Calibri" w:eastAsia="Calibri" w:hAnsi="Calibri" w:cs="Times New Roman"/>
          <w:sz w:val="20"/>
        </w:rPr>
      </w:pPr>
      <w:r w:rsidRPr="00EB7946">
        <w:rPr>
          <w:rFonts w:ascii="Calibri" w:eastAsia="Calibri" w:hAnsi="Calibri" w:cs="Times New Roman"/>
          <w:sz w:val="20"/>
          <w:vertAlign w:val="superscript"/>
        </w:rPr>
        <w:t>3</w:t>
      </w:r>
      <w:r w:rsidRPr="00EB7946">
        <w:rPr>
          <w:rFonts w:ascii="Calibri" w:eastAsia="Calibri" w:hAnsi="Calibri" w:cs="Times New Roman"/>
          <w:sz w:val="20"/>
        </w:rPr>
        <w:t xml:space="preserve"> School of Earth &amp; Ocean Sciences, Cardiff University, CF10 3AT UK</w:t>
      </w:r>
    </w:p>
    <w:p w14:paraId="0795778B" w14:textId="77777777" w:rsidR="00EB7946" w:rsidRPr="00EB7946" w:rsidRDefault="00EB7946" w:rsidP="00EB7946">
      <w:pPr>
        <w:spacing w:after="0"/>
        <w:rPr>
          <w:rFonts w:ascii="Calibri" w:eastAsia="Calibri" w:hAnsi="Calibri" w:cs="Times New Roman"/>
          <w:sz w:val="20"/>
        </w:rPr>
      </w:pPr>
      <w:r w:rsidRPr="00EB7946">
        <w:rPr>
          <w:rFonts w:ascii="Calibri" w:eastAsia="Calibri" w:hAnsi="Calibri" w:cs="Times New Roman"/>
          <w:sz w:val="20"/>
          <w:vertAlign w:val="superscript"/>
        </w:rPr>
        <w:t>4</w:t>
      </w:r>
      <w:r w:rsidRPr="00EB7946">
        <w:rPr>
          <w:rFonts w:ascii="Calibri" w:eastAsia="Calibri" w:hAnsi="Calibri" w:cs="Times New Roman"/>
          <w:sz w:val="20"/>
        </w:rPr>
        <w:t xml:space="preserve"> KWJ Matier, Kemajo Holdings (Pty) Ltd, 14a George Street, Bryanston, 2194</w:t>
      </w:r>
    </w:p>
    <w:p w14:paraId="0C17C932" w14:textId="77777777" w:rsidR="00EB7946" w:rsidRPr="00EB7946" w:rsidRDefault="00EB7946" w:rsidP="00EB7946">
      <w:pPr>
        <w:spacing w:after="0"/>
        <w:rPr>
          <w:rFonts w:ascii="Calibri" w:eastAsia="Calibri" w:hAnsi="Calibri" w:cs="Times New Roman"/>
          <w:sz w:val="20"/>
        </w:rPr>
      </w:pPr>
    </w:p>
    <w:p w14:paraId="078E3166" w14:textId="77777777" w:rsidR="00EB7946" w:rsidRPr="00EB7946" w:rsidRDefault="00EB7946" w:rsidP="00EB7946">
      <w:pPr>
        <w:jc w:val="center"/>
        <w:rPr>
          <w:rFonts w:ascii="Calibri" w:eastAsia="Calibri" w:hAnsi="Calibri" w:cs="Times New Roman"/>
          <w:b/>
        </w:rPr>
      </w:pPr>
      <w:r w:rsidRPr="00EB7946">
        <w:rPr>
          <w:rFonts w:ascii="Calibri" w:eastAsia="Calibri" w:hAnsi="Calibri" w:cs="Times New Roman"/>
          <w:b/>
        </w:rPr>
        <w:t>Abstract</w:t>
      </w:r>
    </w:p>
    <w:p w14:paraId="13EF934C" w14:textId="66A52909" w:rsidR="00EB7946" w:rsidRPr="00EB7946" w:rsidRDefault="003D514F" w:rsidP="005F282C">
      <w:pPr>
        <w:ind w:left="567" w:right="567"/>
        <w:jc w:val="both"/>
        <w:rPr>
          <w:rFonts w:ascii="Calibri" w:eastAsia="Calibri" w:hAnsi="Calibri" w:cs="Times New Roman"/>
        </w:rPr>
      </w:pPr>
      <w:r w:rsidRPr="003D5E74">
        <w:t xml:space="preserve">The recently discovered Lesego Platinum Merensky Reef and UG2 </w:t>
      </w:r>
      <w:r w:rsidR="0009662E">
        <w:t>C</w:t>
      </w:r>
      <w:r w:rsidR="0009662E" w:rsidRPr="003D5E74">
        <w:t>hromitite</w:t>
      </w:r>
      <w:r w:rsidRPr="003D5E74">
        <w:t xml:space="preserve"> deposit is a 39 million-ounce PGE deposit hosted in the northeastern portion of the Bushveld Complex, South Africa. The upward displacement of </w:t>
      </w:r>
      <w:r w:rsidR="005F282C">
        <w:t xml:space="preserve">metasedimentary </w:t>
      </w:r>
      <w:r w:rsidRPr="003D5E74">
        <w:t>floor rock</w:t>
      </w:r>
      <w:r w:rsidR="005F282C">
        <w:t>s</w:t>
      </w:r>
      <w:r w:rsidRPr="003D5E74">
        <w:t xml:space="preserve"> during </w:t>
      </w:r>
      <w:r w:rsidR="005F282C">
        <w:t xml:space="preserve">and after </w:t>
      </w:r>
      <w:r w:rsidRPr="003D5E74">
        <w:t xml:space="preserve">the emplacement of the </w:t>
      </w:r>
      <w:r>
        <w:t xml:space="preserve">Rustenburg Layered Suite </w:t>
      </w:r>
      <w:r w:rsidR="00A9526B">
        <w:t xml:space="preserve">of the Bushveld Complex </w:t>
      </w:r>
      <w:r w:rsidRPr="003D5E74">
        <w:t>as a result of gravitational forces has resulted in the economically important horizons, which would normally be at several kilometers depth, being brought closer to surface by the Phosiri Dome. The Phosiri Dome has</w:t>
      </w:r>
      <w:r>
        <w:t>,</w:t>
      </w:r>
      <w:r w:rsidRPr="003D5E74">
        <w:t xml:space="preserve"> however</w:t>
      </w:r>
      <w:r>
        <w:t>,</w:t>
      </w:r>
      <w:r w:rsidRPr="003D5E74">
        <w:t xml:space="preserve"> had a dramatic effect on the morphology and grade of the Merensky and UG2 reefs. The reefs are almost vertical in close proximity to the Phosiri Dome, b</w:t>
      </w:r>
      <w:r>
        <w:t>ut rapidly flatten out at depth</w:t>
      </w:r>
      <w:r w:rsidRPr="003D5E74">
        <w:t xml:space="preserve"> to the shallow </w:t>
      </w:r>
      <w:r>
        <w:t xml:space="preserve">westerly </w:t>
      </w:r>
      <w:r w:rsidRPr="003D5E74">
        <w:t>dips more consistent with traditional Merensky and UG2 reefs</w:t>
      </w:r>
      <w:r>
        <w:t xml:space="preserve"> in the area</w:t>
      </w:r>
      <w:r w:rsidR="005F282C">
        <w:t xml:space="preserve">. An anatectic </w:t>
      </w:r>
      <w:r w:rsidRPr="003D5E74">
        <w:t xml:space="preserve">melt </w:t>
      </w:r>
      <w:r w:rsidR="005F282C">
        <w:t xml:space="preserve">has </w:t>
      </w:r>
      <w:r w:rsidRPr="003D5E74">
        <w:t xml:space="preserve">obliterated the reef horizons closer to surface, resulting in the </w:t>
      </w:r>
      <w:r w:rsidR="005F282C">
        <w:t>upper portions of the orebody</w:t>
      </w:r>
      <w:r w:rsidRPr="003D5E74">
        <w:t xml:space="preserve"> remaining undiscovered since the area was first explored in the 1980’s. Reef morphology and PGE mineralogy in the Merensky Reef further away from the Phosiri Dome </w:t>
      </w:r>
      <w:r>
        <w:t>are</w:t>
      </w:r>
      <w:r w:rsidRPr="003D5E74">
        <w:t xml:space="preserve"> consistent with that of surrounding </w:t>
      </w:r>
      <w:r>
        <w:t>deposits.</w:t>
      </w:r>
      <w:r w:rsidR="005F282C">
        <w:t xml:space="preserve"> The Platinum Group Metal assemblage in silicate units of the Merensky Reef consists of PGE-bismuthotellurides, principally moncheite and  merenskyite, whereas the chromitite units of the Merensky Reef also contain an additional PGM assemblage comprising braggite, cooperite, and laurite.</w:t>
      </w:r>
    </w:p>
    <w:p w14:paraId="68F27EAF" w14:textId="77777777" w:rsidR="00EB7946" w:rsidRPr="00CE738E" w:rsidRDefault="00EB7946" w:rsidP="00CE738E">
      <w:pPr>
        <w:pStyle w:val="Heading2"/>
        <w:rPr>
          <w:color w:val="000000" w:themeColor="text1"/>
        </w:rPr>
      </w:pPr>
      <w:bookmarkStart w:id="38" w:name="_Toc501030981"/>
      <w:bookmarkStart w:id="39" w:name="_Toc520758782"/>
      <w:r w:rsidRPr="00CE738E">
        <w:rPr>
          <w:color w:val="000000" w:themeColor="text1"/>
        </w:rPr>
        <w:t>Introduction</w:t>
      </w:r>
      <w:bookmarkEnd w:id="38"/>
      <w:bookmarkEnd w:id="39"/>
    </w:p>
    <w:p w14:paraId="39F2E2A1" w14:textId="344827D6" w:rsidR="00EB7946" w:rsidRPr="00EB7946" w:rsidRDefault="00EB7946" w:rsidP="00EB7946">
      <w:pPr>
        <w:jc w:val="both"/>
        <w:rPr>
          <w:rFonts w:ascii="Calibri" w:eastAsia="Calibri" w:hAnsi="Calibri" w:cs="Times New Roman"/>
        </w:rPr>
      </w:pPr>
      <w:bookmarkStart w:id="40" w:name="_Toc453319052"/>
      <w:bookmarkStart w:id="41" w:name="_Toc455651384"/>
      <w:bookmarkStart w:id="42" w:name="_Toc501030982"/>
      <w:r w:rsidRPr="00EB7946">
        <w:rPr>
          <w:rFonts w:ascii="Calibri" w:eastAsia="Calibri" w:hAnsi="Calibri" w:cs="Times New Roman"/>
        </w:rPr>
        <w:t>The Bushveld Complex of South Africa is the world’s largest source of platinum (7</w:t>
      </w:r>
      <w:r w:rsidR="00A9526B">
        <w:rPr>
          <w:rFonts w:ascii="Calibri" w:eastAsia="Calibri" w:hAnsi="Calibri" w:cs="Times New Roman"/>
        </w:rPr>
        <w:t>5</w:t>
      </w:r>
      <w:r w:rsidRPr="00EB7946">
        <w:rPr>
          <w:rFonts w:ascii="Calibri" w:eastAsia="Calibri" w:hAnsi="Calibri" w:cs="Times New Roman"/>
        </w:rPr>
        <w:t>%) and rhodium (</w:t>
      </w:r>
      <w:r w:rsidR="00A9526B">
        <w:rPr>
          <w:rFonts w:ascii="Calibri" w:eastAsia="Calibri" w:hAnsi="Calibri" w:cs="Times New Roman"/>
        </w:rPr>
        <w:t>80</w:t>
      </w:r>
      <w:r w:rsidRPr="00EB7946">
        <w:rPr>
          <w:rFonts w:ascii="Calibri" w:eastAsia="Calibri" w:hAnsi="Calibri" w:cs="Times New Roman"/>
        </w:rPr>
        <w:t>%), and a major source of palladium (</w:t>
      </w:r>
      <w:r w:rsidR="00A9526B">
        <w:rPr>
          <w:rFonts w:ascii="Calibri" w:eastAsia="Calibri" w:hAnsi="Calibri" w:cs="Times New Roman"/>
        </w:rPr>
        <w:t>52</w:t>
      </w:r>
      <w:r w:rsidRPr="00EB7946">
        <w:rPr>
          <w:rFonts w:ascii="Calibri" w:eastAsia="Calibri" w:hAnsi="Calibri" w:cs="Times New Roman"/>
        </w:rPr>
        <w:t>%) (</w:t>
      </w:r>
      <w:r w:rsidR="00A9526B">
        <w:rPr>
          <w:rFonts w:ascii="Calibri" w:eastAsia="Calibri" w:hAnsi="Calibri" w:cs="Times New Roman"/>
        </w:rPr>
        <w:t xml:space="preserve">Naldrett </w:t>
      </w:r>
      <w:r w:rsidR="00A9526B" w:rsidRPr="00785551">
        <w:rPr>
          <w:rFonts w:ascii="Calibri" w:eastAsia="Calibri" w:hAnsi="Calibri" w:cs="Times New Roman"/>
          <w:i/>
        </w:rPr>
        <w:t>et a</w:t>
      </w:r>
      <w:r w:rsidR="008B5AC2" w:rsidRPr="00785551">
        <w:rPr>
          <w:rFonts w:ascii="Calibri" w:eastAsia="Calibri" w:hAnsi="Calibri" w:cs="Times New Roman"/>
          <w:i/>
        </w:rPr>
        <w:t>l</w:t>
      </w:r>
      <w:r w:rsidR="008B5AC2">
        <w:rPr>
          <w:rFonts w:ascii="Calibri" w:eastAsia="Calibri" w:hAnsi="Calibri" w:cs="Times New Roman"/>
        </w:rPr>
        <w:t>., 2015</w:t>
      </w:r>
      <w:r w:rsidRPr="00EB7946">
        <w:rPr>
          <w:rFonts w:ascii="Calibri" w:eastAsia="Calibri" w:hAnsi="Calibri" w:cs="Times New Roman"/>
        </w:rPr>
        <w:t xml:space="preserve">) that has been exploited from the Merensky and UG2 Chromitite </w:t>
      </w:r>
      <w:r w:rsidR="00A9526B">
        <w:rPr>
          <w:rFonts w:ascii="Calibri" w:eastAsia="Calibri" w:hAnsi="Calibri" w:cs="Times New Roman"/>
        </w:rPr>
        <w:t>r</w:t>
      </w:r>
      <w:r w:rsidRPr="00EB7946">
        <w:rPr>
          <w:rFonts w:ascii="Calibri" w:eastAsia="Calibri" w:hAnsi="Calibri" w:cs="Times New Roman"/>
        </w:rPr>
        <w:t xml:space="preserve">eefs for close to 90 years. As traditional resources of PGE’s are depleted, the PGE mining industry is faced with the increasing costs associated with exploiting deeper resources. Innovative exploration techniques in structurally disturbed areas of the Bushveld Complex can reveal previously undiscovered resources contained within the Merensky and UG2 reefs. The recently discovered Lesego Platinum Merensky </w:t>
      </w:r>
      <w:r w:rsidR="0009662E">
        <w:rPr>
          <w:rFonts w:ascii="Calibri" w:eastAsia="Calibri" w:hAnsi="Calibri" w:cs="Times New Roman"/>
        </w:rPr>
        <w:t xml:space="preserve">Reef </w:t>
      </w:r>
      <w:r w:rsidRPr="00EB7946">
        <w:rPr>
          <w:rFonts w:ascii="Calibri" w:eastAsia="Calibri" w:hAnsi="Calibri" w:cs="Times New Roman"/>
        </w:rPr>
        <w:t xml:space="preserve">and UG2 </w:t>
      </w:r>
      <w:r w:rsidR="0009662E" w:rsidRPr="00EB7946">
        <w:rPr>
          <w:rFonts w:ascii="Calibri" w:eastAsia="Calibri" w:hAnsi="Calibri" w:cs="Times New Roman"/>
        </w:rPr>
        <w:t>Chromitite</w:t>
      </w:r>
      <w:r w:rsidRPr="00EB7946">
        <w:rPr>
          <w:rFonts w:ascii="Calibri" w:eastAsia="Calibri" w:hAnsi="Calibri" w:cs="Times New Roman"/>
        </w:rPr>
        <w:t xml:space="preserve"> deposit is located approximately 300 km northeast of Johannesburg, South Africa, and is located approximately 20 km downdip of </w:t>
      </w:r>
      <w:r w:rsidR="00231F83">
        <w:rPr>
          <w:rFonts w:ascii="Calibri" w:eastAsia="Calibri" w:hAnsi="Calibri" w:cs="Times New Roman"/>
        </w:rPr>
        <w:t>the</w:t>
      </w:r>
      <w:r w:rsidR="00231F83" w:rsidRPr="00EB7946">
        <w:rPr>
          <w:rFonts w:ascii="Calibri" w:eastAsia="Calibri" w:hAnsi="Calibri" w:cs="Times New Roman"/>
        </w:rPr>
        <w:t xml:space="preserve"> </w:t>
      </w:r>
      <w:r w:rsidR="00231F83">
        <w:rPr>
          <w:rFonts w:ascii="Calibri" w:eastAsia="Calibri" w:hAnsi="Calibri" w:cs="Times New Roman"/>
        </w:rPr>
        <w:t>approximately</w:t>
      </w:r>
      <w:r w:rsidR="0009662E">
        <w:rPr>
          <w:rFonts w:ascii="Calibri" w:eastAsia="Calibri" w:hAnsi="Calibri" w:cs="Times New Roman"/>
        </w:rPr>
        <w:t xml:space="preserve"> </w:t>
      </w:r>
      <w:r w:rsidRPr="00EB7946">
        <w:rPr>
          <w:rFonts w:ascii="Calibri" w:eastAsia="Calibri" w:hAnsi="Calibri" w:cs="Times New Roman"/>
        </w:rPr>
        <w:t xml:space="preserve">50-year-old </w:t>
      </w:r>
      <w:r w:rsidR="0009662E">
        <w:rPr>
          <w:rFonts w:ascii="Calibri" w:eastAsia="Calibri" w:hAnsi="Calibri" w:cs="Times New Roman"/>
        </w:rPr>
        <w:t xml:space="preserve">Bokoni (formerly ATOK) </w:t>
      </w:r>
      <w:r w:rsidRPr="00EB7946">
        <w:rPr>
          <w:rFonts w:ascii="Calibri" w:eastAsia="Calibri" w:hAnsi="Calibri" w:cs="Times New Roman"/>
        </w:rPr>
        <w:t>platinum mine. Village Main Reef, through its subsidiary Lesego Platinum Mining (Pty) Ltd, discovered the Lesego deposit through a methodical compilation of geological and historical exploration data in the broader area and applied a systematic exploration program, resulting in the definition of a SAMREC-compliant 39 million-ounce 3PGE+Au deposit from a depth of 350 m to 2,250 m below surface (Njowa</w:t>
      </w:r>
      <w:r w:rsidR="00231F83">
        <w:rPr>
          <w:rFonts w:ascii="Calibri" w:eastAsia="Calibri" w:hAnsi="Calibri" w:cs="Times New Roman"/>
        </w:rPr>
        <w:t xml:space="preserve"> and Clay</w:t>
      </w:r>
      <w:r w:rsidRPr="00EB7946">
        <w:rPr>
          <w:rFonts w:ascii="Calibri" w:eastAsia="Calibri" w:hAnsi="Calibri" w:cs="Times New Roman"/>
        </w:rPr>
        <w:t>, 2010).</w:t>
      </w:r>
    </w:p>
    <w:p w14:paraId="35ED1946" w14:textId="77777777" w:rsidR="00EB7946" w:rsidRPr="00CE738E" w:rsidRDefault="00EB7946" w:rsidP="00CE738E">
      <w:pPr>
        <w:pStyle w:val="Heading2"/>
        <w:rPr>
          <w:color w:val="000000" w:themeColor="text1"/>
        </w:rPr>
      </w:pPr>
      <w:bookmarkStart w:id="43" w:name="_Toc520758783"/>
      <w:r w:rsidRPr="00CE738E">
        <w:rPr>
          <w:color w:val="000000" w:themeColor="text1"/>
        </w:rPr>
        <w:t>Regional Geology</w:t>
      </w:r>
      <w:bookmarkEnd w:id="40"/>
      <w:bookmarkEnd w:id="41"/>
      <w:bookmarkEnd w:id="42"/>
      <w:bookmarkEnd w:id="43"/>
    </w:p>
    <w:p w14:paraId="63EF63A6" w14:textId="0132B21B"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w:t>
      </w:r>
      <w:r w:rsidR="00A9526B">
        <w:rPr>
          <w:rFonts w:ascii="Calibri" w:eastAsia="Calibri" w:hAnsi="Calibri" w:cs="Times New Roman"/>
        </w:rPr>
        <w:t xml:space="preserve">Rustenburg Layered Suite of the </w:t>
      </w:r>
      <w:r w:rsidRPr="00EB7946">
        <w:rPr>
          <w:rFonts w:ascii="Calibri" w:eastAsia="Calibri" w:hAnsi="Calibri" w:cs="Times New Roman"/>
        </w:rPr>
        <w:t xml:space="preserve">Bushveld Complex is dated at </w:t>
      </w:r>
      <w:r w:rsidR="00435BC9">
        <w:rPr>
          <w:rFonts w:ascii="Calibri" w:eastAsia="Calibri" w:hAnsi="Calibri" w:cs="Calibri"/>
        </w:rPr>
        <w:t>±</w:t>
      </w:r>
      <w:r w:rsidRPr="00EB7946">
        <w:rPr>
          <w:rFonts w:ascii="Calibri" w:eastAsia="Calibri" w:hAnsi="Calibri" w:cs="Times New Roman"/>
        </w:rPr>
        <w:t xml:space="preserve">2.055 Ga (Zeh </w:t>
      </w:r>
      <w:r w:rsidRPr="00785551">
        <w:rPr>
          <w:rFonts w:ascii="Calibri" w:eastAsia="Calibri" w:hAnsi="Calibri" w:cs="Times New Roman"/>
          <w:i/>
        </w:rPr>
        <w:t>et al</w:t>
      </w:r>
      <w:r w:rsidRPr="00EB7946">
        <w:rPr>
          <w:rFonts w:ascii="Calibri" w:eastAsia="Calibri" w:hAnsi="Calibri" w:cs="Times New Roman"/>
          <w:i/>
        </w:rPr>
        <w:t xml:space="preserve">., </w:t>
      </w:r>
      <w:r w:rsidRPr="00EB7946">
        <w:rPr>
          <w:rFonts w:ascii="Calibri" w:eastAsia="Calibri" w:hAnsi="Calibri" w:cs="Times New Roman"/>
        </w:rPr>
        <w:t>2015) and is the largest known layered igneous complex in the world (Cawthorn, 1999a). Situated within the north-central Kaapvaal Craton, it has a surface area of approximately 90,000km</w:t>
      </w:r>
      <w:r w:rsidRPr="00EB7946">
        <w:rPr>
          <w:rFonts w:ascii="Calibri" w:eastAsia="Calibri" w:hAnsi="Calibri" w:cs="Times New Roman"/>
          <w:vertAlign w:val="superscript"/>
        </w:rPr>
        <w:t>2</w:t>
      </w:r>
      <w:r w:rsidRPr="00EB7946">
        <w:rPr>
          <w:rFonts w:ascii="Calibri" w:eastAsia="Calibri" w:hAnsi="Calibri" w:cs="Times New Roman"/>
        </w:rPr>
        <w:t xml:space="preserve">, with an east – west extent of 250 km and a north </w:t>
      </w:r>
      <w:r w:rsidR="00231F83">
        <w:rPr>
          <w:rFonts w:ascii="Calibri" w:eastAsia="Calibri" w:hAnsi="Calibri" w:cs="Times New Roman"/>
        </w:rPr>
        <w:t xml:space="preserve">– </w:t>
      </w:r>
      <w:r w:rsidRPr="00EB7946">
        <w:rPr>
          <w:rFonts w:ascii="Calibri" w:eastAsia="Calibri" w:hAnsi="Calibri" w:cs="Times New Roman"/>
        </w:rPr>
        <w:t xml:space="preserve">south extent in the order of 300 km (Finn </w:t>
      </w:r>
      <w:r w:rsidRPr="00785551">
        <w:rPr>
          <w:rFonts w:ascii="Calibri" w:eastAsia="Calibri" w:hAnsi="Calibri" w:cs="Times New Roman"/>
          <w:i/>
        </w:rPr>
        <w:t>et al</w:t>
      </w:r>
      <w:r w:rsidRPr="00EB7946">
        <w:rPr>
          <w:rFonts w:ascii="Calibri" w:eastAsia="Calibri" w:hAnsi="Calibri" w:cs="Times New Roman"/>
          <w:i/>
        </w:rPr>
        <w:t>.,</w:t>
      </w:r>
      <w:r w:rsidRPr="00EB7946">
        <w:rPr>
          <w:rFonts w:ascii="Calibri" w:eastAsia="Calibri" w:hAnsi="Calibri" w:cs="Times New Roman"/>
        </w:rPr>
        <w:t xml:space="preserve"> 2015). The Bushveld magmas exhibit a transgressive </w:t>
      </w:r>
      <w:r w:rsidR="00231F83">
        <w:rPr>
          <w:rFonts w:ascii="Calibri" w:eastAsia="Calibri" w:hAnsi="Calibri" w:cs="Times New Roman"/>
        </w:rPr>
        <w:lastRenderedPageBreak/>
        <w:t xml:space="preserve">intrusive </w:t>
      </w:r>
      <w:r w:rsidRPr="00EB7946">
        <w:rPr>
          <w:rFonts w:ascii="Calibri" w:eastAsia="Calibri" w:hAnsi="Calibri" w:cs="Times New Roman"/>
        </w:rPr>
        <w:t>relationship to the Transvaal Supergroup, a large sedimentary basin of late Archaean</w:t>
      </w:r>
      <w:r w:rsidR="00231F83">
        <w:rPr>
          <w:rFonts w:ascii="Calibri" w:eastAsia="Calibri" w:hAnsi="Calibri" w:cs="Times New Roman"/>
        </w:rPr>
        <w:t xml:space="preserve"> to early </w:t>
      </w:r>
      <w:r w:rsidRPr="00EB7946">
        <w:rPr>
          <w:rFonts w:ascii="Calibri" w:eastAsia="Calibri" w:hAnsi="Calibri" w:cs="Times New Roman"/>
        </w:rPr>
        <w:t xml:space="preserve">Proterozoic age, which forms the floor </w:t>
      </w:r>
      <w:r w:rsidR="00786880">
        <w:rPr>
          <w:rFonts w:ascii="Calibri" w:eastAsia="Calibri" w:hAnsi="Calibri" w:cs="Times New Roman"/>
        </w:rPr>
        <w:t xml:space="preserve">and roof </w:t>
      </w:r>
      <w:r w:rsidRPr="00EB7946">
        <w:rPr>
          <w:rFonts w:ascii="Calibri" w:eastAsia="Calibri" w:hAnsi="Calibri" w:cs="Times New Roman"/>
        </w:rPr>
        <w:t>rocks to the Bushveld Complex.</w:t>
      </w:r>
    </w:p>
    <w:p w14:paraId="28F0D001" w14:textId="4FC6883E" w:rsidR="005E3BFD" w:rsidRDefault="005E3BFD" w:rsidP="005E3BFD">
      <w:pPr>
        <w:jc w:val="both"/>
      </w:pPr>
      <w:r>
        <w:t xml:space="preserve">The Bushveld Complex comprises four main lobes (e.g. Eales </w:t>
      </w:r>
      <w:r>
        <w:rPr>
          <w:i/>
        </w:rPr>
        <w:t>et al</w:t>
      </w:r>
      <w:r w:rsidR="00785551">
        <w:rPr>
          <w:i/>
        </w:rPr>
        <w:t>.</w:t>
      </w:r>
      <w:r>
        <w:rPr>
          <w:i/>
        </w:rPr>
        <w:t>,</w:t>
      </w:r>
      <w:r>
        <w:t xml:space="preserve"> 1993, Eales and Cawthorn, 1996, Cawthorn, 2015)</w:t>
      </w:r>
      <w:r w:rsidR="0044047C">
        <w:t xml:space="preserve"> </w:t>
      </w:r>
      <w:r w:rsidR="00B8549E">
        <w:t>(</w:t>
      </w:r>
      <w:r w:rsidR="00B8549E">
        <w:rPr>
          <w:rFonts w:ascii="Calibri" w:eastAsia="Calibri" w:hAnsi="Calibri" w:cs="Times New Roman"/>
        </w:rPr>
        <w:t>Figure 1).</w:t>
      </w:r>
    </w:p>
    <w:p w14:paraId="39687E98" w14:textId="77777777" w:rsidR="005E3BFD" w:rsidRDefault="005E3BFD" w:rsidP="005E3BFD">
      <w:pPr>
        <w:pStyle w:val="ListParagraph"/>
        <w:numPr>
          <w:ilvl w:val="0"/>
          <w:numId w:val="2"/>
        </w:numPr>
        <w:jc w:val="both"/>
      </w:pPr>
      <w:r>
        <w:t>A western limb, extending from near Pretoria westward to Rustenburg and then northwards around the Pilanesberg alkaline complex (with an extension of a far western limb).</w:t>
      </w:r>
    </w:p>
    <w:p w14:paraId="78CD6AF3" w14:textId="77777777" w:rsidR="005E3BFD" w:rsidRDefault="005E3BFD" w:rsidP="005E3BFD">
      <w:pPr>
        <w:pStyle w:val="ListParagraph"/>
        <w:numPr>
          <w:ilvl w:val="0"/>
          <w:numId w:val="2"/>
        </w:numPr>
        <w:jc w:val="both"/>
      </w:pPr>
      <w:r>
        <w:t xml:space="preserve">An eastern limb, that extends northwards through the western Mpumalanga Province from near Middelburg in the south, to east of Mokopane in the north. </w:t>
      </w:r>
    </w:p>
    <w:p w14:paraId="7B8CF565" w14:textId="77777777" w:rsidR="005E3BFD" w:rsidRDefault="005E3BFD" w:rsidP="005E3BFD">
      <w:pPr>
        <w:pStyle w:val="ListParagraph"/>
        <w:numPr>
          <w:ilvl w:val="0"/>
          <w:numId w:val="2"/>
        </w:numPr>
        <w:jc w:val="both"/>
      </w:pPr>
      <w:r>
        <w:t>A northern limb, that extends northwards from a position approximately 30 km south of the town of Mokopane, over a distance of approximately 115 km to Aurora in the north.</w:t>
      </w:r>
    </w:p>
    <w:p w14:paraId="69AF0D1D" w14:textId="4D983261" w:rsidR="005E3BFD" w:rsidRDefault="005E3BFD" w:rsidP="005E3BFD">
      <w:pPr>
        <w:pStyle w:val="ListParagraph"/>
        <w:numPr>
          <w:ilvl w:val="0"/>
          <w:numId w:val="2"/>
        </w:numPr>
        <w:jc w:val="both"/>
      </w:pPr>
      <w:r>
        <w:t>A south-eastern limb, termed the Bethal Limb, which is obscured by younger sediments</w:t>
      </w:r>
      <w:r w:rsidR="007A3479">
        <w:t>.</w:t>
      </w:r>
    </w:p>
    <w:p w14:paraId="6E4BF9A0" w14:textId="21B8C2EC"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w:t>
      </w:r>
      <w:r w:rsidR="007A3479">
        <w:rPr>
          <w:rFonts w:ascii="Calibri" w:eastAsia="Calibri" w:hAnsi="Calibri" w:cs="Times New Roman"/>
        </w:rPr>
        <w:t xml:space="preserve">Bushveld </w:t>
      </w:r>
      <w:r w:rsidRPr="00EB7946">
        <w:rPr>
          <w:rFonts w:ascii="Calibri" w:eastAsia="Calibri" w:hAnsi="Calibri" w:cs="Times New Roman"/>
        </w:rPr>
        <w:t>Complex consists of felsic extrusive rocks of the Rooiberg Group, intruded by a mafic-ultramafic succession of layered and massive rocks known as the Rustenburg Layered Suite</w:t>
      </w:r>
      <w:r w:rsidR="0044047C">
        <w:rPr>
          <w:rFonts w:ascii="Calibri" w:eastAsia="Calibri" w:hAnsi="Calibri" w:cs="Times New Roman"/>
        </w:rPr>
        <w:t>,</w:t>
      </w:r>
      <w:r w:rsidRPr="00EB7946">
        <w:rPr>
          <w:rFonts w:ascii="Calibri" w:eastAsia="Calibri" w:hAnsi="Calibri" w:cs="Times New Roman"/>
        </w:rPr>
        <w:t xml:space="preserve"> which are in turn intruded and overlain by a penecontemporaneous series of granitic rocks, termed the Lebowa Granite Suite</w:t>
      </w:r>
      <w:r w:rsidR="0044047C">
        <w:rPr>
          <w:rFonts w:ascii="Calibri" w:eastAsia="Calibri" w:hAnsi="Calibri" w:cs="Times New Roman"/>
        </w:rPr>
        <w:t xml:space="preserve"> that includes the Rashoop Granophyre Suite</w:t>
      </w:r>
      <w:r w:rsidRPr="00EB7946">
        <w:rPr>
          <w:rFonts w:ascii="Calibri" w:eastAsia="Calibri" w:hAnsi="Calibri" w:cs="Times New Roman"/>
        </w:rPr>
        <w:t xml:space="preserve"> (Walraven </w:t>
      </w:r>
      <w:r w:rsidRPr="00785551">
        <w:rPr>
          <w:rFonts w:ascii="Calibri" w:eastAsia="Calibri" w:hAnsi="Calibri" w:cs="Times New Roman"/>
          <w:i/>
        </w:rPr>
        <w:t>et al</w:t>
      </w:r>
      <w:r w:rsidRPr="00EB7946">
        <w:rPr>
          <w:rFonts w:ascii="Calibri" w:eastAsia="Calibri" w:hAnsi="Calibri" w:cs="Times New Roman"/>
          <w:i/>
        </w:rPr>
        <w:t>.,</w:t>
      </w:r>
      <w:r w:rsidRPr="00EB7946">
        <w:rPr>
          <w:rFonts w:ascii="Calibri" w:eastAsia="Calibri" w:hAnsi="Calibri" w:cs="Times New Roman"/>
        </w:rPr>
        <w:t xml:space="preserve"> 1990, SACS, 1980). </w:t>
      </w:r>
    </w:p>
    <w:p w14:paraId="73B45AA5" w14:textId="77777777" w:rsidR="00EB7946" w:rsidRPr="00EB7946" w:rsidRDefault="00EB7946" w:rsidP="00EB7946">
      <w:pPr>
        <w:jc w:val="both"/>
        <w:rPr>
          <w:rFonts w:ascii="Calibri" w:eastAsia="Calibri" w:hAnsi="Calibri" w:cs="Times New Roman"/>
        </w:rPr>
      </w:pPr>
    </w:p>
    <w:p w14:paraId="5D0150F6" w14:textId="203BA533" w:rsidR="00EB7946" w:rsidRDefault="003F69EE" w:rsidP="00EB7946">
      <w:pPr>
        <w:jc w:val="both"/>
      </w:pPr>
      <w:r w:rsidRPr="003F69EE">
        <w:rPr>
          <w:noProof/>
        </w:rPr>
        <w:drawing>
          <wp:inline distT="0" distB="0" distL="0" distR="0" wp14:anchorId="2B3D5C90" wp14:editId="105DA2A4">
            <wp:extent cx="6120765" cy="4393565"/>
            <wp:effectExtent l="0" t="0" r="0" b="698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4393565"/>
                    </a:xfrm>
                    <a:prstGeom prst="rect">
                      <a:avLst/>
                    </a:prstGeom>
                  </pic:spPr>
                </pic:pic>
              </a:graphicData>
            </a:graphic>
          </wp:inline>
        </w:drawing>
      </w:r>
    </w:p>
    <w:p w14:paraId="168BC82F" w14:textId="5558C492" w:rsidR="00EB7946" w:rsidRDefault="00EB7946" w:rsidP="00EB7946">
      <w:pPr>
        <w:pStyle w:val="Caption"/>
      </w:pPr>
      <w:bookmarkStart w:id="44" w:name="_Toc520757552"/>
      <w:r>
        <w:t xml:space="preserve">Figure </w:t>
      </w:r>
      <w:fldSimple w:instr=" SEQ Figure \* ARABIC ">
        <w:r w:rsidR="002645B6">
          <w:rPr>
            <w:noProof/>
          </w:rPr>
          <w:t>1</w:t>
        </w:r>
      </w:fldSimple>
      <w:r>
        <w:t xml:space="preserve">: </w:t>
      </w:r>
      <w:r w:rsidRPr="00352097">
        <w:t>Simplified geological map of the Bushveld Complex and the surrounding Transvaal Supergroup (</w:t>
      </w:r>
      <w:r w:rsidRPr="006507CC">
        <w:t>after</w:t>
      </w:r>
      <w:r>
        <w:t xml:space="preserve"> Cawthorn.</w:t>
      </w:r>
      <w:r w:rsidRPr="00352097">
        <w:t xml:space="preserve"> 2015)</w:t>
      </w:r>
      <w:r>
        <w:t>.</w:t>
      </w:r>
      <w:bookmarkEnd w:id="44"/>
    </w:p>
    <w:p w14:paraId="21EBDA0A" w14:textId="61AF4558" w:rsidR="00EB7946" w:rsidRPr="00EB7946" w:rsidRDefault="00EB7946" w:rsidP="00EB7946">
      <w:pPr>
        <w:jc w:val="both"/>
        <w:rPr>
          <w:rFonts w:ascii="Calibri" w:eastAsia="Calibri" w:hAnsi="Calibri" w:cs="Times New Roman"/>
        </w:rPr>
      </w:pPr>
      <w:r w:rsidRPr="00EB7946">
        <w:rPr>
          <w:rFonts w:ascii="Calibri" w:eastAsia="Calibri" w:hAnsi="Calibri" w:cs="Times New Roman"/>
        </w:rPr>
        <w:t>The Rustenburg Layered Suite stratigraphy is divided into five major units</w:t>
      </w:r>
      <w:r w:rsidR="0044047C">
        <w:rPr>
          <w:rFonts w:ascii="Calibri" w:eastAsia="Calibri" w:hAnsi="Calibri" w:cs="Times New Roman"/>
        </w:rPr>
        <w:t>,</w:t>
      </w:r>
      <w:r w:rsidRPr="00EB7946">
        <w:rPr>
          <w:rFonts w:ascii="Calibri" w:eastAsia="Calibri" w:hAnsi="Calibri" w:cs="Times New Roman"/>
        </w:rPr>
        <w:t xml:space="preserve"> which are summar</w:t>
      </w:r>
      <w:r w:rsidR="005D78EA">
        <w:rPr>
          <w:rFonts w:ascii="Calibri" w:eastAsia="Calibri" w:hAnsi="Calibri" w:cs="Times New Roman"/>
        </w:rPr>
        <w:t>ised</w:t>
      </w:r>
      <w:r w:rsidRPr="00EB7946">
        <w:rPr>
          <w:rFonts w:ascii="Calibri" w:eastAsia="Calibri" w:hAnsi="Calibri" w:cs="Times New Roman"/>
        </w:rPr>
        <w:t xml:space="preserve"> in </w:t>
      </w:r>
      <w:r w:rsidR="007A3479">
        <w:rPr>
          <w:rFonts w:ascii="Calibri" w:eastAsia="Calibri" w:hAnsi="Calibri" w:cs="Times New Roman"/>
        </w:rPr>
        <w:t>Table 5</w:t>
      </w:r>
      <w:r w:rsidRPr="00EB7946">
        <w:rPr>
          <w:rFonts w:ascii="Calibri" w:eastAsia="Calibri" w:hAnsi="Calibri" w:cs="Times New Roman"/>
        </w:rPr>
        <w:t xml:space="preserve">, with the stratigraphy illustrated in </w:t>
      </w:r>
      <w:r w:rsidRPr="00EB7946">
        <w:rPr>
          <w:rFonts w:ascii="Calibri" w:eastAsia="Calibri" w:hAnsi="Calibri" w:cs="Times New Roman"/>
        </w:rPr>
        <w:fldChar w:fldCharType="begin"/>
      </w:r>
      <w:r w:rsidRPr="00EB7946">
        <w:rPr>
          <w:rFonts w:ascii="Calibri" w:eastAsia="Calibri" w:hAnsi="Calibri" w:cs="Times New Roman"/>
        </w:rPr>
        <w:instrText xml:space="preserve"> REF _Ref481581216 \h  \* MERGEFORMAT </w:instrText>
      </w:r>
      <w:r w:rsidRPr="00EB7946">
        <w:rPr>
          <w:rFonts w:ascii="Calibri" w:eastAsia="Calibri" w:hAnsi="Calibri" w:cs="Times New Roman"/>
        </w:rPr>
      </w:r>
      <w:r w:rsidRPr="00EB7946">
        <w:rPr>
          <w:rFonts w:ascii="Calibri" w:eastAsia="Calibri" w:hAnsi="Calibri" w:cs="Times New Roman"/>
        </w:rPr>
        <w:fldChar w:fldCharType="separate"/>
      </w:r>
      <w:r w:rsidR="002645B6" w:rsidRPr="002645B6">
        <w:rPr>
          <w:rFonts w:ascii="Calibri" w:eastAsia="Calibri" w:hAnsi="Calibri" w:cs="Times New Roman"/>
        </w:rPr>
        <w:t xml:space="preserve">Figure </w:t>
      </w:r>
      <w:r w:rsidR="002645B6" w:rsidRPr="002645B6">
        <w:rPr>
          <w:rFonts w:ascii="Calibri" w:eastAsia="Calibri" w:hAnsi="Calibri" w:cs="Times New Roman"/>
          <w:noProof/>
        </w:rPr>
        <w:t>2</w:t>
      </w:r>
      <w:r w:rsidRPr="00EB7946">
        <w:rPr>
          <w:rFonts w:ascii="Calibri" w:eastAsia="Calibri" w:hAnsi="Calibri" w:cs="Times New Roman"/>
        </w:rPr>
        <w:fldChar w:fldCharType="end"/>
      </w:r>
      <w:r w:rsidR="003F69EE">
        <w:rPr>
          <w:rFonts w:ascii="Calibri" w:eastAsia="Calibri" w:hAnsi="Calibri" w:cs="Times New Roman"/>
        </w:rPr>
        <w:t>.</w:t>
      </w:r>
    </w:p>
    <w:p w14:paraId="70188686" w14:textId="51C7E8F4" w:rsidR="00EB7946" w:rsidRPr="00EB7946" w:rsidRDefault="003F69EE" w:rsidP="00EB7946">
      <w:pPr>
        <w:jc w:val="center"/>
        <w:rPr>
          <w:rFonts w:ascii="Calibri" w:eastAsia="Calibri" w:hAnsi="Calibri" w:cs="Times New Roman"/>
          <w:color w:val="000000"/>
        </w:rPr>
      </w:pPr>
      <w:r>
        <w:rPr>
          <w:noProof/>
        </w:rPr>
        <w:lastRenderedPageBreak/>
        <w:drawing>
          <wp:inline distT="0" distB="0" distL="0" distR="0" wp14:anchorId="7D40BC11" wp14:editId="2BCE0521">
            <wp:extent cx="6120765" cy="6762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765" cy="6762750"/>
                    </a:xfrm>
                    <a:prstGeom prst="rect">
                      <a:avLst/>
                    </a:prstGeom>
                  </pic:spPr>
                </pic:pic>
              </a:graphicData>
            </a:graphic>
          </wp:inline>
        </w:drawing>
      </w:r>
    </w:p>
    <w:p w14:paraId="7AACCFA7" w14:textId="72BC2236" w:rsidR="00EB7946" w:rsidRPr="00B51EB8" w:rsidRDefault="00B51EB8" w:rsidP="00B51EB8">
      <w:pPr>
        <w:pStyle w:val="Caption"/>
        <w:jc w:val="both"/>
      </w:pPr>
      <w:bookmarkStart w:id="45" w:name="_Ref481581216"/>
      <w:bookmarkStart w:id="46" w:name="_Toc349822156"/>
      <w:bookmarkStart w:id="47" w:name="_Toc256434257"/>
      <w:bookmarkStart w:id="48" w:name="_Toc453319253"/>
      <w:bookmarkStart w:id="49" w:name="_Toc520757553"/>
      <w:r>
        <w:t xml:space="preserve">Figure </w:t>
      </w:r>
      <w:fldSimple w:instr=" SEQ Figure \* ARABIC ">
        <w:r w:rsidR="002645B6">
          <w:rPr>
            <w:noProof/>
          </w:rPr>
          <w:t>2</w:t>
        </w:r>
      </w:fldSimple>
      <w:bookmarkEnd w:id="45"/>
      <w:r w:rsidR="00EB7946" w:rsidRPr="00B51EB8">
        <w:t>: Stratigraphy of the Lower Portion of the Rustenburg Layered Suite (after Schürmann et al., 1998).</w:t>
      </w:r>
      <w:bookmarkEnd w:id="46"/>
      <w:bookmarkEnd w:id="47"/>
      <w:bookmarkEnd w:id="48"/>
      <w:bookmarkEnd w:id="49"/>
    </w:p>
    <w:p w14:paraId="52A73513" w14:textId="2FE89CFE" w:rsidR="0044047C" w:rsidRDefault="0044047C">
      <w:pPr>
        <w:rPr>
          <w:rFonts w:ascii="Calibri" w:eastAsia="Calibri" w:hAnsi="Calibri" w:cs="Times New Roman"/>
        </w:rPr>
      </w:pPr>
      <w:r>
        <w:rPr>
          <w:rFonts w:ascii="Calibri" w:eastAsia="Calibri" w:hAnsi="Calibri" w:cs="Times New Roman"/>
        </w:rPr>
        <w:br w:type="page"/>
      </w:r>
    </w:p>
    <w:p w14:paraId="7B578B44" w14:textId="733BAA3F" w:rsidR="00691EDC" w:rsidRDefault="00E546E7" w:rsidP="00E546E7">
      <w:pPr>
        <w:pStyle w:val="Caption"/>
        <w:rPr>
          <w:rFonts w:eastAsia="Times"/>
          <w:szCs w:val="22"/>
          <w:lang w:val="en-GB"/>
        </w:rPr>
      </w:pPr>
      <w:bookmarkStart w:id="50" w:name="_Ref520145734"/>
      <w:bookmarkStart w:id="51" w:name="_Toc520740332"/>
      <w:r>
        <w:lastRenderedPageBreak/>
        <w:t xml:space="preserve">Table </w:t>
      </w:r>
      <w:fldSimple w:instr=" SEQ Table \* ARABIC ">
        <w:r w:rsidR="002645B6">
          <w:rPr>
            <w:noProof/>
          </w:rPr>
          <w:t>5</w:t>
        </w:r>
      </w:fldSimple>
      <w:r w:rsidRPr="00EB7946">
        <w:rPr>
          <w:rFonts w:ascii="Arial" w:eastAsia="Times" w:hAnsi="Arial" w:cs="Times New Roman"/>
          <w:bCs/>
          <w:lang w:val="en-GB"/>
        </w:rPr>
        <w:t>:</w:t>
      </w:r>
      <w:r>
        <w:rPr>
          <w:rFonts w:ascii="Arial" w:eastAsia="Times" w:hAnsi="Arial" w:cs="Times New Roman"/>
          <w:bCs/>
          <w:lang w:val="en-GB"/>
        </w:rPr>
        <w:t xml:space="preserve"> </w:t>
      </w:r>
      <w:r w:rsidR="00EB7946" w:rsidRPr="00E546E7">
        <w:t xml:space="preserve">Summary of the Rustenburg Layered Suite Stratigraphy (Cameron, 1980, 1982; Eales and Cawthorn, 1996; </w:t>
      </w:r>
      <w:r w:rsidR="0044047C" w:rsidRPr="00E546E7">
        <w:t>V</w:t>
      </w:r>
      <w:r w:rsidR="00EB7946" w:rsidRPr="00E546E7">
        <w:t>on Gruenewaldt,1973; Njowa and Clay, 2010)</w:t>
      </w:r>
      <w:bookmarkEnd w:id="50"/>
      <w:bookmarkEnd w:id="5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9"/>
        <w:gridCol w:w="7651"/>
      </w:tblGrid>
      <w:tr w:rsidR="00691EDC" w14:paraId="5D16D44C" w14:textId="77777777" w:rsidTr="00457CD4">
        <w:trPr>
          <w:trHeight w:val="280"/>
          <w:tblHeader/>
          <w:jc w:val="center"/>
        </w:trPr>
        <w:tc>
          <w:tcPr>
            <w:tcW w:w="16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869B13" w14:textId="77777777" w:rsidR="00691EDC" w:rsidRPr="00B51EB8" w:rsidRDefault="00691EDC" w:rsidP="00457CD4">
            <w:pPr>
              <w:spacing w:after="0"/>
              <w:jc w:val="center"/>
              <w:rPr>
                <w:b/>
                <w:caps/>
                <w:color w:val="000000" w:themeColor="text1"/>
                <w:sz w:val="18"/>
                <w:szCs w:val="18"/>
                <w:lang w:eastAsia="en-GB"/>
              </w:rPr>
            </w:pPr>
            <w:r w:rsidRPr="00B51EB8">
              <w:rPr>
                <w:b/>
                <w:caps/>
                <w:color w:val="000000" w:themeColor="text1"/>
                <w:sz w:val="18"/>
                <w:szCs w:val="18"/>
                <w:lang w:eastAsia="en-GB"/>
              </w:rPr>
              <w:t>LAYER/UNIT/ZONE</w:t>
            </w:r>
          </w:p>
        </w:tc>
        <w:tc>
          <w:tcPr>
            <w:tcW w:w="76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F80CFC" w14:textId="77777777" w:rsidR="00691EDC" w:rsidRPr="00B51EB8" w:rsidRDefault="00691EDC" w:rsidP="00457CD4">
            <w:pPr>
              <w:spacing w:after="0"/>
              <w:jc w:val="center"/>
              <w:rPr>
                <w:b/>
                <w:caps/>
                <w:color w:val="000000" w:themeColor="text1"/>
                <w:sz w:val="18"/>
                <w:szCs w:val="18"/>
                <w:lang w:eastAsia="en-GB"/>
              </w:rPr>
            </w:pPr>
            <w:r w:rsidRPr="00B51EB8">
              <w:rPr>
                <w:b/>
                <w:caps/>
                <w:color w:val="000000" w:themeColor="text1"/>
                <w:sz w:val="18"/>
                <w:szCs w:val="18"/>
                <w:lang w:eastAsia="en-GB"/>
              </w:rPr>
              <w:t>DESCRIPTION</w:t>
            </w:r>
          </w:p>
        </w:tc>
      </w:tr>
      <w:tr w:rsidR="00691EDC" w14:paraId="6A7F5E29" w14:textId="77777777" w:rsidTr="00457CD4">
        <w:trPr>
          <w:jc w:val="center"/>
        </w:trPr>
        <w:tc>
          <w:tcPr>
            <w:tcW w:w="1699" w:type="dxa"/>
            <w:tcBorders>
              <w:top w:val="single" w:sz="4" w:space="0" w:color="auto"/>
              <w:left w:val="single" w:sz="4" w:space="0" w:color="auto"/>
              <w:bottom w:val="single" w:sz="4" w:space="0" w:color="auto"/>
              <w:right w:val="single" w:sz="4" w:space="0" w:color="auto"/>
            </w:tcBorders>
            <w:vAlign w:val="center"/>
            <w:hideMark/>
          </w:tcPr>
          <w:p w14:paraId="4FDB3CA7" w14:textId="77777777" w:rsidR="00691EDC" w:rsidRPr="000A0B53" w:rsidRDefault="00691EDC" w:rsidP="00457CD4">
            <w:pPr>
              <w:rPr>
                <w:sz w:val="18"/>
                <w:szCs w:val="18"/>
                <w:lang w:eastAsia="en-GB"/>
              </w:rPr>
            </w:pPr>
            <w:r w:rsidRPr="000A0B53">
              <w:rPr>
                <w:sz w:val="18"/>
                <w:szCs w:val="18"/>
                <w:lang w:eastAsia="en-GB"/>
              </w:rPr>
              <w:t>Upper Zone</w:t>
            </w:r>
          </w:p>
        </w:tc>
        <w:tc>
          <w:tcPr>
            <w:tcW w:w="7651" w:type="dxa"/>
            <w:tcBorders>
              <w:top w:val="single" w:sz="4" w:space="0" w:color="auto"/>
              <w:left w:val="single" w:sz="4" w:space="0" w:color="auto"/>
              <w:bottom w:val="single" w:sz="4" w:space="0" w:color="auto"/>
              <w:right w:val="single" w:sz="4" w:space="0" w:color="auto"/>
            </w:tcBorders>
            <w:vAlign w:val="center"/>
            <w:hideMark/>
          </w:tcPr>
          <w:p w14:paraId="28B2B2BA" w14:textId="77777777" w:rsidR="00691EDC" w:rsidRPr="000A0B53" w:rsidRDefault="00691EDC" w:rsidP="00457CD4">
            <w:pPr>
              <w:jc w:val="both"/>
              <w:rPr>
                <w:sz w:val="18"/>
                <w:szCs w:val="18"/>
                <w:lang w:eastAsia="en-GB"/>
              </w:rPr>
            </w:pPr>
            <w:r w:rsidRPr="000A0B53">
              <w:rPr>
                <w:sz w:val="18"/>
                <w:szCs w:val="18"/>
                <w:lang w:eastAsia="en-GB"/>
              </w:rPr>
              <w:t>The Upper Zone is dominated by gabbros. However, banded anorthosite and vanadiferous magnetite sequences are also present. There is no chilled contact with the hangingwall rocks, which consist of rhyolites and granophyres.</w:t>
            </w:r>
          </w:p>
        </w:tc>
      </w:tr>
      <w:tr w:rsidR="00691EDC" w14:paraId="65014675" w14:textId="77777777" w:rsidTr="00457CD4">
        <w:trPr>
          <w:jc w:val="center"/>
        </w:trPr>
        <w:tc>
          <w:tcPr>
            <w:tcW w:w="1699" w:type="dxa"/>
            <w:tcBorders>
              <w:top w:val="single" w:sz="4" w:space="0" w:color="auto"/>
              <w:left w:val="single" w:sz="4" w:space="0" w:color="auto"/>
              <w:bottom w:val="single" w:sz="4" w:space="0" w:color="auto"/>
              <w:right w:val="single" w:sz="4" w:space="0" w:color="auto"/>
            </w:tcBorders>
            <w:vAlign w:val="center"/>
          </w:tcPr>
          <w:p w14:paraId="334C4DDF" w14:textId="77777777" w:rsidR="00691EDC" w:rsidRPr="000A0B53" w:rsidRDefault="00691EDC" w:rsidP="00457CD4">
            <w:pPr>
              <w:rPr>
                <w:sz w:val="18"/>
                <w:szCs w:val="18"/>
                <w:lang w:eastAsia="en-GB"/>
              </w:rPr>
            </w:pPr>
            <w:r w:rsidRPr="000A0B53">
              <w:rPr>
                <w:sz w:val="18"/>
                <w:szCs w:val="18"/>
                <w:lang w:eastAsia="en-GB"/>
              </w:rPr>
              <w:t>Main Zone</w:t>
            </w:r>
          </w:p>
        </w:tc>
        <w:tc>
          <w:tcPr>
            <w:tcW w:w="7651" w:type="dxa"/>
            <w:tcBorders>
              <w:top w:val="single" w:sz="4" w:space="0" w:color="auto"/>
              <w:left w:val="single" w:sz="4" w:space="0" w:color="auto"/>
              <w:bottom w:val="single" w:sz="4" w:space="0" w:color="auto"/>
              <w:right w:val="single" w:sz="4" w:space="0" w:color="auto"/>
            </w:tcBorders>
            <w:vAlign w:val="center"/>
          </w:tcPr>
          <w:p w14:paraId="11542AF9" w14:textId="77777777" w:rsidR="00691EDC" w:rsidRPr="000A0B53" w:rsidRDefault="00691EDC" w:rsidP="00457CD4">
            <w:pPr>
              <w:jc w:val="both"/>
              <w:rPr>
                <w:sz w:val="18"/>
                <w:szCs w:val="18"/>
                <w:lang w:eastAsia="en-GB"/>
              </w:rPr>
            </w:pPr>
            <w:r w:rsidRPr="000A0B53">
              <w:rPr>
                <w:sz w:val="18"/>
                <w:szCs w:val="18"/>
                <w:lang w:eastAsia="en-GB"/>
              </w:rPr>
              <w:t>The Main Zone is the thickest unit within the Rustenburg Layered Suite. In general, approximately half the Rustenburg Layered Suite stratigraphic interval is occupied by this zone. The Main Zone consists of gabbro-norites with some anorthosite and pyroxenite layering. Banding or layering is not as well developed as in the Critical and Lower Zones.</w:t>
            </w:r>
          </w:p>
        </w:tc>
      </w:tr>
      <w:tr w:rsidR="00691EDC" w14:paraId="6547737A" w14:textId="77777777" w:rsidTr="00457CD4">
        <w:trPr>
          <w:jc w:val="center"/>
        </w:trPr>
        <w:tc>
          <w:tcPr>
            <w:tcW w:w="1699" w:type="dxa"/>
            <w:tcBorders>
              <w:top w:val="single" w:sz="4" w:space="0" w:color="auto"/>
              <w:left w:val="single" w:sz="4" w:space="0" w:color="auto"/>
              <w:bottom w:val="single" w:sz="4" w:space="0" w:color="auto"/>
              <w:right w:val="single" w:sz="4" w:space="0" w:color="auto"/>
            </w:tcBorders>
            <w:vAlign w:val="center"/>
          </w:tcPr>
          <w:p w14:paraId="7CF8D296" w14:textId="77777777" w:rsidR="00691EDC" w:rsidRPr="000A0B53" w:rsidRDefault="00691EDC" w:rsidP="00457CD4">
            <w:pPr>
              <w:rPr>
                <w:sz w:val="18"/>
                <w:szCs w:val="18"/>
                <w:lang w:eastAsia="en-GB"/>
              </w:rPr>
            </w:pPr>
            <w:r w:rsidRPr="000A0B53">
              <w:rPr>
                <w:sz w:val="18"/>
                <w:szCs w:val="18"/>
                <w:lang w:eastAsia="en-GB"/>
              </w:rPr>
              <w:t>Critical Zone</w:t>
            </w:r>
          </w:p>
        </w:tc>
        <w:tc>
          <w:tcPr>
            <w:tcW w:w="7651" w:type="dxa"/>
            <w:tcBorders>
              <w:top w:val="single" w:sz="4" w:space="0" w:color="auto"/>
              <w:left w:val="single" w:sz="4" w:space="0" w:color="auto"/>
              <w:bottom w:val="single" w:sz="4" w:space="0" w:color="auto"/>
              <w:right w:val="single" w:sz="4" w:space="0" w:color="auto"/>
            </w:tcBorders>
            <w:vAlign w:val="center"/>
          </w:tcPr>
          <w:p w14:paraId="70B3CDC2" w14:textId="77777777" w:rsidR="00691EDC" w:rsidRPr="000A0B53" w:rsidRDefault="00691EDC" w:rsidP="00457CD4">
            <w:pPr>
              <w:jc w:val="both"/>
              <w:rPr>
                <w:sz w:val="18"/>
                <w:szCs w:val="18"/>
                <w:lang w:eastAsia="en-GB"/>
              </w:rPr>
            </w:pPr>
            <w:r w:rsidRPr="000A0B53">
              <w:rPr>
                <w:sz w:val="18"/>
                <w:szCs w:val="18"/>
                <w:lang w:eastAsia="en-GB"/>
              </w:rPr>
              <w:t>The Critical Zone is subdivided into Lower and Upper units, namely the Lower Critical Zone and the Upper Critical Zone. The Lower Critical Zone is dominated by pyroxenitic cumulates with interlayered harzburgites and chromitite seams. The Upper Critical Zone consists of layered pyroxenites, norites, anorthosites and chromitites. The base of the Upper Critical Zone is marked by the appearance of cumulus plagioclase. Layering occurs on a variety of scales and may also be regular to highly irregular.</w:t>
            </w:r>
          </w:p>
          <w:p w14:paraId="3CE982B0" w14:textId="77777777" w:rsidR="00691EDC" w:rsidRPr="000A0B53" w:rsidRDefault="00691EDC" w:rsidP="00457CD4">
            <w:pPr>
              <w:jc w:val="both"/>
              <w:rPr>
                <w:sz w:val="18"/>
                <w:szCs w:val="18"/>
                <w:lang w:eastAsia="en-GB"/>
              </w:rPr>
            </w:pPr>
            <w:r w:rsidRPr="000A0B53">
              <w:rPr>
                <w:sz w:val="18"/>
                <w:szCs w:val="18"/>
                <w:lang w:eastAsia="en-GB"/>
              </w:rPr>
              <w:t>Chromitite seams occur in three distinct groupings. The LG series of seams occurs exclusively in the Lower Critical Zone, the MG series of seams straddles the contact between the Lower and Upper Critical Zones, whereas the UG group of seams occurs within the Upper Critical Zone. Economic PGE mineralisation is hosted in the UG2 Chromitite Seam (UG2) and the Merensky Reef, a laterally continuous pyroxenite unit containing PGE and base metal sulphide mineralisation.</w:t>
            </w:r>
          </w:p>
        </w:tc>
      </w:tr>
      <w:tr w:rsidR="00691EDC" w14:paraId="56D9B5AD" w14:textId="77777777" w:rsidTr="00457CD4">
        <w:trPr>
          <w:jc w:val="center"/>
        </w:trPr>
        <w:tc>
          <w:tcPr>
            <w:tcW w:w="1699" w:type="dxa"/>
            <w:tcBorders>
              <w:top w:val="single" w:sz="4" w:space="0" w:color="auto"/>
              <w:left w:val="single" w:sz="4" w:space="0" w:color="auto"/>
              <w:bottom w:val="single" w:sz="4" w:space="0" w:color="auto"/>
              <w:right w:val="single" w:sz="4" w:space="0" w:color="auto"/>
            </w:tcBorders>
            <w:vAlign w:val="center"/>
          </w:tcPr>
          <w:p w14:paraId="0125EB7C" w14:textId="77777777" w:rsidR="00691EDC" w:rsidRPr="000A0B53" w:rsidRDefault="00691EDC" w:rsidP="00457CD4">
            <w:pPr>
              <w:rPr>
                <w:sz w:val="18"/>
                <w:szCs w:val="18"/>
                <w:lang w:eastAsia="en-GB"/>
              </w:rPr>
            </w:pPr>
            <w:r w:rsidRPr="000A0B53">
              <w:rPr>
                <w:sz w:val="18"/>
                <w:szCs w:val="18"/>
                <w:lang w:eastAsia="en-GB"/>
              </w:rPr>
              <w:t>Lower Zone</w:t>
            </w:r>
          </w:p>
        </w:tc>
        <w:tc>
          <w:tcPr>
            <w:tcW w:w="7651" w:type="dxa"/>
            <w:tcBorders>
              <w:top w:val="single" w:sz="4" w:space="0" w:color="auto"/>
              <w:left w:val="single" w:sz="4" w:space="0" w:color="auto"/>
              <w:bottom w:val="single" w:sz="4" w:space="0" w:color="auto"/>
              <w:right w:val="single" w:sz="4" w:space="0" w:color="auto"/>
            </w:tcBorders>
            <w:vAlign w:val="center"/>
          </w:tcPr>
          <w:p w14:paraId="26C7B78F" w14:textId="77777777" w:rsidR="00691EDC" w:rsidRPr="000A0B53" w:rsidRDefault="00691EDC" w:rsidP="00457CD4">
            <w:pPr>
              <w:jc w:val="both"/>
              <w:rPr>
                <w:sz w:val="18"/>
                <w:szCs w:val="18"/>
                <w:lang w:eastAsia="en-GB"/>
              </w:rPr>
            </w:pPr>
            <w:r w:rsidRPr="000A0B53">
              <w:rPr>
                <w:sz w:val="18"/>
                <w:szCs w:val="18"/>
                <w:lang w:eastAsia="en-GB"/>
              </w:rPr>
              <w:t>The Lower Zone is dominated by ultramafic rocks. The most complete exposure is in the northeastern part of the Eastern Limb. Here the Lower Zone occurs as a series of cyclically layered dunite-harzburgite units. The Lower Zone varies in thickness, having a trough-like geometry with the thinnest succession developed over structural highs on the basin floor.</w:t>
            </w:r>
          </w:p>
        </w:tc>
      </w:tr>
      <w:tr w:rsidR="00691EDC" w14:paraId="0B28F45E" w14:textId="77777777" w:rsidTr="00457CD4">
        <w:trPr>
          <w:jc w:val="center"/>
        </w:trPr>
        <w:tc>
          <w:tcPr>
            <w:tcW w:w="1699" w:type="dxa"/>
            <w:tcBorders>
              <w:top w:val="single" w:sz="4" w:space="0" w:color="auto"/>
              <w:left w:val="single" w:sz="4" w:space="0" w:color="auto"/>
              <w:bottom w:val="single" w:sz="4" w:space="0" w:color="auto"/>
              <w:right w:val="single" w:sz="4" w:space="0" w:color="auto"/>
            </w:tcBorders>
            <w:vAlign w:val="center"/>
          </w:tcPr>
          <w:p w14:paraId="791B932F" w14:textId="77777777" w:rsidR="00691EDC" w:rsidRPr="000A0B53" w:rsidRDefault="00691EDC" w:rsidP="00457CD4">
            <w:pPr>
              <w:rPr>
                <w:sz w:val="18"/>
                <w:szCs w:val="18"/>
                <w:lang w:eastAsia="en-GB"/>
              </w:rPr>
            </w:pPr>
            <w:r w:rsidRPr="000A0B53">
              <w:rPr>
                <w:sz w:val="18"/>
                <w:szCs w:val="18"/>
                <w:lang w:eastAsia="en-GB"/>
              </w:rPr>
              <w:t>Marginal Zone</w:t>
            </w:r>
          </w:p>
        </w:tc>
        <w:tc>
          <w:tcPr>
            <w:tcW w:w="7651" w:type="dxa"/>
            <w:tcBorders>
              <w:top w:val="single" w:sz="4" w:space="0" w:color="auto"/>
              <w:left w:val="single" w:sz="4" w:space="0" w:color="auto"/>
              <w:bottom w:val="single" w:sz="4" w:space="0" w:color="auto"/>
              <w:right w:val="single" w:sz="4" w:space="0" w:color="auto"/>
            </w:tcBorders>
            <w:vAlign w:val="center"/>
          </w:tcPr>
          <w:p w14:paraId="31EA78CC" w14:textId="77777777" w:rsidR="00691EDC" w:rsidRPr="000A0B53" w:rsidRDefault="00691EDC" w:rsidP="00457CD4">
            <w:pPr>
              <w:jc w:val="both"/>
              <w:rPr>
                <w:sz w:val="18"/>
                <w:szCs w:val="18"/>
                <w:lang w:eastAsia="en-GB"/>
              </w:rPr>
            </w:pPr>
            <w:r w:rsidRPr="000A0B53">
              <w:rPr>
                <w:sz w:val="18"/>
                <w:szCs w:val="18"/>
                <w:lang w:eastAsia="en-GB"/>
              </w:rPr>
              <w:t>The Marginal Zone consists of a heterogeneous succession of generally massive noritic rocks. These rocks contain quartz and hornblende believed to be a result of contamination of the mafic magmas by the enclosing host rocks. Sedimentary rock fragments are contained as xenoliths within the lower parts of this zone. The Marginal Zone ranges in thickness from several meters to several hundred meters. Exposures of this zone are poor.</w:t>
            </w:r>
          </w:p>
        </w:tc>
      </w:tr>
    </w:tbl>
    <w:p w14:paraId="3D336DD9" w14:textId="77777777" w:rsidR="00691EDC" w:rsidRDefault="00691EDC" w:rsidP="00691EDC">
      <w:pPr>
        <w:jc w:val="both"/>
      </w:pPr>
    </w:p>
    <w:p w14:paraId="7E18D776" w14:textId="03FF063E" w:rsidR="00EB7946" w:rsidRPr="00EB7946" w:rsidRDefault="00EB7946" w:rsidP="00B51EB8">
      <w:pPr>
        <w:spacing w:before="120" w:after="120" w:line="240" w:lineRule="auto"/>
        <w:jc w:val="both"/>
        <w:rPr>
          <w:rFonts w:ascii="Calibri" w:eastAsia="Calibri" w:hAnsi="Calibri" w:cs="Times New Roman"/>
        </w:rPr>
      </w:pPr>
      <w:r w:rsidRPr="00EB7946">
        <w:rPr>
          <w:rFonts w:ascii="Calibri" w:eastAsia="Calibri" w:hAnsi="Calibri" w:cs="Times New Roman"/>
        </w:rPr>
        <w:t>The Complex hosts world-class major deposits of PGE’s, chrome, vanadium and nickel (e.g. Cawthorn, 1999a, 1999b) in the Rustenburg Layered Suite. The largest deposits of chromite in the world occur in the Critical Zone of the Eastern and Western limbs of the Bushveld Complex</w:t>
      </w:r>
      <w:r w:rsidR="0044047C">
        <w:rPr>
          <w:rFonts w:ascii="Calibri" w:eastAsia="Calibri" w:hAnsi="Calibri" w:cs="Times New Roman"/>
        </w:rPr>
        <w:t xml:space="preserve"> (Cawthorn, 2015)</w:t>
      </w:r>
      <w:r w:rsidRPr="00EB7946">
        <w:rPr>
          <w:rFonts w:ascii="Calibri" w:eastAsia="Calibri" w:hAnsi="Calibri" w:cs="Times New Roman"/>
        </w:rPr>
        <w:t xml:space="preserve">. The PGE’s are concentrated in three principal reefs </w:t>
      </w:r>
      <w:r w:rsidR="001C09D7">
        <w:rPr>
          <w:rFonts w:ascii="Calibri" w:eastAsia="Calibri" w:hAnsi="Calibri" w:cs="Times New Roman"/>
        </w:rPr>
        <w:t>in the Rustenburg Layered Suite. I</w:t>
      </w:r>
      <w:r w:rsidRPr="00EB7946">
        <w:rPr>
          <w:rFonts w:ascii="Calibri" w:eastAsia="Calibri" w:hAnsi="Calibri" w:cs="Times New Roman"/>
        </w:rPr>
        <w:t xml:space="preserve">n the Eastern and Western </w:t>
      </w:r>
      <w:r w:rsidR="001C09D7" w:rsidRPr="00EB7946">
        <w:rPr>
          <w:rFonts w:ascii="Calibri" w:eastAsia="Calibri" w:hAnsi="Calibri" w:cs="Times New Roman"/>
        </w:rPr>
        <w:t xml:space="preserve">limbs, </w:t>
      </w:r>
      <w:r w:rsidR="001C09D7">
        <w:rPr>
          <w:rFonts w:ascii="Calibri" w:eastAsia="Calibri" w:hAnsi="Calibri" w:cs="Times New Roman"/>
        </w:rPr>
        <w:t>the Merensky Reef is</w:t>
      </w:r>
      <w:r w:rsidRPr="00EB7946">
        <w:rPr>
          <w:rFonts w:ascii="Calibri" w:eastAsia="Calibri" w:hAnsi="Calibri" w:cs="Times New Roman"/>
        </w:rPr>
        <w:t xml:space="preserve"> located just below the top of the Critical Zone, and the UG2 Chromitite </w:t>
      </w:r>
      <w:r w:rsidR="001C09D7">
        <w:rPr>
          <w:rFonts w:ascii="Calibri" w:eastAsia="Calibri" w:hAnsi="Calibri" w:cs="Times New Roman"/>
        </w:rPr>
        <w:t xml:space="preserve">is </w:t>
      </w:r>
      <w:r w:rsidRPr="00EB7946">
        <w:rPr>
          <w:rFonts w:ascii="Calibri" w:eastAsia="Calibri" w:hAnsi="Calibri" w:cs="Times New Roman"/>
        </w:rPr>
        <w:t xml:space="preserve">located between 15 m and 350 m below </w:t>
      </w:r>
      <w:r w:rsidR="001C09D7">
        <w:rPr>
          <w:rFonts w:ascii="Calibri" w:eastAsia="Calibri" w:hAnsi="Calibri" w:cs="Times New Roman"/>
        </w:rPr>
        <w:t xml:space="preserve">the Merensky Reef </w:t>
      </w:r>
      <w:r w:rsidRPr="00EB7946">
        <w:rPr>
          <w:rFonts w:ascii="Calibri" w:eastAsia="Calibri" w:hAnsi="Calibri" w:cs="Times New Roman"/>
        </w:rPr>
        <w:t>(Cawthorn and Spies, 2003). In the Northern Limb the PGE’s are concentrated in the Platreef between the base of the Main Zone and the floor rocks (Cawthorn, 2015).</w:t>
      </w:r>
    </w:p>
    <w:p w14:paraId="1A0ECB59" w14:textId="77777777" w:rsidR="00EB7946" w:rsidRPr="00EB7946" w:rsidRDefault="00EB7946" w:rsidP="00EB7946">
      <w:pPr>
        <w:jc w:val="both"/>
        <w:rPr>
          <w:rFonts w:ascii="Calibri" w:eastAsia="Calibri" w:hAnsi="Calibri" w:cs="Times New Roman"/>
        </w:rPr>
      </w:pPr>
    </w:p>
    <w:p w14:paraId="449BC403" w14:textId="77777777" w:rsidR="00EB7946" w:rsidRPr="00CE738E" w:rsidRDefault="00EB7946" w:rsidP="00CE738E">
      <w:pPr>
        <w:pStyle w:val="Heading2"/>
        <w:rPr>
          <w:color w:val="000000" w:themeColor="text1"/>
        </w:rPr>
      </w:pPr>
      <w:bookmarkStart w:id="52" w:name="_Toc501030983"/>
      <w:bookmarkStart w:id="53" w:name="_Toc520758784"/>
      <w:r w:rsidRPr="00CE738E">
        <w:rPr>
          <w:color w:val="000000" w:themeColor="text1"/>
        </w:rPr>
        <w:t>Local Geology</w:t>
      </w:r>
      <w:bookmarkEnd w:id="52"/>
      <w:bookmarkEnd w:id="53"/>
    </w:p>
    <w:p w14:paraId="29CF960B" w14:textId="4EDD867F" w:rsidR="006D5B5B" w:rsidRDefault="00EB7946" w:rsidP="00691EDC">
      <w:pPr>
        <w:jc w:val="both"/>
        <w:rPr>
          <w:rFonts w:ascii="Calibri" w:eastAsia="Calibri" w:hAnsi="Calibri" w:cs="Times New Roman"/>
        </w:rPr>
      </w:pPr>
      <w:r w:rsidRPr="00EB7946">
        <w:rPr>
          <w:rFonts w:ascii="Calibri" w:eastAsia="Calibri" w:hAnsi="Calibri" w:cs="Times New Roman"/>
        </w:rPr>
        <w:t xml:space="preserve">The Phosiri Dome (also known as the Zaaikloof Dome or Fortdraai Dome) is one of a number of domes consisting of high grade metasedimentary rocks that occur in the Eastern Bushveld </w:t>
      </w:r>
      <w:r w:rsidR="001C09D7">
        <w:rPr>
          <w:rFonts w:ascii="Calibri" w:eastAsia="Calibri" w:hAnsi="Calibri" w:cs="Times New Roman"/>
        </w:rPr>
        <w:t xml:space="preserve">Complex </w:t>
      </w:r>
      <w:r w:rsidRPr="00EB7946">
        <w:rPr>
          <w:rFonts w:ascii="Calibri" w:eastAsia="Calibri" w:hAnsi="Calibri" w:cs="Times New Roman"/>
        </w:rPr>
        <w:t xml:space="preserve">(Uken and Watkeys, 1997; Gerya </w:t>
      </w:r>
      <w:r w:rsidRPr="00785551">
        <w:rPr>
          <w:rFonts w:ascii="Calibri" w:eastAsia="Calibri" w:hAnsi="Calibri" w:cs="Times New Roman"/>
          <w:i/>
        </w:rPr>
        <w:t>et al</w:t>
      </w:r>
      <w:r w:rsidRPr="00EB7946">
        <w:rPr>
          <w:rFonts w:ascii="Calibri" w:eastAsia="Calibri" w:hAnsi="Calibri" w:cs="Times New Roman"/>
          <w:i/>
        </w:rPr>
        <w:t xml:space="preserve">., </w:t>
      </w:r>
      <w:r w:rsidRPr="00EB7946">
        <w:rPr>
          <w:rFonts w:ascii="Calibri" w:eastAsia="Calibri" w:hAnsi="Calibri" w:cs="Times New Roman"/>
        </w:rPr>
        <w:t xml:space="preserve">2003; Johnson </w:t>
      </w:r>
      <w:r w:rsidRPr="00785551">
        <w:rPr>
          <w:rFonts w:ascii="Calibri" w:eastAsia="Calibri" w:hAnsi="Calibri" w:cs="Times New Roman"/>
          <w:i/>
        </w:rPr>
        <w:t>et al</w:t>
      </w:r>
      <w:r w:rsidRPr="00EB7946">
        <w:rPr>
          <w:rFonts w:ascii="Calibri" w:eastAsia="Calibri" w:hAnsi="Calibri" w:cs="Times New Roman"/>
          <w:i/>
        </w:rPr>
        <w:t xml:space="preserve">., </w:t>
      </w:r>
      <w:r w:rsidRPr="00EB7946">
        <w:rPr>
          <w:rFonts w:ascii="Calibri" w:eastAsia="Calibri" w:hAnsi="Calibri" w:cs="Times New Roman"/>
        </w:rPr>
        <w:t xml:space="preserve">2004; Clarke </w:t>
      </w:r>
      <w:r w:rsidRPr="00785551">
        <w:rPr>
          <w:rFonts w:ascii="Calibri" w:eastAsia="Calibri" w:hAnsi="Calibri" w:cs="Times New Roman"/>
          <w:i/>
        </w:rPr>
        <w:t>et al</w:t>
      </w:r>
      <w:r w:rsidRPr="00EB7946">
        <w:rPr>
          <w:rFonts w:ascii="Calibri" w:eastAsia="Calibri" w:hAnsi="Calibri" w:cs="Times New Roman"/>
          <w:i/>
        </w:rPr>
        <w:t>.</w:t>
      </w:r>
      <w:r w:rsidRPr="00EB7946">
        <w:rPr>
          <w:rFonts w:ascii="Calibri" w:eastAsia="Calibri" w:hAnsi="Calibri" w:cs="Times New Roman"/>
        </w:rPr>
        <w:t>, 2005; Ireland and Penniston-Dorland, 2015) (</w:t>
      </w:r>
      <w:r w:rsidR="007A3479">
        <w:rPr>
          <w:rFonts w:ascii="Calibri" w:eastAsia="Calibri" w:hAnsi="Calibri" w:cs="Times New Roman"/>
        </w:rPr>
        <w:t>Figure 3</w:t>
      </w:r>
      <w:r w:rsidR="001C09D7">
        <w:rPr>
          <w:rFonts w:ascii="Calibri" w:eastAsia="Calibri" w:hAnsi="Calibri" w:cs="Times New Roman"/>
        </w:rPr>
        <w:t>).</w:t>
      </w:r>
    </w:p>
    <w:p w14:paraId="477731FA" w14:textId="219D7D38" w:rsidR="00691EDC" w:rsidRPr="009B40EF" w:rsidRDefault="00EB7946" w:rsidP="00691EDC">
      <w:pPr>
        <w:jc w:val="both"/>
      </w:pPr>
      <w:r w:rsidRPr="00EB7946">
        <w:rPr>
          <w:rFonts w:ascii="Calibri" w:eastAsia="Calibri" w:hAnsi="Calibri" w:cs="Times New Roman"/>
        </w:rPr>
        <w:t xml:space="preserve">The Dome represents a </w:t>
      </w:r>
      <w:r w:rsidR="00B6390E">
        <w:rPr>
          <w:rFonts w:ascii="Calibri" w:eastAsia="Calibri" w:hAnsi="Calibri" w:cs="Times New Roman"/>
        </w:rPr>
        <w:t>plunging anticline</w:t>
      </w:r>
      <w:r w:rsidRPr="00EB7946">
        <w:rPr>
          <w:rFonts w:ascii="Calibri" w:eastAsia="Calibri" w:hAnsi="Calibri" w:cs="Times New Roman"/>
        </w:rPr>
        <w:t xml:space="preserve"> of the Upper Pretoria Group metasediments of the early-Proterozoic Transvaal Supergroup (Sharp</w:t>
      </w:r>
      <w:r w:rsidR="008C1940">
        <w:rPr>
          <w:rFonts w:ascii="Calibri" w:eastAsia="Calibri" w:hAnsi="Calibri" w:cs="Times New Roman"/>
        </w:rPr>
        <w:t>e</w:t>
      </w:r>
      <w:r w:rsidRPr="00EB7946">
        <w:rPr>
          <w:rFonts w:ascii="Calibri" w:eastAsia="Calibri" w:hAnsi="Calibri" w:cs="Times New Roman"/>
        </w:rPr>
        <w:t xml:space="preserve"> and Chadwick, 1982) that is thought to have formed when underlying footwall rocks rose into the denser overlying </w:t>
      </w:r>
      <w:r w:rsidR="005524A7">
        <w:rPr>
          <w:rFonts w:ascii="Calibri" w:eastAsia="Calibri" w:hAnsi="Calibri" w:cs="Times New Roman"/>
        </w:rPr>
        <w:t>Rustenburg Layered Suite</w:t>
      </w:r>
      <w:r w:rsidRPr="00EB7946">
        <w:rPr>
          <w:rFonts w:ascii="Calibri" w:eastAsia="Calibri" w:hAnsi="Calibri" w:cs="Times New Roman"/>
        </w:rPr>
        <w:t xml:space="preserve"> magmas (Uken and Watkeys, 1997; Uken, 1998; Gerya </w:t>
      </w:r>
      <w:r w:rsidRPr="00785551">
        <w:rPr>
          <w:rFonts w:ascii="Calibri" w:eastAsia="Calibri" w:hAnsi="Calibri" w:cs="Times New Roman"/>
          <w:i/>
        </w:rPr>
        <w:t>et al</w:t>
      </w:r>
      <w:r w:rsidRPr="00EB7946">
        <w:rPr>
          <w:rFonts w:ascii="Calibri" w:eastAsia="Calibri" w:hAnsi="Calibri" w:cs="Times New Roman"/>
          <w:i/>
        </w:rPr>
        <w:t xml:space="preserve">., </w:t>
      </w:r>
      <w:r w:rsidRPr="00EB7946">
        <w:rPr>
          <w:rFonts w:ascii="Calibri" w:eastAsia="Calibri" w:hAnsi="Calibri" w:cs="Times New Roman"/>
        </w:rPr>
        <w:t xml:space="preserve">2003).  </w:t>
      </w:r>
      <w:r w:rsidR="00691EDC" w:rsidRPr="00691EDC">
        <w:t xml:space="preserve">Button (1976) described the uppermost formations of the Pretoria Group in the area. The oldest unit, the Silverton Formation, consists of the Boven Shale Member, the Machadodorp Volcanic Member and the Lydenburg Shale Member. The overlying Magaliesberg </w:t>
      </w:r>
      <w:r w:rsidR="00691EDC" w:rsidRPr="00691EDC">
        <w:lastRenderedPageBreak/>
        <w:t>Formation consists primarily of arenites and argillites. The younger Vermont Formation consists of cordierite-fibrolite-biotite schists with minor quartzites and carbonates, and the Lakenvalei Formation consists of a micaceous quartzite (Uken, 1998).</w:t>
      </w:r>
      <w:r w:rsidR="00691EDC" w:rsidRPr="009B40EF">
        <w:t xml:space="preserve"> </w:t>
      </w:r>
    </w:p>
    <w:p w14:paraId="26BB8726" w14:textId="3135811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Main and Upper Zone in the area are described by </w:t>
      </w:r>
      <w:r w:rsidR="00672AF4">
        <w:rPr>
          <w:rFonts w:ascii="Calibri" w:eastAsia="Calibri" w:hAnsi="Calibri" w:cs="Times New Roman"/>
        </w:rPr>
        <w:t>V</w:t>
      </w:r>
      <w:r w:rsidRPr="00EB7946">
        <w:rPr>
          <w:rFonts w:ascii="Calibri" w:eastAsia="Calibri" w:hAnsi="Calibri" w:cs="Times New Roman"/>
        </w:rPr>
        <w:t xml:space="preserve">on Gruenewaldt (1973) and Molyneux (1974). Molyneux (1998) re-examined the area with the objective of unravelling the structure in the vicinity of the Wonderkop Fault </w:t>
      </w:r>
      <w:r w:rsidR="00C64983">
        <w:rPr>
          <w:rFonts w:ascii="Calibri" w:eastAsia="Calibri" w:hAnsi="Calibri" w:cs="Times New Roman"/>
        </w:rPr>
        <w:t>and the Olifa</w:t>
      </w:r>
      <w:r w:rsidR="00461065">
        <w:rPr>
          <w:rFonts w:ascii="Calibri" w:eastAsia="Calibri" w:hAnsi="Calibri" w:cs="Times New Roman"/>
        </w:rPr>
        <w:t>nts River (Figure</w:t>
      </w:r>
      <w:r w:rsidR="00C64983">
        <w:rPr>
          <w:rFonts w:ascii="Calibri" w:eastAsia="Calibri" w:hAnsi="Calibri" w:cs="Times New Roman"/>
        </w:rPr>
        <w:t xml:space="preserve"> 2), the results of which are discussed below.</w:t>
      </w:r>
    </w:p>
    <w:p w14:paraId="3E9C776C" w14:textId="77777777" w:rsidR="00CC2F37" w:rsidRDefault="00EB7946" w:rsidP="00CC2F37">
      <w:pPr>
        <w:jc w:val="both"/>
      </w:pPr>
      <w:r w:rsidRPr="00EB7946">
        <w:rPr>
          <w:rFonts w:ascii="Calibri" w:eastAsia="Calibri" w:hAnsi="Calibri" w:cs="Times New Roman"/>
        </w:rPr>
        <w:t xml:space="preserve">The sedimentary rocks vary in orientation. </w:t>
      </w:r>
      <w:r w:rsidR="00CC2F37" w:rsidRPr="00CC2F37">
        <w:t>On the southern limb of the Phosiri Dome, bedding in the Transvaal Supergroup rocks dip steeply southward, whilst on the eastern limb, the dip changes from moderately steeply eastward dips through vertical, to overturned in the northern portion, where the strata dip between 60° and 85° towards the west.</w:t>
      </w:r>
      <w:r w:rsidR="00CC2F37">
        <w:t xml:space="preserve"> </w:t>
      </w:r>
    </w:p>
    <w:p w14:paraId="45A2D2AB" w14:textId="77777777" w:rsidR="00EB7946" w:rsidRPr="00EB7946" w:rsidRDefault="00EB7946" w:rsidP="00EB7946">
      <w:pPr>
        <w:jc w:val="both"/>
        <w:rPr>
          <w:rFonts w:ascii="Calibri" w:eastAsia="Calibri" w:hAnsi="Calibri" w:cs="Times New Roman"/>
        </w:rPr>
      </w:pPr>
    </w:p>
    <w:p w14:paraId="6B5BC023" w14:textId="73ADBF96" w:rsidR="000F7D40" w:rsidRDefault="00EB7946" w:rsidP="000F7D40">
      <w:pPr>
        <w:jc w:val="both"/>
        <w:rPr>
          <w:b/>
        </w:rPr>
      </w:pPr>
      <w:r w:rsidRPr="00EB7946">
        <w:rPr>
          <w:rFonts w:ascii="Calibri" w:eastAsia="Calibri" w:hAnsi="Calibri" w:cs="Times New Roman"/>
          <w:noProof/>
        </w:rPr>
        <w:t xml:space="preserve"> </w:t>
      </w:r>
      <w:r w:rsidR="003F5607">
        <w:rPr>
          <w:noProof/>
        </w:rPr>
        <w:drawing>
          <wp:inline distT="0" distB="0" distL="0" distR="0" wp14:anchorId="6B9BD60D" wp14:editId="3D83D579">
            <wp:extent cx="6120765" cy="57759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0765" cy="5775960"/>
                    </a:xfrm>
                    <a:prstGeom prst="rect">
                      <a:avLst/>
                    </a:prstGeom>
                  </pic:spPr>
                </pic:pic>
              </a:graphicData>
            </a:graphic>
          </wp:inline>
        </w:drawing>
      </w:r>
    </w:p>
    <w:p w14:paraId="39E6F075" w14:textId="779E24E9" w:rsidR="000F7D40" w:rsidRDefault="000F7D40" w:rsidP="000F7D40">
      <w:pPr>
        <w:pStyle w:val="Caption"/>
        <w:rPr>
          <w:b/>
        </w:rPr>
      </w:pPr>
      <w:bookmarkStart w:id="54" w:name="_Toc520757554"/>
      <w:r>
        <w:t xml:space="preserve">Figure </w:t>
      </w:r>
      <w:fldSimple w:instr=" SEQ Figure \* ARABIC ">
        <w:r w:rsidR="002645B6">
          <w:rPr>
            <w:noProof/>
          </w:rPr>
          <w:t>3</w:t>
        </w:r>
      </w:fldSimple>
      <w:r>
        <w:t>: Simplified geological map of the northeastern portion of the Eastern Limb of the Bushveld Complex showing the Phosiri, Phepane, Malope and Katkloof Domes, and the Schwerin Fold (after Johnson et al., 2004).</w:t>
      </w:r>
      <w:bookmarkEnd w:id="54"/>
    </w:p>
    <w:p w14:paraId="7132A2A5" w14:textId="0A07D972" w:rsidR="00B54746" w:rsidRDefault="00B54746" w:rsidP="000F7D40">
      <w:pPr>
        <w:jc w:val="both"/>
        <w:rPr>
          <w:rFonts w:ascii="Calibri" w:eastAsia="Calibri" w:hAnsi="Calibri" w:cs="Times New Roman"/>
        </w:rPr>
      </w:pPr>
      <w:r>
        <w:rPr>
          <w:rFonts w:ascii="Calibri" w:eastAsia="Calibri" w:hAnsi="Calibri" w:cs="Times New Roman"/>
        </w:rPr>
        <w:lastRenderedPageBreak/>
        <w:t xml:space="preserve">The emplacement of the Rustenburg Layered Suite magmas triggered a diapiric response </w:t>
      </w:r>
      <w:r w:rsidRPr="00EB7946">
        <w:rPr>
          <w:rFonts w:ascii="Calibri" w:eastAsia="Calibri" w:hAnsi="Calibri" w:cs="Times New Roman"/>
        </w:rPr>
        <w:t xml:space="preserve">as a result of </w:t>
      </w:r>
      <w:r>
        <w:rPr>
          <w:rFonts w:ascii="Calibri" w:eastAsia="Calibri" w:hAnsi="Calibri" w:cs="Times New Roman"/>
        </w:rPr>
        <w:t xml:space="preserve">non-linear heat flow into pre-existing basement highs (Gerya </w:t>
      </w:r>
      <w:r>
        <w:rPr>
          <w:rFonts w:ascii="Calibri" w:eastAsia="Calibri" w:hAnsi="Calibri" w:cs="Times New Roman"/>
          <w:i/>
        </w:rPr>
        <w:t xml:space="preserve">et al., </w:t>
      </w:r>
      <w:r>
        <w:rPr>
          <w:rFonts w:ascii="Calibri" w:eastAsia="Calibri" w:hAnsi="Calibri" w:cs="Times New Roman"/>
        </w:rPr>
        <w:t>2003) and the density contrast between the less dense metasedimentary floor rocks and the denser mafic-ultramafic magmas.</w:t>
      </w:r>
    </w:p>
    <w:p w14:paraId="77FF42DE" w14:textId="49E1B29B" w:rsidR="00EB7946" w:rsidRPr="00EB7946" w:rsidRDefault="00EB7946" w:rsidP="000F7D40">
      <w:pPr>
        <w:jc w:val="both"/>
        <w:rPr>
          <w:rFonts w:ascii="Calibri" w:eastAsia="Calibri" w:hAnsi="Calibri" w:cs="Times New Roman"/>
        </w:rPr>
      </w:pPr>
      <w:r w:rsidRPr="00EB7946">
        <w:rPr>
          <w:rFonts w:ascii="Calibri" w:eastAsia="Calibri" w:hAnsi="Calibri" w:cs="Times New Roman"/>
        </w:rPr>
        <w:t xml:space="preserve">The upward displacement of </w:t>
      </w:r>
      <w:r w:rsidR="00B54746">
        <w:rPr>
          <w:rFonts w:ascii="Calibri" w:eastAsia="Calibri" w:hAnsi="Calibri" w:cs="Times New Roman"/>
        </w:rPr>
        <w:t xml:space="preserve">the </w:t>
      </w:r>
      <w:r w:rsidRPr="00EB7946">
        <w:rPr>
          <w:rFonts w:ascii="Calibri" w:eastAsia="Calibri" w:hAnsi="Calibri" w:cs="Times New Roman"/>
        </w:rPr>
        <w:t>floor rocks is believed to have occurred at approximately the same time as the intrusion of the mafic</w:t>
      </w:r>
      <w:r w:rsidR="00C64983">
        <w:rPr>
          <w:rFonts w:ascii="Calibri" w:eastAsia="Calibri" w:hAnsi="Calibri" w:cs="Times New Roman"/>
        </w:rPr>
        <w:t xml:space="preserve"> – ultramafic</w:t>
      </w:r>
      <w:r w:rsidRPr="00EB7946">
        <w:rPr>
          <w:rFonts w:ascii="Calibri" w:eastAsia="Calibri" w:hAnsi="Calibri" w:cs="Times New Roman"/>
        </w:rPr>
        <w:t xml:space="preserve"> </w:t>
      </w:r>
      <w:r w:rsidR="00B6390E">
        <w:rPr>
          <w:rFonts w:ascii="Calibri" w:eastAsia="Calibri" w:hAnsi="Calibri" w:cs="Times New Roman"/>
        </w:rPr>
        <w:t>magmas</w:t>
      </w:r>
      <w:r w:rsidRPr="00EB7946">
        <w:rPr>
          <w:rFonts w:ascii="Calibri" w:eastAsia="Calibri" w:hAnsi="Calibri" w:cs="Times New Roman"/>
        </w:rPr>
        <w:t xml:space="preserve"> (Uken and Watkeys, 1997; Gerya </w:t>
      </w:r>
      <w:r w:rsidRPr="00785551">
        <w:rPr>
          <w:rFonts w:ascii="Calibri" w:eastAsia="Calibri" w:hAnsi="Calibri" w:cs="Times New Roman"/>
          <w:i/>
        </w:rPr>
        <w:t>et al</w:t>
      </w:r>
      <w:r w:rsidRPr="00EB7946">
        <w:rPr>
          <w:rFonts w:ascii="Calibri" w:eastAsia="Calibri" w:hAnsi="Calibri" w:cs="Times New Roman"/>
          <w:i/>
        </w:rPr>
        <w:t xml:space="preserve">., </w:t>
      </w:r>
      <w:r w:rsidRPr="00EB7946">
        <w:rPr>
          <w:rFonts w:ascii="Calibri" w:eastAsia="Calibri" w:hAnsi="Calibri" w:cs="Times New Roman"/>
        </w:rPr>
        <w:t xml:space="preserve">2003; Johnson </w:t>
      </w:r>
      <w:r w:rsidRPr="00785551">
        <w:rPr>
          <w:rFonts w:ascii="Calibri" w:eastAsia="Calibri" w:hAnsi="Calibri" w:cs="Times New Roman"/>
          <w:i/>
        </w:rPr>
        <w:t>et al</w:t>
      </w:r>
      <w:r w:rsidRPr="00EB7946">
        <w:rPr>
          <w:rFonts w:ascii="Calibri" w:eastAsia="Calibri" w:hAnsi="Calibri" w:cs="Times New Roman"/>
          <w:i/>
        </w:rPr>
        <w:t xml:space="preserve">., </w:t>
      </w:r>
      <w:r w:rsidRPr="00EB7946">
        <w:rPr>
          <w:rFonts w:ascii="Calibri" w:eastAsia="Calibri" w:hAnsi="Calibri" w:cs="Times New Roman"/>
        </w:rPr>
        <w:t xml:space="preserve">2004; Longridge </w:t>
      </w:r>
      <w:r w:rsidRPr="00785551">
        <w:rPr>
          <w:rFonts w:ascii="Calibri" w:eastAsia="Calibri" w:hAnsi="Calibri" w:cs="Times New Roman"/>
          <w:i/>
        </w:rPr>
        <w:t>et al</w:t>
      </w:r>
      <w:r w:rsidRPr="00EB7946">
        <w:rPr>
          <w:rFonts w:ascii="Calibri" w:eastAsia="Calibri" w:hAnsi="Calibri" w:cs="Times New Roman"/>
          <w:i/>
        </w:rPr>
        <w:t xml:space="preserve">., </w:t>
      </w:r>
      <w:r w:rsidRPr="00EB7946">
        <w:rPr>
          <w:rFonts w:ascii="Calibri" w:eastAsia="Calibri" w:hAnsi="Calibri" w:cs="Times New Roman"/>
        </w:rPr>
        <w:t xml:space="preserve">2009; Ireland and Penniston-Dorland, 2015) and resulted in successive on-lapping of units of the Rustenburg Layered Suite over the up-doming structure. </w:t>
      </w:r>
      <w:r w:rsidR="00B6390E">
        <w:rPr>
          <w:rFonts w:ascii="Calibri" w:eastAsia="Calibri" w:hAnsi="Calibri" w:cs="Times New Roman"/>
        </w:rPr>
        <w:t>Updoming to a lesser degree of the magmatic layering of the Rustenburg Layered Suite in the vicinity of the Phosiri Dome indicates that the layering has been influenced by the movement of the floor rocks, suggesting that doming occurred post-crystall</w:t>
      </w:r>
      <w:r w:rsidR="005D78EA">
        <w:rPr>
          <w:rFonts w:ascii="Calibri" w:eastAsia="Calibri" w:hAnsi="Calibri" w:cs="Times New Roman"/>
        </w:rPr>
        <w:t>isation</w:t>
      </w:r>
      <w:r w:rsidR="00B6390E">
        <w:rPr>
          <w:rFonts w:ascii="Calibri" w:eastAsia="Calibri" w:hAnsi="Calibri" w:cs="Times New Roman"/>
        </w:rPr>
        <w:t xml:space="preserve"> of the Rustenburg Layered Suite.</w:t>
      </w:r>
    </w:p>
    <w:p w14:paraId="16B548BE" w14:textId="2082D205" w:rsidR="00EB7946" w:rsidRPr="00EB7946" w:rsidRDefault="00B6390E" w:rsidP="00EB7946">
      <w:pPr>
        <w:jc w:val="both"/>
        <w:rPr>
          <w:rFonts w:ascii="Calibri" w:eastAsia="Calibri" w:hAnsi="Calibri" w:cs="Times New Roman"/>
        </w:rPr>
      </w:pPr>
      <w:r>
        <w:rPr>
          <w:rFonts w:ascii="Calibri" w:eastAsia="Calibri" w:hAnsi="Calibri" w:cs="Times New Roman"/>
        </w:rPr>
        <w:t>The u</w:t>
      </w:r>
      <w:r w:rsidR="00EB7946" w:rsidRPr="00EB7946">
        <w:rPr>
          <w:rFonts w:ascii="Calibri" w:eastAsia="Calibri" w:hAnsi="Calibri" w:cs="Times New Roman"/>
        </w:rPr>
        <w:t xml:space="preserve">plift of </w:t>
      </w:r>
      <w:r>
        <w:rPr>
          <w:rFonts w:ascii="Calibri" w:eastAsia="Calibri" w:hAnsi="Calibri" w:cs="Times New Roman"/>
        </w:rPr>
        <w:t xml:space="preserve">the Rustenburg Layered Suite </w:t>
      </w:r>
      <w:r w:rsidR="00EB7946" w:rsidRPr="00EB7946">
        <w:rPr>
          <w:rFonts w:ascii="Calibri" w:eastAsia="Calibri" w:hAnsi="Calibri" w:cs="Times New Roman"/>
        </w:rPr>
        <w:t>has important implications as economic horizons, namely the Merensky Reef and UG2 Chromitite, which would normally be at several kilometers depth at this location, are brought closer to the surface. This is most evident on the southern flank of the Phosiri dome where Critical Zone rocks outcrop on surface approximately 18 km downdip of their surface exposure to the northeast at Bokoni Mine (</w:t>
      </w:r>
      <w:r w:rsidR="000F7D40">
        <w:rPr>
          <w:rFonts w:ascii="Calibri" w:eastAsia="Calibri" w:hAnsi="Calibri" w:cs="Times New Roman"/>
        </w:rPr>
        <w:t>Fig</w:t>
      </w:r>
      <w:r w:rsidR="00B54746">
        <w:rPr>
          <w:rFonts w:ascii="Calibri" w:eastAsia="Calibri" w:hAnsi="Calibri" w:cs="Times New Roman"/>
        </w:rPr>
        <w:t>ure</w:t>
      </w:r>
      <w:r w:rsidR="000F7D40">
        <w:rPr>
          <w:rFonts w:ascii="Calibri" w:eastAsia="Calibri" w:hAnsi="Calibri" w:cs="Times New Roman"/>
        </w:rPr>
        <w:t xml:space="preserve"> </w:t>
      </w:r>
      <w:r>
        <w:rPr>
          <w:rFonts w:ascii="Calibri" w:eastAsia="Calibri" w:hAnsi="Calibri" w:cs="Times New Roman"/>
        </w:rPr>
        <w:t>3</w:t>
      </w:r>
      <w:r w:rsidR="00EB7946" w:rsidRPr="00EB7946">
        <w:rPr>
          <w:rFonts w:ascii="Calibri" w:eastAsia="Calibri" w:hAnsi="Calibri" w:cs="Times New Roman"/>
        </w:rPr>
        <w:t xml:space="preserve">). </w:t>
      </w:r>
    </w:p>
    <w:p w14:paraId="43B471DF" w14:textId="24947087" w:rsidR="00EB7946" w:rsidRPr="00EB7946" w:rsidRDefault="00EB7946" w:rsidP="00EB7946">
      <w:pPr>
        <w:jc w:val="both"/>
        <w:rPr>
          <w:rFonts w:ascii="Calibri" w:eastAsia="Calibri" w:hAnsi="Calibri" w:cs="Times New Roman"/>
          <w:szCs w:val="24"/>
          <w:lang w:val="en-GB"/>
        </w:rPr>
      </w:pPr>
      <w:r w:rsidRPr="00EB7946">
        <w:rPr>
          <w:rFonts w:ascii="Calibri" w:eastAsia="Calibri" w:hAnsi="Calibri" w:cs="Times New Roman"/>
        </w:rPr>
        <w:t xml:space="preserve">The southern flank of the dome appears to be somewhat more structurally disrupted than the eastern flank and data from trenching and diamond exploration drilling shows the Upper Zone dips between 5° and 25° to the south, whilst the Main and Critical Zones dip away from the dome at angles between 60° and 70° </w:t>
      </w:r>
      <w:r w:rsidR="00B6390E">
        <w:rPr>
          <w:rFonts w:ascii="Calibri" w:eastAsia="Calibri" w:hAnsi="Calibri" w:cs="Times New Roman"/>
        </w:rPr>
        <w:t>(Martin, 1999; Scoon 2002; King</w:t>
      </w:r>
      <w:r w:rsidRPr="00EB7946">
        <w:rPr>
          <w:rFonts w:ascii="Calibri" w:eastAsia="Calibri" w:hAnsi="Calibri" w:cs="Times New Roman"/>
        </w:rPr>
        <w:t xml:space="preserve"> </w:t>
      </w:r>
      <w:r w:rsidRPr="00EB7946">
        <w:rPr>
          <w:rFonts w:ascii="Calibri" w:eastAsia="Calibri" w:hAnsi="Calibri" w:cs="Times New Roman"/>
          <w:i/>
        </w:rPr>
        <w:t>et al.</w:t>
      </w:r>
      <w:r w:rsidR="00B6390E">
        <w:rPr>
          <w:rFonts w:ascii="Calibri" w:eastAsia="Calibri" w:hAnsi="Calibri" w:cs="Times New Roman"/>
        </w:rPr>
        <w:t>, 2011).</w:t>
      </w:r>
    </w:p>
    <w:p w14:paraId="7C815179" w14:textId="55F61048" w:rsidR="00EB7946" w:rsidRPr="00EB7946" w:rsidRDefault="00EB7946" w:rsidP="00EB7946">
      <w:pPr>
        <w:jc w:val="both"/>
        <w:rPr>
          <w:rFonts w:ascii="Calibri" w:eastAsia="Calibri" w:hAnsi="Calibri" w:cs="Times New Roman"/>
        </w:rPr>
      </w:pPr>
      <w:r w:rsidRPr="00EB7946">
        <w:rPr>
          <w:rFonts w:ascii="Calibri" w:eastAsia="Calibri" w:hAnsi="Calibri" w:cs="Times New Roman"/>
        </w:rPr>
        <w:t>The Dome is bounded in the west by the Stofpoort and Wonderkop Faults,</w:t>
      </w:r>
      <w:r w:rsidR="00B54746">
        <w:rPr>
          <w:rFonts w:ascii="Calibri" w:eastAsia="Calibri" w:hAnsi="Calibri" w:cs="Times New Roman"/>
        </w:rPr>
        <w:t xml:space="preserve"> (Figure 3)</w:t>
      </w:r>
      <w:r w:rsidRPr="00EB7946">
        <w:rPr>
          <w:rFonts w:ascii="Calibri" w:eastAsia="Calibri" w:hAnsi="Calibri" w:cs="Times New Roman"/>
        </w:rPr>
        <w:t xml:space="preserve"> which </w:t>
      </w:r>
      <w:r w:rsidR="00A6088A">
        <w:rPr>
          <w:rFonts w:ascii="Calibri" w:eastAsia="Calibri" w:hAnsi="Calibri" w:cs="Times New Roman"/>
        </w:rPr>
        <w:t xml:space="preserve">cumulatively </w:t>
      </w:r>
      <w:r w:rsidRPr="00EB7946">
        <w:rPr>
          <w:rFonts w:ascii="Calibri" w:eastAsia="Calibri" w:hAnsi="Calibri" w:cs="Times New Roman"/>
        </w:rPr>
        <w:t xml:space="preserve">displace the fold </w:t>
      </w:r>
      <w:r w:rsidR="00B6390E">
        <w:rPr>
          <w:rFonts w:ascii="Calibri" w:eastAsia="Calibri" w:hAnsi="Calibri" w:cs="Times New Roman"/>
        </w:rPr>
        <w:t>hinge</w:t>
      </w:r>
      <w:r w:rsidRPr="00EB7946">
        <w:rPr>
          <w:rFonts w:ascii="Calibri" w:eastAsia="Calibri" w:hAnsi="Calibri" w:cs="Times New Roman"/>
        </w:rPr>
        <w:t xml:space="preserve"> of the Dome by approximately 2 km (Uken, 1998). </w:t>
      </w:r>
      <w:bookmarkStart w:id="55" w:name="_Hlk507106773"/>
      <w:r w:rsidRPr="00EB7946">
        <w:rPr>
          <w:rFonts w:ascii="Calibri" w:eastAsia="Calibri" w:hAnsi="Calibri" w:cs="Times New Roman"/>
        </w:rPr>
        <w:t xml:space="preserve">Molyneux and Klinkert (1978) suggest that the </w:t>
      </w:r>
      <w:r w:rsidR="00A6088A">
        <w:rPr>
          <w:rFonts w:ascii="Calibri" w:eastAsia="Calibri" w:hAnsi="Calibri" w:cs="Times New Roman"/>
        </w:rPr>
        <w:t xml:space="preserve">Wonderkop </w:t>
      </w:r>
      <w:r w:rsidRPr="00EB7946">
        <w:rPr>
          <w:rFonts w:ascii="Calibri" w:eastAsia="Calibri" w:hAnsi="Calibri" w:cs="Times New Roman"/>
        </w:rPr>
        <w:t xml:space="preserve">fault is down-thrown to the southeast and Uken (1998) suggests that this is a left-lateral (sinistral) fault as a result of north-south directed compression. Du Plessis and Walraven (1990) interpret the area between the Wonderkop and Stofpoort faults as a graben structure. The Wonderkop Fault extends south into the Bushveld Granite and passes just west of the Malope Dome (Sharpe </w:t>
      </w:r>
      <w:r w:rsidR="00A6088A">
        <w:rPr>
          <w:rFonts w:ascii="Calibri" w:eastAsia="Calibri" w:hAnsi="Calibri" w:cs="Times New Roman"/>
        </w:rPr>
        <w:t>and Chadwick</w:t>
      </w:r>
      <w:r w:rsidRPr="00EB7946">
        <w:rPr>
          <w:rFonts w:ascii="Calibri" w:eastAsia="Calibri" w:hAnsi="Calibri" w:cs="Times New Roman"/>
        </w:rPr>
        <w:t xml:space="preserve">, 1982). </w:t>
      </w:r>
      <w:bookmarkEnd w:id="55"/>
    </w:p>
    <w:p w14:paraId="081F8A84" w14:textId="697FA23A"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w:t>
      </w:r>
      <w:r w:rsidR="00A6088A">
        <w:rPr>
          <w:rFonts w:ascii="Calibri" w:eastAsia="Calibri" w:hAnsi="Calibri" w:cs="Times New Roman"/>
        </w:rPr>
        <w:t>hinge</w:t>
      </w:r>
      <w:r w:rsidRPr="00EB7946">
        <w:rPr>
          <w:rFonts w:ascii="Calibri" w:eastAsia="Calibri" w:hAnsi="Calibri" w:cs="Times New Roman"/>
        </w:rPr>
        <w:t xml:space="preserve"> of the anticline plunges towards the southeast at approximately 28°. </w:t>
      </w:r>
      <w:r w:rsidR="00A6088A" w:rsidRPr="003F5607">
        <w:rPr>
          <w:rFonts w:ascii="Calibri" w:eastAsia="Calibri" w:hAnsi="Calibri" w:cs="Times New Roman"/>
        </w:rPr>
        <w:t xml:space="preserve">Schwellnus </w:t>
      </w:r>
      <w:r w:rsidR="00A6088A" w:rsidRPr="00785551">
        <w:rPr>
          <w:rFonts w:ascii="Calibri" w:eastAsia="Calibri" w:hAnsi="Calibri" w:cs="Times New Roman"/>
          <w:i/>
        </w:rPr>
        <w:t>et al</w:t>
      </w:r>
      <w:r w:rsidR="00A6088A" w:rsidRPr="003F5607">
        <w:rPr>
          <w:rFonts w:ascii="Calibri" w:eastAsia="Calibri" w:hAnsi="Calibri" w:cs="Times New Roman"/>
        </w:rPr>
        <w:t>. (1962)</w:t>
      </w:r>
      <w:r w:rsidR="00A6088A">
        <w:rPr>
          <w:rFonts w:ascii="Calibri" w:eastAsia="Calibri" w:hAnsi="Calibri" w:cs="Times New Roman"/>
        </w:rPr>
        <w:t xml:space="preserve"> </w:t>
      </w:r>
      <w:r w:rsidRPr="00EB7946">
        <w:rPr>
          <w:rFonts w:ascii="Calibri" w:eastAsia="Calibri" w:hAnsi="Calibri" w:cs="Times New Roman"/>
        </w:rPr>
        <w:t>mapped the occurrence of chromitite on the southern flank of the dome, indicating</w:t>
      </w:r>
      <w:r w:rsidR="003F5607">
        <w:rPr>
          <w:rFonts w:ascii="Calibri" w:eastAsia="Calibri" w:hAnsi="Calibri" w:cs="Times New Roman"/>
        </w:rPr>
        <w:t xml:space="preserve"> the presence of</w:t>
      </w:r>
      <w:r w:rsidRPr="00EB7946">
        <w:rPr>
          <w:rFonts w:ascii="Calibri" w:eastAsia="Calibri" w:hAnsi="Calibri" w:cs="Times New Roman"/>
        </w:rPr>
        <w:t xml:space="preserve"> Critical Zone lithologies. It is postulated that the separated body of Transvaal Supergroup </w:t>
      </w:r>
      <w:r w:rsidR="003F5607">
        <w:rPr>
          <w:rFonts w:ascii="Calibri" w:eastAsia="Calibri" w:hAnsi="Calibri" w:cs="Times New Roman"/>
        </w:rPr>
        <w:t xml:space="preserve">from the metasedimentary floor rocks </w:t>
      </w:r>
      <w:r w:rsidRPr="00EB7946">
        <w:rPr>
          <w:rFonts w:ascii="Calibri" w:eastAsia="Calibri" w:hAnsi="Calibri" w:cs="Times New Roman"/>
        </w:rPr>
        <w:t>at the nose of the Phosiri anticline is thought to represent a xenolith, or floating slab not connected to the floor, although this has yet to be verifie</w:t>
      </w:r>
      <w:r w:rsidR="003F5607">
        <w:rPr>
          <w:rFonts w:ascii="Calibri" w:eastAsia="Calibri" w:hAnsi="Calibri" w:cs="Times New Roman"/>
        </w:rPr>
        <w:t>d by drilling or seismic data.</w:t>
      </w:r>
    </w:p>
    <w:p w14:paraId="3D11B1A9" w14:textId="77777777" w:rsidR="00EB7946" w:rsidRPr="00CE738E" w:rsidRDefault="00EB7946" w:rsidP="00CE738E">
      <w:pPr>
        <w:pStyle w:val="Heading2"/>
        <w:rPr>
          <w:color w:val="000000" w:themeColor="text1"/>
        </w:rPr>
      </w:pPr>
      <w:bookmarkStart w:id="56" w:name="_Toc501030984"/>
      <w:bookmarkStart w:id="57" w:name="_Toc520758785"/>
      <w:r w:rsidRPr="00CE738E">
        <w:rPr>
          <w:color w:val="000000" w:themeColor="text1"/>
        </w:rPr>
        <w:t>Exploration History and Rationale</w:t>
      </w:r>
      <w:bookmarkEnd w:id="56"/>
      <w:bookmarkEnd w:id="57"/>
    </w:p>
    <w:p w14:paraId="6AD973B6" w14:textId="68DF00E9"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project area lies at the junction of two distinct structural provinces of the eastern Bushveld; one being the gently dipping Central Sector of the Eastern Limb of the Bushveld Complex and the other the steeply-dipping Western Sector of the Eastern Limb (Hatton and </w:t>
      </w:r>
      <w:r w:rsidR="007F30D2">
        <w:rPr>
          <w:rFonts w:ascii="Calibri" w:eastAsia="Calibri" w:hAnsi="Calibri" w:cs="Times New Roman"/>
        </w:rPr>
        <w:t>v</w:t>
      </w:r>
      <w:r w:rsidR="00672AF4">
        <w:rPr>
          <w:rFonts w:ascii="Calibri" w:eastAsia="Calibri" w:hAnsi="Calibri" w:cs="Times New Roman"/>
        </w:rPr>
        <w:t>on</w:t>
      </w:r>
      <w:r w:rsidRPr="00EB7946">
        <w:rPr>
          <w:rFonts w:ascii="Calibri" w:eastAsia="Calibri" w:hAnsi="Calibri" w:cs="Times New Roman"/>
        </w:rPr>
        <w:t xml:space="preserve"> Gruenewaldt 1987; Lea, 1995)</w:t>
      </w:r>
      <w:r w:rsidR="00E546E7">
        <w:rPr>
          <w:rFonts w:ascii="Calibri" w:eastAsia="Calibri" w:hAnsi="Calibri" w:cs="Times New Roman"/>
        </w:rPr>
        <w:t xml:space="preserve"> (Fig</w:t>
      </w:r>
      <w:r w:rsidR="00E64270">
        <w:rPr>
          <w:rFonts w:ascii="Calibri" w:eastAsia="Calibri" w:hAnsi="Calibri" w:cs="Times New Roman"/>
        </w:rPr>
        <w:t>ure</w:t>
      </w:r>
      <w:r w:rsidR="00E546E7">
        <w:rPr>
          <w:rFonts w:ascii="Calibri" w:eastAsia="Calibri" w:hAnsi="Calibri" w:cs="Times New Roman"/>
        </w:rPr>
        <w:t xml:space="preserve"> 3)</w:t>
      </w:r>
      <w:r w:rsidRPr="00EB7946">
        <w:rPr>
          <w:rFonts w:ascii="Calibri" w:eastAsia="Calibri" w:hAnsi="Calibri" w:cs="Times New Roman"/>
        </w:rPr>
        <w:t>. The Lonmin-operated Limpopo Division (previously Messina Platinum Mine) is situated in the latter sector, where dips of up to 70° south are reported (Lea, 1996).</w:t>
      </w:r>
    </w:p>
    <w:p w14:paraId="33390CB9" w14:textId="30D16171" w:rsidR="00E546E7" w:rsidRDefault="00EB7946" w:rsidP="00EB7946">
      <w:pPr>
        <w:jc w:val="both"/>
        <w:rPr>
          <w:rFonts w:ascii="Calibri" w:eastAsia="Calibri" w:hAnsi="Calibri" w:cs="Times New Roman"/>
        </w:rPr>
      </w:pPr>
      <w:r w:rsidRPr="00EB7946">
        <w:rPr>
          <w:rFonts w:ascii="Calibri" w:eastAsia="Calibri" w:hAnsi="Calibri" w:cs="Times New Roman"/>
        </w:rPr>
        <w:t xml:space="preserve">Sporadic drilling </w:t>
      </w:r>
      <w:r w:rsidR="003F5607">
        <w:rPr>
          <w:rFonts w:ascii="Calibri" w:eastAsia="Calibri" w:hAnsi="Calibri" w:cs="Times New Roman"/>
        </w:rPr>
        <w:t>took</w:t>
      </w:r>
      <w:r w:rsidRPr="00EB7946">
        <w:rPr>
          <w:rFonts w:ascii="Calibri" w:eastAsia="Calibri" w:hAnsi="Calibri" w:cs="Times New Roman"/>
        </w:rPr>
        <w:t xml:space="preserve"> place to the east of the Phosiri Dome from 1982 to 2013 with possibly the most important result being the intersection of Merensky Reef and UG2 in the borehole BH 2698 on the farm Eerste Regt 502 KS drilled by Gener</w:t>
      </w:r>
      <w:r w:rsidR="00E64270">
        <w:rPr>
          <w:rFonts w:ascii="Calibri" w:eastAsia="Calibri" w:hAnsi="Calibri" w:cs="Times New Roman"/>
        </w:rPr>
        <w:t>al Mining in 1987 (Table 6, Figure</w:t>
      </w:r>
      <w:r w:rsidRPr="00EB7946">
        <w:rPr>
          <w:rFonts w:ascii="Calibri" w:eastAsia="Calibri" w:hAnsi="Calibri" w:cs="Times New Roman"/>
        </w:rPr>
        <w:t xml:space="preserve"> 4</w:t>
      </w:r>
      <w:r w:rsidR="00E64270">
        <w:rPr>
          <w:rFonts w:ascii="Calibri" w:eastAsia="Calibri" w:hAnsi="Calibri" w:cs="Times New Roman"/>
        </w:rPr>
        <w:t xml:space="preserve"> and Figure 15</w:t>
      </w:r>
      <w:r w:rsidRPr="00EB7946">
        <w:rPr>
          <w:rFonts w:ascii="Calibri" w:eastAsia="Calibri" w:hAnsi="Calibri" w:cs="Times New Roman"/>
        </w:rPr>
        <w:t xml:space="preserve">). This borehole successfully demonstrated the presence of the Merensky Reef and UG2 </w:t>
      </w:r>
      <w:r w:rsidR="00E546E7" w:rsidRPr="00EB7946">
        <w:rPr>
          <w:rFonts w:ascii="Calibri" w:eastAsia="Calibri" w:hAnsi="Calibri" w:cs="Times New Roman"/>
        </w:rPr>
        <w:t>Chromitite</w:t>
      </w:r>
      <w:r w:rsidRPr="00EB7946">
        <w:rPr>
          <w:rFonts w:ascii="Calibri" w:eastAsia="Calibri" w:hAnsi="Calibri" w:cs="Times New Roman"/>
        </w:rPr>
        <w:t xml:space="preserve"> at considerably shallower depths than would be expected if one simply extrapolated the reef horizons at constant dip from their surface outcrop positions in the northeast. </w:t>
      </w:r>
    </w:p>
    <w:p w14:paraId="22D5EB4D" w14:textId="77777777" w:rsidR="00E546E7" w:rsidRDefault="00E546E7">
      <w:pPr>
        <w:rPr>
          <w:rFonts w:ascii="Calibri" w:eastAsia="Calibri" w:hAnsi="Calibri" w:cs="Times New Roman"/>
        </w:rPr>
      </w:pPr>
      <w:r>
        <w:rPr>
          <w:rFonts w:ascii="Calibri" w:eastAsia="Calibri" w:hAnsi="Calibri" w:cs="Times New Roman"/>
        </w:rPr>
        <w:br w:type="page"/>
      </w:r>
    </w:p>
    <w:p w14:paraId="42C48B03" w14:textId="77777777" w:rsidR="00EB7946" w:rsidRPr="00EB7946" w:rsidRDefault="00EB7946" w:rsidP="00EB7946">
      <w:pPr>
        <w:jc w:val="both"/>
        <w:rPr>
          <w:rFonts w:ascii="Calibri" w:eastAsia="Calibri" w:hAnsi="Calibri" w:cs="Times New Roman"/>
        </w:rPr>
      </w:pPr>
    </w:p>
    <w:p w14:paraId="2EA9D592" w14:textId="14CC32A7" w:rsidR="00EB7946" w:rsidRPr="00E546E7" w:rsidRDefault="00E546E7" w:rsidP="00E546E7">
      <w:pPr>
        <w:pStyle w:val="Caption"/>
        <w:rPr>
          <w:rFonts w:eastAsia="Times New Roman" w:cstheme="minorHAnsi"/>
          <w:b/>
          <w:bCs/>
          <w:i w:val="0"/>
          <w:lang w:val="en-ZA"/>
        </w:rPr>
      </w:pPr>
      <w:bookmarkStart w:id="58" w:name="_Toc520740333"/>
      <w:r>
        <w:t xml:space="preserve">Table </w:t>
      </w:r>
      <w:fldSimple w:instr=" SEQ Table \* ARABIC ">
        <w:r w:rsidR="002645B6">
          <w:rPr>
            <w:noProof/>
          </w:rPr>
          <w:t>6</w:t>
        </w:r>
      </w:fldSimple>
      <w:r w:rsidR="00EB7946" w:rsidRPr="00E546E7">
        <w:rPr>
          <w:rFonts w:eastAsia="Times New Roman" w:cstheme="minorHAnsi"/>
          <w:bCs/>
          <w:i w:val="0"/>
          <w:lang w:val="en-ZA"/>
        </w:rPr>
        <w:t xml:space="preserve">: </w:t>
      </w:r>
      <w:r w:rsidR="00EB7946" w:rsidRPr="00E546E7">
        <w:rPr>
          <w:rFonts w:eastAsia="Times New Roman" w:cstheme="minorHAnsi"/>
          <w:bCs/>
          <w:lang w:val="en-ZA"/>
        </w:rPr>
        <w:t>Summary of various exploration trenching and drilling campaigns in the vicinity of the Phosiri Dome.</w:t>
      </w:r>
      <w:bookmarkEnd w:id="58"/>
    </w:p>
    <w:tbl>
      <w:tblPr>
        <w:tblW w:w="101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1"/>
        <w:gridCol w:w="1701"/>
        <w:gridCol w:w="3119"/>
        <w:gridCol w:w="4051"/>
      </w:tblGrid>
      <w:tr w:rsidR="00EB7946" w:rsidRPr="00A40634" w14:paraId="3A9236ED" w14:textId="77777777" w:rsidTr="00A40634">
        <w:trPr>
          <w:trHeight w:val="62"/>
          <w:jc w:val="center"/>
        </w:trPr>
        <w:tc>
          <w:tcPr>
            <w:tcW w:w="1271" w:type="dxa"/>
            <w:shd w:val="clear" w:color="auto" w:fill="auto"/>
          </w:tcPr>
          <w:p w14:paraId="44731D01"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b/>
                <w:bCs/>
                <w:sz w:val="18"/>
                <w:szCs w:val="18"/>
                <w:lang w:val="en-ZA"/>
              </w:rPr>
              <w:t>YEAR</w:t>
            </w:r>
          </w:p>
        </w:tc>
        <w:tc>
          <w:tcPr>
            <w:tcW w:w="1701" w:type="dxa"/>
            <w:shd w:val="clear" w:color="auto" w:fill="auto"/>
          </w:tcPr>
          <w:p w14:paraId="0F2C7679"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b/>
                <w:bCs/>
                <w:sz w:val="18"/>
                <w:szCs w:val="18"/>
                <w:lang w:val="en-ZA"/>
              </w:rPr>
              <w:t>COMPANY</w:t>
            </w:r>
          </w:p>
        </w:tc>
        <w:tc>
          <w:tcPr>
            <w:tcW w:w="3119" w:type="dxa"/>
            <w:shd w:val="clear" w:color="auto" w:fill="auto"/>
          </w:tcPr>
          <w:p w14:paraId="37C9C1E5"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b/>
                <w:bCs/>
                <w:sz w:val="18"/>
                <w:szCs w:val="18"/>
                <w:lang w:val="en-ZA"/>
              </w:rPr>
              <w:t>FARMS</w:t>
            </w:r>
          </w:p>
        </w:tc>
        <w:tc>
          <w:tcPr>
            <w:tcW w:w="4051" w:type="dxa"/>
            <w:shd w:val="clear" w:color="auto" w:fill="auto"/>
          </w:tcPr>
          <w:p w14:paraId="52204209" w14:textId="77777777" w:rsidR="00EB7946" w:rsidRPr="00A40634" w:rsidRDefault="00EB7946" w:rsidP="00EB7946">
            <w:pPr>
              <w:rPr>
                <w:rFonts w:ascii="Calibri" w:eastAsia="Calibri" w:hAnsi="Calibri" w:cs="Times New Roman"/>
                <w:b/>
                <w:bCs/>
                <w:sz w:val="18"/>
                <w:szCs w:val="18"/>
                <w:lang w:val="en-ZA"/>
              </w:rPr>
            </w:pPr>
            <w:r w:rsidRPr="00A40634">
              <w:rPr>
                <w:rFonts w:ascii="Calibri" w:eastAsia="Calibri" w:hAnsi="Calibri" w:cs="Times New Roman"/>
                <w:b/>
                <w:bCs/>
                <w:sz w:val="18"/>
                <w:szCs w:val="18"/>
                <w:lang w:val="en-ZA"/>
              </w:rPr>
              <w:t>Results Summary</w:t>
            </w:r>
          </w:p>
        </w:tc>
      </w:tr>
      <w:tr w:rsidR="00EB7946" w:rsidRPr="00A40634" w14:paraId="412C84AC" w14:textId="77777777" w:rsidTr="00A40634">
        <w:trPr>
          <w:trHeight w:val="62"/>
          <w:jc w:val="center"/>
        </w:trPr>
        <w:tc>
          <w:tcPr>
            <w:tcW w:w="1271" w:type="dxa"/>
          </w:tcPr>
          <w:p w14:paraId="1651EBE8"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Pre - 1982 </w:t>
            </w:r>
          </w:p>
        </w:tc>
        <w:tc>
          <w:tcPr>
            <w:tcW w:w="1701" w:type="dxa"/>
          </w:tcPr>
          <w:p w14:paraId="5FD3D389"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Anglovaal </w:t>
            </w:r>
          </w:p>
        </w:tc>
        <w:tc>
          <w:tcPr>
            <w:tcW w:w="3119" w:type="dxa"/>
          </w:tcPr>
          <w:p w14:paraId="5C6707B5"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Eerste Regt 502KS </w:t>
            </w:r>
          </w:p>
        </w:tc>
        <w:tc>
          <w:tcPr>
            <w:tcW w:w="4051" w:type="dxa"/>
          </w:tcPr>
          <w:p w14:paraId="779F9BE4" w14:textId="7FA4F6F2" w:rsidR="00EB7946" w:rsidRPr="00A40634" w:rsidRDefault="00EB7946" w:rsidP="00EB7946">
            <w:pPr>
              <w:jc w:val="both"/>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Borehole DIG1 collared in Main Zone drilled vertically </w:t>
            </w:r>
            <w:r w:rsidR="00A40634">
              <w:rPr>
                <w:rFonts w:ascii="Calibri" w:eastAsia="Calibri" w:hAnsi="Calibri" w:cs="Times New Roman"/>
                <w:sz w:val="18"/>
                <w:szCs w:val="18"/>
                <w:lang w:val="en-ZA"/>
              </w:rPr>
              <w:t>approximately 600</w:t>
            </w:r>
            <w:r w:rsidRPr="00A40634">
              <w:rPr>
                <w:rFonts w:ascii="Calibri" w:eastAsia="Calibri" w:hAnsi="Calibri" w:cs="Times New Roman"/>
                <w:sz w:val="18"/>
                <w:szCs w:val="18"/>
                <w:lang w:val="en-ZA"/>
              </w:rPr>
              <w:t xml:space="preserve"> </w:t>
            </w:r>
            <w:r w:rsidR="00A40634">
              <w:rPr>
                <w:rFonts w:ascii="Calibri" w:eastAsia="Calibri" w:hAnsi="Calibri" w:cs="Times New Roman"/>
                <w:sz w:val="18"/>
                <w:szCs w:val="18"/>
                <w:lang w:val="en-ZA"/>
              </w:rPr>
              <w:t xml:space="preserve">m </w:t>
            </w:r>
            <w:r w:rsidRPr="00A40634">
              <w:rPr>
                <w:rFonts w:ascii="Calibri" w:eastAsia="Calibri" w:hAnsi="Calibri" w:cs="Times New Roman"/>
                <w:sz w:val="18"/>
                <w:szCs w:val="18"/>
                <w:lang w:val="en-ZA"/>
              </w:rPr>
              <w:t>and stopped 700 m short of the Critical Zone</w:t>
            </w:r>
          </w:p>
        </w:tc>
      </w:tr>
      <w:tr w:rsidR="00EB7946" w:rsidRPr="00A40634" w14:paraId="05F0C280" w14:textId="77777777" w:rsidTr="00A40634">
        <w:trPr>
          <w:trHeight w:val="200"/>
          <w:jc w:val="center"/>
        </w:trPr>
        <w:tc>
          <w:tcPr>
            <w:tcW w:w="1271" w:type="dxa"/>
          </w:tcPr>
          <w:p w14:paraId="63EA8449"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1986 - 1996 </w:t>
            </w:r>
          </w:p>
        </w:tc>
        <w:tc>
          <w:tcPr>
            <w:tcW w:w="1701" w:type="dxa"/>
          </w:tcPr>
          <w:p w14:paraId="36E1E180"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Genmin </w:t>
            </w:r>
          </w:p>
        </w:tc>
        <w:tc>
          <w:tcPr>
            <w:tcW w:w="3119" w:type="dxa"/>
          </w:tcPr>
          <w:p w14:paraId="1294C471"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Davidspoort 499KS, Eerste Regt 502KS Fortdraai 517KS, Zwarthoek 501KS, Spelonk 478KS</w:t>
            </w:r>
          </w:p>
        </w:tc>
        <w:tc>
          <w:tcPr>
            <w:tcW w:w="4051" w:type="dxa"/>
          </w:tcPr>
          <w:p w14:paraId="7040EDD4" w14:textId="11CE0BF4" w:rsidR="00EB7946" w:rsidRPr="00A40634" w:rsidRDefault="00EB7946" w:rsidP="00EB7946">
            <w:pPr>
              <w:jc w:val="both"/>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10 boreholes drilled adjacent to the eastern and southern flanks of the dome. BH 3395 and BH 3230 were drilled at -50° towards the eastern flank of the dome. They were collared in quartz-bearing norites and granites and intersected highly sheared and disrupted Critical Zone lithologies. BH 2698 was a vertical hole collared in Main Zone rocks. This drill hole intersected Merensky Reef and the UG2 </w:t>
            </w:r>
            <w:r w:rsidR="00A40634" w:rsidRPr="00A40634">
              <w:rPr>
                <w:rFonts w:ascii="Calibri" w:eastAsia="Calibri" w:hAnsi="Calibri" w:cs="Times New Roman"/>
                <w:sz w:val="18"/>
                <w:szCs w:val="18"/>
                <w:lang w:val="en-ZA"/>
              </w:rPr>
              <w:t>Chromitite</w:t>
            </w:r>
            <w:r w:rsidRPr="00A40634">
              <w:rPr>
                <w:rFonts w:ascii="Calibri" w:eastAsia="Calibri" w:hAnsi="Calibri" w:cs="Times New Roman"/>
                <w:sz w:val="18"/>
                <w:szCs w:val="18"/>
                <w:lang w:val="en-ZA"/>
              </w:rPr>
              <w:t xml:space="preserve"> layer at 2,166.80 m and 2,490.00 m</w:t>
            </w:r>
            <w:r w:rsidR="00A40634">
              <w:rPr>
                <w:rFonts w:ascii="Calibri" w:eastAsia="Calibri" w:hAnsi="Calibri" w:cs="Times New Roman"/>
                <w:sz w:val="18"/>
                <w:szCs w:val="18"/>
                <w:lang w:val="en-ZA"/>
              </w:rPr>
              <w:t>,</w:t>
            </w:r>
            <w:r w:rsidRPr="00A40634">
              <w:rPr>
                <w:rFonts w:ascii="Calibri" w:eastAsia="Calibri" w:hAnsi="Calibri" w:cs="Times New Roman"/>
                <w:sz w:val="18"/>
                <w:szCs w:val="18"/>
                <w:lang w:val="en-ZA"/>
              </w:rPr>
              <w:t xml:space="preserve"> respectively. Merensky Reef assays </w:t>
            </w:r>
            <w:r w:rsidR="00A40634">
              <w:rPr>
                <w:rFonts w:ascii="Calibri" w:eastAsia="Calibri" w:hAnsi="Calibri" w:cs="Times New Roman"/>
                <w:sz w:val="18"/>
                <w:szCs w:val="18"/>
                <w:lang w:val="en-ZA"/>
              </w:rPr>
              <w:t xml:space="preserve">for 3PGE+Au </w:t>
            </w:r>
            <w:r w:rsidRPr="00A40634">
              <w:rPr>
                <w:rFonts w:ascii="Calibri" w:eastAsia="Calibri" w:hAnsi="Calibri" w:cs="Times New Roman"/>
                <w:sz w:val="18"/>
                <w:szCs w:val="18"/>
                <w:lang w:val="en-ZA"/>
              </w:rPr>
              <w:t>ranged from between 3.04 g/t to 5.22 g/t over widths of between 149 cm and 382 cm. The UG2 assays returned 7.60 g/t to 8.83 g/t over 63 cm and 80 cm</w:t>
            </w:r>
            <w:r w:rsidR="00A40634">
              <w:rPr>
                <w:rFonts w:ascii="Calibri" w:eastAsia="Calibri" w:hAnsi="Calibri" w:cs="Times New Roman"/>
                <w:sz w:val="18"/>
                <w:szCs w:val="18"/>
                <w:lang w:val="en-ZA"/>
              </w:rPr>
              <w:t>.</w:t>
            </w:r>
          </w:p>
        </w:tc>
      </w:tr>
      <w:tr w:rsidR="00EB7946" w:rsidRPr="00A40634" w14:paraId="6796DA00" w14:textId="77777777" w:rsidTr="00A40634">
        <w:trPr>
          <w:trHeight w:val="62"/>
          <w:jc w:val="center"/>
        </w:trPr>
        <w:tc>
          <w:tcPr>
            <w:tcW w:w="1271" w:type="dxa"/>
          </w:tcPr>
          <w:p w14:paraId="00624BF2"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1989 - 1994 </w:t>
            </w:r>
          </w:p>
        </w:tc>
        <w:tc>
          <w:tcPr>
            <w:tcW w:w="1701" w:type="dxa"/>
          </w:tcPr>
          <w:p w14:paraId="5608332B"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Trodex </w:t>
            </w:r>
          </w:p>
        </w:tc>
        <w:tc>
          <w:tcPr>
            <w:tcW w:w="3119" w:type="dxa"/>
          </w:tcPr>
          <w:p w14:paraId="139FD191"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Dwarsrand 500KS, Davidspoort 499KS, Zwarthoek 501KS, Fortdraai 517KS </w:t>
            </w:r>
          </w:p>
        </w:tc>
        <w:tc>
          <w:tcPr>
            <w:tcW w:w="4051" w:type="dxa"/>
          </w:tcPr>
          <w:p w14:paraId="75375A79" w14:textId="77777777" w:rsidR="00EB7946" w:rsidRPr="00A40634" w:rsidRDefault="00EB7946" w:rsidP="00EB7946">
            <w:pPr>
              <w:jc w:val="both"/>
              <w:rPr>
                <w:rFonts w:ascii="Calibri" w:eastAsia="Calibri" w:hAnsi="Calibri" w:cs="Times New Roman"/>
                <w:sz w:val="18"/>
                <w:szCs w:val="18"/>
                <w:lang w:val="en-ZA"/>
              </w:rPr>
            </w:pPr>
            <w:r w:rsidRPr="00A40634">
              <w:rPr>
                <w:rFonts w:ascii="Calibri" w:eastAsia="Calibri" w:hAnsi="Calibri" w:cs="Times New Roman"/>
                <w:sz w:val="18"/>
                <w:szCs w:val="18"/>
                <w:lang w:val="en-ZA"/>
              </w:rPr>
              <w:t>Several boreholes on the southern flank of the dome, successfully intersecting Merensky Reef.</w:t>
            </w:r>
          </w:p>
        </w:tc>
      </w:tr>
      <w:tr w:rsidR="00EB7946" w:rsidRPr="00A40634" w14:paraId="3A73B52F" w14:textId="77777777" w:rsidTr="00A40634">
        <w:trPr>
          <w:trHeight w:val="62"/>
          <w:jc w:val="center"/>
        </w:trPr>
        <w:tc>
          <w:tcPr>
            <w:tcW w:w="1271" w:type="dxa"/>
          </w:tcPr>
          <w:p w14:paraId="2136308E"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1995 - 1997 </w:t>
            </w:r>
          </w:p>
        </w:tc>
        <w:tc>
          <w:tcPr>
            <w:tcW w:w="1701" w:type="dxa"/>
          </w:tcPr>
          <w:p w14:paraId="36F18969"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BHP - Trodex </w:t>
            </w:r>
          </w:p>
        </w:tc>
        <w:tc>
          <w:tcPr>
            <w:tcW w:w="3119" w:type="dxa"/>
          </w:tcPr>
          <w:p w14:paraId="6B31421B"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Dwarsrand 500KS </w:t>
            </w:r>
          </w:p>
        </w:tc>
        <w:tc>
          <w:tcPr>
            <w:tcW w:w="4051" w:type="dxa"/>
          </w:tcPr>
          <w:p w14:paraId="5BC1F227" w14:textId="77777777" w:rsidR="00EB7946" w:rsidRPr="00A40634" w:rsidRDefault="00EB7946" w:rsidP="00EB7946">
            <w:pPr>
              <w:jc w:val="both"/>
              <w:rPr>
                <w:rFonts w:ascii="Calibri" w:eastAsia="Calibri" w:hAnsi="Calibri" w:cs="Times New Roman"/>
                <w:sz w:val="18"/>
                <w:szCs w:val="18"/>
                <w:lang w:val="en-ZA"/>
              </w:rPr>
            </w:pPr>
            <w:r w:rsidRPr="00A40634">
              <w:rPr>
                <w:rFonts w:ascii="Calibri" w:eastAsia="Calibri" w:hAnsi="Calibri" w:cs="Times New Roman"/>
                <w:sz w:val="18"/>
                <w:szCs w:val="18"/>
                <w:lang w:val="en-ZA"/>
              </w:rPr>
              <w:t>Two boreholes collared in Main Zone, both stopped above the Pyroxenite Marker.</w:t>
            </w:r>
          </w:p>
        </w:tc>
      </w:tr>
      <w:tr w:rsidR="00EB7946" w:rsidRPr="00A40634" w14:paraId="7288AB6B" w14:textId="77777777" w:rsidTr="00A40634">
        <w:trPr>
          <w:trHeight w:val="175"/>
          <w:jc w:val="center"/>
        </w:trPr>
        <w:tc>
          <w:tcPr>
            <w:tcW w:w="1271" w:type="dxa"/>
          </w:tcPr>
          <w:p w14:paraId="03FA9EF3"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2000 - 2002 </w:t>
            </w:r>
          </w:p>
        </w:tc>
        <w:tc>
          <w:tcPr>
            <w:tcW w:w="1701" w:type="dxa"/>
          </w:tcPr>
          <w:p w14:paraId="40B07FB5"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Pan Palladium - MinEx </w:t>
            </w:r>
          </w:p>
        </w:tc>
        <w:tc>
          <w:tcPr>
            <w:tcW w:w="3119" w:type="dxa"/>
          </w:tcPr>
          <w:p w14:paraId="4E201BC5"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Dwarsrand 500KS </w:t>
            </w:r>
          </w:p>
        </w:tc>
        <w:tc>
          <w:tcPr>
            <w:tcW w:w="4051" w:type="dxa"/>
          </w:tcPr>
          <w:p w14:paraId="40D62650" w14:textId="28AD51E1" w:rsidR="00EB7946" w:rsidRPr="00A40634" w:rsidRDefault="00EB7946" w:rsidP="00EB7946">
            <w:pPr>
              <w:jc w:val="both"/>
              <w:rPr>
                <w:rFonts w:ascii="Calibri" w:eastAsia="Calibri" w:hAnsi="Calibri" w:cs="Times New Roman"/>
                <w:sz w:val="18"/>
                <w:szCs w:val="18"/>
                <w:lang w:val="en-ZA"/>
              </w:rPr>
            </w:pPr>
            <w:r w:rsidRPr="00A40634">
              <w:rPr>
                <w:rFonts w:ascii="Calibri" w:eastAsia="Calibri" w:hAnsi="Calibri" w:cs="Times New Roman"/>
                <w:sz w:val="18"/>
                <w:szCs w:val="18"/>
                <w:lang w:val="en-ZA"/>
              </w:rPr>
              <w:t>A single borehole collared in Upper Zone lithologies on the southern flank of the Dome</w:t>
            </w:r>
            <w:r w:rsidR="00A40634">
              <w:rPr>
                <w:rFonts w:ascii="Calibri" w:eastAsia="Calibri" w:hAnsi="Calibri" w:cs="Times New Roman"/>
                <w:sz w:val="18"/>
                <w:szCs w:val="18"/>
                <w:lang w:val="en-ZA"/>
              </w:rPr>
              <w:t>,</w:t>
            </w:r>
            <w:r w:rsidRPr="00A40634">
              <w:rPr>
                <w:rFonts w:ascii="Calibri" w:eastAsia="Calibri" w:hAnsi="Calibri" w:cs="Times New Roman"/>
                <w:sz w:val="18"/>
                <w:szCs w:val="18"/>
                <w:lang w:val="en-ZA"/>
              </w:rPr>
              <w:t xml:space="preserve"> which terminated at a depth of 1,614 m below the Main Mottled Anorthosite in the Main Zone.</w:t>
            </w:r>
          </w:p>
        </w:tc>
      </w:tr>
      <w:tr w:rsidR="00EB7946" w:rsidRPr="00A40634" w14:paraId="1B2D3718" w14:textId="77777777" w:rsidTr="00A40634">
        <w:trPr>
          <w:trHeight w:val="175"/>
          <w:jc w:val="center"/>
        </w:trPr>
        <w:tc>
          <w:tcPr>
            <w:tcW w:w="1271" w:type="dxa"/>
          </w:tcPr>
          <w:p w14:paraId="00251858"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2006 - 2012 </w:t>
            </w:r>
          </w:p>
        </w:tc>
        <w:tc>
          <w:tcPr>
            <w:tcW w:w="1701" w:type="dxa"/>
          </w:tcPr>
          <w:p w14:paraId="2A238DCF"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South African Mineral Development Company (Pty) Ltd </w:t>
            </w:r>
          </w:p>
        </w:tc>
        <w:tc>
          <w:tcPr>
            <w:tcW w:w="3119" w:type="dxa"/>
          </w:tcPr>
          <w:p w14:paraId="31040DA0"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Davidspoort 499KS, Dwarsrand 500KS, Mooiplaats 516KS, Zwarthoek 501KS, </w:t>
            </w:r>
          </w:p>
        </w:tc>
        <w:tc>
          <w:tcPr>
            <w:tcW w:w="4051" w:type="dxa"/>
          </w:tcPr>
          <w:p w14:paraId="038B89AC"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No apparent drilling.</w:t>
            </w:r>
          </w:p>
        </w:tc>
      </w:tr>
      <w:tr w:rsidR="00EB7946" w:rsidRPr="00A40634" w14:paraId="4FBE7592" w14:textId="77777777" w:rsidTr="00A40634">
        <w:trPr>
          <w:trHeight w:val="200"/>
          <w:jc w:val="center"/>
        </w:trPr>
        <w:tc>
          <w:tcPr>
            <w:tcW w:w="1271" w:type="dxa"/>
          </w:tcPr>
          <w:p w14:paraId="30A7629F"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 xml:space="preserve">2006 - 2013 </w:t>
            </w:r>
          </w:p>
        </w:tc>
        <w:tc>
          <w:tcPr>
            <w:tcW w:w="1701" w:type="dxa"/>
          </w:tcPr>
          <w:p w14:paraId="207F2B81"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Lesego Platinum Mining (Pty) Ltd</w:t>
            </w:r>
          </w:p>
        </w:tc>
        <w:tc>
          <w:tcPr>
            <w:tcW w:w="3119" w:type="dxa"/>
          </w:tcPr>
          <w:p w14:paraId="49B4C11D" w14:textId="77777777" w:rsidR="00EB7946" w:rsidRPr="00A40634" w:rsidRDefault="00EB7946" w:rsidP="00EB7946">
            <w:pPr>
              <w:rPr>
                <w:rFonts w:ascii="Calibri" w:eastAsia="Calibri" w:hAnsi="Calibri" w:cs="Times New Roman"/>
                <w:sz w:val="18"/>
                <w:szCs w:val="18"/>
                <w:lang w:val="en-ZA"/>
              </w:rPr>
            </w:pPr>
            <w:r w:rsidRPr="00A40634">
              <w:rPr>
                <w:rFonts w:ascii="Calibri" w:eastAsia="Calibri" w:hAnsi="Calibri" w:cs="Times New Roman"/>
                <w:sz w:val="18"/>
                <w:szCs w:val="18"/>
                <w:lang w:val="en-ZA"/>
              </w:rPr>
              <w:t>Dal Josephat 451KS, Eerste Regt 502 KS, Government Ground 503KS, Koppieskraal 475KS, Olifantspoort 479KS, Spelonk 478KS</w:t>
            </w:r>
          </w:p>
        </w:tc>
        <w:tc>
          <w:tcPr>
            <w:tcW w:w="4051" w:type="dxa"/>
          </w:tcPr>
          <w:p w14:paraId="366159CA" w14:textId="77777777" w:rsidR="00EB7946" w:rsidRPr="00A40634" w:rsidRDefault="00EB7946" w:rsidP="00EB7946">
            <w:pPr>
              <w:jc w:val="both"/>
              <w:rPr>
                <w:rFonts w:ascii="Calibri" w:eastAsia="Calibri" w:hAnsi="Calibri" w:cs="Times New Roman"/>
                <w:sz w:val="18"/>
                <w:szCs w:val="18"/>
                <w:lang w:val="en-ZA"/>
              </w:rPr>
            </w:pPr>
            <w:r w:rsidRPr="00A40634">
              <w:rPr>
                <w:rFonts w:ascii="Calibri" w:eastAsia="Calibri" w:hAnsi="Calibri" w:cs="Times New Roman"/>
                <w:sz w:val="18"/>
                <w:szCs w:val="18"/>
                <w:lang w:val="en-ZA"/>
              </w:rPr>
              <w:t>Fifty-six boreholes drilled, all on the eastern flank of the dome, most of which intersected the Merensky Reef and UG2, resulting in a Measured, Indicated and Inferred Resource.</w:t>
            </w:r>
          </w:p>
        </w:tc>
      </w:tr>
    </w:tbl>
    <w:p w14:paraId="58B13E0D" w14:textId="77777777" w:rsidR="00EB7946" w:rsidRPr="00EB7946" w:rsidRDefault="00EB7946" w:rsidP="00EB7946">
      <w:pPr>
        <w:jc w:val="both"/>
        <w:rPr>
          <w:rFonts w:ascii="Calibri" w:eastAsia="Calibri" w:hAnsi="Calibri" w:cs="Times New Roman"/>
        </w:rPr>
      </w:pPr>
    </w:p>
    <w:p w14:paraId="22A654A9" w14:textId="185CDF79"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On the basis of these intersections and the presence of Main and Critical Zone lithologies in close proximity to the eastern flank </w:t>
      </w:r>
      <w:r w:rsidR="00A40634">
        <w:rPr>
          <w:rFonts w:ascii="Calibri" w:eastAsia="Calibri" w:hAnsi="Calibri" w:cs="Times New Roman"/>
        </w:rPr>
        <w:t>of</w:t>
      </w:r>
      <w:r w:rsidRPr="00EB7946">
        <w:rPr>
          <w:rFonts w:ascii="Calibri" w:eastAsia="Calibri" w:hAnsi="Calibri" w:cs="Times New Roman"/>
        </w:rPr>
        <w:t xml:space="preserve"> the Phosiri Dome, it was demonstrated that the </w:t>
      </w:r>
      <w:r w:rsidR="00A40634" w:rsidRPr="003C564E">
        <w:rPr>
          <w:rFonts w:ascii="Calibri" w:eastAsia="Calibri" w:hAnsi="Calibri" w:cs="Times New Roman"/>
          <w:color w:val="000000" w:themeColor="text1"/>
        </w:rPr>
        <w:t>doming</w:t>
      </w:r>
      <w:r w:rsidRPr="003C564E">
        <w:rPr>
          <w:rFonts w:ascii="Calibri" w:eastAsia="Calibri" w:hAnsi="Calibri" w:cs="Times New Roman"/>
          <w:color w:val="000000" w:themeColor="text1"/>
        </w:rPr>
        <w:t xml:space="preserve"> </w:t>
      </w:r>
      <w:r w:rsidRPr="00EB7946">
        <w:rPr>
          <w:rFonts w:ascii="Calibri" w:eastAsia="Calibri" w:hAnsi="Calibri" w:cs="Times New Roman"/>
        </w:rPr>
        <w:t xml:space="preserve">of the </w:t>
      </w:r>
      <w:r w:rsidR="003C564E">
        <w:rPr>
          <w:rFonts w:ascii="Calibri" w:eastAsia="Calibri" w:hAnsi="Calibri" w:cs="Times New Roman"/>
        </w:rPr>
        <w:t xml:space="preserve">metasediments which form the Phosiri Dome </w:t>
      </w:r>
      <w:r w:rsidR="00A40634">
        <w:rPr>
          <w:rFonts w:ascii="Calibri" w:eastAsia="Calibri" w:hAnsi="Calibri" w:cs="Times New Roman"/>
        </w:rPr>
        <w:t>had had</w:t>
      </w:r>
      <w:r w:rsidRPr="00EB7946">
        <w:rPr>
          <w:rFonts w:ascii="Calibri" w:eastAsia="Calibri" w:hAnsi="Calibri" w:cs="Times New Roman"/>
        </w:rPr>
        <w:t xml:space="preserve"> an impact on Critical Zone lithologies. It was therefore postulated that the potential existed for the Merensky Reef and UG2 chromitite to occur at depths above what was currently being economically mined in South African underground platinum mines.</w:t>
      </w:r>
    </w:p>
    <w:p w14:paraId="620AAC5D" w14:textId="77777777" w:rsidR="00EB7946" w:rsidRPr="00EB7946" w:rsidRDefault="00EB7946" w:rsidP="00EB7946">
      <w:pPr>
        <w:rPr>
          <w:rFonts w:ascii="Calibri" w:eastAsia="Calibri" w:hAnsi="Calibri" w:cs="Times New Roman"/>
        </w:rPr>
      </w:pPr>
      <w:r w:rsidRPr="00EB7946">
        <w:rPr>
          <w:rFonts w:ascii="Calibri" w:eastAsia="Calibri" w:hAnsi="Calibri" w:cs="Times New Roman"/>
        </w:rPr>
        <w:br w:type="page"/>
      </w:r>
    </w:p>
    <w:p w14:paraId="4E8344E0" w14:textId="4FED6843" w:rsidR="00EB7946" w:rsidRPr="00EB7946" w:rsidRDefault="00EB7946" w:rsidP="003C564E">
      <w:pPr>
        <w:tabs>
          <w:tab w:val="left" w:pos="3544"/>
        </w:tabs>
        <w:spacing w:before="60" w:after="60" w:line="240" w:lineRule="auto"/>
        <w:jc w:val="both"/>
        <w:rPr>
          <w:rFonts w:ascii="Arial" w:eastAsia="Times New Roman" w:hAnsi="Arial" w:cs="Times New Roman"/>
          <w:szCs w:val="20"/>
          <w:lang w:val="en-GB"/>
        </w:rPr>
      </w:pPr>
      <w:r w:rsidRPr="00EB7946">
        <w:rPr>
          <w:rFonts w:ascii="Arial" w:eastAsia="Times New Roman" w:hAnsi="Arial" w:cs="Times New Roman"/>
          <w:noProof/>
          <w:szCs w:val="20"/>
          <w:lang w:val="en-GB"/>
        </w:rPr>
        <w:lastRenderedPageBreak/>
        <w:t xml:space="preserve"> </w:t>
      </w:r>
      <w:r w:rsidR="003C564E" w:rsidRPr="003C564E">
        <w:rPr>
          <w:noProof/>
        </w:rPr>
        <w:drawing>
          <wp:inline distT="0" distB="0" distL="0" distR="0" wp14:anchorId="61C5B88A" wp14:editId="2D6CF1F4">
            <wp:extent cx="6120765" cy="363918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20765" cy="3639185"/>
                    </a:xfrm>
                    <a:prstGeom prst="rect">
                      <a:avLst/>
                    </a:prstGeom>
                  </pic:spPr>
                </pic:pic>
              </a:graphicData>
            </a:graphic>
          </wp:inline>
        </w:drawing>
      </w:r>
    </w:p>
    <w:p w14:paraId="1CF61E18" w14:textId="0831A913" w:rsidR="00EB7946" w:rsidRPr="00E928C2" w:rsidRDefault="003C564E" w:rsidP="003C564E">
      <w:pPr>
        <w:pStyle w:val="Caption"/>
      </w:pPr>
      <w:bookmarkStart w:id="59" w:name="_Toc256434260"/>
      <w:bookmarkStart w:id="60" w:name="_Toc520757555"/>
      <w:bookmarkStart w:id="61" w:name="_Toc349822148"/>
      <w:r>
        <w:t xml:space="preserve">Figure </w:t>
      </w:r>
      <w:fldSimple w:instr=" SEQ Figure \* ARABIC ">
        <w:r w:rsidR="002645B6">
          <w:rPr>
            <w:noProof/>
          </w:rPr>
          <w:t>4</w:t>
        </w:r>
      </w:fldSimple>
      <w:r w:rsidR="00EB7946" w:rsidRPr="00E928C2">
        <w:t>: Historical Exploration and Drilling on the</w:t>
      </w:r>
      <w:r w:rsidRPr="00E928C2">
        <w:t xml:space="preserve"> flanks of the</w:t>
      </w:r>
      <w:r w:rsidR="00EB7946" w:rsidRPr="00E928C2">
        <w:t xml:space="preserve"> Phosiri Dome</w:t>
      </w:r>
      <w:bookmarkEnd w:id="59"/>
      <w:bookmarkEnd w:id="60"/>
      <w:r w:rsidR="00EB7946" w:rsidRPr="00E928C2">
        <w:t xml:space="preserve"> </w:t>
      </w:r>
      <w:bookmarkEnd w:id="61"/>
    </w:p>
    <w:p w14:paraId="28ED3498" w14:textId="0CCA3C6A" w:rsidR="00EB7946" w:rsidRPr="00EB7946" w:rsidRDefault="003C564E" w:rsidP="00EB7946">
      <w:pPr>
        <w:jc w:val="both"/>
        <w:rPr>
          <w:rFonts w:ascii="Calibri" w:eastAsia="Calibri" w:hAnsi="Calibri" w:cs="Times New Roman"/>
        </w:rPr>
      </w:pPr>
      <w:r>
        <w:rPr>
          <w:rFonts w:ascii="Calibri" w:eastAsia="Calibri" w:hAnsi="Calibri" w:cs="Times New Roman"/>
        </w:rPr>
        <w:t xml:space="preserve"> </w:t>
      </w:r>
    </w:p>
    <w:p w14:paraId="2F0775B3" w14:textId="77777777" w:rsidR="00EB7946" w:rsidRPr="00CE738E" w:rsidRDefault="00EB7946" w:rsidP="00CE738E">
      <w:pPr>
        <w:pStyle w:val="Heading2"/>
        <w:rPr>
          <w:color w:val="000000" w:themeColor="text1"/>
        </w:rPr>
      </w:pPr>
      <w:bookmarkStart w:id="62" w:name="_Toc520758786"/>
      <w:r w:rsidRPr="00CE738E">
        <w:rPr>
          <w:color w:val="000000" w:themeColor="text1"/>
        </w:rPr>
        <w:t>Exploration Methodology and Exploration Results</w:t>
      </w:r>
      <w:bookmarkEnd w:id="62"/>
    </w:p>
    <w:p w14:paraId="4C3B1CA2" w14:textId="65B90405"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A re-evaluation of the past exploration results from the 1980’s and 1990’s in 2004 by Lesego Platinum </w:t>
      </w:r>
      <w:r w:rsidR="003C564E">
        <w:rPr>
          <w:rFonts w:ascii="Calibri" w:eastAsia="Calibri" w:hAnsi="Calibri" w:cs="Times New Roman"/>
        </w:rPr>
        <w:t xml:space="preserve">Mining (Pty) Ltd </w:t>
      </w:r>
      <w:r w:rsidRPr="00EB7946">
        <w:rPr>
          <w:rFonts w:ascii="Calibri" w:eastAsia="Calibri" w:hAnsi="Calibri" w:cs="Times New Roman"/>
        </w:rPr>
        <w:t>resulted in the decision to undertake further exploration in the area in a phased program, consisting of historical data compilation, geological mapping and trenching, soil geochemistry, a 2D seismic reflection survey, a gravity survey, airborne magnetics and diamond exploration drilling, the results of which are summar</w:t>
      </w:r>
      <w:r w:rsidR="005D78EA">
        <w:rPr>
          <w:rFonts w:ascii="Calibri" w:eastAsia="Calibri" w:hAnsi="Calibri" w:cs="Times New Roman"/>
        </w:rPr>
        <w:t>ised</w:t>
      </w:r>
      <w:r w:rsidRPr="00EB7946">
        <w:rPr>
          <w:rFonts w:ascii="Calibri" w:eastAsia="Calibri" w:hAnsi="Calibri" w:cs="Times New Roman"/>
        </w:rPr>
        <w:t xml:space="preserve"> below.</w:t>
      </w:r>
    </w:p>
    <w:p w14:paraId="12C64D11" w14:textId="77777777" w:rsidR="00EB7946" w:rsidRPr="00EB7946" w:rsidRDefault="00EB7946" w:rsidP="00EB7946">
      <w:pPr>
        <w:keepNext/>
        <w:keepLines/>
        <w:spacing w:before="40" w:after="0"/>
        <w:outlineLvl w:val="1"/>
        <w:rPr>
          <w:rFonts w:ascii="Calibri" w:eastAsia="Times New Roman" w:hAnsi="Calibri" w:cs="Times New Roman"/>
          <w:i/>
          <w:color w:val="000000"/>
          <w:szCs w:val="26"/>
        </w:rPr>
      </w:pPr>
      <w:bookmarkStart w:id="63" w:name="_Toc520758787"/>
      <w:r w:rsidRPr="00EB7946">
        <w:rPr>
          <w:rFonts w:ascii="Calibri" w:eastAsia="Times New Roman" w:hAnsi="Calibri" w:cs="Times New Roman"/>
          <w:i/>
          <w:color w:val="000000"/>
          <w:szCs w:val="26"/>
        </w:rPr>
        <w:t>Geophysics</w:t>
      </w:r>
      <w:bookmarkEnd w:id="63"/>
    </w:p>
    <w:p w14:paraId="5C875353" w14:textId="33558D7B" w:rsidR="00EB7946" w:rsidRPr="00EB7946" w:rsidRDefault="00EB7946" w:rsidP="00EB7946">
      <w:pPr>
        <w:jc w:val="both"/>
        <w:rPr>
          <w:rFonts w:ascii="Calibri" w:eastAsia="Calibri" w:hAnsi="Calibri" w:cs="Times New Roman"/>
        </w:rPr>
      </w:pPr>
      <w:r w:rsidRPr="00EB7946">
        <w:rPr>
          <w:rFonts w:ascii="Calibri" w:eastAsia="Calibri" w:hAnsi="Calibri" w:cs="Times New Roman"/>
          <w:i/>
        </w:rPr>
        <w:t xml:space="preserve">Seismics. </w:t>
      </w:r>
      <w:r w:rsidRPr="00EB7946">
        <w:rPr>
          <w:rFonts w:ascii="Calibri" w:eastAsia="Calibri" w:hAnsi="Calibri" w:cs="Times New Roman"/>
        </w:rPr>
        <w:t xml:space="preserve">In </w:t>
      </w:r>
      <w:r w:rsidR="003C564E">
        <w:rPr>
          <w:rFonts w:ascii="Calibri" w:eastAsia="Calibri" w:hAnsi="Calibri" w:cs="Times New Roman"/>
        </w:rPr>
        <w:t xml:space="preserve">September and </w:t>
      </w:r>
      <w:r w:rsidRPr="00EB7946">
        <w:rPr>
          <w:rFonts w:ascii="Calibri" w:eastAsia="Calibri" w:hAnsi="Calibri" w:cs="Times New Roman"/>
        </w:rPr>
        <w:t xml:space="preserve">October 2006, a 2D Low Velocity Layer (LVL) seismic refraction and reflection and ground gravity surveys were carried out by GAP Geophysics (Pty) Limited over the Lesego lease area. The seismic reflection survey was intended to map the distribution and elevations of geological marker horizons within Main and Critical Zone lithologies underlying the lease area and in particular, the thick pyroxenite unit hosting the UG2 </w:t>
      </w:r>
      <w:r w:rsidR="003C564E" w:rsidRPr="00EB7946">
        <w:rPr>
          <w:rFonts w:ascii="Calibri" w:eastAsia="Calibri" w:hAnsi="Calibri" w:cs="Times New Roman"/>
        </w:rPr>
        <w:t>Chromitite</w:t>
      </w:r>
      <w:r w:rsidRPr="00EB7946">
        <w:rPr>
          <w:rFonts w:ascii="Calibri" w:eastAsia="Calibri" w:hAnsi="Calibri" w:cs="Times New Roman"/>
        </w:rPr>
        <w:t>.</w:t>
      </w:r>
    </w:p>
    <w:p w14:paraId="7FC4879E" w14:textId="52BB387D" w:rsidR="003C564E" w:rsidRPr="00EB7946" w:rsidRDefault="00EB7946" w:rsidP="003C564E">
      <w:pPr>
        <w:jc w:val="both"/>
        <w:rPr>
          <w:rFonts w:ascii="Calibri" w:eastAsia="Calibri" w:hAnsi="Calibri" w:cs="Times New Roman"/>
        </w:rPr>
      </w:pPr>
      <w:r w:rsidRPr="00EB7946">
        <w:rPr>
          <w:rFonts w:ascii="Calibri" w:eastAsia="Calibri" w:hAnsi="Calibri" w:cs="Times New Roman"/>
        </w:rPr>
        <w:t>Seismic surveys</w:t>
      </w:r>
      <w:r w:rsidR="003C564E">
        <w:rPr>
          <w:rFonts w:ascii="Calibri" w:eastAsia="Calibri" w:hAnsi="Calibri" w:cs="Times New Roman"/>
        </w:rPr>
        <w:t xml:space="preserve"> were shot along five traverses, lines 1 to 5 </w:t>
      </w:r>
      <w:r w:rsidRPr="00EB7946">
        <w:rPr>
          <w:rFonts w:ascii="Calibri" w:eastAsia="Calibri" w:hAnsi="Calibri" w:cs="Times New Roman"/>
        </w:rPr>
        <w:t>(</w:t>
      </w:r>
      <w:r w:rsidR="003C564E">
        <w:rPr>
          <w:rFonts w:ascii="Calibri" w:eastAsia="Calibri" w:hAnsi="Calibri" w:cs="Times New Roman"/>
        </w:rPr>
        <w:t>Fig</w:t>
      </w:r>
      <w:r w:rsidR="00E64270">
        <w:rPr>
          <w:rFonts w:ascii="Calibri" w:eastAsia="Calibri" w:hAnsi="Calibri" w:cs="Times New Roman"/>
        </w:rPr>
        <w:t>ure</w:t>
      </w:r>
      <w:r w:rsidR="003C564E">
        <w:rPr>
          <w:rFonts w:ascii="Calibri" w:eastAsia="Calibri" w:hAnsi="Calibri" w:cs="Times New Roman"/>
        </w:rPr>
        <w:t xml:space="preserve"> 5</w:t>
      </w:r>
      <w:r w:rsidRPr="00EB7946">
        <w:rPr>
          <w:rFonts w:ascii="Calibri" w:eastAsia="Calibri" w:hAnsi="Calibri" w:cs="Times New Roman"/>
        </w:rPr>
        <w:t>). Stack and migrated sections from these surveys formed the data input for interpretation.</w:t>
      </w:r>
      <w:r w:rsidR="003C564E">
        <w:rPr>
          <w:rFonts w:ascii="Calibri" w:eastAsia="Calibri" w:hAnsi="Calibri" w:cs="Times New Roman"/>
        </w:rPr>
        <w:t xml:space="preserve"> </w:t>
      </w:r>
      <w:r w:rsidR="003C564E" w:rsidRPr="00EB7946">
        <w:rPr>
          <w:rFonts w:ascii="Calibri" w:eastAsia="Calibri" w:hAnsi="Calibri" w:cs="Times New Roman"/>
        </w:rPr>
        <w:t>Interpreted seismic profiles are illustrated in Fig</w:t>
      </w:r>
      <w:r w:rsidR="00E64270">
        <w:rPr>
          <w:rFonts w:ascii="Calibri" w:eastAsia="Calibri" w:hAnsi="Calibri" w:cs="Times New Roman"/>
        </w:rPr>
        <w:t>ures</w:t>
      </w:r>
      <w:r w:rsidR="003C564E" w:rsidRPr="00EB7946">
        <w:rPr>
          <w:rFonts w:ascii="Calibri" w:eastAsia="Calibri" w:hAnsi="Calibri" w:cs="Times New Roman"/>
        </w:rPr>
        <w:t xml:space="preserve"> 6</w:t>
      </w:r>
      <w:r w:rsidR="00E64270">
        <w:rPr>
          <w:rFonts w:ascii="Calibri" w:eastAsia="Calibri" w:hAnsi="Calibri" w:cs="Times New Roman"/>
        </w:rPr>
        <w:t xml:space="preserve"> and 7</w:t>
      </w:r>
      <w:r w:rsidR="003C564E" w:rsidRPr="00EB7946">
        <w:rPr>
          <w:rFonts w:ascii="Calibri" w:eastAsia="Calibri" w:hAnsi="Calibri" w:cs="Times New Roman"/>
        </w:rPr>
        <w:t xml:space="preserve">. </w:t>
      </w:r>
    </w:p>
    <w:p w14:paraId="4E94824D" w14:textId="5AF18D3F" w:rsidR="00EB7946" w:rsidRPr="00EB7946" w:rsidRDefault="00EB7946" w:rsidP="00EB7946">
      <w:pPr>
        <w:jc w:val="both"/>
        <w:rPr>
          <w:rFonts w:ascii="Calibri" w:eastAsia="Calibri" w:hAnsi="Calibri" w:cs="Times New Roman"/>
        </w:rPr>
      </w:pPr>
    </w:p>
    <w:p w14:paraId="32579412"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noProof/>
          <w:lang w:val="en-ZA" w:eastAsia="en-ZA"/>
        </w:rPr>
        <w:lastRenderedPageBreak/>
        <w:drawing>
          <wp:inline distT="0" distB="0" distL="0" distR="0" wp14:anchorId="578A36BB" wp14:editId="6C628DA8">
            <wp:extent cx="5962650" cy="5895975"/>
            <wp:effectExtent l="0" t="0" r="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245" t="1015" r="1338" b="9205"/>
                    <a:stretch/>
                  </pic:blipFill>
                  <pic:spPr bwMode="auto">
                    <a:xfrm>
                      <a:off x="0" y="0"/>
                      <a:ext cx="5962650" cy="5895975"/>
                    </a:xfrm>
                    <a:prstGeom prst="rect">
                      <a:avLst/>
                    </a:prstGeom>
                    <a:ln>
                      <a:noFill/>
                    </a:ln>
                    <a:extLst>
                      <a:ext uri="{53640926-AAD7-44D8-BBD7-CCE9431645EC}">
                        <a14:shadowObscured xmlns:a14="http://schemas.microsoft.com/office/drawing/2010/main"/>
                      </a:ext>
                    </a:extLst>
                  </pic:spPr>
                </pic:pic>
              </a:graphicData>
            </a:graphic>
          </wp:inline>
        </w:drawing>
      </w:r>
    </w:p>
    <w:p w14:paraId="64D8570B" w14:textId="09127AC9" w:rsidR="00EB7946" w:rsidRPr="00E928C2" w:rsidRDefault="003C564E" w:rsidP="003C564E">
      <w:pPr>
        <w:pStyle w:val="Caption"/>
      </w:pPr>
      <w:bookmarkStart w:id="64" w:name="_Toc520757556"/>
      <w:r>
        <w:t xml:space="preserve">Figure </w:t>
      </w:r>
      <w:fldSimple w:instr=" SEQ Figure \* ARABIC ">
        <w:r w:rsidR="002645B6">
          <w:rPr>
            <w:noProof/>
          </w:rPr>
          <w:t>5</w:t>
        </w:r>
      </w:fldSimple>
      <w:r w:rsidR="00EB7946" w:rsidRPr="00E928C2">
        <w:t>: Topographical image from aerial photos showing the seismic traverses and shotpoints (Campbell, 2010).</w:t>
      </w:r>
      <w:bookmarkEnd w:id="64"/>
    </w:p>
    <w:p w14:paraId="3EAD778B" w14:textId="33A5426D" w:rsidR="00EB7946" w:rsidRPr="00EB7946" w:rsidRDefault="00EB7946" w:rsidP="00EB7946">
      <w:pPr>
        <w:jc w:val="both"/>
        <w:rPr>
          <w:rFonts w:ascii="Calibri" w:eastAsia="Calibri" w:hAnsi="Calibri" w:cs="Times New Roman"/>
        </w:rPr>
      </w:pPr>
      <w:r w:rsidRPr="00EB7946">
        <w:rPr>
          <w:rFonts w:ascii="Calibri" w:eastAsia="Calibri" w:hAnsi="Calibri" w:cs="Times New Roman"/>
        </w:rPr>
        <w:t>The survey was successful in mapping 13 seismic marker horizons over the project area from the Upper Main Zone to floor elevations to a maximum floor depth of 3,500 m in the northeast</w:t>
      </w:r>
      <w:r w:rsidR="00A577CF">
        <w:rPr>
          <w:rFonts w:ascii="Calibri" w:eastAsia="Calibri" w:hAnsi="Calibri" w:cs="Times New Roman"/>
        </w:rPr>
        <w:t>.</w:t>
      </w:r>
      <w:r w:rsidR="00160DFD">
        <w:rPr>
          <w:rFonts w:ascii="Calibri" w:eastAsia="Calibri" w:hAnsi="Calibri" w:cs="Times New Roman"/>
        </w:rPr>
        <w:t xml:space="preserve"> M</w:t>
      </w:r>
      <w:r w:rsidR="00A577CF">
        <w:rPr>
          <w:rFonts w:ascii="Calibri" w:eastAsia="Calibri" w:hAnsi="Calibri" w:cs="Times New Roman"/>
        </w:rPr>
        <w:t xml:space="preserve">arkers </w:t>
      </w:r>
      <w:r w:rsidR="00160DFD">
        <w:rPr>
          <w:rFonts w:ascii="Calibri" w:eastAsia="Calibri" w:hAnsi="Calibri" w:cs="Times New Roman"/>
        </w:rPr>
        <w:t>h_</w:t>
      </w:r>
      <w:r w:rsidR="00A577CF">
        <w:rPr>
          <w:rFonts w:ascii="Calibri" w:eastAsia="Calibri" w:hAnsi="Calibri" w:cs="Times New Roman"/>
        </w:rPr>
        <w:t xml:space="preserve">0 to </w:t>
      </w:r>
      <w:r w:rsidR="00160DFD">
        <w:rPr>
          <w:rFonts w:ascii="Calibri" w:eastAsia="Calibri" w:hAnsi="Calibri" w:cs="Times New Roman"/>
        </w:rPr>
        <w:t>h_</w:t>
      </w:r>
      <w:r w:rsidR="00A577CF">
        <w:rPr>
          <w:rFonts w:ascii="Calibri" w:eastAsia="Calibri" w:hAnsi="Calibri" w:cs="Times New Roman"/>
        </w:rPr>
        <w:t xml:space="preserve">10 </w:t>
      </w:r>
      <w:r w:rsidR="00160DFD">
        <w:rPr>
          <w:rFonts w:ascii="Calibri" w:eastAsia="Calibri" w:hAnsi="Calibri" w:cs="Times New Roman"/>
        </w:rPr>
        <w:t xml:space="preserve">from Lines 3 and 4 </w:t>
      </w:r>
      <w:r w:rsidR="00A577CF">
        <w:rPr>
          <w:rFonts w:ascii="Calibri" w:eastAsia="Calibri" w:hAnsi="Calibri" w:cs="Times New Roman"/>
        </w:rPr>
        <w:t xml:space="preserve">are shown on Figure </w:t>
      </w:r>
      <w:r w:rsidR="00E64270">
        <w:rPr>
          <w:rFonts w:ascii="Calibri" w:eastAsia="Calibri" w:hAnsi="Calibri" w:cs="Times New Roman"/>
        </w:rPr>
        <w:t>6 and Markers h_0 to h_11, as well as the floor rock contact, from Line 1 are shown on Figure 7</w:t>
      </w:r>
      <w:r w:rsidRPr="00EB7946">
        <w:rPr>
          <w:rFonts w:ascii="Calibri" w:eastAsia="Calibri" w:hAnsi="Calibri" w:cs="Times New Roman"/>
        </w:rPr>
        <w:t xml:space="preserve">. </w:t>
      </w:r>
      <w:r w:rsidR="00697EC9">
        <w:rPr>
          <w:rFonts w:ascii="Calibri" w:eastAsia="Calibri" w:hAnsi="Calibri" w:cs="Times New Roman"/>
        </w:rPr>
        <w:t xml:space="preserve">The survey showed that </w:t>
      </w:r>
      <w:r w:rsidRPr="00EB7946">
        <w:rPr>
          <w:rFonts w:ascii="Calibri" w:eastAsia="Calibri" w:hAnsi="Calibri" w:cs="Times New Roman"/>
        </w:rPr>
        <w:t>Rustenburg Layered Suite horizons comprise an 1</w:t>
      </w:r>
      <w:r w:rsidR="00160DFD">
        <w:rPr>
          <w:rFonts w:ascii="Calibri" w:eastAsia="Calibri" w:hAnsi="Calibri" w:cs="Times New Roman"/>
        </w:rPr>
        <w:t>,</w:t>
      </w:r>
      <w:r w:rsidRPr="00EB7946">
        <w:rPr>
          <w:rFonts w:ascii="Calibri" w:eastAsia="Calibri" w:hAnsi="Calibri" w:cs="Times New Roman"/>
        </w:rPr>
        <w:t>800 m thick, conformable package having an ~NNW strike and ~ENE dip, the latter increasing from ~8°E in the east to</w:t>
      </w:r>
      <w:r w:rsidR="003973B1">
        <w:rPr>
          <w:rFonts w:ascii="Calibri" w:eastAsia="Calibri" w:hAnsi="Calibri" w:cs="Times New Roman"/>
        </w:rPr>
        <w:t xml:space="preserve"> </w:t>
      </w:r>
      <w:r w:rsidRPr="00EB7946">
        <w:rPr>
          <w:rFonts w:ascii="Calibri" w:eastAsia="Calibri" w:hAnsi="Calibri" w:cs="Times New Roman"/>
        </w:rPr>
        <w:t xml:space="preserve">~15°E in the west close to the outcrop location of the </w:t>
      </w:r>
      <w:r w:rsidR="003973B1" w:rsidRPr="00EB7946">
        <w:rPr>
          <w:rFonts w:ascii="Calibri" w:eastAsia="Calibri" w:hAnsi="Calibri" w:cs="Times New Roman"/>
        </w:rPr>
        <w:t xml:space="preserve">floor </w:t>
      </w:r>
      <w:r w:rsidRPr="00EB7946">
        <w:rPr>
          <w:rFonts w:ascii="Calibri" w:eastAsia="Calibri" w:hAnsi="Calibri" w:cs="Times New Roman"/>
        </w:rPr>
        <w:t xml:space="preserve">of the Phosiri Dome. The underlying </w:t>
      </w:r>
      <w:r w:rsidR="003973B1">
        <w:rPr>
          <w:rFonts w:ascii="Calibri" w:eastAsia="Calibri" w:hAnsi="Calibri" w:cs="Times New Roman"/>
        </w:rPr>
        <w:t xml:space="preserve">contact with the </w:t>
      </w:r>
      <w:r w:rsidR="003973B1" w:rsidRPr="003973B1">
        <w:rPr>
          <w:rFonts w:ascii="Calibri" w:eastAsia="Calibri" w:hAnsi="Calibri" w:cs="Times New Roman"/>
        </w:rPr>
        <w:t>Transvaal Supergroup metasediments</w:t>
      </w:r>
      <w:r w:rsidR="003973B1">
        <w:rPr>
          <w:rFonts w:ascii="Calibri" w:eastAsia="Calibri" w:hAnsi="Calibri" w:cs="Times New Roman"/>
        </w:rPr>
        <w:t xml:space="preserve"> </w:t>
      </w:r>
      <w:r w:rsidRPr="00EB7946">
        <w:rPr>
          <w:rFonts w:ascii="Calibri" w:eastAsia="Calibri" w:hAnsi="Calibri" w:cs="Times New Roman"/>
        </w:rPr>
        <w:t>is discordant in the west with dips of up to 25°E</w:t>
      </w:r>
      <w:r w:rsidR="003973B1">
        <w:rPr>
          <w:rFonts w:ascii="Calibri" w:eastAsia="Calibri" w:hAnsi="Calibri" w:cs="Times New Roman"/>
        </w:rPr>
        <w:t xml:space="preserve"> (Fig</w:t>
      </w:r>
      <w:r w:rsidR="00697EC9">
        <w:rPr>
          <w:rFonts w:ascii="Calibri" w:eastAsia="Calibri" w:hAnsi="Calibri" w:cs="Times New Roman"/>
        </w:rPr>
        <w:t>ure 7</w:t>
      </w:r>
      <w:r w:rsidR="003973B1">
        <w:rPr>
          <w:rFonts w:ascii="Calibri" w:eastAsia="Calibri" w:hAnsi="Calibri" w:cs="Times New Roman"/>
        </w:rPr>
        <w:t>)</w:t>
      </w:r>
      <w:r w:rsidRPr="00EB7946">
        <w:rPr>
          <w:rFonts w:ascii="Calibri" w:eastAsia="Calibri" w:hAnsi="Calibri" w:cs="Times New Roman"/>
        </w:rPr>
        <w:t xml:space="preserve">. </w:t>
      </w:r>
    </w:p>
    <w:p w14:paraId="1FCFD4CF" w14:textId="697F2657" w:rsidR="00EB7946" w:rsidRPr="00EB7946" w:rsidRDefault="00697EC9" w:rsidP="00EB7946">
      <w:pPr>
        <w:jc w:val="both"/>
        <w:rPr>
          <w:rFonts w:ascii="Calibri" w:eastAsia="Calibri" w:hAnsi="Calibri" w:cs="Times New Roman"/>
        </w:rPr>
      </w:pPr>
      <w:r>
        <w:rPr>
          <w:rFonts w:ascii="Calibri" w:eastAsia="Calibri" w:hAnsi="Calibri" w:cs="Times New Roman"/>
        </w:rPr>
        <w:t>Isopach maps created from the survey showed that t</w:t>
      </w:r>
      <w:r w:rsidR="00EB7946" w:rsidRPr="00EB7946">
        <w:rPr>
          <w:rFonts w:ascii="Calibri" w:eastAsia="Calibri" w:hAnsi="Calibri" w:cs="Times New Roman"/>
        </w:rPr>
        <w:t>here is no evidence of large scale faulting or folding over the area surveyed, and sparse, interpreted faults generally have throws less than 20 m</w:t>
      </w:r>
      <w:r w:rsidR="003973B1">
        <w:rPr>
          <w:rFonts w:ascii="Calibri" w:eastAsia="Calibri" w:hAnsi="Calibri" w:cs="Times New Roman"/>
        </w:rPr>
        <w:t xml:space="preserve"> (Fig</w:t>
      </w:r>
      <w:r>
        <w:rPr>
          <w:rFonts w:ascii="Calibri" w:eastAsia="Calibri" w:hAnsi="Calibri" w:cs="Times New Roman"/>
        </w:rPr>
        <w:t>ure</w:t>
      </w:r>
      <w:r w:rsidR="003973B1">
        <w:rPr>
          <w:rFonts w:ascii="Calibri" w:eastAsia="Calibri" w:hAnsi="Calibri" w:cs="Times New Roman"/>
        </w:rPr>
        <w:t xml:space="preserve"> 8)</w:t>
      </w:r>
      <w:r w:rsidR="00EB7946" w:rsidRPr="00EB7946">
        <w:rPr>
          <w:rFonts w:ascii="Calibri" w:eastAsia="Calibri" w:hAnsi="Calibri" w:cs="Times New Roman"/>
        </w:rPr>
        <w:t>.</w:t>
      </w:r>
      <w:r w:rsidR="00EA02AF">
        <w:rPr>
          <w:rFonts w:ascii="Calibri" w:eastAsia="Calibri" w:hAnsi="Calibri" w:cs="Times New Roman"/>
        </w:rPr>
        <w:t xml:space="preserve"> </w:t>
      </w:r>
      <w:r>
        <w:rPr>
          <w:rFonts w:ascii="Calibri" w:eastAsia="Calibri" w:hAnsi="Calibri" w:cs="Times New Roman"/>
        </w:rPr>
        <w:t xml:space="preserve">Although these interpreted faults are plotted perpendicular to the seismic lines, they may be orientated obliquely to the lines and </w:t>
      </w:r>
      <w:r w:rsidR="00EA02AF">
        <w:rPr>
          <w:rFonts w:ascii="Calibri" w:eastAsia="Calibri" w:hAnsi="Calibri" w:cs="Times New Roman"/>
        </w:rPr>
        <w:t>may be doming related.</w:t>
      </w:r>
    </w:p>
    <w:p w14:paraId="0323BD5A" w14:textId="6D0F417D" w:rsidR="00EB7946" w:rsidRPr="00EB7946" w:rsidRDefault="00EB7946" w:rsidP="00EB7946">
      <w:pPr>
        <w:jc w:val="both"/>
        <w:rPr>
          <w:rFonts w:ascii="Calibri" w:eastAsia="Calibri" w:hAnsi="Calibri" w:cs="Times New Roman"/>
        </w:rPr>
      </w:pPr>
      <w:r w:rsidRPr="00EB7946">
        <w:rPr>
          <w:rFonts w:ascii="Calibri" w:eastAsia="Calibri" w:hAnsi="Calibri" w:cs="Times New Roman"/>
        </w:rPr>
        <w:t>It is apparent that all reflectors are remarkably continuous across the bulk of the project area although they terminate 750 m east of the published location of the floor contact with the eastern</w:t>
      </w:r>
      <w:r w:rsidR="00697EC9">
        <w:rPr>
          <w:rFonts w:ascii="Calibri" w:eastAsia="Calibri" w:hAnsi="Calibri" w:cs="Times New Roman"/>
        </w:rPr>
        <w:t xml:space="preserve"> flank of the Phosiri Dome (Figure</w:t>
      </w:r>
      <w:r w:rsidRPr="00EB7946">
        <w:rPr>
          <w:rFonts w:ascii="Calibri" w:eastAsia="Calibri" w:hAnsi="Calibri" w:cs="Times New Roman"/>
        </w:rPr>
        <w:t xml:space="preserve"> 8). </w:t>
      </w:r>
      <w:r w:rsidR="00717D90">
        <w:rPr>
          <w:rFonts w:ascii="Calibri" w:eastAsia="Calibri" w:hAnsi="Calibri" w:cs="Times New Roman"/>
        </w:rPr>
        <w:t>Subsequent drilling revealed that t</w:t>
      </w:r>
      <w:r w:rsidRPr="00EB7946">
        <w:rPr>
          <w:rFonts w:ascii="Calibri" w:eastAsia="Calibri" w:hAnsi="Calibri" w:cs="Times New Roman"/>
        </w:rPr>
        <w:t xml:space="preserve">he reason for this loss of response may be explained </w:t>
      </w:r>
      <w:r w:rsidR="003973B1">
        <w:rPr>
          <w:rFonts w:ascii="Calibri" w:eastAsia="Calibri" w:hAnsi="Calibri" w:cs="Times New Roman"/>
        </w:rPr>
        <w:t>by</w:t>
      </w:r>
      <w:r w:rsidRPr="00EB7946">
        <w:rPr>
          <w:rFonts w:ascii="Calibri" w:eastAsia="Calibri" w:hAnsi="Calibri" w:cs="Times New Roman"/>
        </w:rPr>
        <w:t xml:space="preserve"> a </w:t>
      </w:r>
      <w:r w:rsidRPr="00EB7946">
        <w:rPr>
          <w:rFonts w:ascii="Calibri" w:eastAsia="Calibri" w:hAnsi="Calibri" w:cs="Times New Roman"/>
        </w:rPr>
        <w:lastRenderedPageBreak/>
        <w:t xml:space="preserve">steepening of key </w:t>
      </w:r>
      <w:r w:rsidR="003973B1">
        <w:rPr>
          <w:rFonts w:ascii="Calibri" w:eastAsia="Calibri" w:hAnsi="Calibri" w:cs="Times New Roman"/>
        </w:rPr>
        <w:t>units close to the Phosiri Dome</w:t>
      </w:r>
      <w:r w:rsidRPr="00EB7946">
        <w:rPr>
          <w:rFonts w:ascii="Calibri" w:eastAsia="Calibri" w:hAnsi="Calibri" w:cs="Times New Roman"/>
        </w:rPr>
        <w:t xml:space="preserve"> or</w:t>
      </w:r>
      <w:r w:rsidR="003973B1">
        <w:rPr>
          <w:rFonts w:ascii="Calibri" w:eastAsia="Calibri" w:hAnsi="Calibri" w:cs="Times New Roman"/>
        </w:rPr>
        <w:t>,</w:t>
      </w:r>
      <w:r w:rsidRPr="00EB7946">
        <w:rPr>
          <w:rFonts w:ascii="Calibri" w:eastAsia="Calibri" w:hAnsi="Calibri" w:cs="Times New Roman"/>
        </w:rPr>
        <w:t xml:space="preserve"> in the vicinity of line 2, the presence of vertical sheeted </w:t>
      </w:r>
      <w:r w:rsidR="00717D90">
        <w:rPr>
          <w:rFonts w:ascii="Calibri" w:eastAsia="Calibri" w:hAnsi="Calibri" w:cs="Times New Roman"/>
        </w:rPr>
        <w:t xml:space="preserve">contaminated gabbroic material </w:t>
      </w:r>
      <w:r w:rsidRPr="00EB7946">
        <w:rPr>
          <w:rFonts w:ascii="Calibri" w:eastAsia="Calibri" w:hAnsi="Calibri" w:cs="Times New Roman"/>
        </w:rPr>
        <w:t>or the absence of Rustenburg Layered Suite litho</w:t>
      </w:r>
      <w:r w:rsidR="00717D90">
        <w:rPr>
          <w:rFonts w:ascii="Calibri" w:eastAsia="Calibri" w:hAnsi="Calibri" w:cs="Times New Roman"/>
        </w:rPr>
        <w:t>lo</w:t>
      </w:r>
      <w:r w:rsidRPr="00EB7946">
        <w:rPr>
          <w:rFonts w:ascii="Calibri" w:eastAsia="Calibri" w:hAnsi="Calibri" w:cs="Times New Roman"/>
        </w:rPr>
        <w:t>gies. Marker horizons h_5 to h_8 (red and dark blue lines</w:t>
      </w:r>
      <w:r w:rsidR="003973B1">
        <w:rPr>
          <w:rFonts w:ascii="Calibri" w:eastAsia="Calibri" w:hAnsi="Calibri" w:cs="Times New Roman"/>
        </w:rPr>
        <w:t>,</w:t>
      </w:r>
      <w:r w:rsidRPr="00EB7946">
        <w:rPr>
          <w:rFonts w:ascii="Calibri" w:eastAsia="Calibri" w:hAnsi="Calibri" w:cs="Times New Roman"/>
        </w:rPr>
        <w:t xml:space="preserve"> respectively</w:t>
      </w:r>
      <w:r w:rsidR="003973B1">
        <w:rPr>
          <w:rFonts w:ascii="Calibri" w:eastAsia="Calibri" w:hAnsi="Calibri" w:cs="Times New Roman"/>
        </w:rPr>
        <w:t>,</w:t>
      </w:r>
      <w:r w:rsidRPr="00EB7946">
        <w:rPr>
          <w:rFonts w:ascii="Calibri" w:eastAsia="Calibri" w:hAnsi="Calibri" w:cs="Times New Roman"/>
        </w:rPr>
        <w:t xml:space="preserve"> on Fig</w:t>
      </w:r>
      <w:r w:rsidR="00697EC9">
        <w:rPr>
          <w:rFonts w:ascii="Calibri" w:eastAsia="Calibri" w:hAnsi="Calibri" w:cs="Times New Roman"/>
        </w:rPr>
        <w:t>ure</w:t>
      </w:r>
      <w:r w:rsidRPr="00EB7946">
        <w:rPr>
          <w:rFonts w:ascii="Calibri" w:eastAsia="Calibri" w:hAnsi="Calibri" w:cs="Times New Roman"/>
        </w:rPr>
        <w:t xml:space="preserve"> 6 have an average separation of 370 m and </w:t>
      </w:r>
      <w:r w:rsidR="003973B1">
        <w:rPr>
          <w:rFonts w:ascii="Calibri" w:eastAsia="Calibri" w:hAnsi="Calibri" w:cs="Times New Roman"/>
        </w:rPr>
        <w:t xml:space="preserve">are </w:t>
      </w:r>
      <w:r w:rsidRPr="00EB7946">
        <w:rPr>
          <w:rFonts w:ascii="Calibri" w:eastAsia="Calibri" w:hAnsi="Calibri" w:cs="Times New Roman"/>
        </w:rPr>
        <w:t xml:space="preserve">interpreted as reflecting the base of the Giant Mottled Anorthosite (which is close to the Bastard/Merensky Reefs) </w:t>
      </w:r>
      <w:r w:rsidR="003973B1">
        <w:rPr>
          <w:rFonts w:ascii="Calibri" w:eastAsia="Calibri" w:hAnsi="Calibri" w:cs="Times New Roman"/>
        </w:rPr>
        <w:t>and the</w:t>
      </w:r>
      <w:r w:rsidRPr="00EB7946">
        <w:rPr>
          <w:rFonts w:ascii="Calibri" w:eastAsia="Calibri" w:hAnsi="Calibri" w:cs="Times New Roman"/>
        </w:rPr>
        <w:t xml:space="preserve"> UG2 </w:t>
      </w:r>
      <w:r w:rsidR="003973B1" w:rsidRPr="00EB7946">
        <w:rPr>
          <w:rFonts w:ascii="Calibri" w:eastAsia="Calibri" w:hAnsi="Calibri" w:cs="Times New Roman"/>
        </w:rPr>
        <w:t>Chromitite</w:t>
      </w:r>
      <w:r w:rsidRPr="00EB7946">
        <w:rPr>
          <w:rFonts w:ascii="Calibri" w:eastAsia="Calibri" w:hAnsi="Calibri" w:cs="Times New Roman"/>
        </w:rPr>
        <w:t xml:space="preserve"> interval at the top of the Critical Zone</w:t>
      </w:r>
      <w:r w:rsidR="003973B1">
        <w:rPr>
          <w:rFonts w:ascii="Calibri" w:eastAsia="Calibri" w:hAnsi="Calibri" w:cs="Times New Roman"/>
        </w:rPr>
        <w:t>,</w:t>
      </w:r>
      <w:r w:rsidRPr="00EB7946">
        <w:rPr>
          <w:rFonts w:ascii="Calibri" w:eastAsia="Calibri" w:hAnsi="Calibri" w:cs="Times New Roman"/>
        </w:rPr>
        <w:t xml:space="preserve"> respectively.  </w:t>
      </w:r>
    </w:p>
    <w:p w14:paraId="0D23E95C" w14:textId="77777777" w:rsidR="00EB7946" w:rsidRPr="00EB7946" w:rsidRDefault="00EB7946" w:rsidP="00EB7946">
      <w:pPr>
        <w:spacing w:before="60" w:after="60" w:line="240" w:lineRule="auto"/>
        <w:ind w:left="426"/>
        <w:jc w:val="center"/>
        <w:rPr>
          <w:rFonts w:ascii="Arial" w:eastAsia="Times New Roman" w:hAnsi="Arial" w:cs="Times New Roman"/>
          <w:szCs w:val="20"/>
          <w:lang w:val="en-GB"/>
        </w:rPr>
      </w:pPr>
      <w:r w:rsidRPr="00EB7946">
        <w:rPr>
          <w:rFonts w:ascii="Arial" w:eastAsia="Times New Roman" w:hAnsi="Arial" w:cs="Times New Roman"/>
          <w:noProof/>
          <w:szCs w:val="20"/>
          <w:lang w:val="en-ZA" w:eastAsia="en-ZA"/>
        </w:rPr>
        <w:drawing>
          <wp:inline distT="0" distB="0" distL="0" distR="0" wp14:anchorId="1BE14B30" wp14:editId="2D0E2C4F">
            <wp:extent cx="6120765" cy="4314825"/>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20765" cy="4314825"/>
                    </a:xfrm>
                    <a:prstGeom prst="rect">
                      <a:avLst/>
                    </a:prstGeom>
                  </pic:spPr>
                </pic:pic>
              </a:graphicData>
            </a:graphic>
          </wp:inline>
        </w:drawing>
      </w:r>
    </w:p>
    <w:p w14:paraId="35BC22BA" w14:textId="66D07822" w:rsidR="00EB7946" w:rsidRPr="00E928C2" w:rsidRDefault="00160DFD" w:rsidP="00E928C2">
      <w:pPr>
        <w:pStyle w:val="Caption"/>
        <w:jc w:val="both"/>
      </w:pPr>
      <w:bookmarkStart w:id="65" w:name="_Toc520757557"/>
      <w:r>
        <w:t xml:space="preserve">Figure </w:t>
      </w:r>
      <w:fldSimple w:instr=" SEQ Figure \* ARABIC ">
        <w:r w:rsidR="002645B6">
          <w:rPr>
            <w:noProof/>
          </w:rPr>
          <w:t>6</w:t>
        </w:r>
      </w:fldSimple>
      <w:r w:rsidR="00EB7946" w:rsidRPr="00E928C2">
        <w:t>: Line 3 and Line 4 fence diagram showing continuity of reflectors and marker horizons H_5 through to H_8 representing the Giant Mottled Anorthosite in red through to the UG2 in blue</w:t>
      </w:r>
      <w:r w:rsidR="003973B1" w:rsidRPr="00E928C2">
        <w:t>, with the yellow line representing the floor contact of the Rustenburg Layered Suite with Transvaal Supergroup metasediments</w:t>
      </w:r>
      <w:r w:rsidR="00EB7946" w:rsidRPr="00E928C2">
        <w:t xml:space="preserve"> (Campbell, 2010).</w:t>
      </w:r>
      <w:bookmarkEnd w:id="65"/>
    </w:p>
    <w:p w14:paraId="0D8CFBCD" w14:textId="5255864A" w:rsidR="00EB7946" w:rsidRDefault="00160DFD" w:rsidP="00EB7946">
      <w:pPr>
        <w:rPr>
          <w:rFonts w:ascii="Calibri" w:eastAsia="Calibri" w:hAnsi="Calibri" w:cs="Times New Roman"/>
          <w:lang w:val="en-GB"/>
        </w:rPr>
      </w:pPr>
      <w:r w:rsidRPr="00160DFD">
        <w:rPr>
          <w:noProof/>
        </w:rPr>
        <w:lastRenderedPageBreak/>
        <w:drawing>
          <wp:inline distT="0" distB="0" distL="0" distR="0" wp14:anchorId="627F33CD" wp14:editId="59059CAE">
            <wp:extent cx="6120765" cy="419227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4192270"/>
                    </a:xfrm>
                    <a:prstGeom prst="rect">
                      <a:avLst/>
                    </a:prstGeom>
                  </pic:spPr>
                </pic:pic>
              </a:graphicData>
            </a:graphic>
          </wp:inline>
        </w:drawing>
      </w:r>
    </w:p>
    <w:p w14:paraId="360DAFA8" w14:textId="45E264C5" w:rsidR="00160DFD" w:rsidRPr="00E928C2" w:rsidRDefault="00160DFD" w:rsidP="00EA02AF">
      <w:pPr>
        <w:pStyle w:val="Caption"/>
        <w:jc w:val="both"/>
      </w:pPr>
      <w:bookmarkStart w:id="66" w:name="_Toc520757558"/>
      <w:r>
        <w:t xml:space="preserve">Figure </w:t>
      </w:r>
      <w:fldSimple w:instr=" SEQ Figure \* ARABIC ">
        <w:r w:rsidR="002645B6">
          <w:rPr>
            <w:noProof/>
          </w:rPr>
          <w:t>7</w:t>
        </w:r>
      </w:fldSimple>
      <w:r>
        <w:t xml:space="preserve">: </w:t>
      </w:r>
      <w:r w:rsidRPr="00E928C2">
        <w:t>Line 1 migrated section with interpretation overlay showing continuity of reflectors and marker horizons H_0 through to H_</w:t>
      </w:r>
      <w:r w:rsidR="00345EA5" w:rsidRPr="00E928C2">
        <w:t>11</w:t>
      </w:r>
      <w:r w:rsidRPr="00E928C2">
        <w:t xml:space="preserve"> </w:t>
      </w:r>
      <w:r w:rsidR="00345EA5" w:rsidRPr="00E928C2">
        <w:t>with the yellow line representing the floor contact</w:t>
      </w:r>
      <w:r w:rsidRPr="00E928C2">
        <w:t xml:space="preserve"> </w:t>
      </w:r>
      <w:r w:rsidR="00345EA5" w:rsidRPr="00E928C2">
        <w:t xml:space="preserve">of the Rustenburg Layered Suite with Transvaal Supergroup metasediments and the location of drill hole LES001 </w:t>
      </w:r>
      <w:r w:rsidR="00694F2C" w:rsidRPr="00E928C2">
        <w:t xml:space="preserve">in white </w:t>
      </w:r>
      <w:r w:rsidRPr="00E928C2">
        <w:t>(Campbell, 2010).</w:t>
      </w:r>
      <w:bookmarkEnd w:id="66"/>
    </w:p>
    <w:p w14:paraId="74A4A18A" w14:textId="090A84EE" w:rsidR="00EB7946" w:rsidRPr="00EB7946" w:rsidRDefault="00EB7946" w:rsidP="00EB7946">
      <w:pPr>
        <w:jc w:val="both"/>
        <w:rPr>
          <w:rFonts w:ascii="Calibri" w:eastAsia="Calibri" w:hAnsi="Calibri" w:cs="Times New Roman"/>
        </w:rPr>
      </w:pPr>
      <w:r w:rsidRPr="00EB7946">
        <w:rPr>
          <w:rFonts w:ascii="Calibri" w:eastAsia="Calibri" w:hAnsi="Calibri" w:cs="Times New Roman"/>
          <w:i/>
          <w:lang w:val="en-GB"/>
        </w:rPr>
        <w:t>Gravity</w:t>
      </w:r>
      <w:r w:rsidRPr="00EB7946">
        <w:rPr>
          <w:rFonts w:ascii="Calibri" w:eastAsia="Calibri" w:hAnsi="Calibri" w:cs="Times New Roman"/>
        </w:rPr>
        <w:t xml:space="preserve">. Gravity survey work was initiated in an attempt to map the outcrop location of the </w:t>
      </w:r>
      <w:r w:rsidR="003973B1">
        <w:rPr>
          <w:rFonts w:ascii="Calibri" w:eastAsia="Calibri" w:hAnsi="Calibri" w:cs="Times New Roman"/>
        </w:rPr>
        <w:t>metasediment</w:t>
      </w:r>
      <w:r w:rsidRPr="00EB7946">
        <w:rPr>
          <w:rFonts w:ascii="Calibri" w:eastAsia="Calibri" w:hAnsi="Calibri" w:cs="Times New Roman"/>
        </w:rPr>
        <w:t xml:space="preserve"> – Rustenburg Layered Suite contact on the eastern limb of the Phosiri Dome, given that Main Zone gabbros (ρ = 2.85 to 2.9 gm/cc) are significantly denser than the quartzites of the </w:t>
      </w:r>
      <w:r w:rsidR="003973B1">
        <w:rPr>
          <w:rFonts w:ascii="Calibri" w:eastAsia="Calibri" w:hAnsi="Calibri" w:cs="Times New Roman"/>
        </w:rPr>
        <w:t xml:space="preserve">metasediments </w:t>
      </w:r>
      <w:r w:rsidRPr="00EB7946">
        <w:rPr>
          <w:rFonts w:ascii="Calibri" w:eastAsia="Calibri" w:hAnsi="Calibri" w:cs="Times New Roman"/>
        </w:rPr>
        <w:t>(ρ = 2.7 gm/cc). Work elsewhere has shown the technique is not particularly sensitive in “normal” Bushveld environments, where contacts typically dip less than &lt;20°</w:t>
      </w:r>
      <w:r w:rsidR="00952A4D">
        <w:rPr>
          <w:rFonts w:ascii="Calibri" w:eastAsia="Calibri" w:hAnsi="Calibri" w:cs="Times New Roman"/>
        </w:rPr>
        <w:t xml:space="preserve"> and the presence of </w:t>
      </w:r>
      <w:r w:rsidR="00EA02AF">
        <w:rPr>
          <w:rFonts w:ascii="Calibri" w:eastAsia="Calibri" w:hAnsi="Calibri" w:cs="Times New Roman"/>
        </w:rPr>
        <w:t xml:space="preserve">denser </w:t>
      </w:r>
      <w:r w:rsidR="00952A4D">
        <w:rPr>
          <w:rFonts w:ascii="Calibri" w:eastAsia="Calibri" w:hAnsi="Calibri" w:cs="Times New Roman"/>
        </w:rPr>
        <w:t>metapelites and sills</w:t>
      </w:r>
      <w:r w:rsidR="00EA02AF">
        <w:rPr>
          <w:rFonts w:ascii="Calibri" w:eastAsia="Calibri" w:hAnsi="Calibri" w:cs="Times New Roman"/>
        </w:rPr>
        <w:t xml:space="preserve"> in the Pretoria Group are not as distinctive from the Rustenburg Layered Suite as that of quartzite</w:t>
      </w:r>
      <w:r w:rsidRPr="00EB7946">
        <w:rPr>
          <w:rFonts w:ascii="Calibri" w:eastAsia="Calibri" w:hAnsi="Calibri" w:cs="Times New Roman"/>
        </w:rPr>
        <w:t xml:space="preserve">. The presence in this locality of a steeply dipping contact rendered the gravity approach viable. Although the </w:t>
      </w:r>
      <w:r w:rsidR="003973B1">
        <w:rPr>
          <w:rFonts w:ascii="Calibri" w:eastAsia="Calibri" w:hAnsi="Calibri" w:cs="Times New Roman"/>
        </w:rPr>
        <w:t>area covered by</w:t>
      </w:r>
      <w:r w:rsidRPr="00EB7946">
        <w:rPr>
          <w:rFonts w:ascii="Calibri" w:eastAsia="Calibri" w:hAnsi="Calibri" w:cs="Times New Roman"/>
        </w:rPr>
        <w:t xml:space="preserve"> of all seismic traverses were surveyed, attention focused on “contact-type” anomalies over the westernmost ~ 2</w:t>
      </w:r>
      <w:r w:rsidR="003973B1">
        <w:rPr>
          <w:rFonts w:ascii="Calibri" w:eastAsia="Calibri" w:hAnsi="Calibri" w:cs="Times New Roman"/>
        </w:rPr>
        <w:t xml:space="preserve"> </w:t>
      </w:r>
      <w:r w:rsidRPr="00EB7946">
        <w:rPr>
          <w:rFonts w:ascii="Calibri" w:eastAsia="Calibri" w:hAnsi="Calibri" w:cs="Times New Roman"/>
        </w:rPr>
        <w:t>km of each traverse.</w:t>
      </w:r>
    </w:p>
    <w:p w14:paraId="6AD62291" w14:textId="2826734B" w:rsidR="00EB7946" w:rsidRPr="00EB7946" w:rsidRDefault="00EB7946" w:rsidP="00EB7946">
      <w:pPr>
        <w:jc w:val="both"/>
        <w:rPr>
          <w:rFonts w:ascii="Calibri" w:eastAsia="Calibri" w:hAnsi="Calibri" w:cs="Times New Roman"/>
          <w:lang w:val="en-GB"/>
        </w:rPr>
      </w:pPr>
      <w:r w:rsidRPr="00EB7946">
        <w:rPr>
          <w:rFonts w:ascii="Calibri" w:eastAsia="Calibri" w:hAnsi="Calibri" w:cs="Times New Roman"/>
          <w:lang w:val="en-GB"/>
        </w:rPr>
        <w:t xml:space="preserve">The published </w:t>
      </w:r>
      <w:r w:rsidR="003973B1">
        <w:rPr>
          <w:rFonts w:ascii="Calibri" w:eastAsia="Calibri" w:hAnsi="Calibri" w:cs="Times New Roman"/>
          <w:lang w:val="en-GB"/>
        </w:rPr>
        <w:t xml:space="preserve">outcrop </w:t>
      </w:r>
      <w:r w:rsidRPr="00EB7946">
        <w:rPr>
          <w:rFonts w:ascii="Calibri" w:eastAsia="Calibri" w:hAnsi="Calibri" w:cs="Times New Roman"/>
          <w:lang w:val="en-GB"/>
        </w:rPr>
        <w:t>location of the contact with the Pretoria Group metasediments (Molyneux, 1998; Uken, 1998) shows little correlation with the gravity data (Fig</w:t>
      </w:r>
      <w:r w:rsidR="00697EC9">
        <w:rPr>
          <w:rFonts w:ascii="Calibri" w:eastAsia="Calibri" w:hAnsi="Calibri" w:cs="Times New Roman"/>
          <w:lang w:val="en-GB"/>
        </w:rPr>
        <w:t>ure 9</w:t>
      </w:r>
      <w:r w:rsidRPr="00EB7946">
        <w:rPr>
          <w:rFonts w:ascii="Calibri" w:eastAsia="Calibri" w:hAnsi="Calibri" w:cs="Times New Roman"/>
          <w:lang w:val="en-GB"/>
        </w:rPr>
        <w:t>). The black arrow</w:t>
      </w:r>
      <w:r w:rsidR="00697EC9">
        <w:rPr>
          <w:rFonts w:ascii="Calibri" w:eastAsia="Calibri" w:hAnsi="Calibri" w:cs="Times New Roman"/>
          <w:lang w:val="en-GB"/>
        </w:rPr>
        <w:t>s</w:t>
      </w:r>
      <w:r w:rsidRPr="00EB7946">
        <w:rPr>
          <w:rFonts w:ascii="Calibri" w:eastAsia="Calibri" w:hAnsi="Calibri" w:cs="Times New Roman"/>
          <w:lang w:val="en-GB"/>
        </w:rPr>
        <w:t xml:space="preserve"> in </w:t>
      </w:r>
      <w:r w:rsidR="00697EC9">
        <w:rPr>
          <w:rFonts w:ascii="Calibri" w:eastAsia="Calibri" w:hAnsi="Calibri" w:cs="Times New Roman"/>
          <w:lang w:val="en-GB"/>
        </w:rPr>
        <w:t>Figure 9</w:t>
      </w:r>
      <w:r w:rsidRPr="00EB7946">
        <w:rPr>
          <w:rFonts w:ascii="Calibri" w:eastAsia="Calibri" w:hAnsi="Calibri" w:cs="Times New Roman"/>
          <w:lang w:val="en-GB"/>
        </w:rPr>
        <w:t xml:space="preserve"> maps the probable western extent of Rustenburg Layered Suite rocks based on the interpretation of gravity profile data at the western ends of traverses 01, 05 and 04, showing a shift of approximately 100 m east of the published floor contact</w:t>
      </w:r>
      <w:r w:rsidR="003973B1">
        <w:rPr>
          <w:rFonts w:ascii="Calibri" w:eastAsia="Calibri" w:hAnsi="Calibri" w:cs="Times New Roman"/>
          <w:lang w:val="en-GB"/>
        </w:rPr>
        <w:t xml:space="preserve"> (Campbell, 2010)</w:t>
      </w:r>
      <w:r w:rsidRPr="00EB7946">
        <w:rPr>
          <w:rFonts w:ascii="Calibri" w:eastAsia="Calibri" w:hAnsi="Calibri" w:cs="Times New Roman"/>
          <w:lang w:val="en-GB"/>
        </w:rPr>
        <w:t>.</w:t>
      </w:r>
    </w:p>
    <w:p w14:paraId="33F90332" w14:textId="77777777" w:rsidR="00EB7946" w:rsidRPr="00EB7946" w:rsidRDefault="00EB7946" w:rsidP="00EB7946">
      <w:pPr>
        <w:jc w:val="center"/>
        <w:rPr>
          <w:rFonts w:ascii="Calibri" w:eastAsia="Calibri" w:hAnsi="Calibri" w:cs="Times New Roman"/>
        </w:rPr>
      </w:pPr>
      <w:r w:rsidRPr="00EB7946">
        <w:rPr>
          <w:rFonts w:ascii="Calibri" w:eastAsia="Calibri" w:hAnsi="Calibri" w:cs="Times New Roman"/>
          <w:noProof/>
          <w:lang w:val="en-ZA" w:eastAsia="en-ZA"/>
        </w:rPr>
        <w:lastRenderedPageBreak/>
        <w:drawing>
          <wp:inline distT="0" distB="0" distL="0" distR="0" wp14:anchorId="13C68B33" wp14:editId="42D6D55B">
            <wp:extent cx="6120765" cy="7409180"/>
            <wp:effectExtent l="0" t="0" r="0" b="127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765" cy="7409180"/>
                    </a:xfrm>
                    <a:prstGeom prst="rect">
                      <a:avLst/>
                    </a:prstGeom>
                  </pic:spPr>
                </pic:pic>
              </a:graphicData>
            </a:graphic>
          </wp:inline>
        </w:drawing>
      </w:r>
    </w:p>
    <w:p w14:paraId="72FC6C01" w14:textId="0BB8CB60" w:rsidR="00EB7946" w:rsidRPr="00E928C2" w:rsidRDefault="00EA02AF" w:rsidP="00EA02AF">
      <w:pPr>
        <w:pStyle w:val="Caption"/>
        <w:jc w:val="both"/>
      </w:pPr>
      <w:bookmarkStart w:id="67" w:name="_Toc256434264"/>
      <w:bookmarkStart w:id="68" w:name="_Toc349822153"/>
      <w:bookmarkStart w:id="69" w:name="_Ref501028648"/>
      <w:bookmarkStart w:id="70" w:name="_Toc520757559"/>
      <w:r>
        <w:t xml:space="preserve">Figure </w:t>
      </w:r>
      <w:fldSimple w:instr=" SEQ Figure \* ARABIC ">
        <w:r w:rsidR="002645B6">
          <w:rPr>
            <w:noProof/>
          </w:rPr>
          <w:t>8</w:t>
        </w:r>
      </w:fldSimple>
      <w:r w:rsidR="00EB7946" w:rsidRPr="00E928C2">
        <w:t xml:space="preserve">: Isopach map of the UG2 </w:t>
      </w:r>
      <w:r w:rsidRPr="00E928C2">
        <w:t>Chromitite model</w:t>
      </w:r>
      <w:r w:rsidR="00EB7946" w:rsidRPr="00E928C2">
        <w:t xml:space="preserve">ed from the results of the seismic survey showing </w:t>
      </w:r>
      <w:r w:rsidRPr="00E928C2">
        <w:t>its</w:t>
      </w:r>
      <w:r w:rsidR="00EB7946" w:rsidRPr="00E928C2">
        <w:t xml:space="preserve"> continuity and </w:t>
      </w:r>
      <w:r w:rsidRPr="00E928C2">
        <w:t xml:space="preserve">the </w:t>
      </w:r>
      <w:r w:rsidR="00EB7946" w:rsidRPr="00E928C2">
        <w:t>relative paucity of structural disturbances.</w:t>
      </w:r>
      <w:bookmarkEnd w:id="67"/>
      <w:bookmarkEnd w:id="68"/>
      <w:bookmarkEnd w:id="69"/>
      <w:r w:rsidR="00EB7946" w:rsidRPr="00E928C2">
        <w:t xml:space="preserve"> The western extent of the Rustenburg Layered Suite as derived from the Lesego gravity survey is indicated with the dashed yellow line, whilst the published location of the Transvaal Supergroup – </w:t>
      </w:r>
      <w:r w:rsidRPr="00E928C2">
        <w:t>Rustenburg</w:t>
      </w:r>
      <w:r w:rsidR="00EB7946" w:rsidRPr="00E928C2">
        <w:t xml:space="preserve"> Layered Suite contact is shown by the grey dashed line (Campbell, 2010).</w:t>
      </w:r>
      <w:bookmarkEnd w:id="70"/>
    </w:p>
    <w:p w14:paraId="58C85035" w14:textId="77777777" w:rsidR="00EB7946" w:rsidRPr="00EB7946" w:rsidRDefault="00EB7946" w:rsidP="00EB7946">
      <w:pPr>
        <w:spacing w:before="120" w:after="120" w:line="240" w:lineRule="auto"/>
        <w:ind w:left="1134"/>
        <w:jc w:val="both"/>
        <w:rPr>
          <w:rFonts w:ascii="Arial" w:eastAsia="Times New Roman" w:hAnsi="Arial" w:cs="Times New Roman"/>
          <w:b/>
          <w:bCs/>
          <w:szCs w:val="20"/>
          <w:lang w:val="en-GB"/>
        </w:rPr>
      </w:pPr>
    </w:p>
    <w:p w14:paraId="17B9E62F" w14:textId="77777777" w:rsidR="00EB7946" w:rsidRPr="00EB7946" w:rsidRDefault="00EB7946" w:rsidP="00EB7946">
      <w:pPr>
        <w:jc w:val="both"/>
        <w:rPr>
          <w:rFonts w:ascii="Calibri" w:eastAsia="Calibri" w:hAnsi="Calibri" w:cs="Times New Roman"/>
        </w:rPr>
      </w:pPr>
    </w:p>
    <w:p w14:paraId="51C06640" w14:textId="77777777" w:rsidR="00EB7946" w:rsidRPr="00EB7946" w:rsidRDefault="00EB7946" w:rsidP="00EB7946">
      <w:pPr>
        <w:jc w:val="both"/>
        <w:rPr>
          <w:rFonts w:ascii="Calibri" w:eastAsia="Calibri" w:hAnsi="Calibri" w:cs="Times New Roman"/>
        </w:rPr>
      </w:pPr>
    </w:p>
    <w:tbl>
      <w:tblPr>
        <w:tblStyle w:val="PlainTable41"/>
        <w:tblW w:w="11708" w:type="dxa"/>
        <w:tblLook w:val="04A0" w:firstRow="1" w:lastRow="0" w:firstColumn="1" w:lastColumn="0" w:noHBand="0" w:noVBand="1"/>
      </w:tblPr>
      <w:tblGrid>
        <w:gridCol w:w="9676"/>
        <w:gridCol w:w="1810"/>
        <w:gridCol w:w="222"/>
      </w:tblGrid>
      <w:tr w:rsidR="00EA02AF" w:rsidRPr="00EB7946" w14:paraId="2EC01861" w14:textId="77777777" w:rsidTr="00EA02A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76" w:type="dxa"/>
            <w:shd w:val="clear" w:color="auto" w:fill="auto"/>
          </w:tcPr>
          <w:p w14:paraId="5D1F8289" w14:textId="40803EB1" w:rsidR="00EB7946" w:rsidRPr="00EB7946" w:rsidRDefault="00EB7946" w:rsidP="00EB7946">
            <w:pPr>
              <w:jc w:val="both"/>
              <w:rPr>
                <w:rFonts w:ascii="Calibri" w:eastAsia="Calibri" w:hAnsi="Calibri" w:cs="Times New Roman"/>
              </w:rPr>
            </w:pPr>
            <w:r w:rsidRPr="00EB7946">
              <w:rPr>
                <w:rFonts w:ascii="Calibri" w:eastAsia="Calibri" w:hAnsi="Calibri" w:cs="Times New Roman"/>
                <w:noProof/>
                <w:lang w:val="en-ZA" w:eastAsia="en-ZA"/>
              </w:rPr>
              <w:lastRenderedPageBreak/>
              <w:drawing>
                <wp:inline distT="0" distB="0" distL="0" distR="0" wp14:anchorId="46C3D5E1" wp14:editId="75B99E2E">
                  <wp:extent cx="5510151" cy="2757125"/>
                  <wp:effectExtent l="0" t="0" r="0" b="571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683" t="2909" r="916" b="12887"/>
                          <a:stretch/>
                        </pic:blipFill>
                        <pic:spPr bwMode="auto">
                          <a:xfrm>
                            <a:off x="0" y="0"/>
                            <a:ext cx="5557363" cy="2780749"/>
                          </a:xfrm>
                          <a:prstGeom prst="rect">
                            <a:avLst/>
                          </a:prstGeom>
                          <a:ln w="3175" cap="flat" cmpd="sng" algn="ctr">
                            <a:no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003A12C8" w:rsidRPr="00EB7946">
              <w:rPr>
                <w:rFonts w:ascii="Calibri" w:eastAsia="Calibri" w:hAnsi="Calibri" w:cs="Times New Roman"/>
                <w:noProof/>
                <w:lang w:val="en-ZA" w:eastAsia="en-ZA"/>
              </w:rPr>
              <w:drawing>
                <wp:inline distT="0" distB="0" distL="0" distR="0" wp14:anchorId="12F1EA90" wp14:editId="65C05D1E">
                  <wp:extent cx="5527708" cy="268922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470" t="1632" r="788" b="16212"/>
                          <a:stretch/>
                        </pic:blipFill>
                        <pic:spPr bwMode="auto">
                          <a:xfrm>
                            <a:off x="0" y="0"/>
                            <a:ext cx="5590473" cy="2719760"/>
                          </a:xfrm>
                          <a:prstGeom prst="rect">
                            <a:avLst/>
                          </a:prstGeom>
                          <a:ln>
                            <a:noFill/>
                          </a:ln>
                          <a:extLst>
                            <a:ext uri="{53640926-AAD7-44D8-BBD7-CCE9431645EC}">
                              <a14:shadowObscured xmlns:a14="http://schemas.microsoft.com/office/drawing/2010/main"/>
                            </a:ext>
                          </a:extLst>
                        </pic:spPr>
                      </pic:pic>
                    </a:graphicData>
                  </a:graphic>
                </wp:inline>
              </w:drawing>
            </w:r>
          </w:p>
        </w:tc>
        <w:tc>
          <w:tcPr>
            <w:tcW w:w="1810" w:type="dxa"/>
            <w:shd w:val="clear" w:color="auto" w:fill="auto"/>
          </w:tcPr>
          <w:p w14:paraId="1CDFA115" w14:textId="6138CDA6" w:rsidR="00EB7946" w:rsidRPr="00EB7946" w:rsidRDefault="00EB7946" w:rsidP="00EB7946">
            <w:pPr>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222" w:type="dxa"/>
            <w:shd w:val="clear" w:color="auto" w:fill="auto"/>
          </w:tcPr>
          <w:p w14:paraId="4A3357E7" w14:textId="77777777" w:rsidR="00EB7946" w:rsidRPr="00EB7946" w:rsidRDefault="00EB7946" w:rsidP="00EB7946">
            <w:pPr>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r>
      <w:tr w:rsidR="00EA02AF" w:rsidRPr="00EB7946" w14:paraId="6D0EC5D4" w14:textId="77777777" w:rsidTr="00EA02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76" w:type="dxa"/>
            <w:shd w:val="clear" w:color="auto" w:fill="auto"/>
          </w:tcPr>
          <w:p w14:paraId="0E263FEF" w14:textId="60710A69" w:rsidR="00EB7946" w:rsidRDefault="00EB7946" w:rsidP="00EB7946">
            <w:pPr>
              <w:jc w:val="both"/>
              <w:rPr>
                <w:rFonts w:ascii="Calibri" w:eastAsia="Calibri" w:hAnsi="Calibri" w:cs="Times New Roman"/>
                <w:noProof/>
              </w:rPr>
            </w:pPr>
          </w:p>
          <w:p w14:paraId="1A740474" w14:textId="47CDE24F" w:rsidR="00EA02AF" w:rsidRPr="00EB7946" w:rsidRDefault="003A12C8" w:rsidP="00EB7946">
            <w:pPr>
              <w:jc w:val="both"/>
              <w:rPr>
                <w:rFonts w:ascii="Calibri" w:eastAsia="Calibri" w:hAnsi="Calibri" w:cs="Times New Roman"/>
                <w:noProof/>
              </w:rPr>
            </w:pPr>
            <w:r w:rsidRPr="00EB7946">
              <w:rPr>
                <w:rFonts w:ascii="Calibri" w:eastAsia="Calibri" w:hAnsi="Calibri" w:cs="Times New Roman"/>
                <w:noProof/>
                <w:lang w:val="en-ZA" w:eastAsia="en-ZA"/>
              </w:rPr>
              <w:drawing>
                <wp:inline distT="0" distB="0" distL="0" distR="0" wp14:anchorId="69292705" wp14:editId="6ACAD6B7">
                  <wp:extent cx="5544086" cy="2742927"/>
                  <wp:effectExtent l="0" t="0" r="0" b="63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945" t="1074" r="1031" b="16307"/>
                          <a:stretch/>
                        </pic:blipFill>
                        <pic:spPr bwMode="auto">
                          <a:xfrm>
                            <a:off x="0" y="0"/>
                            <a:ext cx="5595619" cy="2768423"/>
                          </a:xfrm>
                          <a:prstGeom prst="rect">
                            <a:avLst/>
                          </a:prstGeom>
                          <a:ln>
                            <a:noFill/>
                          </a:ln>
                          <a:extLst>
                            <a:ext uri="{53640926-AAD7-44D8-BBD7-CCE9431645EC}">
                              <a14:shadowObscured xmlns:a14="http://schemas.microsoft.com/office/drawing/2010/main"/>
                            </a:ext>
                          </a:extLst>
                        </pic:spPr>
                      </pic:pic>
                    </a:graphicData>
                  </a:graphic>
                </wp:inline>
              </w:drawing>
            </w:r>
          </w:p>
        </w:tc>
        <w:tc>
          <w:tcPr>
            <w:tcW w:w="1810" w:type="dxa"/>
            <w:shd w:val="clear" w:color="auto" w:fill="auto"/>
          </w:tcPr>
          <w:p w14:paraId="6FDB86FE" w14:textId="77777777" w:rsidR="00EB7946" w:rsidRPr="00EB7946" w:rsidRDefault="00EB7946" w:rsidP="00EB7946">
            <w:pPr>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noProof/>
              </w:rPr>
            </w:pPr>
          </w:p>
        </w:tc>
        <w:tc>
          <w:tcPr>
            <w:tcW w:w="222" w:type="dxa"/>
            <w:shd w:val="clear" w:color="auto" w:fill="auto"/>
          </w:tcPr>
          <w:p w14:paraId="53D6A899" w14:textId="77777777" w:rsidR="00EB7946" w:rsidRPr="00EB7946" w:rsidRDefault="00EB7946" w:rsidP="00EB7946">
            <w:pPr>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r>
    </w:tbl>
    <w:p w14:paraId="19E656BD" w14:textId="77777777" w:rsidR="00EA02AF" w:rsidRDefault="00EA02AF" w:rsidP="00EA02AF">
      <w:pPr>
        <w:pStyle w:val="Caption"/>
        <w:jc w:val="both"/>
      </w:pPr>
    </w:p>
    <w:p w14:paraId="1FF732D1" w14:textId="6DC20CD3" w:rsidR="00EB7946" w:rsidRPr="00E928C2" w:rsidRDefault="00EA02AF" w:rsidP="00EA02AF">
      <w:pPr>
        <w:pStyle w:val="Caption"/>
        <w:jc w:val="both"/>
      </w:pPr>
      <w:bookmarkStart w:id="71" w:name="_Toc520757560"/>
      <w:r>
        <w:t xml:space="preserve">Figure </w:t>
      </w:r>
      <w:fldSimple w:instr=" SEQ Figure \* ARABIC ">
        <w:r w:rsidR="002645B6">
          <w:rPr>
            <w:noProof/>
          </w:rPr>
          <w:t>9</w:t>
        </w:r>
      </w:fldSimple>
      <w:r w:rsidR="00EB7946" w:rsidRPr="00E928C2">
        <w:t xml:space="preserve">: Bouguer Gravity and surface elevation profiles along seismic lines </w:t>
      </w:r>
      <w:r w:rsidR="003A12C8" w:rsidRPr="00E928C2">
        <w:t>0</w:t>
      </w:r>
      <w:r w:rsidR="00EB7946" w:rsidRPr="00E928C2">
        <w:t xml:space="preserve">1 (top), </w:t>
      </w:r>
      <w:r w:rsidR="003A12C8" w:rsidRPr="00E928C2">
        <w:t>0</w:t>
      </w:r>
      <w:r w:rsidR="00EB7946" w:rsidRPr="00E928C2">
        <w:t>4 (</w:t>
      </w:r>
      <w:r w:rsidR="003A12C8" w:rsidRPr="00E928C2">
        <w:t>middle</w:t>
      </w:r>
      <w:r w:rsidR="00EB7946" w:rsidRPr="00E928C2">
        <w:t xml:space="preserve">) and </w:t>
      </w:r>
      <w:r w:rsidR="003A12C8" w:rsidRPr="00E928C2">
        <w:t>0</w:t>
      </w:r>
      <w:r w:rsidR="00EB7946" w:rsidRPr="00E928C2">
        <w:t>5 (bottom)</w:t>
      </w:r>
      <w:r w:rsidR="003A12C8" w:rsidRPr="00E928C2">
        <w:t>,</w:t>
      </w:r>
      <w:r w:rsidR="00EB7946" w:rsidRPr="00E928C2">
        <w:t xml:space="preserve"> illustrating the published floor rock contact and the suggested floor rock contact (black arrow) based on increased density of the Rustenburg Layered Suite lithologies (Campbell, 2010).</w:t>
      </w:r>
      <w:bookmarkEnd w:id="71"/>
    </w:p>
    <w:p w14:paraId="69654E92" w14:textId="77777777" w:rsidR="00EB7946" w:rsidRPr="00EB7946" w:rsidRDefault="00EB7946" w:rsidP="00EB7946">
      <w:pPr>
        <w:jc w:val="both"/>
        <w:rPr>
          <w:rFonts w:ascii="Calibri" w:eastAsia="Calibri" w:hAnsi="Calibri" w:cs="Times New Roman"/>
        </w:rPr>
      </w:pPr>
    </w:p>
    <w:p w14:paraId="6E841E4A" w14:textId="776BF9A5" w:rsidR="00EB7946" w:rsidRDefault="00EB7946" w:rsidP="00EB7946">
      <w:pPr>
        <w:jc w:val="both"/>
        <w:rPr>
          <w:rFonts w:ascii="Calibri" w:eastAsia="Calibri" w:hAnsi="Calibri" w:cs="Times New Roman"/>
        </w:rPr>
      </w:pPr>
      <w:r w:rsidRPr="00F66602">
        <w:rPr>
          <w:rFonts w:ascii="Calibri" w:eastAsia="Calibri" w:hAnsi="Calibri" w:cs="Times New Roman"/>
          <w:i/>
        </w:rPr>
        <w:t>Aeromagnetics</w:t>
      </w:r>
      <w:r w:rsidRPr="00F66602">
        <w:rPr>
          <w:rFonts w:ascii="Calibri" w:eastAsia="Calibri" w:hAnsi="Calibri" w:cs="Times New Roman"/>
        </w:rPr>
        <w:t xml:space="preserve">. High-resolution aeromagnetic, DTM and radiometric surveys over the project area mapped the outcrop distribution of Transvaal Supergroup footwall </w:t>
      </w:r>
      <w:r w:rsidR="003A12C8" w:rsidRPr="00F66602">
        <w:rPr>
          <w:rFonts w:ascii="Calibri" w:eastAsia="Calibri" w:hAnsi="Calibri" w:cs="Times New Roman"/>
        </w:rPr>
        <w:t>metasedimentary rocks</w:t>
      </w:r>
      <w:r w:rsidRPr="00F66602">
        <w:rPr>
          <w:rFonts w:ascii="Calibri" w:eastAsia="Calibri" w:hAnsi="Calibri" w:cs="Times New Roman"/>
        </w:rPr>
        <w:t xml:space="preserve"> plus Bushveld </w:t>
      </w:r>
      <w:r w:rsidR="003A12C8" w:rsidRPr="00F66602">
        <w:rPr>
          <w:rFonts w:ascii="Calibri" w:eastAsia="Calibri" w:hAnsi="Calibri" w:cs="Times New Roman"/>
        </w:rPr>
        <w:t xml:space="preserve">Complex </w:t>
      </w:r>
      <w:r w:rsidRPr="00F66602">
        <w:rPr>
          <w:rFonts w:ascii="Calibri" w:eastAsia="Calibri" w:hAnsi="Calibri" w:cs="Times New Roman"/>
        </w:rPr>
        <w:t xml:space="preserve">Main and Upper Zone lithologies. The area flown is shown in </w:t>
      </w:r>
      <w:r w:rsidR="00697EC9">
        <w:rPr>
          <w:rFonts w:ascii="Calibri" w:eastAsia="Calibri" w:hAnsi="Calibri" w:cs="Times New Roman"/>
        </w:rPr>
        <w:t xml:space="preserve">Figure 10. </w:t>
      </w:r>
      <w:r w:rsidRPr="00F66602">
        <w:rPr>
          <w:rFonts w:ascii="Calibri" w:eastAsia="Calibri" w:hAnsi="Calibri" w:cs="Times New Roman"/>
        </w:rPr>
        <w:t>The geophysical mapping results largely conformed to published regional geology except over the south of the area, where the location of the Upper Zone contact was refined</w:t>
      </w:r>
      <w:r w:rsidR="00F66602" w:rsidRPr="00F66602">
        <w:rPr>
          <w:rFonts w:ascii="Calibri" w:eastAsia="Calibri" w:hAnsi="Calibri" w:cs="Times New Roman"/>
        </w:rPr>
        <w:t xml:space="preserve"> and </w:t>
      </w:r>
      <w:r w:rsidR="00F66602">
        <w:rPr>
          <w:rFonts w:ascii="Calibri" w:eastAsia="Calibri" w:hAnsi="Calibri" w:cs="Times New Roman"/>
        </w:rPr>
        <w:t>mapped approximately 400 m</w:t>
      </w:r>
      <w:r w:rsidR="00F66602" w:rsidRPr="00F66602">
        <w:rPr>
          <w:rFonts w:ascii="Calibri" w:eastAsia="Calibri" w:hAnsi="Calibri" w:cs="Times New Roman"/>
        </w:rPr>
        <w:t xml:space="preserve"> further south</w:t>
      </w:r>
      <w:r w:rsidR="00F66602">
        <w:rPr>
          <w:rFonts w:ascii="Calibri" w:eastAsia="Calibri" w:hAnsi="Calibri" w:cs="Times New Roman"/>
        </w:rPr>
        <w:t xml:space="preserve"> than mapped by Schwellnus </w:t>
      </w:r>
      <w:r w:rsidR="00F66602">
        <w:rPr>
          <w:rFonts w:ascii="Calibri" w:eastAsia="Calibri" w:hAnsi="Calibri" w:cs="Times New Roman"/>
          <w:i/>
        </w:rPr>
        <w:t xml:space="preserve">et al., </w:t>
      </w:r>
      <w:r w:rsidR="00F66602">
        <w:rPr>
          <w:rFonts w:ascii="Calibri" w:eastAsia="Calibri" w:hAnsi="Calibri" w:cs="Times New Roman"/>
        </w:rPr>
        <w:t>1962)</w:t>
      </w:r>
      <w:r w:rsidRPr="00F66602">
        <w:rPr>
          <w:rFonts w:ascii="Calibri" w:eastAsia="Calibri" w:hAnsi="Calibri" w:cs="Times New Roman"/>
        </w:rPr>
        <w:t>.</w:t>
      </w:r>
      <w:r w:rsidR="003A12C8">
        <w:rPr>
          <w:rFonts w:ascii="Calibri" w:eastAsia="Calibri" w:hAnsi="Calibri" w:cs="Times New Roman"/>
        </w:rPr>
        <w:t xml:space="preserve"> </w:t>
      </w:r>
    </w:p>
    <w:p w14:paraId="6C2DD1CA" w14:textId="6CB311BE" w:rsidR="00BB6FDF" w:rsidRPr="003A12C8" w:rsidRDefault="00697EC9" w:rsidP="00EB7946">
      <w:pPr>
        <w:jc w:val="both"/>
        <w:rPr>
          <w:rFonts w:ascii="Calibri" w:eastAsia="Calibri" w:hAnsi="Calibri" w:cs="Times New Roman"/>
          <w:i/>
        </w:rPr>
      </w:pPr>
      <w:r>
        <w:rPr>
          <w:rFonts w:ascii="Calibri" w:eastAsia="Calibri" w:hAnsi="Calibri" w:cs="Times New Roman"/>
        </w:rPr>
        <w:t>Figure</w:t>
      </w:r>
      <w:r w:rsidR="001653F9">
        <w:rPr>
          <w:rFonts w:ascii="Calibri" w:eastAsia="Calibri" w:hAnsi="Calibri" w:cs="Times New Roman"/>
        </w:rPr>
        <w:t xml:space="preserve"> 10</w:t>
      </w:r>
      <w:r w:rsidR="00BB6FDF">
        <w:rPr>
          <w:rFonts w:ascii="Calibri" w:eastAsia="Calibri" w:hAnsi="Calibri" w:cs="Times New Roman"/>
        </w:rPr>
        <w:t xml:space="preserve"> highlights the discordance </w:t>
      </w:r>
      <w:r w:rsidR="00B766CA">
        <w:rPr>
          <w:rFonts w:ascii="Calibri" w:eastAsia="Calibri" w:hAnsi="Calibri" w:cs="Times New Roman"/>
        </w:rPr>
        <w:t>of</w:t>
      </w:r>
      <w:r w:rsidR="00BB6FDF">
        <w:rPr>
          <w:rFonts w:ascii="Calibri" w:eastAsia="Calibri" w:hAnsi="Calibri" w:cs="Times New Roman"/>
        </w:rPr>
        <w:t xml:space="preserve"> the Rustenburg Layered Suite </w:t>
      </w:r>
      <w:r w:rsidR="00B766CA">
        <w:rPr>
          <w:rFonts w:ascii="Calibri" w:eastAsia="Calibri" w:hAnsi="Calibri" w:cs="Times New Roman"/>
        </w:rPr>
        <w:t xml:space="preserve">with </w:t>
      </w:r>
      <w:r w:rsidR="00BB6FDF">
        <w:rPr>
          <w:rFonts w:ascii="Calibri" w:eastAsia="Calibri" w:hAnsi="Calibri" w:cs="Times New Roman"/>
        </w:rPr>
        <w:t xml:space="preserve">the southern </w:t>
      </w:r>
      <w:r w:rsidR="00B766CA">
        <w:rPr>
          <w:rFonts w:ascii="Calibri" w:eastAsia="Calibri" w:hAnsi="Calibri" w:cs="Times New Roman"/>
        </w:rPr>
        <w:t>and</w:t>
      </w:r>
      <w:r w:rsidR="00BB6FDF">
        <w:rPr>
          <w:rFonts w:ascii="Calibri" w:eastAsia="Calibri" w:hAnsi="Calibri" w:cs="Times New Roman"/>
        </w:rPr>
        <w:t xml:space="preserve"> </w:t>
      </w:r>
      <w:r w:rsidR="00B766CA">
        <w:rPr>
          <w:rFonts w:ascii="Calibri" w:eastAsia="Calibri" w:hAnsi="Calibri" w:cs="Times New Roman"/>
        </w:rPr>
        <w:t xml:space="preserve">eastern flanks </w:t>
      </w:r>
      <w:r w:rsidR="00BB6FDF">
        <w:rPr>
          <w:rFonts w:ascii="Calibri" w:eastAsia="Calibri" w:hAnsi="Calibri" w:cs="Times New Roman"/>
        </w:rPr>
        <w:t xml:space="preserve">of the Phosiri Dome. Critical, Main and Upper Zone lithologies are all present </w:t>
      </w:r>
      <w:r w:rsidR="00B766CA">
        <w:rPr>
          <w:rFonts w:ascii="Calibri" w:eastAsia="Calibri" w:hAnsi="Calibri" w:cs="Times New Roman"/>
        </w:rPr>
        <w:t xml:space="preserve">and outcrop within 1,500 m of </w:t>
      </w:r>
      <w:r w:rsidR="00BB6FDF">
        <w:rPr>
          <w:rFonts w:ascii="Calibri" w:eastAsia="Calibri" w:hAnsi="Calibri" w:cs="Times New Roman"/>
        </w:rPr>
        <w:t>the southern flank of the Dome</w:t>
      </w:r>
      <w:r w:rsidR="00B766CA">
        <w:rPr>
          <w:rFonts w:ascii="Calibri" w:eastAsia="Calibri" w:hAnsi="Calibri" w:cs="Times New Roman"/>
        </w:rPr>
        <w:t>, whilst only Main Zone lithologies are apparent proximal to the east flank of the Dome.</w:t>
      </w:r>
    </w:p>
    <w:p w14:paraId="5D8AE242" w14:textId="4DC0559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presence of younger cross-cutting </w:t>
      </w:r>
      <w:r w:rsidR="00697EC9">
        <w:rPr>
          <w:rFonts w:ascii="Calibri" w:eastAsia="Calibri" w:hAnsi="Calibri" w:cs="Times New Roman"/>
        </w:rPr>
        <w:t>dykes</w:t>
      </w:r>
      <w:r w:rsidRPr="00EB7946">
        <w:rPr>
          <w:rFonts w:ascii="Calibri" w:eastAsia="Calibri" w:hAnsi="Calibri" w:cs="Times New Roman"/>
        </w:rPr>
        <w:t xml:space="preserve"> appears restricted to 3 </w:t>
      </w:r>
      <w:r w:rsidR="003A12C8">
        <w:rPr>
          <w:rFonts w:ascii="Calibri" w:eastAsia="Calibri" w:hAnsi="Calibri" w:cs="Times New Roman"/>
        </w:rPr>
        <w:t xml:space="preserve">sets of </w:t>
      </w:r>
      <w:r w:rsidRPr="00EB7946">
        <w:rPr>
          <w:rFonts w:ascii="Calibri" w:eastAsia="Calibri" w:hAnsi="Calibri" w:cs="Times New Roman"/>
        </w:rPr>
        <w:t xml:space="preserve">NNE striking sets </w:t>
      </w:r>
      <w:r w:rsidR="003A12C8">
        <w:rPr>
          <w:rFonts w:ascii="Calibri" w:eastAsia="Calibri" w:hAnsi="Calibri" w:cs="Times New Roman"/>
        </w:rPr>
        <w:t xml:space="preserve">and two sets of NW striking </w:t>
      </w:r>
      <w:r w:rsidR="00697EC9">
        <w:rPr>
          <w:rFonts w:ascii="Calibri" w:eastAsia="Calibri" w:hAnsi="Calibri" w:cs="Times New Roman"/>
        </w:rPr>
        <w:t>dykes</w:t>
      </w:r>
      <w:r w:rsidR="003A12C8">
        <w:rPr>
          <w:rFonts w:ascii="Calibri" w:eastAsia="Calibri" w:hAnsi="Calibri" w:cs="Times New Roman"/>
        </w:rPr>
        <w:t xml:space="preserve">, </w:t>
      </w:r>
      <w:r w:rsidRPr="00EB7946">
        <w:rPr>
          <w:rFonts w:ascii="Calibri" w:eastAsia="Calibri" w:hAnsi="Calibri" w:cs="Times New Roman"/>
        </w:rPr>
        <w:t>which, with one exception, outcrop to the north or east of the lease area (Fig</w:t>
      </w:r>
      <w:r w:rsidR="00697EC9">
        <w:rPr>
          <w:rFonts w:ascii="Calibri" w:eastAsia="Calibri" w:hAnsi="Calibri" w:cs="Times New Roman"/>
        </w:rPr>
        <w:t>ure</w:t>
      </w:r>
      <w:r w:rsidRPr="00EB7946">
        <w:rPr>
          <w:rFonts w:ascii="Calibri" w:eastAsia="Calibri" w:hAnsi="Calibri" w:cs="Times New Roman"/>
        </w:rPr>
        <w:t xml:space="preserve"> 1</w:t>
      </w:r>
      <w:r w:rsidR="00697EC9">
        <w:rPr>
          <w:rFonts w:ascii="Calibri" w:eastAsia="Calibri" w:hAnsi="Calibri" w:cs="Times New Roman"/>
        </w:rPr>
        <w:t>0</w:t>
      </w:r>
      <w:r w:rsidRPr="00EB7946">
        <w:rPr>
          <w:rFonts w:ascii="Calibri" w:eastAsia="Calibri" w:hAnsi="Calibri" w:cs="Times New Roman"/>
        </w:rPr>
        <w:t xml:space="preserve">). </w:t>
      </w:r>
    </w:p>
    <w:p w14:paraId="3416F50A" w14:textId="36CF1236"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Apart from the Stofpoort and Wonderkop Faults to the </w:t>
      </w:r>
      <w:r w:rsidR="003A12C8">
        <w:rPr>
          <w:rFonts w:ascii="Calibri" w:eastAsia="Calibri" w:hAnsi="Calibri" w:cs="Times New Roman"/>
        </w:rPr>
        <w:t>w</w:t>
      </w:r>
      <w:r w:rsidRPr="00EB7946">
        <w:rPr>
          <w:rFonts w:ascii="Calibri" w:eastAsia="Calibri" w:hAnsi="Calibri" w:cs="Times New Roman"/>
        </w:rPr>
        <w:t>est of the Phosiri Dome</w:t>
      </w:r>
      <w:r w:rsidR="00C04504">
        <w:rPr>
          <w:rFonts w:ascii="Calibri" w:eastAsia="Calibri" w:hAnsi="Calibri" w:cs="Times New Roman"/>
        </w:rPr>
        <w:t xml:space="preserve"> and the NW trending fault in the north of the area</w:t>
      </w:r>
      <w:r w:rsidRPr="00EB7946">
        <w:rPr>
          <w:rFonts w:ascii="Calibri" w:eastAsia="Calibri" w:hAnsi="Calibri" w:cs="Times New Roman"/>
        </w:rPr>
        <w:t xml:space="preserve">, there are no obvious faults with large displacements that were detected </w:t>
      </w:r>
      <w:r w:rsidR="00C04504">
        <w:rPr>
          <w:rFonts w:ascii="Calibri" w:eastAsia="Calibri" w:hAnsi="Calibri" w:cs="Times New Roman"/>
        </w:rPr>
        <w:t xml:space="preserve">within the lease area </w:t>
      </w:r>
      <w:r w:rsidRPr="00EB7946">
        <w:rPr>
          <w:rFonts w:ascii="Calibri" w:eastAsia="Calibri" w:hAnsi="Calibri" w:cs="Times New Roman"/>
        </w:rPr>
        <w:t xml:space="preserve">from the airborne data. </w:t>
      </w:r>
    </w:p>
    <w:p w14:paraId="6FC34C28" w14:textId="449ED423" w:rsidR="00EB7946" w:rsidRPr="00EB7946" w:rsidRDefault="00EB7946" w:rsidP="00EB7946">
      <w:pPr>
        <w:jc w:val="both"/>
        <w:rPr>
          <w:rFonts w:ascii="Calibri" w:eastAsia="Calibri" w:hAnsi="Calibri" w:cs="Times New Roman"/>
        </w:rPr>
      </w:pPr>
      <w:r w:rsidRPr="00EB7946">
        <w:rPr>
          <w:rFonts w:ascii="Calibri" w:eastAsia="Calibri" w:hAnsi="Calibri" w:cs="Times New Roman"/>
        </w:rPr>
        <w:t>Twenty-one possible small iron-rich ultramafic pegmatite (IRUP) bodies occur as pipe, vein or sheet like bodies</w:t>
      </w:r>
      <w:r w:rsidR="00C04504">
        <w:rPr>
          <w:rFonts w:ascii="Calibri" w:eastAsia="Calibri" w:hAnsi="Calibri" w:cs="Times New Roman"/>
        </w:rPr>
        <w:t>,</w:t>
      </w:r>
      <w:r w:rsidRPr="00EB7946">
        <w:rPr>
          <w:rFonts w:ascii="Calibri" w:eastAsia="Calibri" w:hAnsi="Calibri" w:cs="Times New Roman"/>
        </w:rPr>
        <w:t xml:space="preserve"> </w:t>
      </w:r>
      <w:r w:rsidR="00C04504">
        <w:rPr>
          <w:rFonts w:ascii="Calibri" w:eastAsia="Calibri" w:hAnsi="Calibri" w:cs="Times New Roman"/>
        </w:rPr>
        <w:t xml:space="preserve">ranging from a few meters to several tens of meters. According to Viljoen and Scoon, 1985, these </w:t>
      </w:r>
      <w:r w:rsidRPr="00EB7946">
        <w:rPr>
          <w:rFonts w:ascii="Calibri" w:eastAsia="Calibri" w:hAnsi="Calibri" w:cs="Times New Roman"/>
        </w:rPr>
        <w:t>formed post-cumulate crystall</w:t>
      </w:r>
      <w:r w:rsidR="005D78EA">
        <w:rPr>
          <w:rFonts w:ascii="Calibri" w:eastAsia="Calibri" w:hAnsi="Calibri" w:cs="Times New Roman"/>
        </w:rPr>
        <w:t>isation</w:t>
      </w:r>
      <w:r w:rsidRPr="00EB7946">
        <w:rPr>
          <w:rFonts w:ascii="Calibri" w:eastAsia="Calibri" w:hAnsi="Calibri" w:cs="Times New Roman"/>
        </w:rPr>
        <w:t xml:space="preserve">. Magnetite plugs also outcrop over the lease area. Their maximum diameter ranges only up to 130 m and they are recognizable as discrete positive magnetic anomalies </w:t>
      </w:r>
      <w:r w:rsidR="00697EC9">
        <w:rPr>
          <w:rFonts w:ascii="Calibri" w:eastAsia="Calibri" w:hAnsi="Calibri" w:cs="Times New Roman"/>
        </w:rPr>
        <w:t>on the airborne geophysics (Figure</w:t>
      </w:r>
      <w:r w:rsidRPr="00EB7946">
        <w:rPr>
          <w:rFonts w:ascii="Calibri" w:eastAsia="Calibri" w:hAnsi="Calibri" w:cs="Times New Roman"/>
        </w:rPr>
        <w:t xml:space="preserve"> </w:t>
      </w:r>
      <w:r w:rsidR="00C04504">
        <w:rPr>
          <w:rFonts w:ascii="Calibri" w:eastAsia="Calibri" w:hAnsi="Calibri" w:cs="Times New Roman"/>
        </w:rPr>
        <w:t>10</w:t>
      </w:r>
      <w:r w:rsidRPr="00EB7946">
        <w:rPr>
          <w:rFonts w:ascii="Calibri" w:eastAsia="Calibri" w:hAnsi="Calibri" w:cs="Times New Roman"/>
        </w:rPr>
        <w:t>).</w:t>
      </w:r>
    </w:p>
    <w:p w14:paraId="324D9E55" w14:textId="7ACC6A92" w:rsidR="00EB7946" w:rsidRPr="00EB7946" w:rsidRDefault="00EB7946" w:rsidP="00EB7946">
      <w:pPr>
        <w:jc w:val="both"/>
        <w:rPr>
          <w:rFonts w:ascii="Calibri" w:eastAsia="Calibri" w:hAnsi="Calibri" w:cs="Times New Roman"/>
        </w:rPr>
      </w:pPr>
      <w:r w:rsidRPr="00EB7946">
        <w:rPr>
          <w:rFonts w:ascii="Calibri" w:eastAsia="Calibri" w:hAnsi="Calibri" w:cs="Times New Roman"/>
        </w:rPr>
        <w:t>In general, geophysical findings indicate a relative paucity of “loss-of-ground” features, although strike faulting is not readily mapped</w:t>
      </w:r>
      <w:r w:rsidR="00C04504">
        <w:rPr>
          <w:rFonts w:ascii="Calibri" w:eastAsia="Calibri" w:hAnsi="Calibri" w:cs="Times New Roman"/>
        </w:rPr>
        <w:t xml:space="preserve"> with this technique</w:t>
      </w:r>
      <w:r w:rsidRPr="00EB7946">
        <w:rPr>
          <w:rFonts w:ascii="Calibri" w:eastAsia="Calibri" w:hAnsi="Calibri" w:cs="Times New Roman"/>
        </w:rPr>
        <w:t xml:space="preserve"> and cannot be ruled out.</w:t>
      </w:r>
    </w:p>
    <w:p w14:paraId="66BFE9D5" w14:textId="404EE0FA" w:rsidR="00EB7946" w:rsidRPr="00EB7946" w:rsidRDefault="00B25BF6" w:rsidP="003A12C8">
      <w:pPr>
        <w:spacing w:before="60" w:after="60" w:line="240" w:lineRule="auto"/>
        <w:jc w:val="center"/>
        <w:rPr>
          <w:rFonts w:ascii="Arial" w:eastAsia="Times New Roman" w:hAnsi="Arial" w:cs="Times New Roman"/>
          <w:color w:val="000000"/>
          <w:szCs w:val="20"/>
          <w:lang w:val="en-GB"/>
        </w:rPr>
      </w:pPr>
      <w:r>
        <w:rPr>
          <w:noProof/>
        </w:rPr>
        <w:lastRenderedPageBreak/>
        <mc:AlternateContent>
          <mc:Choice Requires="wps">
            <w:drawing>
              <wp:anchor distT="0" distB="0" distL="114300" distR="114300" simplePos="0" relativeHeight="251665408" behindDoc="0" locked="0" layoutInCell="1" allowOverlap="1" wp14:anchorId="2D199EAE" wp14:editId="2B7C888B">
                <wp:simplePos x="0" y="0"/>
                <wp:positionH relativeFrom="column">
                  <wp:posOffset>165417</wp:posOffset>
                </wp:positionH>
                <wp:positionV relativeFrom="paragraph">
                  <wp:posOffset>1898968</wp:posOffset>
                </wp:positionV>
                <wp:extent cx="1190625" cy="285750"/>
                <wp:effectExtent l="147638" t="0" r="157162" b="0"/>
                <wp:wrapNone/>
                <wp:docPr id="21" name="Text Box 21"/>
                <wp:cNvGraphicFramePr/>
                <a:graphic xmlns:a="http://schemas.openxmlformats.org/drawingml/2006/main">
                  <a:graphicData uri="http://schemas.microsoft.com/office/word/2010/wordprocessingShape">
                    <wps:wsp>
                      <wps:cNvSpPr txBox="1"/>
                      <wps:spPr>
                        <a:xfrm rot="18401895">
                          <a:off x="0" y="0"/>
                          <a:ext cx="1190625" cy="285750"/>
                        </a:xfrm>
                        <a:prstGeom prst="rect">
                          <a:avLst/>
                        </a:prstGeom>
                        <a:noFill/>
                        <a:ln w="6350">
                          <a:noFill/>
                        </a:ln>
                      </wps:spPr>
                      <wps:txbx>
                        <w:txbxContent>
                          <w:p w14:paraId="6F80C0CE" w14:textId="41C4FB9E" w:rsidR="002645B6" w:rsidRPr="00B25BF6" w:rsidRDefault="002645B6">
                            <w:pPr>
                              <w:rPr>
                                <w:b/>
                                <w:color w:val="FFFFFF" w:themeColor="background1"/>
                                <w:lang w:val="en-ZA"/>
                              </w:rPr>
                            </w:pPr>
                            <w:r w:rsidRPr="00B25BF6">
                              <w:rPr>
                                <w:b/>
                                <w:color w:val="FFFFFF" w:themeColor="background1"/>
                                <w:lang w:val="en-ZA"/>
                              </w:rPr>
                              <w:t>Stofpoort Fault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199EAE" id="_x0000_t202" coordsize="21600,21600" o:spt="202" path="m,l,21600r21600,l21600,xe">
                <v:stroke joinstyle="miter"/>
                <v:path gradientshapeok="t" o:connecttype="rect"/>
              </v:shapetype>
              <v:shape id="Text Box 21" o:spid="_x0000_s1026" type="#_x0000_t202" style="position:absolute;left:0;text-align:left;margin-left:13pt;margin-top:149.55pt;width:93.75pt;height:22.5pt;rotation:-3493183fd;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" filled="f" stroked="f" strokeweight=".5pt">
                <v:textbox>
                  <w:txbxContent>
                    <w:p w14:paraId="6F80C0CE" w14:textId="41C4FB9E" w:rsidR="002645B6" w:rsidRPr="00B25BF6" w:rsidRDefault="002645B6">
                      <w:pPr>
                        <w:rPr>
                          <w:b/>
                          <w:color w:val="FFFFFF" w:themeColor="background1"/>
                          <w:lang w:val="en-ZA"/>
                        </w:rPr>
                      </w:pPr>
                      <w:r w:rsidRPr="00B25BF6">
                        <w:rPr>
                          <w:b/>
                          <w:color w:val="FFFFFF" w:themeColor="background1"/>
                          <w:lang w:val="en-ZA"/>
                        </w:rPr>
                        <w:t>Stofpoort Fault</w:t>
                      </w:r>
                    </w:p>
                  </w:txbxContent>
                </v:textbox>
              </v:shape>
            </w:pict>
          </mc:Fallback>
        </mc:AlternateContent>
      </w:r>
      <w:r w:rsidR="004A2CAE" w:rsidRPr="004A2CAE">
        <w:rPr>
          <w:noProof/>
        </w:rPr>
        <w:drawing>
          <wp:inline distT="0" distB="0" distL="0" distR="0" wp14:anchorId="796C9D6B" wp14:editId="24B34450">
            <wp:extent cx="5676900" cy="8029759"/>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678034" cy="8031363"/>
                    </a:xfrm>
                    <a:prstGeom prst="rect">
                      <a:avLst/>
                    </a:prstGeom>
                  </pic:spPr>
                </pic:pic>
              </a:graphicData>
            </a:graphic>
          </wp:inline>
        </w:drawing>
      </w:r>
    </w:p>
    <w:p w14:paraId="6B7A911A" w14:textId="3EAB1BC0" w:rsidR="00EB7946" w:rsidRPr="00E928C2" w:rsidRDefault="007A010C" w:rsidP="007A010C">
      <w:pPr>
        <w:pStyle w:val="Caption"/>
        <w:jc w:val="both"/>
      </w:pPr>
      <w:bookmarkStart w:id="72" w:name="_Toc349822150"/>
      <w:bookmarkStart w:id="73" w:name="_Toc520757561"/>
      <w:r>
        <w:t xml:space="preserve">Figure </w:t>
      </w:r>
      <w:fldSimple w:instr=" SEQ Figure \* ARABIC ">
        <w:r w:rsidR="002645B6">
          <w:rPr>
            <w:noProof/>
          </w:rPr>
          <w:t>10</w:t>
        </w:r>
      </w:fldSimple>
      <w:r w:rsidR="00EB7946" w:rsidRPr="00E928C2">
        <w:t>: Total field magnetics image from the aeromagnetic survey flown over the project area</w:t>
      </w:r>
      <w:bookmarkEnd w:id="72"/>
      <w:r w:rsidR="00EB7946" w:rsidRPr="00E928C2">
        <w:t xml:space="preserve"> showing interpreted faults (in black) and dykes (in white)</w:t>
      </w:r>
      <w:r w:rsidR="00717D90" w:rsidRPr="00E928C2">
        <w:t xml:space="preserve"> (after Campbell, 2010)</w:t>
      </w:r>
      <w:r w:rsidR="00EB7946" w:rsidRPr="00E928C2">
        <w:t>.</w:t>
      </w:r>
      <w:r w:rsidR="00943C96" w:rsidRPr="00E928C2">
        <w:t xml:space="preserve"> Red and purple indicates areas of relatively high magnetic intensity, highlighting IRUPS, </w:t>
      </w:r>
      <w:r w:rsidR="00697EC9">
        <w:t>dykes</w:t>
      </w:r>
      <w:r w:rsidR="00943C96" w:rsidRPr="00E928C2">
        <w:t xml:space="preserve">, Upper Zone lithologies and the Vermont Formation of the Pretoria Group, whilst green areas indicate areas of relatively low magnetic intensity of Main, Critical Zone and Transvaal Metasedimentary rocks. </w:t>
      </w:r>
      <w:r w:rsidR="00B25BF6" w:rsidRPr="00E928C2">
        <w:t xml:space="preserve">Note the shift of the Main Zone – Upper Zone boundary to the south </w:t>
      </w:r>
      <w:r w:rsidR="00B766CA" w:rsidRPr="00E928C2">
        <w:t xml:space="preserve">based on the magnetic signature of the Upper Zone lithologies </w:t>
      </w:r>
      <w:r w:rsidR="00B25BF6" w:rsidRPr="00E928C2">
        <w:t>(after Schwellnus et al., 1962</w:t>
      </w:r>
      <w:r w:rsidR="00B766CA" w:rsidRPr="00E928C2">
        <w:t xml:space="preserve"> and Campbell, 2010</w:t>
      </w:r>
      <w:r w:rsidR="00B25BF6" w:rsidRPr="00E928C2">
        <w:t>).</w:t>
      </w:r>
      <w:bookmarkEnd w:id="73"/>
    </w:p>
    <w:p w14:paraId="6E6E87CC" w14:textId="77777777" w:rsidR="00EB7946" w:rsidRPr="00943C96" w:rsidRDefault="00EB7946" w:rsidP="00943C96">
      <w:pPr>
        <w:keepNext/>
        <w:keepLines/>
        <w:spacing w:before="40" w:after="0"/>
        <w:outlineLvl w:val="1"/>
        <w:rPr>
          <w:rFonts w:ascii="Calibri" w:eastAsia="Times New Roman" w:hAnsi="Calibri" w:cs="Times New Roman"/>
          <w:i/>
          <w:color w:val="000000"/>
          <w:szCs w:val="26"/>
        </w:rPr>
      </w:pPr>
      <w:bookmarkStart w:id="74" w:name="_Toc520758788"/>
      <w:bookmarkStart w:id="75" w:name="_Toc349822128"/>
      <w:bookmarkStart w:id="76" w:name="_Toc501030987"/>
      <w:r w:rsidRPr="00943C96">
        <w:rPr>
          <w:rFonts w:ascii="Calibri" w:eastAsia="Times New Roman" w:hAnsi="Calibri" w:cs="Times New Roman"/>
          <w:i/>
          <w:color w:val="000000"/>
          <w:szCs w:val="26"/>
        </w:rPr>
        <w:lastRenderedPageBreak/>
        <w:t>Soil Geochemistry</w:t>
      </w:r>
      <w:bookmarkEnd w:id="74"/>
    </w:p>
    <w:p w14:paraId="61E0BCC9" w14:textId="590807CE" w:rsidR="007A010C" w:rsidRPr="0013326D" w:rsidRDefault="007A010C" w:rsidP="007A010C">
      <w:pPr>
        <w:jc w:val="both"/>
      </w:pPr>
      <w:r>
        <w:t xml:space="preserve">In </w:t>
      </w:r>
      <w:r w:rsidRPr="0013326D">
        <w:t>August 2007</w:t>
      </w:r>
      <w:r>
        <w:t xml:space="preserve"> a </w:t>
      </w:r>
      <w:r w:rsidRPr="0013326D">
        <w:t xml:space="preserve">soil sampling survey was carried out </w:t>
      </w:r>
      <w:r>
        <w:t xml:space="preserve">along </w:t>
      </w:r>
      <w:r w:rsidRPr="0013326D">
        <w:t xml:space="preserve">13 traverses </w:t>
      </w:r>
      <w:r>
        <w:t xml:space="preserve">perpendicular to </w:t>
      </w:r>
      <w:r w:rsidRPr="00EB7946">
        <w:rPr>
          <w:rFonts w:ascii="Calibri" w:eastAsia="Calibri" w:hAnsi="Calibri" w:cs="Times New Roman"/>
        </w:rPr>
        <w:t xml:space="preserve">the </w:t>
      </w:r>
      <w:r>
        <w:rPr>
          <w:rFonts w:ascii="Calibri" w:eastAsia="Calibri" w:hAnsi="Calibri" w:cs="Times New Roman"/>
        </w:rPr>
        <w:t xml:space="preserve">western </w:t>
      </w:r>
      <w:r w:rsidRPr="00EB7946">
        <w:rPr>
          <w:rFonts w:ascii="Calibri" w:eastAsia="Calibri" w:hAnsi="Calibri" w:cs="Times New Roman"/>
        </w:rPr>
        <w:t xml:space="preserve">slope </w:t>
      </w:r>
      <w:r>
        <w:t>of the eastern flank of the Phosiri Dome (Fig</w:t>
      </w:r>
      <w:r w:rsidR="0036578D">
        <w:t>ure</w:t>
      </w:r>
      <w:r>
        <w:t xml:space="preserve"> 11). A</w:t>
      </w:r>
      <w:r w:rsidRPr="0013326D">
        <w:t xml:space="preserve"> total of 430 individual samples were collected</w:t>
      </w:r>
      <w:r>
        <w:t xml:space="preserve"> at station intervals of 50 m, covering an area </w:t>
      </w:r>
      <w:r w:rsidRPr="0013326D">
        <w:t>6.5</w:t>
      </w:r>
      <w:r>
        <w:t xml:space="preserve"> </w:t>
      </w:r>
      <w:r w:rsidRPr="0013326D">
        <w:t>km long and approximately 1.5</w:t>
      </w:r>
      <w:r>
        <w:t xml:space="preserve"> km wide. </w:t>
      </w:r>
      <w:r w:rsidRPr="0013326D">
        <w:t>The survey was designed to geochemically assess the potential presence of sub-outcropping Upper Critical Zone rocks</w:t>
      </w:r>
      <w:r>
        <w:t>,</w:t>
      </w:r>
      <w:r w:rsidRPr="0013326D">
        <w:t xml:space="preserve"> including the UG2 Chromitite and the </w:t>
      </w:r>
      <w:r>
        <w:t>Merensky Reef</w:t>
      </w:r>
      <w:r w:rsidRPr="0013326D">
        <w:t xml:space="preserve">. The survey area is covered by sandy soils in the relatively flat-lying eastern part and by rock scree along the slopes of the </w:t>
      </w:r>
      <w:r>
        <w:t xml:space="preserve">ridge along the western boundary that is underlain by Pretoria Group metasediments. Samples were </w:t>
      </w:r>
      <w:r w:rsidRPr="00AA1EE2">
        <w:t xml:space="preserve">dried and screened to -0.18 mm prior to an aqua regia digestion and multi-element analysis using </w:t>
      </w:r>
      <w:r>
        <w:t>an ICP-MS finish.</w:t>
      </w:r>
    </w:p>
    <w:p w14:paraId="0151C78C" w14:textId="3D8AE303" w:rsidR="00EB7946" w:rsidRPr="00EB7946" w:rsidRDefault="00EB7946" w:rsidP="00EB7946">
      <w:pPr>
        <w:jc w:val="both"/>
        <w:rPr>
          <w:rFonts w:ascii="Calibri" w:eastAsia="Calibri" w:hAnsi="Calibri" w:cs="Times New Roman"/>
        </w:rPr>
      </w:pPr>
      <w:r w:rsidRPr="00EB7946">
        <w:rPr>
          <w:rFonts w:ascii="Calibri" w:eastAsia="Calibri" w:hAnsi="Calibri" w:cs="Times New Roman"/>
        </w:rPr>
        <w:t>The gridded and contoured chromium (Cr) values in soil for the 430 samples are shown in Fig</w:t>
      </w:r>
      <w:r w:rsidR="0036578D">
        <w:rPr>
          <w:rFonts w:ascii="Calibri" w:eastAsia="Calibri" w:hAnsi="Calibri" w:cs="Times New Roman"/>
        </w:rPr>
        <w:t>ure</w:t>
      </w:r>
      <w:r w:rsidRPr="00EB7946">
        <w:rPr>
          <w:rFonts w:ascii="Calibri" w:eastAsia="Calibri" w:hAnsi="Calibri" w:cs="Times New Roman"/>
        </w:rPr>
        <w:t xml:space="preserve"> 1</w:t>
      </w:r>
      <w:r w:rsidR="001B5272">
        <w:rPr>
          <w:rFonts w:ascii="Calibri" w:eastAsia="Calibri" w:hAnsi="Calibri" w:cs="Times New Roman"/>
        </w:rPr>
        <w:t>1</w:t>
      </w:r>
      <w:r w:rsidRPr="00EB7946">
        <w:rPr>
          <w:rFonts w:ascii="Calibri" w:eastAsia="Calibri" w:hAnsi="Calibri" w:cs="Times New Roman"/>
        </w:rPr>
        <w:t>. The observed overall decrease in Cr content to values below 50 ppm Cr towards the outcropping Main Zone rocks in the east is consistent with published whole-rock data for the upper Critical Zone – Main Zone transition</w:t>
      </w:r>
      <w:r w:rsidR="007A010C">
        <w:rPr>
          <w:rFonts w:ascii="Calibri" w:eastAsia="Calibri" w:hAnsi="Calibri" w:cs="Times New Roman"/>
        </w:rPr>
        <w:t xml:space="preserve"> </w:t>
      </w:r>
      <w:r w:rsidR="007A010C" w:rsidRPr="00EB7946">
        <w:rPr>
          <w:rFonts w:ascii="Calibri" w:eastAsia="Calibri" w:hAnsi="Calibri" w:cs="Times New Roman"/>
        </w:rPr>
        <w:t>(Sharpe, 1985)</w:t>
      </w:r>
      <w:r w:rsidRPr="00EB7946">
        <w:rPr>
          <w:rFonts w:ascii="Calibri" w:eastAsia="Calibri" w:hAnsi="Calibri" w:cs="Times New Roman"/>
        </w:rPr>
        <w:t xml:space="preserve">. </w:t>
      </w:r>
    </w:p>
    <w:p w14:paraId="3960FE6E" w14:textId="76D6EC38" w:rsidR="00EB7946" w:rsidRPr="00EB7946" w:rsidRDefault="00EB7946" w:rsidP="00EB7946">
      <w:pPr>
        <w:jc w:val="both"/>
        <w:rPr>
          <w:rFonts w:ascii="Calibri" w:eastAsia="Calibri" w:hAnsi="Calibri" w:cs="Times New Roman"/>
        </w:rPr>
      </w:pPr>
      <w:r w:rsidRPr="00EB7946">
        <w:rPr>
          <w:rFonts w:ascii="Calibri" w:eastAsia="Calibri" w:hAnsi="Calibri" w:cs="Times New Roman"/>
        </w:rPr>
        <w:t>The relatively high Cr concentrations (maximum of 405 ppm Cr</w:t>
      </w:r>
      <w:r w:rsidR="007A010C">
        <w:rPr>
          <w:rFonts w:ascii="Calibri" w:eastAsia="Calibri" w:hAnsi="Calibri" w:cs="Times New Roman"/>
        </w:rPr>
        <w:t xml:space="preserve"> along line 8</w:t>
      </w:r>
      <w:r w:rsidRPr="00EB7946">
        <w:rPr>
          <w:rFonts w:ascii="Calibri" w:eastAsia="Calibri" w:hAnsi="Calibri" w:cs="Times New Roman"/>
        </w:rPr>
        <w:t xml:space="preserve">) of the </w:t>
      </w:r>
      <w:r w:rsidR="007A010C">
        <w:rPr>
          <w:rFonts w:ascii="Calibri" w:eastAsia="Calibri" w:hAnsi="Calibri" w:cs="Times New Roman"/>
        </w:rPr>
        <w:t xml:space="preserve">eastern flank of the </w:t>
      </w:r>
      <w:r w:rsidRPr="00EB7946">
        <w:rPr>
          <w:rFonts w:ascii="Calibri" w:eastAsia="Calibri" w:hAnsi="Calibri" w:cs="Times New Roman"/>
        </w:rPr>
        <w:t xml:space="preserve">Phosiri Dome are interpreted to indicate the presence of Critical Zone rocks. The linear anomaly of Cr values above 150 ppm Cr (stippled line in </w:t>
      </w:r>
      <w:r w:rsidR="00CE738E">
        <w:rPr>
          <w:rFonts w:ascii="Calibri" w:eastAsia="Calibri" w:hAnsi="Calibri" w:cs="Times New Roman"/>
        </w:rPr>
        <w:t>Figure</w:t>
      </w:r>
      <w:r w:rsidRPr="00EB7946">
        <w:rPr>
          <w:rFonts w:ascii="Calibri" w:eastAsia="Calibri" w:hAnsi="Calibri" w:cs="Times New Roman"/>
        </w:rPr>
        <w:t xml:space="preserve"> 1</w:t>
      </w:r>
      <w:r w:rsidR="007A010C">
        <w:rPr>
          <w:rFonts w:ascii="Calibri" w:eastAsia="Calibri" w:hAnsi="Calibri" w:cs="Times New Roman"/>
        </w:rPr>
        <w:t>1</w:t>
      </w:r>
      <w:r w:rsidRPr="00EB7946">
        <w:rPr>
          <w:rFonts w:ascii="Calibri" w:eastAsia="Calibri" w:hAnsi="Calibri" w:cs="Times New Roman"/>
        </w:rPr>
        <w:t>) between sampling lines 1 and 11 is noteworthy and best explained by one or more sub-outcropping chromitite layers. Maximum Cr concentrations ranging between 400 ppm and 760 ppm Cr are observed in the immediate vicinity of known outcropping chromitite layers on sampling line 13</w:t>
      </w:r>
      <w:r w:rsidR="007A010C">
        <w:rPr>
          <w:rFonts w:ascii="Calibri" w:eastAsia="Calibri" w:hAnsi="Calibri" w:cs="Times New Roman"/>
        </w:rPr>
        <w:t>,</w:t>
      </w:r>
      <w:r w:rsidRPr="00EB7946">
        <w:rPr>
          <w:rFonts w:ascii="Calibri" w:eastAsia="Calibri" w:hAnsi="Calibri" w:cs="Times New Roman"/>
        </w:rPr>
        <w:t xml:space="preserve"> which traverses the easternmost part of the southern limb of the Phosiri Dome.</w:t>
      </w:r>
    </w:p>
    <w:p w14:paraId="590DA11F" w14:textId="78A376D5"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Based on evidence from subsequent trenching and drilling activities, the chrome anomaly in the soil on the eastern flank of the </w:t>
      </w:r>
      <w:r w:rsidR="007A010C">
        <w:rPr>
          <w:rFonts w:ascii="Calibri" w:eastAsia="Calibri" w:hAnsi="Calibri" w:cs="Times New Roman"/>
        </w:rPr>
        <w:t>Phosiri D</w:t>
      </w:r>
      <w:r w:rsidRPr="00EB7946">
        <w:rPr>
          <w:rFonts w:ascii="Calibri" w:eastAsia="Calibri" w:hAnsi="Calibri" w:cs="Times New Roman"/>
        </w:rPr>
        <w:t xml:space="preserve">ome is probably </w:t>
      </w:r>
      <w:r w:rsidR="007A010C">
        <w:rPr>
          <w:rFonts w:ascii="Calibri" w:eastAsia="Calibri" w:hAnsi="Calibri" w:cs="Times New Roman"/>
        </w:rPr>
        <w:t>the result</w:t>
      </w:r>
      <w:r w:rsidRPr="00EB7946">
        <w:rPr>
          <w:rFonts w:ascii="Calibri" w:eastAsia="Calibri" w:hAnsi="Calibri" w:cs="Times New Roman"/>
        </w:rPr>
        <w:t xml:space="preserve"> </w:t>
      </w:r>
      <w:r w:rsidR="007A010C">
        <w:rPr>
          <w:rFonts w:ascii="Calibri" w:eastAsia="Calibri" w:hAnsi="Calibri" w:cs="Times New Roman"/>
        </w:rPr>
        <w:t xml:space="preserve">of </w:t>
      </w:r>
      <w:r w:rsidRPr="00EB7946">
        <w:rPr>
          <w:rFonts w:ascii="Calibri" w:eastAsia="Calibri" w:hAnsi="Calibri" w:cs="Times New Roman"/>
        </w:rPr>
        <w:t xml:space="preserve">sub </w:t>
      </w:r>
      <w:r w:rsidR="007A010C">
        <w:rPr>
          <w:rFonts w:ascii="Calibri" w:eastAsia="Calibri" w:hAnsi="Calibri" w:cs="Times New Roman"/>
        </w:rPr>
        <w:t>out</w:t>
      </w:r>
      <w:r w:rsidRPr="00EB7946">
        <w:rPr>
          <w:rFonts w:ascii="Calibri" w:eastAsia="Calibri" w:hAnsi="Calibri" w:cs="Times New Roman"/>
        </w:rPr>
        <w:t xml:space="preserve">cropping UG1 or MG chromitites, or else the remnants of a very thin (less than 2 cm) and highly disturbed UG2 </w:t>
      </w:r>
      <w:r w:rsidR="007A010C" w:rsidRPr="00EB7946">
        <w:rPr>
          <w:rFonts w:ascii="Calibri" w:eastAsia="Calibri" w:hAnsi="Calibri" w:cs="Times New Roman"/>
        </w:rPr>
        <w:t>Chromitite</w:t>
      </w:r>
      <w:r w:rsidR="007A010C">
        <w:rPr>
          <w:rFonts w:ascii="Calibri" w:eastAsia="Calibri" w:hAnsi="Calibri" w:cs="Times New Roman"/>
        </w:rPr>
        <w:t xml:space="preserve"> which was exposed and mapped in subsequent trenching activities</w:t>
      </w:r>
      <w:r w:rsidRPr="00EB7946">
        <w:rPr>
          <w:rFonts w:ascii="Calibri" w:eastAsia="Calibri" w:hAnsi="Calibri" w:cs="Times New Roman"/>
        </w:rPr>
        <w:t>.</w:t>
      </w:r>
    </w:p>
    <w:p w14:paraId="7AEAFB6C" w14:textId="095483FD" w:rsidR="00EB7946" w:rsidRPr="00EB7946" w:rsidRDefault="00E75291" w:rsidP="00EB7946">
      <w:pPr>
        <w:spacing w:before="60" w:after="60" w:line="240" w:lineRule="auto"/>
        <w:jc w:val="center"/>
        <w:rPr>
          <w:rFonts w:ascii="Arial" w:eastAsia="Times New Roman" w:hAnsi="Arial" w:cs="Times New Roman"/>
          <w:szCs w:val="20"/>
          <w:lang w:val="en-GB"/>
        </w:rPr>
      </w:pPr>
      <w:r w:rsidRPr="00E75291">
        <w:rPr>
          <w:noProof/>
        </w:rPr>
        <w:lastRenderedPageBreak/>
        <w:drawing>
          <wp:inline distT="0" distB="0" distL="0" distR="0" wp14:anchorId="0A583810" wp14:editId="5A19E158">
            <wp:extent cx="6120765" cy="865759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20765" cy="8657590"/>
                    </a:xfrm>
                    <a:prstGeom prst="rect">
                      <a:avLst/>
                    </a:prstGeom>
                  </pic:spPr>
                </pic:pic>
              </a:graphicData>
            </a:graphic>
          </wp:inline>
        </w:drawing>
      </w:r>
    </w:p>
    <w:p w14:paraId="23BC6448" w14:textId="73CEE97E" w:rsidR="00EB7946" w:rsidRPr="00E928C2" w:rsidRDefault="00717D90" w:rsidP="009C4E23">
      <w:pPr>
        <w:pStyle w:val="Caption"/>
        <w:jc w:val="both"/>
      </w:pPr>
      <w:bookmarkStart w:id="77" w:name="_Ref506576515"/>
      <w:bookmarkStart w:id="78" w:name="_Ref506592284"/>
      <w:bookmarkStart w:id="79" w:name="_Toc520757562"/>
      <w:r>
        <w:t xml:space="preserve">Figure </w:t>
      </w:r>
      <w:fldSimple w:instr=" SEQ Figure \* ARABIC ">
        <w:r w:rsidR="002645B6">
          <w:rPr>
            <w:noProof/>
          </w:rPr>
          <w:t>11</w:t>
        </w:r>
      </w:fldSimple>
      <w:bookmarkEnd w:id="77"/>
      <w:bookmarkEnd w:id="78"/>
      <w:r w:rsidR="00EB7946" w:rsidRPr="00E928C2">
        <w:t xml:space="preserve">: </w:t>
      </w:r>
      <w:bookmarkStart w:id="80" w:name="_Hlk521051819"/>
      <w:r w:rsidR="00EB7946" w:rsidRPr="00E928C2">
        <w:t>Geological map showing chrome in soil values and mapped and interpreted structures in the Lesego project area</w:t>
      </w:r>
      <w:r w:rsidR="00BA1249" w:rsidRPr="00E928C2">
        <w:t>, as well as t</w:t>
      </w:r>
      <w:r w:rsidR="00AA0667" w:rsidRPr="00E928C2">
        <w:t xml:space="preserve">he location of the two trenches. </w:t>
      </w:r>
      <w:r w:rsidR="009C4E23" w:rsidRPr="00E928C2">
        <w:t xml:space="preserve">The dotted line refers to the 150 ppm Cr in soil contour (after Schwellnus et al., 1962 and </w:t>
      </w:r>
      <w:r w:rsidR="00461065">
        <w:t>data compiled by the author).</w:t>
      </w:r>
      <w:bookmarkEnd w:id="79"/>
      <w:bookmarkEnd w:id="80"/>
    </w:p>
    <w:p w14:paraId="357A8628" w14:textId="5DAE8EC3" w:rsidR="00EB7946" w:rsidRPr="00943C96" w:rsidRDefault="00EB7946" w:rsidP="00943C96">
      <w:pPr>
        <w:keepNext/>
        <w:keepLines/>
        <w:spacing w:before="40" w:after="0"/>
        <w:outlineLvl w:val="1"/>
        <w:rPr>
          <w:rFonts w:ascii="Calibri" w:eastAsia="Times New Roman" w:hAnsi="Calibri" w:cs="Times New Roman"/>
          <w:i/>
          <w:color w:val="000000"/>
          <w:szCs w:val="26"/>
        </w:rPr>
      </w:pPr>
      <w:bookmarkStart w:id="81" w:name="_Toc520758789"/>
      <w:r w:rsidRPr="00943C96">
        <w:rPr>
          <w:rFonts w:ascii="Calibri" w:eastAsia="Times New Roman" w:hAnsi="Calibri" w:cs="Times New Roman"/>
          <w:i/>
          <w:color w:val="000000"/>
          <w:szCs w:val="26"/>
        </w:rPr>
        <w:lastRenderedPageBreak/>
        <w:t>Geological Mapping</w:t>
      </w:r>
      <w:bookmarkEnd w:id="75"/>
      <w:bookmarkEnd w:id="76"/>
      <w:r w:rsidRPr="00943C96">
        <w:rPr>
          <w:rFonts w:ascii="Calibri" w:eastAsia="Times New Roman" w:hAnsi="Calibri" w:cs="Times New Roman"/>
          <w:i/>
          <w:color w:val="000000"/>
          <w:szCs w:val="26"/>
        </w:rPr>
        <w:t xml:space="preserve"> and Trenching</w:t>
      </w:r>
      <w:bookmarkEnd w:id="81"/>
    </w:p>
    <w:p w14:paraId="38796D7F" w14:textId="529A0E74"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Geological mapping </w:t>
      </w:r>
      <w:r w:rsidR="00461065">
        <w:rPr>
          <w:rFonts w:ascii="Calibri" w:eastAsia="Calibri" w:hAnsi="Calibri" w:cs="Times New Roman"/>
        </w:rPr>
        <w:t xml:space="preserve">by the Lesego team </w:t>
      </w:r>
      <w:r w:rsidRPr="00EB7946">
        <w:rPr>
          <w:rFonts w:ascii="Calibri" w:eastAsia="Calibri" w:hAnsi="Calibri" w:cs="Times New Roman"/>
        </w:rPr>
        <w:t xml:space="preserve">resulted in </w:t>
      </w:r>
      <w:r w:rsidR="00461065">
        <w:rPr>
          <w:rFonts w:ascii="Calibri" w:eastAsia="Calibri" w:hAnsi="Calibri" w:cs="Times New Roman"/>
        </w:rPr>
        <w:t xml:space="preserve">the </w:t>
      </w:r>
      <w:r w:rsidRPr="00EB7946">
        <w:rPr>
          <w:rFonts w:ascii="Calibri" w:eastAsia="Calibri" w:hAnsi="Calibri" w:cs="Times New Roman"/>
        </w:rPr>
        <w:t xml:space="preserve">tracing of the Upper, Middle and Lower Anorthosites of the Main Zone on Dal Josephat and Eerste Regt </w:t>
      </w:r>
      <w:r w:rsidR="00943C96">
        <w:rPr>
          <w:rFonts w:ascii="Calibri" w:eastAsia="Calibri" w:hAnsi="Calibri" w:cs="Times New Roman"/>
        </w:rPr>
        <w:t xml:space="preserve">farms </w:t>
      </w:r>
      <w:r w:rsidRPr="00EB7946">
        <w:rPr>
          <w:rFonts w:ascii="Calibri" w:eastAsia="Calibri" w:hAnsi="Calibri" w:cs="Times New Roman"/>
        </w:rPr>
        <w:t>(Fig</w:t>
      </w:r>
      <w:r w:rsidR="00461065">
        <w:rPr>
          <w:rFonts w:ascii="Calibri" w:eastAsia="Calibri" w:hAnsi="Calibri" w:cs="Times New Roman"/>
        </w:rPr>
        <w:t>ure</w:t>
      </w:r>
      <w:r w:rsidRPr="00EB7946">
        <w:rPr>
          <w:rFonts w:ascii="Calibri" w:eastAsia="Calibri" w:hAnsi="Calibri" w:cs="Times New Roman"/>
        </w:rPr>
        <w:t xml:space="preserve"> 1</w:t>
      </w:r>
      <w:r w:rsidR="00943C96">
        <w:rPr>
          <w:rFonts w:ascii="Calibri" w:eastAsia="Calibri" w:hAnsi="Calibri" w:cs="Times New Roman"/>
        </w:rPr>
        <w:t>1</w:t>
      </w:r>
      <w:r w:rsidRPr="00EB7946">
        <w:rPr>
          <w:rFonts w:ascii="Calibri" w:eastAsia="Calibri" w:hAnsi="Calibri" w:cs="Times New Roman"/>
        </w:rPr>
        <w:t>). The continuity of the mapped horizons suggested an absence of significant faulting in the mapped area, which correlated with the results of the seismic survey.</w:t>
      </w:r>
    </w:p>
    <w:p w14:paraId="7E02DCC3" w14:textId="671C486A"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Two trenches were excavated </w:t>
      </w:r>
      <w:r w:rsidR="00943C96" w:rsidRPr="00EB7946">
        <w:rPr>
          <w:rFonts w:ascii="Calibri" w:eastAsia="Calibri" w:hAnsi="Calibri" w:cs="Times New Roman"/>
        </w:rPr>
        <w:t>across the contact between the metasediments and the rocks of the Rustenburg Layered Suite</w:t>
      </w:r>
      <w:r w:rsidR="00943C96">
        <w:rPr>
          <w:rFonts w:ascii="Calibri" w:eastAsia="Calibri" w:hAnsi="Calibri" w:cs="Times New Roman"/>
        </w:rPr>
        <w:t xml:space="preserve"> approximately</w:t>
      </w:r>
      <w:r w:rsidRPr="00EB7946">
        <w:rPr>
          <w:rFonts w:ascii="Calibri" w:eastAsia="Calibri" w:hAnsi="Calibri" w:cs="Times New Roman"/>
        </w:rPr>
        <w:t xml:space="preserve"> 280 m apart along strike on the eastern flank of the Phosiri Dome on Spelonk 478 KS</w:t>
      </w:r>
      <w:r w:rsidR="00461065">
        <w:rPr>
          <w:rFonts w:ascii="Calibri" w:eastAsia="Calibri" w:hAnsi="Calibri" w:cs="Times New Roman"/>
        </w:rPr>
        <w:t xml:space="preserve"> (Figure</w:t>
      </w:r>
      <w:r w:rsidR="00BA1249">
        <w:rPr>
          <w:rFonts w:ascii="Calibri" w:eastAsia="Calibri" w:hAnsi="Calibri" w:cs="Times New Roman"/>
        </w:rPr>
        <w:t xml:space="preserve"> 11)</w:t>
      </w:r>
      <w:r w:rsidRPr="00EB7946">
        <w:rPr>
          <w:rFonts w:ascii="Calibri" w:eastAsia="Calibri" w:hAnsi="Calibri" w:cs="Times New Roman"/>
        </w:rPr>
        <w:t xml:space="preserve">. Both trenches showed that the </w:t>
      </w:r>
      <w:r w:rsidR="00084461">
        <w:rPr>
          <w:rFonts w:ascii="Calibri" w:eastAsia="Calibri" w:hAnsi="Calibri" w:cs="Times New Roman"/>
        </w:rPr>
        <w:t>meta</w:t>
      </w:r>
      <w:r w:rsidRPr="00EB7946">
        <w:rPr>
          <w:rFonts w:ascii="Calibri" w:eastAsia="Calibri" w:hAnsi="Calibri" w:cs="Times New Roman"/>
        </w:rPr>
        <w:t xml:space="preserve">sediments are intercalated with the Rustenburg Layered Suite </w:t>
      </w:r>
      <w:r w:rsidR="00BA1249">
        <w:rPr>
          <w:rFonts w:ascii="Calibri" w:eastAsia="Calibri" w:hAnsi="Calibri" w:cs="Times New Roman"/>
        </w:rPr>
        <w:t>on a centimeter to tens of centimeter scale</w:t>
      </w:r>
      <w:r w:rsidRPr="00EB7946">
        <w:rPr>
          <w:rFonts w:ascii="Calibri" w:eastAsia="Calibri" w:hAnsi="Calibri" w:cs="Times New Roman"/>
        </w:rPr>
        <w:t xml:space="preserve">. </w:t>
      </w:r>
      <w:r w:rsidR="00BA1249">
        <w:rPr>
          <w:rFonts w:ascii="Calibri" w:eastAsia="Calibri" w:hAnsi="Calibri" w:cs="Times New Roman"/>
        </w:rPr>
        <w:t xml:space="preserve">It was not possible to discern any foliations in Rustenburg Layered Suite lithologies in the intercalated rocks, so it is unclear on whether the </w:t>
      </w:r>
      <w:r w:rsidR="00461065">
        <w:rPr>
          <w:rFonts w:ascii="Calibri" w:eastAsia="Calibri" w:hAnsi="Calibri" w:cs="Times New Roman"/>
        </w:rPr>
        <w:t xml:space="preserve">intercalation </w:t>
      </w:r>
      <w:r w:rsidR="00BA1249">
        <w:rPr>
          <w:rFonts w:ascii="Calibri" w:eastAsia="Calibri" w:hAnsi="Calibri" w:cs="Times New Roman"/>
        </w:rPr>
        <w:t xml:space="preserve">is tectonic or intrusive. </w:t>
      </w:r>
      <w:r w:rsidRPr="00EB7946">
        <w:rPr>
          <w:rFonts w:ascii="Calibri" w:eastAsia="Calibri" w:hAnsi="Calibri" w:cs="Times New Roman"/>
        </w:rPr>
        <w:t xml:space="preserve">Lithologies </w:t>
      </w:r>
      <w:r w:rsidR="00BA1249">
        <w:rPr>
          <w:rFonts w:ascii="Calibri" w:eastAsia="Calibri" w:hAnsi="Calibri" w:cs="Times New Roman"/>
        </w:rPr>
        <w:t>are</w:t>
      </w:r>
      <w:r w:rsidRPr="00EB7946">
        <w:rPr>
          <w:rFonts w:ascii="Calibri" w:eastAsia="Calibri" w:hAnsi="Calibri" w:cs="Times New Roman"/>
        </w:rPr>
        <w:t xml:space="preserve"> overturned, showing steep (&gt;60°) dips to the west. Little structure could be discerned </w:t>
      </w:r>
      <w:r w:rsidR="00BA1249">
        <w:rPr>
          <w:rFonts w:ascii="Calibri" w:eastAsia="Calibri" w:hAnsi="Calibri" w:cs="Times New Roman"/>
        </w:rPr>
        <w:t>owing</w:t>
      </w:r>
      <w:r w:rsidRPr="00EB7946">
        <w:rPr>
          <w:rFonts w:ascii="Calibri" w:eastAsia="Calibri" w:hAnsi="Calibri" w:cs="Times New Roman"/>
        </w:rPr>
        <w:t xml:space="preserve"> to the high degree of weathering.</w:t>
      </w:r>
    </w:p>
    <w:p w14:paraId="3238611C" w14:textId="77777777" w:rsidR="00461065" w:rsidRDefault="00EB7946" w:rsidP="00EB7946">
      <w:pPr>
        <w:jc w:val="both"/>
        <w:rPr>
          <w:rFonts w:ascii="Calibri" w:eastAsia="Calibri" w:hAnsi="Calibri" w:cs="Times New Roman"/>
          <w:lang w:val="en-GB"/>
        </w:rPr>
      </w:pPr>
      <w:r w:rsidRPr="00EB7946">
        <w:rPr>
          <w:rFonts w:ascii="Calibri" w:eastAsia="Calibri" w:hAnsi="Calibri" w:cs="Times New Roman"/>
        </w:rPr>
        <w:t>Two chromitite layers were exposed in the southern-most trench</w:t>
      </w:r>
      <w:r w:rsidR="00BA1249">
        <w:rPr>
          <w:rFonts w:ascii="Calibri" w:eastAsia="Calibri" w:hAnsi="Calibri" w:cs="Times New Roman"/>
        </w:rPr>
        <w:t xml:space="preserve">, </w:t>
      </w:r>
      <w:r w:rsidR="00BA1249" w:rsidRPr="00EB7946">
        <w:rPr>
          <w:rFonts w:ascii="Calibri" w:eastAsia="Calibri" w:hAnsi="Calibri" w:cs="Times New Roman"/>
        </w:rPr>
        <w:t>Trench 1</w:t>
      </w:r>
      <w:r w:rsidRPr="00EB7946">
        <w:rPr>
          <w:rFonts w:ascii="Calibri" w:eastAsia="Calibri" w:hAnsi="Calibri" w:cs="Times New Roman"/>
        </w:rPr>
        <w:t xml:space="preserve">. The most westerly chromitite </w:t>
      </w:r>
      <w:r w:rsidR="001E5027">
        <w:rPr>
          <w:rFonts w:ascii="Calibri" w:eastAsia="Calibri" w:hAnsi="Calibri" w:cs="Times New Roman"/>
        </w:rPr>
        <w:t xml:space="preserve">(Chromitite 1) </w:t>
      </w:r>
      <w:r w:rsidRPr="00EB7946">
        <w:rPr>
          <w:rFonts w:ascii="Calibri" w:eastAsia="Calibri" w:hAnsi="Calibri" w:cs="Times New Roman"/>
        </w:rPr>
        <w:t xml:space="preserve">exposed in the trench </w:t>
      </w:r>
      <w:r w:rsidRPr="00EB7946">
        <w:rPr>
          <w:rFonts w:ascii="Calibri" w:eastAsia="Calibri" w:hAnsi="Calibri" w:cs="Times New Roman"/>
          <w:lang w:val="en-GB"/>
        </w:rPr>
        <w:t>is a 67 cm thick</w:t>
      </w:r>
      <w:r w:rsidR="00BA1249">
        <w:rPr>
          <w:rFonts w:ascii="Calibri" w:eastAsia="Calibri" w:hAnsi="Calibri" w:cs="Times New Roman"/>
          <w:lang w:val="en-GB"/>
        </w:rPr>
        <w:t>,</w:t>
      </w:r>
      <w:r w:rsidR="00BA1249" w:rsidRPr="00BA1249">
        <w:rPr>
          <w:rFonts w:ascii="Calibri" w:eastAsia="Calibri" w:hAnsi="Calibri" w:cs="Times New Roman"/>
          <w:lang w:val="en-GB"/>
        </w:rPr>
        <w:t xml:space="preserve"> </w:t>
      </w:r>
      <w:r w:rsidR="00BA1249">
        <w:rPr>
          <w:rFonts w:ascii="Calibri" w:eastAsia="Calibri" w:hAnsi="Calibri" w:cs="Times New Roman"/>
          <w:lang w:val="en-GB"/>
        </w:rPr>
        <w:t>west dipping</w:t>
      </w:r>
      <w:r w:rsidR="00BA1249" w:rsidRPr="00EB7946">
        <w:rPr>
          <w:rFonts w:ascii="Calibri" w:eastAsia="Calibri" w:hAnsi="Calibri" w:cs="Times New Roman"/>
          <w:lang w:val="en-GB"/>
        </w:rPr>
        <w:t xml:space="preserve"> (~60°)</w:t>
      </w:r>
      <w:r w:rsidR="00BA1249">
        <w:rPr>
          <w:rFonts w:ascii="Calibri" w:eastAsia="Calibri" w:hAnsi="Calibri" w:cs="Times New Roman"/>
          <w:lang w:val="en-GB"/>
        </w:rPr>
        <w:t>,</w:t>
      </w:r>
      <w:r w:rsidRPr="00EB7946">
        <w:rPr>
          <w:rFonts w:ascii="Calibri" w:eastAsia="Calibri" w:hAnsi="Calibri" w:cs="Times New Roman"/>
          <w:lang w:val="en-GB"/>
        </w:rPr>
        <w:t xml:space="preserve"> fine-</w:t>
      </w:r>
      <w:r w:rsidR="00BA1249">
        <w:rPr>
          <w:rFonts w:ascii="Calibri" w:eastAsia="Calibri" w:hAnsi="Calibri" w:cs="Times New Roman"/>
          <w:lang w:val="en-GB"/>
        </w:rPr>
        <w:t>grained unit hosted by a coarse-</w:t>
      </w:r>
      <w:r w:rsidRPr="00EB7946">
        <w:rPr>
          <w:rFonts w:ascii="Calibri" w:eastAsia="Calibri" w:hAnsi="Calibri" w:cs="Times New Roman"/>
          <w:lang w:val="en-GB"/>
        </w:rPr>
        <w:t xml:space="preserve">grained feldspathic pyroxenite.  The second chromitite layer </w:t>
      </w:r>
      <w:r w:rsidR="001E5027">
        <w:rPr>
          <w:rFonts w:ascii="Calibri" w:eastAsia="Calibri" w:hAnsi="Calibri" w:cs="Times New Roman"/>
        </w:rPr>
        <w:t xml:space="preserve">(Chromitite 2) </w:t>
      </w:r>
      <w:r w:rsidRPr="00EB7946">
        <w:rPr>
          <w:rFonts w:ascii="Calibri" w:eastAsia="Calibri" w:hAnsi="Calibri" w:cs="Times New Roman"/>
          <w:lang w:val="en-GB"/>
        </w:rPr>
        <w:t>is a 111 cm thick</w:t>
      </w:r>
      <w:r w:rsidR="00BA1249">
        <w:rPr>
          <w:rFonts w:ascii="Calibri" w:eastAsia="Calibri" w:hAnsi="Calibri" w:cs="Times New Roman"/>
          <w:lang w:val="en-GB"/>
        </w:rPr>
        <w:t>, fine-</w:t>
      </w:r>
      <w:r w:rsidRPr="00EB7946">
        <w:rPr>
          <w:rFonts w:ascii="Calibri" w:eastAsia="Calibri" w:hAnsi="Calibri" w:cs="Times New Roman"/>
          <w:lang w:val="en-GB"/>
        </w:rPr>
        <w:t xml:space="preserve">grained chromitite unit </w:t>
      </w:r>
      <w:r w:rsidR="00825D50">
        <w:rPr>
          <w:rFonts w:ascii="Calibri" w:eastAsia="Calibri" w:hAnsi="Calibri" w:cs="Times New Roman"/>
          <w:lang w:val="en-GB"/>
        </w:rPr>
        <w:t xml:space="preserve">with </w:t>
      </w:r>
      <w:r w:rsidRPr="00EB7946">
        <w:rPr>
          <w:rFonts w:ascii="Calibri" w:eastAsia="Calibri" w:hAnsi="Calibri" w:cs="Times New Roman"/>
          <w:lang w:val="en-GB"/>
        </w:rPr>
        <w:t xml:space="preserve">a mottled anorthosite </w:t>
      </w:r>
      <w:r w:rsidR="00825D50">
        <w:rPr>
          <w:rFonts w:ascii="Calibri" w:eastAsia="Calibri" w:hAnsi="Calibri" w:cs="Times New Roman"/>
          <w:lang w:val="en-GB"/>
        </w:rPr>
        <w:t xml:space="preserve">hangingwall </w:t>
      </w:r>
      <w:r w:rsidRPr="00EB7946">
        <w:rPr>
          <w:rFonts w:ascii="Calibri" w:eastAsia="Calibri" w:hAnsi="Calibri" w:cs="Times New Roman"/>
          <w:lang w:val="en-GB"/>
        </w:rPr>
        <w:t xml:space="preserve">and a very coarse-grained feldspathic pyroxenite </w:t>
      </w:r>
      <w:r w:rsidR="00825D50">
        <w:rPr>
          <w:rFonts w:ascii="Calibri" w:eastAsia="Calibri" w:hAnsi="Calibri" w:cs="Times New Roman"/>
          <w:lang w:val="en-GB"/>
        </w:rPr>
        <w:t>footwall unit</w:t>
      </w:r>
      <w:r w:rsidRPr="00EB7946">
        <w:rPr>
          <w:rFonts w:ascii="Calibri" w:eastAsia="Calibri" w:hAnsi="Calibri" w:cs="Times New Roman"/>
          <w:lang w:val="en-GB"/>
        </w:rPr>
        <w:t xml:space="preserve">, striking in a north-south direction and dipping steeply (~55°) to the west. These layers </w:t>
      </w:r>
      <w:r w:rsidR="00825D50">
        <w:rPr>
          <w:rFonts w:ascii="Calibri" w:eastAsia="Calibri" w:hAnsi="Calibri" w:cs="Times New Roman"/>
          <w:lang w:val="en-GB"/>
        </w:rPr>
        <w:t xml:space="preserve">do </w:t>
      </w:r>
      <w:r w:rsidRPr="00EB7946">
        <w:rPr>
          <w:rFonts w:ascii="Calibri" w:eastAsia="Calibri" w:hAnsi="Calibri" w:cs="Times New Roman"/>
          <w:lang w:val="en-GB"/>
        </w:rPr>
        <w:t>not appear to be continuous along strike, as the only chromitites intersected in Trench 2 to the north were small (&lt;5 cm)</w:t>
      </w:r>
      <w:r w:rsidR="00825D50">
        <w:rPr>
          <w:rFonts w:ascii="Calibri" w:eastAsia="Calibri" w:hAnsi="Calibri" w:cs="Times New Roman"/>
          <w:lang w:val="en-GB"/>
        </w:rPr>
        <w:t>,</w:t>
      </w:r>
      <w:r w:rsidRPr="00EB7946">
        <w:rPr>
          <w:rFonts w:ascii="Calibri" w:eastAsia="Calibri" w:hAnsi="Calibri" w:cs="Times New Roman"/>
          <w:lang w:val="en-GB"/>
        </w:rPr>
        <w:t xml:space="preserve"> irregular disseminated ch</w:t>
      </w:r>
      <w:r w:rsidR="00825D50">
        <w:rPr>
          <w:rFonts w:ascii="Calibri" w:eastAsia="Calibri" w:hAnsi="Calibri" w:cs="Times New Roman"/>
          <w:lang w:val="en-GB"/>
        </w:rPr>
        <w:t>romitites within a coarse-</w:t>
      </w:r>
      <w:r w:rsidRPr="00EB7946">
        <w:rPr>
          <w:rFonts w:ascii="Calibri" w:eastAsia="Calibri" w:hAnsi="Calibri" w:cs="Times New Roman"/>
          <w:lang w:val="en-GB"/>
        </w:rPr>
        <w:t xml:space="preserve">grained feldspathic pyroxenite. </w:t>
      </w:r>
    </w:p>
    <w:p w14:paraId="4EDC1023" w14:textId="29353F11" w:rsidR="00EB7946" w:rsidRPr="00EB7946" w:rsidRDefault="00D40BAF" w:rsidP="00EB7946">
      <w:pPr>
        <w:jc w:val="both"/>
        <w:rPr>
          <w:rFonts w:ascii="Calibri" w:eastAsia="Calibri" w:hAnsi="Calibri" w:cs="Times New Roman"/>
          <w:lang w:val="en-GB"/>
        </w:rPr>
      </w:pPr>
      <w:r>
        <w:rPr>
          <w:rFonts w:ascii="Calibri" w:eastAsia="Calibri" w:hAnsi="Calibri" w:cs="Times New Roman"/>
          <w:lang w:val="en-GB"/>
        </w:rPr>
        <w:t xml:space="preserve">The Pt:Pd ratio </w:t>
      </w:r>
      <w:r w:rsidR="001E5027">
        <w:rPr>
          <w:rFonts w:ascii="Calibri" w:eastAsia="Calibri" w:hAnsi="Calibri" w:cs="Times New Roman"/>
          <w:lang w:val="en-GB"/>
        </w:rPr>
        <w:t xml:space="preserve">of </w:t>
      </w:r>
      <w:r w:rsidR="00F3287A">
        <w:rPr>
          <w:rFonts w:ascii="Calibri" w:eastAsia="Calibri" w:hAnsi="Calibri" w:cs="Times New Roman"/>
          <w:lang w:val="en-GB"/>
        </w:rPr>
        <w:t xml:space="preserve">Chromitite </w:t>
      </w:r>
      <w:r w:rsidR="001E5027">
        <w:rPr>
          <w:rFonts w:ascii="Calibri" w:eastAsia="Calibri" w:hAnsi="Calibri" w:cs="Times New Roman"/>
          <w:lang w:val="en-GB"/>
        </w:rPr>
        <w:t xml:space="preserve">1 and </w:t>
      </w:r>
      <w:r w:rsidR="00F3287A">
        <w:rPr>
          <w:rFonts w:ascii="Calibri" w:eastAsia="Calibri" w:hAnsi="Calibri" w:cs="Times New Roman"/>
          <w:lang w:val="en-GB"/>
        </w:rPr>
        <w:t xml:space="preserve">Chromitite </w:t>
      </w:r>
      <w:r w:rsidR="001E5027">
        <w:rPr>
          <w:rFonts w:ascii="Calibri" w:eastAsia="Calibri" w:hAnsi="Calibri" w:cs="Times New Roman"/>
          <w:lang w:val="en-GB"/>
        </w:rPr>
        <w:t xml:space="preserve">2 </w:t>
      </w:r>
      <w:r>
        <w:rPr>
          <w:rFonts w:ascii="Calibri" w:eastAsia="Calibri" w:hAnsi="Calibri" w:cs="Times New Roman"/>
          <w:lang w:val="en-GB"/>
        </w:rPr>
        <w:t xml:space="preserve">is </w:t>
      </w:r>
      <w:r w:rsidR="00132913">
        <w:rPr>
          <w:rFonts w:ascii="Calibri" w:eastAsia="Calibri" w:hAnsi="Calibri" w:cs="Times New Roman"/>
          <w:lang w:val="en-GB"/>
        </w:rPr>
        <w:t>similar to that</w:t>
      </w:r>
      <w:r w:rsidR="001E5027">
        <w:rPr>
          <w:rFonts w:ascii="Calibri" w:eastAsia="Calibri" w:hAnsi="Calibri" w:cs="Times New Roman"/>
          <w:lang w:val="en-GB"/>
        </w:rPr>
        <w:t xml:space="preserve"> of the average of the Pt:Pd ratio</w:t>
      </w:r>
      <w:r w:rsidR="00132913">
        <w:rPr>
          <w:rFonts w:ascii="Calibri" w:eastAsia="Calibri" w:hAnsi="Calibri" w:cs="Times New Roman"/>
          <w:lang w:val="en-GB"/>
        </w:rPr>
        <w:t xml:space="preserve"> </w:t>
      </w:r>
      <w:r w:rsidR="001E5027">
        <w:rPr>
          <w:rFonts w:ascii="Calibri" w:eastAsia="Calibri" w:hAnsi="Calibri" w:cs="Times New Roman"/>
          <w:lang w:val="en-GB"/>
        </w:rPr>
        <w:t xml:space="preserve">of </w:t>
      </w:r>
      <w:r w:rsidR="00132913">
        <w:rPr>
          <w:rFonts w:ascii="Calibri" w:eastAsia="Calibri" w:hAnsi="Calibri" w:cs="Times New Roman"/>
          <w:lang w:val="en-GB"/>
        </w:rPr>
        <w:t>the UG1</w:t>
      </w:r>
      <w:r w:rsidR="001E5027">
        <w:rPr>
          <w:rFonts w:ascii="Calibri" w:eastAsia="Calibri" w:hAnsi="Calibri" w:cs="Times New Roman"/>
          <w:lang w:val="en-GB"/>
        </w:rPr>
        <w:t>B and UG1A respectively,</w:t>
      </w:r>
      <w:r w:rsidR="00132913">
        <w:rPr>
          <w:rFonts w:ascii="Calibri" w:eastAsia="Calibri" w:hAnsi="Calibri" w:cs="Times New Roman"/>
          <w:lang w:val="en-GB"/>
        </w:rPr>
        <w:t xml:space="preserve"> intersected in </w:t>
      </w:r>
      <w:r w:rsidR="001E5027">
        <w:rPr>
          <w:rFonts w:ascii="Calibri" w:eastAsia="Calibri" w:hAnsi="Calibri" w:cs="Times New Roman"/>
          <w:lang w:val="en-GB"/>
        </w:rPr>
        <w:t xml:space="preserve">exploration </w:t>
      </w:r>
      <w:r w:rsidR="00132913">
        <w:rPr>
          <w:rFonts w:ascii="Calibri" w:eastAsia="Calibri" w:hAnsi="Calibri" w:cs="Times New Roman"/>
          <w:lang w:val="en-GB"/>
        </w:rPr>
        <w:t>drill hole</w:t>
      </w:r>
      <w:r w:rsidR="001E5027">
        <w:rPr>
          <w:rFonts w:ascii="Calibri" w:eastAsia="Calibri" w:hAnsi="Calibri" w:cs="Times New Roman"/>
          <w:lang w:val="en-GB"/>
        </w:rPr>
        <w:t xml:space="preserve">s LES013, LES026, LES032 and LES059, presented in Table </w:t>
      </w:r>
      <w:r w:rsidR="00461065">
        <w:rPr>
          <w:rFonts w:ascii="Calibri" w:eastAsia="Calibri" w:hAnsi="Calibri" w:cs="Times New Roman"/>
          <w:lang w:val="en-GB"/>
        </w:rPr>
        <w:t>7</w:t>
      </w:r>
      <w:r w:rsidR="001E5027">
        <w:rPr>
          <w:rFonts w:ascii="Calibri" w:eastAsia="Calibri" w:hAnsi="Calibri" w:cs="Times New Roman"/>
          <w:lang w:val="en-GB"/>
        </w:rPr>
        <w:t>, indicating that Chromitite 1 is the UG1B and Chromitite 2 is the UG1A.</w:t>
      </w:r>
      <w:r w:rsidR="00701F55">
        <w:rPr>
          <w:rFonts w:ascii="Calibri" w:eastAsia="Calibri" w:hAnsi="Calibri" w:cs="Times New Roman"/>
          <w:lang w:val="en-GB"/>
        </w:rPr>
        <w:t xml:space="preserve"> Both layers have thinned from an average thickness of 121 cm for the UG1A and 148 cm for the UG1B to the values recorded in the trench.</w:t>
      </w:r>
      <w:r w:rsidR="00461065">
        <w:rPr>
          <w:rFonts w:ascii="Calibri" w:eastAsia="Calibri" w:hAnsi="Calibri" w:cs="Times New Roman"/>
          <w:lang w:val="en-GB"/>
        </w:rPr>
        <w:t xml:space="preserve"> No other chromitite occurrences which could be correlated with the UG2 were mapped in the trenches.</w:t>
      </w:r>
    </w:p>
    <w:p w14:paraId="6B63ECBF" w14:textId="771ACAB2" w:rsidR="00EB7946" w:rsidRDefault="00825D50" w:rsidP="00825D50">
      <w:pPr>
        <w:pStyle w:val="Caption"/>
        <w:rPr>
          <w:rFonts w:ascii="Arial" w:eastAsia="Times New Roman" w:hAnsi="Arial" w:cs="Times New Roman"/>
          <w:bCs/>
          <w:szCs w:val="20"/>
          <w:lang w:val="en-ZA"/>
        </w:rPr>
      </w:pPr>
      <w:bookmarkStart w:id="82" w:name="_Toc520740334"/>
      <w:r>
        <w:t xml:space="preserve">Table </w:t>
      </w:r>
      <w:fldSimple w:instr=" SEQ Table \* ARABIC ">
        <w:r w:rsidR="002645B6">
          <w:rPr>
            <w:noProof/>
          </w:rPr>
          <w:t>7</w:t>
        </w:r>
      </w:fldSimple>
      <w:r>
        <w:t xml:space="preserve">: </w:t>
      </w:r>
      <w:r w:rsidRPr="00521844">
        <w:t xml:space="preserve">PGE+Au, </w:t>
      </w:r>
      <w:r w:rsidR="00EB7946" w:rsidRPr="00521844">
        <w:t>Ni and Cu grade</w:t>
      </w:r>
      <w:r w:rsidRPr="00521844">
        <w:t>s</w:t>
      </w:r>
      <w:r w:rsidR="00EB7946" w:rsidRPr="00521844">
        <w:t xml:space="preserve"> over the entire sampled width of the two chromitite</w:t>
      </w:r>
      <w:r w:rsidR="001E5027" w:rsidRPr="00521844">
        <w:t xml:space="preserve"> horizons identified in </w:t>
      </w:r>
      <w:r w:rsidR="00521844" w:rsidRPr="00521844">
        <w:t>Trench</w:t>
      </w:r>
      <w:r w:rsidR="00521844">
        <w:t xml:space="preserve"> 1</w:t>
      </w:r>
      <w:r w:rsidR="00521844" w:rsidRPr="00521844">
        <w:t>,</w:t>
      </w:r>
      <w:r w:rsidR="001E5027" w:rsidRPr="00521844">
        <w:t xml:space="preserve"> as well as the average</w:t>
      </w:r>
      <w:r w:rsidR="00701F55">
        <w:t xml:space="preserve"> grades from</w:t>
      </w:r>
      <w:r w:rsidR="00521844" w:rsidRPr="00521844">
        <w:t xml:space="preserve"> </w:t>
      </w:r>
      <w:r w:rsidR="00461065">
        <w:t>all</w:t>
      </w:r>
      <w:r w:rsidR="00521844" w:rsidRPr="00521844">
        <w:t xml:space="preserve"> UG1A and UG1B</w:t>
      </w:r>
      <w:r w:rsidR="00521844">
        <w:t xml:space="preserve"> </w:t>
      </w:r>
      <w:r w:rsidR="00461065">
        <w:t xml:space="preserve">intersections </w:t>
      </w:r>
      <w:r w:rsidR="00521844">
        <w:t>from Lesego’s exploration drill holes</w:t>
      </w:r>
      <w:r w:rsidR="00EB7946" w:rsidRPr="00521844">
        <w:t>.</w:t>
      </w:r>
      <w:bookmarkEnd w:id="82"/>
    </w:p>
    <w:tbl>
      <w:tblPr>
        <w:tblW w:w="7960" w:type="dxa"/>
        <w:tblLook w:val="04A0" w:firstRow="1" w:lastRow="0" w:firstColumn="1" w:lastColumn="0" w:noHBand="0" w:noVBand="1"/>
      </w:tblPr>
      <w:tblGrid>
        <w:gridCol w:w="2280"/>
        <w:gridCol w:w="880"/>
        <w:gridCol w:w="520"/>
        <w:gridCol w:w="660"/>
        <w:gridCol w:w="640"/>
        <w:gridCol w:w="520"/>
        <w:gridCol w:w="520"/>
        <w:gridCol w:w="600"/>
        <w:gridCol w:w="700"/>
        <w:gridCol w:w="640"/>
      </w:tblGrid>
      <w:tr w:rsidR="00132913" w:rsidRPr="00132913" w14:paraId="27AA8C39" w14:textId="77777777" w:rsidTr="00132913">
        <w:trPr>
          <w:trHeight w:val="30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FD959B" w14:textId="77777777" w:rsidR="00132913" w:rsidRPr="00132913" w:rsidRDefault="00132913" w:rsidP="00132913">
            <w:pPr>
              <w:spacing w:after="0" w:line="240" w:lineRule="auto"/>
              <w:rPr>
                <w:rFonts w:ascii="Calibri" w:eastAsia="Times New Roman" w:hAnsi="Calibri" w:cs="Calibri"/>
                <w:color w:val="000000"/>
                <w:lang w:val="en-ZA" w:eastAsia="en-ZA"/>
              </w:rPr>
            </w:pPr>
            <w:r w:rsidRPr="00132913">
              <w:rPr>
                <w:rFonts w:ascii="Calibri" w:eastAsia="Times New Roman" w:hAnsi="Calibri" w:cs="Calibri"/>
                <w:color w:val="000000"/>
                <w:lang w:val="en-ZA" w:eastAsia="en-ZA"/>
              </w:rPr>
              <w:t> </w:t>
            </w:r>
          </w:p>
        </w:tc>
        <w:tc>
          <w:tcPr>
            <w:tcW w:w="880" w:type="dxa"/>
            <w:tcBorders>
              <w:top w:val="single" w:sz="4" w:space="0" w:color="auto"/>
              <w:left w:val="nil"/>
              <w:bottom w:val="single" w:sz="4" w:space="0" w:color="auto"/>
              <w:right w:val="single" w:sz="4" w:space="0" w:color="auto"/>
            </w:tcBorders>
            <w:shd w:val="clear" w:color="auto" w:fill="auto"/>
            <w:noWrap/>
            <w:vAlign w:val="center"/>
            <w:hideMark/>
          </w:tcPr>
          <w:p w14:paraId="31612052" w14:textId="77777777" w:rsidR="00132913" w:rsidRPr="00132913" w:rsidRDefault="00132913" w:rsidP="00132913">
            <w:pPr>
              <w:spacing w:after="0" w:line="240" w:lineRule="auto"/>
              <w:jc w:val="center"/>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Width (cm)</w:t>
            </w:r>
          </w:p>
        </w:tc>
        <w:tc>
          <w:tcPr>
            <w:tcW w:w="520" w:type="dxa"/>
            <w:tcBorders>
              <w:top w:val="single" w:sz="4" w:space="0" w:color="auto"/>
              <w:left w:val="nil"/>
              <w:bottom w:val="single" w:sz="4" w:space="0" w:color="auto"/>
              <w:right w:val="single" w:sz="4" w:space="0" w:color="auto"/>
            </w:tcBorders>
            <w:shd w:val="clear" w:color="auto" w:fill="auto"/>
            <w:noWrap/>
            <w:vAlign w:val="center"/>
            <w:hideMark/>
          </w:tcPr>
          <w:p w14:paraId="7621A86D" w14:textId="77777777" w:rsidR="00132913" w:rsidRPr="00132913" w:rsidRDefault="00132913" w:rsidP="00132913">
            <w:pPr>
              <w:spacing w:after="0" w:line="240" w:lineRule="auto"/>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4E</w:t>
            </w:r>
          </w:p>
        </w:tc>
        <w:tc>
          <w:tcPr>
            <w:tcW w:w="660" w:type="dxa"/>
            <w:tcBorders>
              <w:top w:val="single" w:sz="4" w:space="0" w:color="auto"/>
              <w:left w:val="nil"/>
              <w:bottom w:val="single" w:sz="4" w:space="0" w:color="auto"/>
              <w:right w:val="single" w:sz="4" w:space="0" w:color="auto"/>
            </w:tcBorders>
            <w:shd w:val="clear" w:color="auto" w:fill="auto"/>
            <w:noWrap/>
            <w:vAlign w:val="center"/>
            <w:hideMark/>
          </w:tcPr>
          <w:p w14:paraId="0447581C" w14:textId="77777777" w:rsidR="00132913" w:rsidRPr="00132913" w:rsidRDefault="00132913" w:rsidP="00132913">
            <w:pPr>
              <w:spacing w:after="0" w:line="240" w:lineRule="auto"/>
              <w:jc w:val="center"/>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Pt</w:t>
            </w:r>
          </w:p>
        </w:tc>
        <w:tc>
          <w:tcPr>
            <w:tcW w:w="640" w:type="dxa"/>
            <w:tcBorders>
              <w:top w:val="single" w:sz="4" w:space="0" w:color="auto"/>
              <w:left w:val="nil"/>
              <w:bottom w:val="single" w:sz="4" w:space="0" w:color="auto"/>
              <w:right w:val="single" w:sz="4" w:space="0" w:color="auto"/>
            </w:tcBorders>
            <w:shd w:val="clear" w:color="auto" w:fill="auto"/>
            <w:noWrap/>
            <w:vAlign w:val="center"/>
            <w:hideMark/>
          </w:tcPr>
          <w:p w14:paraId="400BDD0C" w14:textId="77777777" w:rsidR="00132913" w:rsidRPr="00132913" w:rsidRDefault="00132913" w:rsidP="00132913">
            <w:pPr>
              <w:spacing w:after="0" w:line="240" w:lineRule="auto"/>
              <w:jc w:val="center"/>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Pd</w:t>
            </w:r>
          </w:p>
        </w:tc>
        <w:tc>
          <w:tcPr>
            <w:tcW w:w="520" w:type="dxa"/>
            <w:tcBorders>
              <w:top w:val="single" w:sz="4" w:space="0" w:color="auto"/>
              <w:left w:val="nil"/>
              <w:bottom w:val="single" w:sz="4" w:space="0" w:color="auto"/>
              <w:right w:val="single" w:sz="4" w:space="0" w:color="auto"/>
            </w:tcBorders>
            <w:shd w:val="clear" w:color="auto" w:fill="auto"/>
            <w:noWrap/>
            <w:vAlign w:val="center"/>
            <w:hideMark/>
          </w:tcPr>
          <w:p w14:paraId="222BFC03" w14:textId="77777777" w:rsidR="00132913" w:rsidRPr="00132913" w:rsidRDefault="00132913" w:rsidP="00132913">
            <w:pPr>
              <w:spacing w:after="0" w:line="240" w:lineRule="auto"/>
              <w:jc w:val="center"/>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Rh</w:t>
            </w:r>
          </w:p>
        </w:tc>
        <w:tc>
          <w:tcPr>
            <w:tcW w:w="520" w:type="dxa"/>
            <w:tcBorders>
              <w:top w:val="single" w:sz="4" w:space="0" w:color="auto"/>
              <w:left w:val="nil"/>
              <w:bottom w:val="single" w:sz="4" w:space="0" w:color="auto"/>
              <w:right w:val="single" w:sz="4" w:space="0" w:color="auto"/>
            </w:tcBorders>
            <w:shd w:val="clear" w:color="auto" w:fill="auto"/>
            <w:noWrap/>
            <w:vAlign w:val="center"/>
            <w:hideMark/>
          </w:tcPr>
          <w:p w14:paraId="0C6FD317" w14:textId="77777777" w:rsidR="00132913" w:rsidRPr="00132913" w:rsidRDefault="00132913" w:rsidP="00132913">
            <w:pPr>
              <w:spacing w:after="0" w:line="240" w:lineRule="auto"/>
              <w:jc w:val="center"/>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Au</w:t>
            </w:r>
          </w:p>
        </w:tc>
        <w:tc>
          <w:tcPr>
            <w:tcW w:w="600" w:type="dxa"/>
            <w:tcBorders>
              <w:top w:val="single" w:sz="4" w:space="0" w:color="auto"/>
              <w:left w:val="nil"/>
              <w:bottom w:val="single" w:sz="4" w:space="0" w:color="auto"/>
              <w:right w:val="single" w:sz="4" w:space="0" w:color="auto"/>
            </w:tcBorders>
            <w:shd w:val="clear" w:color="auto" w:fill="auto"/>
            <w:noWrap/>
            <w:vAlign w:val="center"/>
            <w:hideMark/>
          </w:tcPr>
          <w:p w14:paraId="3901BE39" w14:textId="77777777" w:rsidR="00132913" w:rsidRPr="00132913" w:rsidRDefault="00132913" w:rsidP="00132913">
            <w:pPr>
              <w:spacing w:after="0" w:line="240" w:lineRule="auto"/>
              <w:jc w:val="center"/>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Cu</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14:paraId="12EB5246" w14:textId="77777777" w:rsidR="00132913" w:rsidRPr="00132913" w:rsidRDefault="00132913" w:rsidP="00132913">
            <w:pPr>
              <w:spacing w:after="0" w:line="240" w:lineRule="auto"/>
              <w:jc w:val="center"/>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Ni</w:t>
            </w:r>
          </w:p>
        </w:tc>
        <w:tc>
          <w:tcPr>
            <w:tcW w:w="640" w:type="dxa"/>
            <w:tcBorders>
              <w:top w:val="single" w:sz="4" w:space="0" w:color="auto"/>
              <w:left w:val="nil"/>
              <w:bottom w:val="single" w:sz="4" w:space="0" w:color="auto"/>
              <w:right w:val="single" w:sz="4" w:space="0" w:color="auto"/>
            </w:tcBorders>
            <w:shd w:val="clear" w:color="auto" w:fill="auto"/>
            <w:noWrap/>
            <w:vAlign w:val="center"/>
            <w:hideMark/>
          </w:tcPr>
          <w:p w14:paraId="68BFF86E" w14:textId="77777777" w:rsidR="00132913" w:rsidRPr="00132913" w:rsidRDefault="00132913" w:rsidP="00132913">
            <w:pPr>
              <w:spacing w:after="0" w:line="240" w:lineRule="auto"/>
              <w:jc w:val="center"/>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Pt/Pd</w:t>
            </w:r>
          </w:p>
        </w:tc>
      </w:tr>
      <w:tr w:rsidR="00132913" w:rsidRPr="00132913" w14:paraId="769AF9AE" w14:textId="77777777" w:rsidTr="00132913">
        <w:trPr>
          <w:trHeight w:val="300"/>
        </w:trPr>
        <w:tc>
          <w:tcPr>
            <w:tcW w:w="2280" w:type="dxa"/>
            <w:tcBorders>
              <w:top w:val="nil"/>
              <w:left w:val="single" w:sz="4" w:space="0" w:color="auto"/>
              <w:bottom w:val="single" w:sz="4" w:space="0" w:color="auto"/>
              <w:right w:val="single" w:sz="4" w:space="0" w:color="auto"/>
            </w:tcBorders>
            <w:shd w:val="clear" w:color="auto" w:fill="auto"/>
            <w:noWrap/>
            <w:vAlign w:val="center"/>
            <w:hideMark/>
          </w:tcPr>
          <w:p w14:paraId="54D22EA3" w14:textId="77777777" w:rsidR="00132913" w:rsidRPr="00132913" w:rsidRDefault="00132913" w:rsidP="00132913">
            <w:pPr>
              <w:spacing w:after="0" w:line="240" w:lineRule="auto"/>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Units</w:t>
            </w:r>
          </w:p>
        </w:tc>
        <w:tc>
          <w:tcPr>
            <w:tcW w:w="880" w:type="dxa"/>
            <w:tcBorders>
              <w:top w:val="nil"/>
              <w:left w:val="nil"/>
              <w:bottom w:val="single" w:sz="4" w:space="0" w:color="auto"/>
              <w:right w:val="single" w:sz="4" w:space="0" w:color="auto"/>
            </w:tcBorders>
            <w:shd w:val="clear" w:color="auto" w:fill="auto"/>
            <w:noWrap/>
            <w:vAlign w:val="center"/>
            <w:hideMark/>
          </w:tcPr>
          <w:p w14:paraId="1E540B71" w14:textId="77777777" w:rsidR="00132913" w:rsidRPr="00132913" w:rsidRDefault="00132913" w:rsidP="00132913">
            <w:pPr>
              <w:spacing w:after="0" w:line="240" w:lineRule="auto"/>
              <w:jc w:val="center"/>
              <w:rPr>
                <w:rFonts w:ascii="Calibri" w:eastAsia="Times New Roman" w:hAnsi="Calibri" w:cs="Calibri"/>
                <w:b/>
                <w:bCs/>
                <w:i/>
                <w:iCs/>
                <w:color w:val="808080"/>
                <w:sz w:val="16"/>
                <w:szCs w:val="16"/>
                <w:lang w:val="en-ZA" w:eastAsia="en-ZA"/>
              </w:rPr>
            </w:pPr>
            <w:r w:rsidRPr="00132913">
              <w:rPr>
                <w:rFonts w:ascii="Calibri" w:eastAsia="Times New Roman" w:hAnsi="Calibri" w:cs="Calibri"/>
                <w:b/>
                <w:bCs/>
                <w:i/>
                <w:iCs/>
                <w:color w:val="808080"/>
                <w:sz w:val="16"/>
                <w:szCs w:val="16"/>
                <w:lang w:val="en-ZA" w:eastAsia="en-ZA"/>
              </w:rPr>
              <w:t>cm</w:t>
            </w:r>
          </w:p>
        </w:tc>
        <w:tc>
          <w:tcPr>
            <w:tcW w:w="520" w:type="dxa"/>
            <w:tcBorders>
              <w:top w:val="nil"/>
              <w:left w:val="nil"/>
              <w:bottom w:val="single" w:sz="4" w:space="0" w:color="auto"/>
              <w:right w:val="single" w:sz="4" w:space="0" w:color="auto"/>
            </w:tcBorders>
            <w:shd w:val="clear" w:color="auto" w:fill="auto"/>
            <w:noWrap/>
            <w:vAlign w:val="center"/>
            <w:hideMark/>
          </w:tcPr>
          <w:p w14:paraId="1947BAEE" w14:textId="77777777" w:rsidR="00132913" w:rsidRPr="00132913" w:rsidRDefault="00132913" w:rsidP="00132913">
            <w:pPr>
              <w:spacing w:after="0" w:line="240" w:lineRule="auto"/>
              <w:rPr>
                <w:rFonts w:ascii="Calibri" w:eastAsia="Times New Roman" w:hAnsi="Calibri" w:cs="Calibri"/>
                <w:b/>
                <w:bCs/>
                <w:i/>
                <w:iCs/>
                <w:color w:val="808080"/>
                <w:sz w:val="16"/>
                <w:szCs w:val="16"/>
                <w:lang w:val="en-ZA" w:eastAsia="en-ZA"/>
              </w:rPr>
            </w:pPr>
            <w:r w:rsidRPr="00132913">
              <w:rPr>
                <w:rFonts w:ascii="Calibri" w:eastAsia="Times New Roman" w:hAnsi="Calibri" w:cs="Calibri"/>
                <w:b/>
                <w:bCs/>
                <w:i/>
                <w:iCs/>
                <w:color w:val="808080"/>
                <w:sz w:val="16"/>
                <w:szCs w:val="16"/>
                <w:lang w:val="en-ZA" w:eastAsia="en-ZA"/>
              </w:rPr>
              <w:t>g/t</w:t>
            </w:r>
          </w:p>
        </w:tc>
        <w:tc>
          <w:tcPr>
            <w:tcW w:w="660" w:type="dxa"/>
            <w:tcBorders>
              <w:top w:val="nil"/>
              <w:left w:val="nil"/>
              <w:bottom w:val="single" w:sz="4" w:space="0" w:color="auto"/>
              <w:right w:val="single" w:sz="4" w:space="0" w:color="auto"/>
            </w:tcBorders>
            <w:shd w:val="clear" w:color="auto" w:fill="auto"/>
            <w:noWrap/>
            <w:vAlign w:val="center"/>
            <w:hideMark/>
          </w:tcPr>
          <w:p w14:paraId="6FDAFDDF" w14:textId="77777777" w:rsidR="00132913" w:rsidRPr="00132913" w:rsidRDefault="00132913" w:rsidP="00132913">
            <w:pPr>
              <w:spacing w:after="0" w:line="240" w:lineRule="auto"/>
              <w:rPr>
                <w:rFonts w:ascii="Calibri" w:eastAsia="Times New Roman" w:hAnsi="Calibri" w:cs="Calibri"/>
                <w:b/>
                <w:bCs/>
                <w:i/>
                <w:iCs/>
                <w:color w:val="808080"/>
                <w:sz w:val="16"/>
                <w:szCs w:val="16"/>
                <w:lang w:val="en-ZA" w:eastAsia="en-ZA"/>
              </w:rPr>
            </w:pPr>
            <w:r w:rsidRPr="00132913">
              <w:rPr>
                <w:rFonts w:ascii="Calibri" w:eastAsia="Times New Roman" w:hAnsi="Calibri" w:cs="Calibri"/>
                <w:b/>
                <w:bCs/>
                <w:i/>
                <w:iCs/>
                <w:color w:val="808080"/>
                <w:sz w:val="16"/>
                <w:szCs w:val="16"/>
                <w:lang w:val="en-ZA" w:eastAsia="en-ZA"/>
              </w:rPr>
              <w:t>g/t</w:t>
            </w:r>
          </w:p>
        </w:tc>
        <w:tc>
          <w:tcPr>
            <w:tcW w:w="640" w:type="dxa"/>
            <w:tcBorders>
              <w:top w:val="nil"/>
              <w:left w:val="nil"/>
              <w:bottom w:val="single" w:sz="4" w:space="0" w:color="auto"/>
              <w:right w:val="single" w:sz="4" w:space="0" w:color="auto"/>
            </w:tcBorders>
            <w:shd w:val="clear" w:color="auto" w:fill="auto"/>
            <w:noWrap/>
            <w:vAlign w:val="center"/>
            <w:hideMark/>
          </w:tcPr>
          <w:p w14:paraId="3F4A43CE" w14:textId="77777777" w:rsidR="00132913" w:rsidRPr="00132913" w:rsidRDefault="00132913" w:rsidP="00132913">
            <w:pPr>
              <w:spacing w:after="0" w:line="240" w:lineRule="auto"/>
              <w:rPr>
                <w:rFonts w:ascii="Calibri" w:eastAsia="Times New Roman" w:hAnsi="Calibri" w:cs="Calibri"/>
                <w:b/>
                <w:bCs/>
                <w:i/>
                <w:iCs/>
                <w:color w:val="808080"/>
                <w:sz w:val="16"/>
                <w:szCs w:val="16"/>
                <w:lang w:val="en-ZA" w:eastAsia="en-ZA"/>
              </w:rPr>
            </w:pPr>
            <w:r w:rsidRPr="00132913">
              <w:rPr>
                <w:rFonts w:ascii="Calibri" w:eastAsia="Times New Roman" w:hAnsi="Calibri" w:cs="Calibri"/>
                <w:b/>
                <w:bCs/>
                <w:i/>
                <w:iCs/>
                <w:color w:val="808080"/>
                <w:sz w:val="16"/>
                <w:szCs w:val="16"/>
                <w:lang w:val="en-ZA" w:eastAsia="en-ZA"/>
              </w:rPr>
              <w:t>g/t</w:t>
            </w:r>
          </w:p>
        </w:tc>
        <w:tc>
          <w:tcPr>
            <w:tcW w:w="520" w:type="dxa"/>
            <w:tcBorders>
              <w:top w:val="nil"/>
              <w:left w:val="nil"/>
              <w:bottom w:val="single" w:sz="4" w:space="0" w:color="auto"/>
              <w:right w:val="single" w:sz="4" w:space="0" w:color="auto"/>
            </w:tcBorders>
            <w:shd w:val="clear" w:color="auto" w:fill="auto"/>
            <w:noWrap/>
            <w:vAlign w:val="center"/>
            <w:hideMark/>
          </w:tcPr>
          <w:p w14:paraId="1F180FFA" w14:textId="77777777" w:rsidR="00132913" w:rsidRPr="00132913" w:rsidRDefault="00132913" w:rsidP="00132913">
            <w:pPr>
              <w:spacing w:after="0" w:line="240" w:lineRule="auto"/>
              <w:rPr>
                <w:rFonts w:ascii="Calibri" w:eastAsia="Times New Roman" w:hAnsi="Calibri" w:cs="Calibri"/>
                <w:b/>
                <w:bCs/>
                <w:i/>
                <w:iCs/>
                <w:color w:val="808080"/>
                <w:sz w:val="16"/>
                <w:szCs w:val="16"/>
                <w:lang w:val="en-ZA" w:eastAsia="en-ZA"/>
              </w:rPr>
            </w:pPr>
            <w:r w:rsidRPr="00132913">
              <w:rPr>
                <w:rFonts w:ascii="Calibri" w:eastAsia="Times New Roman" w:hAnsi="Calibri" w:cs="Calibri"/>
                <w:b/>
                <w:bCs/>
                <w:i/>
                <w:iCs/>
                <w:color w:val="808080"/>
                <w:sz w:val="16"/>
                <w:szCs w:val="16"/>
                <w:lang w:val="en-ZA" w:eastAsia="en-ZA"/>
              </w:rPr>
              <w:t>g/t</w:t>
            </w:r>
          </w:p>
        </w:tc>
        <w:tc>
          <w:tcPr>
            <w:tcW w:w="520" w:type="dxa"/>
            <w:tcBorders>
              <w:top w:val="nil"/>
              <w:left w:val="nil"/>
              <w:bottom w:val="single" w:sz="4" w:space="0" w:color="auto"/>
              <w:right w:val="single" w:sz="4" w:space="0" w:color="auto"/>
            </w:tcBorders>
            <w:shd w:val="clear" w:color="auto" w:fill="auto"/>
            <w:noWrap/>
            <w:vAlign w:val="center"/>
            <w:hideMark/>
          </w:tcPr>
          <w:p w14:paraId="7929B100" w14:textId="77777777" w:rsidR="00132913" w:rsidRPr="00132913" w:rsidRDefault="00132913" w:rsidP="00132913">
            <w:pPr>
              <w:spacing w:after="0" w:line="240" w:lineRule="auto"/>
              <w:rPr>
                <w:rFonts w:ascii="Calibri" w:eastAsia="Times New Roman" w:hAnsi="Calibri" w:cs="Calibri"/>
                <w:b/>
                <w:bCs/>
                <w:i/>
                <w:iCs/>
                <w:color w:val="808080"/>
                <w:sz w:val="16"/>
                <w:szCs w:val="16"/>
                <w:lang w:val="en-ZA" w:eastAsia="en-ZA"/>
              </w:rPr>
            </w:pPr>
            <w:r w:rsidRPr="00132913">
              <w:rPr>
                <w:rFonts w:ascii="Calibri" w:eastAsia="Times New Roman" w:hAnsi="Calibri" w:cs="Calibri"/>
                <w:b/>
                <w:bCs/>
                <w:i/>
                <w:iCs/>
                <w:color w:val="808080"/>
                <w:sz w:val="16"/>
                <w:szCs w:val="16"/>
                <w:lang w:val="en-ZA" w:eastAsia="en-ZA"/>
              </w:rPr>
              <w:t>g/t</w:t>
            </w:r>
          </w:p>
        </w:tc>
        <w:tc>
          <w:tcPr>
            <w:tcW w:w="600" w:type="dxa"/>
            <w:tcBorders>
              <w:top w:val="nil"/>
              <w:left w:val="nil"/>
              <w:bottom w:val="single" w:sz="4" w:space="0" w:color="auto"/>
              <w:right w:val="single" w:sz="4" w:space="0" w:color="auto"/>
            </w:tcBorders>
            <w:shd w:val="clear" w:color="auto" w:fill="auto"/>
            <w:noWrap/>
            <w:vAlign w:val="center"/>
            <w:hideMark/>
          </w:tcPr>
          <w:p w14:paraId="4F783C45" w14:textId="77777777" w:rsidR="00132913" w:rsidRPr="00132913" w:rsidRDefault="00132913" w:rsidP="00132913">
            <w:pPr>
              <w:spacing w:after="0" w:line="240" w:lineRule="auto"/>
              <w:jc w:val="center"/>
              <w:rPr>
                <w:rFonts w:ascii="Calibri" w:eastAsia="Times New Roman" w:hAnsi="Calibri" w:cs="Calibri"/>
                <w:b/>
                <w:bCs/>
                <w:i/>
                <w:iCs/>
                <w:color w:val="808080"/>
                <w:sz w:val="16"/>
                <w:szCs w:val="16"/>
                <w:lang w:val="en-ZA" w:eastAsia="en-ZA"/>
              </w:rPr>
            </w:pPr>
            <w:r w:rsidRPr="00132913">
              <w:rPr>
                <w:rFonts w:ascii="Calibri" w:eastAsia="Times New Roman" w:hAnsi="Calibri" w:cs="Calibri"/>
                <w:b/>
                <w:bCs/>
                <w:i/>
                <w:iCs/>
                <w:color w:val="808080"/>
                <w:sz w:val="16"/>
                <w:szCs w:val="16"/>
                <w:lang w:val="en-ZA" w:eastAsia="en-ZA"/>
              </w:rPr>
              <w:t>ppm</w:t>
            </w:r>
          </w:p>
        </w:tc>
        <w:tc>
          <w:tcPr>
            <w:tcW w:w="700" w:type="dxa"/>
            <w:tcBorders>
              <w:top w:val="nil"/>
              <w:left w:val="nil"/>
              <w:bottom w:val="single" w:sz="4" w:space="0" w:color="auto"/>
              <w:right w:val="single" w:sz="4" w:space="0" w:color="auto"/>
            </w:tcBorders>
            <w:shd w:val="clear" w:color="auto" w:fill="auto"/>
            <w:noWrap/>
            <w:vAlign w:val="center"/>
            <w:hideMark/>
          </w:tcPr>
          <w:p w14:paraId="52ACF2DD" w14:textId="77777777" w:rsidR="00132913" w:rsidRPr="00132913" w:rsidRDefault="00132913" w:rsidP="00132913">
            <w:pPr>
              <w:spacing w:after="0" w:line="240" w:lineRule="auto"/>
              <w:jc w:val="center"/>
              <w:rPr>
                <w:rFonts w:ascii="Calibri" w:eastAsia="Times New Roman" w:hAnsi="Calibri" w:cs="Calibri"/>
                <w:b/>
                <w:bCs/>
                <w:i/>
                <w:iCs/>
                <w:color w:val="808080"/>
                <w:sz w:val="16"/>
                <w:szCs w:val="16"/>
                <w:lang w:val="en-ZA" w:eastAsia="en-ZA"/>
              </w:rPr>
            </w:pPr>
            <w:r w:rsidRPr="00132913">
              <w:rPr>
                <w:rFonts w:ascii="Calibri" w:eastAsia="Times New Roman" w:hAnsi="Calibri" w:cs="Calibri"/>
                <w:b/>
                <w:bCs/>
                <w:i/>
                <w:iCs/>
                <w:color w:val="808080"/>
                <w:sz w:val="16"/>
                <w:szCs w:val="16"/>
                <w:lang w:val="en-ZA" w:eastAsia="en-ZA"/>
              </w:rPr>
              <w:t>ppm</w:t>
            </w:r>
          </w:p>
        </w:tc>
        <w:tc>
          <w:tcPr>
            <w:tcW w:w="640" w:type="dxa"/>
            <w:tcBorders>
              <w:top w:val="nil"/>
              <w:left w:val="nil"/>
              <w:bottom w:val="single" w:sz="4" w:space="0" w:color="auto"/>
              <w:right w:val="single" w:sz="4" w:space="0" w:color="auto"/>
            </w:tcBorders>
            <w:shd w:val="clear" w:color="auto" w:fill="auto"/>
            <w:noWrap/>
            <w:vAlign w:val="center"/>
            <w:hideMark/>
          </w:tcPr>
          <w:p w14:paraId="4FEDF348" w14:textId="77777777" w:rsidR="00132913" w:rsidRPr="00132913" w:rsidRDefault="00132913" w:rsidP="00132913">
            <w:pPr>
              <w:spacing w:after="0" w:line="240" w:lineRule="auto"/>
              <w:jc w:val="center"/>
              <w:rPr>
                <w:rFonts w:ascii="Calibri" w:eastAsia="Times New Roman" w:hAnsi="Calibri" w:cs="Calibri"/>
                <w:b/>
                <w:bCs/>
                <w:i/>
                <w:iCs/>
                <w:color w:val="808080"/>
                <w:sz w:val="16"/>
                <w:szCs w:val="16"/>
                <w:lang w:val="en-ZA" w:eastAsia="en-ZA"/>
              </w:rPr>
            </w:pPr>
            <w:r w:rsidRPr="00132913">
              <w:rPr>
                <w:rFonts w:ascii="Calibri" w:eastAsia="Times New Roman" w:hAnsi="Calibri" w:cs="Calibri"/>
                <w:b/>
                <w:bCs/>
                <w:i/>
                <w:iCs/>
                <w:color w:val="808080"/>
                <w:sz w:val="16"/>
                <w:szCs w:val="16"/>
                <w:lang w:val="en-ZA" w:eastAsia="en-ZA"/>
              </w:rPr>
              <w:t> </w:t>
            </w:r>
          </w:p>
        </w:tc>
      </w:tr>
      <w:tr w:rsidR="00132913" w:rsidRPr="00132913" w14:paraId="4B6C39AB" w14:textId="77777777" w:rsidTr="00132913">
        <w:trPr>
          <w:trHeight w:val="300"/>
        </w:trPr>
        <w:tc>
          <w:tcPr>
            <w:tcW w:w="2280" w:type="dxa"/>
            <w:tcBorders>
              <w:top w:val="nil"/>
              <w:left w:val="single" w:sz="4" w:space="0" w:color="auto"/>
              <w:bottom w:val="single" w:sz="4" w:space="0" w:color="auto"/>
              <w:right w:val="single" w:sz="4" w:space="0" w:color="auto"/>
            </w:tcBorders>
            <w:shd w:val="clear" w:color="auto" w:fill="auto"/>
            <w:noWrap/>
            <w:vAlign w:val="center"/>
            <w:hideMark/>
          </w:tcPr>
          <w:p w14:paraId="326970F6" w14:textId="77777777" w:rsidR="00132913" w:rsidRPr="00132913" w:rsidRDefault="00132913" w:rsidP="00132913">
            <w:pPr>
              <w:spacing w:after="0" w:line="240" w:lineRule="auto"/>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Chromitite 1 (Trench 1)</w:t>
            </w:r>
          </w:p>
        </w:tc>
        <w:tc>
          <w:tcPr>
            <w:tcW w:w="880" w:type="dxa"/>
            <w:tcBorders>
              <w:top w:val="nil"/>
              <w:left w:val="nil"/>
              <w:bottom w:val="single" w:sz="4" w:space="0" w:color="auto"/>
              <w:right w:val="single" w:sz="4" w:space="0" w:color="auto"/>
            </w:tcBorders>
            <w:shd w:val="clear" w:color="auto" w:fill="auto"/>
            <w:noWrap/>
            <w:vAlign w:val="center"/>
            <w:hideMark/>
          </w:tcPr>
          <w:p w14:paraId="121F64D0"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67</w:t>
            </w:r>
          </w:p>
        </w:tc>
        <w:tc>
          <w:tcPr>
            <w:tcW w:w="520" w:type="dxa"/>
            <w:tcBorders>
              <w:top w:val="nil"/>
              <w:left w:val="nil"/>
              <w:bottom w:val="single" w:sz="4" w:space="0" w:color="auto"/>
              <w:right w:val="single" w:sz="4" w:space="0" w:color="auto"/>
            </w:tcBorders>
            <w:shd w:val="clear" w:color="auto" w:fill="auto"/>
            <w:noWrap/>
            <w:vAlign w:val="center"/>
            <w:hideMark/>
          </w:tcPr>
          <w:p w14:paraId="596B3210"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0.87</w:t>
            </w:r>
          </w:p>
        </w:tc>
        <w:tc>
          <w:tcPr>
            <w:tcW w:w="660" w:type="dxa"/>
            <w:tcBorders>
              <w:top w:val="nil"/>
              <w:left w:val="nil"/>
              <w:bottom w:val="single" w:sz="4" w:space="0" w:color="auto"/>
              <w:right w:val="single" w:sz="4" w:space="0" w:color="auto"/>
            </w:tcBorders>
            <w:shd w:val="clear" w:color="auto" w:fill="auto"/>
            <w:noWrap/>
            <w:vAlign w:val="center"/>
            <w:hideMark/>
          </w:tcPr>
          <w:p w14:paraId="006C79FD"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0.55</w:t>
            </w:r>
          </w:p>
        </w:tc>
        <w:tc>
          <w:tcPr>
            <w:tcW w:w="640" w:type="dxa"/>
            <w:tcBorders>
              <w:top w:val="nil"/>
              <w:left w:val="nil"/>
              <w:bottom w:val="single" w:sz="4" w:space="0" w:color="auto"/>
              <w:right w:val="single" w:sz="4" w:space="0" w:color="auto"/>
            </w:tcBorders>
            <w:shd w:val="clear" w:color="auto" w:fill="auto"/>
            <w:noWrap/>
            <w:vAlign w:val="center"/>
            <w:hideMark/>
          </w:tcPr>
          <w:p w14:paraId="5C90A125"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0.16</w:t>
            </w:r>
          </w:p>
        </w:tc>
        <w:tc>
          <w:tcPr>
            <w:tcW w:w="520" w:type="dxa"/>
            <w:tcBorders>
              <w:top w:val="nil"/>
              <w:left w:val="nil"/>
              <w:bottom w:val="single" w:sz="4" w:space="0" w:color="auto"/>
              <w:right w:val="single" w:sz="4" w:space="0" w:color="auto"/>
            </w:tcBorders>
            <w:shd w:val="clear" w:color="auto" w:fill="auto"/>
            <w:noWrap/>
            <w:vAlign w:val="center"/>
            <w:hideMark/>
          </w:tcPr>
          <w:p w14:paraId="3382F829"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0.15</w:t>
            </w:r>
          </w:p>
        </w:tc>
        <w:tc>
          <w:tcPr>
            <w:tcW w:w="520" w:type="dxa"/>
            <w:tcBorders>
              <w:top w:val="nil"/>
              <w:left w:val="nil"/>
              <w:bottom w:val="single" w:sz="4" w:space="0" w:color="auto"/>
              <w:right w:val="single" w:sz="4" w:space="0" w:color="auto"/>
            </w:tcBorders>
            <w:shd w:val="clear" w:color="auto" w:fill="auto"/>
            <w:noWrap/>
            <w:vAlign w:val="center"/>
            <w:hideMark/>
          </w:tcPr>
          <w:p w14:paraId="42771B87"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0.01</w:t>
            </w:r>
          </w:p>
        </w:tc>
        <w:tc>
          <w:tcPr>
            <w:tcW w:w="600" w:type="dxa"/>
            <w:tcBorders>
              <w:top w:val="nil"/>
              <w:left w:val="nil"/>
              <w:bottom w:val="single" w:sz="4" w:space="0" w:color="auto"/>
              <w:right w:val="single" w:sz="4" w:space="0" w:color="auto"/>
            </w:tcBorders>
            <w:shd w:val="clear" w:color="auto" w:fill="auto"/>
            <w:noWrap/>
            <w:vAlign w:val="center"/>
            <w:hideMark/>
          </w:tcPr>
          <w:p w14:paraId="6E67F3B0"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60.87</w:t>
            </w:r>
          </w:p>
        </w:tc>
        <w:tc>
          <w:tcPr>
            <w:tcW w:w="700" w:type="dxa"/>
            <w:tcBorders>
              <w:top w:val="nil"/>
              <w:left w:val="nil"/>
              <w:bottom w:val="single" w:sz="4" w:space="0" w:color="auto"/>
              <w:right w:val="single" w:sz="4" w:space="0" w:color="auto"/>
            </w:tcBorders>
            <w:shd w:val="clear" w:color="auto" w:fill="auto"/>
            <w:noWrap/>
            <w:vAlign w:val="center"/>
            <w:hideMark/>
          </w:tcPr>
          <w:p w14:paraId="24FCAB7D"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148.46</w:t>
            </w:r>
          </w:p>
        </w:tc>
        <w:tc>
          <w:tcPr>
            <w:tcW w:w="640" w:type="dxa"/>
            <w:tcBorders>
              <w:top w:val="nil"/>
              <w:left w:val="nil"/>
              <w:bottom w:val="single" w:sz="4" w:space="0" w:color="auto"/>
              <w:right w:val="single" w:sz="4" w:space="0" w:color="auto"/>
            </w:tcBorders>
            <w:shd w:val="clear" w:color="auto" w:fill="auto"/>
            <w:noWrap/>
            <w:vAlign w:val="center"/>
            <w:hideMark/>
          </w:tcPr>
          <w:p w14:paraId="0C4B9A54"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3.44</w:t>
            </w:r>
          </w:p>
        </w:tc>
      </w:tr>
      <w:tr w:rsidR="00132913" w:rsidRPr="00132913" w14:paraId="569AE03A" w14:textId="77777777" w:rsidTr="00132913">
        <w:trPr>
          <w:trHeight w:val="300"/>
        </w:trPr>
        <w:tc>
          <w:tcPr>
            <w:tcW w:w="2280" w:type="dxa"/>
            <w:tcBorders>
              <w:top w:val="nil"/>
              <w:left w:val="single" w:sz="4" w:space="0" w:color="auto"/>
              <w:bottom w:val="single" w:sz="4" w:space="0" w:color="auto"/>
              <w:right w:val="single" w:sz="4" w:space="0" w:color="auto"/>
            </w:tcBorders>
            <w:shd w:val="clear" w:color="auto" w:fill="auto"/>
            <w:noWrap/>
            <w:vAlign w:val="center"/>
            <w:hideMark/>
          </w:tcPr>
          <w:p w14:paraId="11ED34F5" w14:textId="77777777" w:rsidR="00132913" w:rsidRPr="00132913" w:rsidRDefault="00132913" w:rsidP="00132913">
            <w:pPr>
              <w:spacing w:after="0" w:line="240" w:lineRule="auto"/>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Chromitite 2 (Trench 1)</w:t>
            </w:r>
          </w:p>
        </w:tc>
        <w:tc>
          <w:tcPr>
            <w:tcW w:w="880" w:type="dxa"/>
            <w:tcBorders>
              <w:top w:val="nil"/>
              <w:left w:val="nil"/>
              <w:bottom w:val="single" w:sz="4" w:space="0" w:color="auto"/>
              <w:right w:val="single" w:sz="4" w:space="0" w:color="auto"/>
            </w:tcBorders>
            <w:shd w:val="clear" w:color="auto" w:fill="auto"/>
            <w:noWrap/>
            <w:vAlign w:val="center"/>
            <w:hideMark/>
          </w:tcPr>
          <w:p w14:paraId="54155AB1"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111</w:t>
            </w:r>
          </w:p>
        </w:tc>
        <w:tc>
          <w:tcPr>
            <w:tcW w:w="520" w:type="dxa"/>
            <w:tcBorders>
              <w:top w:val="nil"/>
              <w:left w:val="nil"/>
              <w:bottom w:val="single" w:sz="4" w:space="0" w:color="auto"/>
              <w:right w:val="single" w:sz="4" w:space="0" w:color="auto"/>
            </w:tcBorders>
            <w:shd w:val="clear" w:color="auto" w:fill="auto"/>
            <w:noWrap/>
            <w:vAlign w:val="center"/>
            <w:hideMark/>
          </w:tcPr>
          <w:p w14:paraId="52452146"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1.09</w:t>
            </w:r>
          </w:p>
        </w:tc>
        <w:tc>
          <w:tcPr>
            <w:tcW w:w="660" w:type="dxa"/>
            <w:tcBorders>
              <w:top w:val="nil"/>
              <w:left w:val="nil"/>
              <w:bottom w:val="single" w:sz="4" w:space="0" w:color="auto"/>
              <w:right w:val="single" w:sz="4" w:space="0" w:color="auto"/>
            </w:tcBorders>
            <w:shd w:val="clear" w:color="auto" w:fill="auto"/>
            <w:noWrap/>
            <w:vAlign w:val="center"/>
            <w:hideMark/>
          </w:tcPr>
          <w:p w14:paraId="411A66A0"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0.57</w:t>
            </w:r>
          </w:p>
        </w:tc>
        <w:tc>
          <w:tcPr>
            <w:tcW w:w="640" w:type="dxa"/>
            <w:tcBorders>
              <w:top w:val="nil"/>
              <w:left w:val="nil"/>
              <w:bottom w:val="single" w:sz="4" w:space="0" w:color="auto"/>
              <w:right w:val="single" w:sz="4" w:space="0" w:color="auto"/>
            </w:tcBorders>
            <w:shd w:val="clear" w:color="auto" w:fill="auto"/>
            <w:noWrap/>
            <w:vAlign w:val="center"/>
            <w:hideMark/>
          </w:tcPr>
          <w:p w14:paraId="2CDFED0E"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0.37</w:t>
            </w:r>
          </w:p>
        </w:tc>
        <w:tc>
          <w:tcPr>
            <w:tcW w:w="520" w:type="dxa"/>
            <w:tcBorders>
              <w:top w:val="nil"/>
              <w:left w:val="nil"/>
              <w:bottom w:val="single" w:sz="4" w:space="0" w:color="auto"/>
              <w:right w:val="single" w:sz="4" w:space="0" w:color="auto"/>
            </w:tcBorders>
            <w:shd w:val="clear" w:color="auto" w:fill="auto"/>
            <w:noWrap/>
            <w:vAlign w:val="center"/>
            <w:hideMark/>
          </w:tcPr>
          <w:p w14:paraId="2595FF44"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0.14</w:t>
            </w:r>
          </w:p>
        </w:tc>
        <w:tc>
          <w:tcPr>
            <w:tcW w:w="520" w:type="dxa"/>
            <w:tcBorders>
              <w:top w:val="nil"/>
              <w:left w:val="nil"/>
              <w:bottom w:val="single" w:sz="4" w:space="0" w:color="auto"/>
              <w:right w:val="single" w:sz="4" w:space="0" w:color="auto"/>
            </w:tcBorders>
            <w:shd w:val="clear" w:color="auto" w:fill="auto"/>
            <w:noWrap/>
            <w:vAlign w:val="center"/>
            <w:hideMark/>
          </w:tcPr>
          <w:p w14:paraId="066E8AA1"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0.01</w:t>
            </w:r>
          </w:p>
        </w:tc>
        <w:tc>
          <w:tcPr>
            <w:tcW w:w="600" w:type="dxa"/>
            <w:tcBorders>
              <w:top w:val="nil"/>
              <w:left w:val="nil"/>
              <w:bottom w:val="single" w:sz="4" w:space="0" w:color="auto"/>
              <w:right w:val="single" w:sz="4" w:space="0" w:color="auto"/>
            </w:tcBorders>
            <w:shd w:val="clear" w:color="auto" w:fill="auto"/>
            <w:noWrap/>
            <w:vAlign w:val="center"/>
            <w:hideMark/>
          </w:tcPr>
          <w:p w14:paraId="59C8FB6F"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52.65</w:t>
            </w:r>
          </w:p>
        </w:tc>
        <w:tc>
          <w:tcPr>
            <w:tcW w:w="700" w:type="dxa"/>
            <w:tcBorders>
              <w:top w:val="nil"/>
              <w:left w:val="nil"/>
              <w:bottom w:val="single" w:sz="4" w:space="0" w:color="auto"/>
              <w:right w:val="single" w:sz="4" w:space="0" w:color="auto"/>
            </w:tcBorders>
            <w:shd w:val="clear" w:color="auto" w:fill="auto"/>
            <w:noWrap/>
            <w:vAlign w:val="center"/>
            <w:hideMark/>
          </w:tcPr>
          <w:p w14:paraId="0E62ACF7"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175.61</w:t>
            </w:r>
          </w:p>
        </w:tc>
        <w:tc>
          <w:tcPr>
            <w:tcW w:w="640" w:type="dxa"/>
            <w:tcBorders>
              <w:top w:val="nil"/>
              <w:left w:val="nil"/>
              <w:bottom w:val="single" w:sz="4" w:space="0" w:color="auto"/>
              <w:right w:val="single" w:sz="4" w:space="0" w:color="auto"/>
            </w:tcBorders>
            <w:shd w:val="clear" w:color="auto" w:fill="auto"/>
            <w:noWrap/>
            <w:vAlign w:val="center"/>
            <w:hideMark/>
          </w:tcPr>
          <w:p w14:paraId="7A9238D3"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1.54</w:t>
            </w:r>
          </w:p>
        </w:tc>
      </w:tr>
      <w:tr w:rsidR="00132913" w:rsidRPr="00132913" w14:paraId="54DCFD31" w14:textId="77777777" w:rsidTr="00132913">
        <w:trPr>
          <w:trHeight w:val="300"/>
        </w:trPr>
        <w:tc>
          <w:tcPr>
            <w:tcW w:w="2280" w:type="dxa"/>
            <w:tcBorders>
              <w:top w:val="nil"/>
              <w:left w:val="single" w:sz="4" w:space="0" w:color="auto"/>
              <w:bottom w:val="single" w:sz="4" w:space="0" w:color="auto"/>
              <w:right w:val="single" w:sz="4" w:space="0" w:color="auto"/>
            </w:tcBorders>
            <w:shd w:val="clear" w:color="auto" w:fill="auto"/>
            <w:noWrap/>
            <w:vAlign w:val="center"/>
            <w:hideMark/>
          </w:tcPr>
          <w:p w14:paraId="0E98E85D" w14:textId="019486A0" w:rsidR="00132913" w:rsidRPr="00132913" w:rsidRDefault="00521844" w:rsidP="00132913">
            <w:pPr>
              <w:spacing w:after="0" w:line="240" w:lineRule="auto"/>
              <w:rPr>
                <w:rFonts w:ascii="Calibri" w:eastAsia="Times New Roman" w:hAnsi="Calibri" w:cs="Calibri"/>
                <w:b/>
                <w:bCs/>
                <w:color w:val="000000"/>
                <w:sz w:val="16"/>
                <w:szCs w:val="16"/>
                <w:lang w:val="en-ZA" w:eastAsia="en-ZA"/>
              </w:rPr>
            </w:pPr>
            <w:r>
              <w:rPr>
                <w:rFonts w:ascii="Calibri" w:eastAsia="Times New Roman" w:hAnsi="Calibri" w:cs="Calibri"/>
                <w:b/>
                <w:bCs/>
                <w:color w:val="000000"/>
                <w:sz w:val="16"/>
                <w:szCs w:val="16"/>
                <w:lang w:val="en-ZA" w:eastAsia="en-ZA"/>
              </w:rPr>
              <w:t>Average UG1</w:t>
            </w:r>
            <w:r w:rsidR="00132913" w:rsidRPr="00132913">
              <w:rPr>
                <w:rFonts w:ascii="Calibri" w:eastAsia="Times New Roman" w:hAnsi="Calibri" w:cs="Calibri"/>
                <w:b/>
                <w:bCs/>
                <w:color w:val="000000"/>
                <w:sz w:val="16"/>
                <w:szCs w:val="16"/>
                <w:lang w:val="en-ZA" w:eastAsia="en-ZA"/>
              </w:rPr>
              <w:t>A</w:t>
            </w:r>
          </w:p>
        </w:tc>
        <w:tc>
          <w:tcPr>
            <w:tcW w:w="880" w:type="dxa"/>
            <w:tcBorders>
              <w:top w:val="nil"/>
              <w:left w:val="nil"/>
              <w:bottom w:val="single" w:sz="4" w:space="0" w:color="auto"/>
              <w:right w:val="single" w:sz="4" w:space="0" w:color="auto"/>
            </w:tcBorders>
            <w:shd w:val="clear" w:color="auto" w:fill="auto"/>
            <w:noWrap/>
            <w:vAlign w:val="center"/>
            <w:hideMark/>
          </w:tcPr>
          <w:p w14:paraId="1B1702B7" w14:textId="23B427E6" w:rsidR="00132913" w:rsidRPr="00132913" w:rsidRDefault="00521844" w:rsidP="00132913">
            <w:pPr>
              <w:spacing w:after="0" w:line="240" w:lineRule="auto"/>
              <w:jc w:val="right"/>
              <w:rPr>
                <w:rFonts w:ascii="Calibri" w:eastAsia="Times New Roman" w:hAnsi="Calibri" w:cs="Calibri"/>
                <w:b/>
                <w:bCs/>
                <w:color w:val="000000"/>
                <w:sz w:val="16"/>
                <w:szCs w:val="16"/>
                <w:lang w:val="en-ZA" w:eastAsia="en-ZA"/>
              </w:rPr>
            </w:pPr>
            <w:r>
              <w:rPr>
                <w:rFonts w:ascii="Calibri" w:eastAsia="Times New Roman" w:hAnsi="Calibri" w:cs="Calibri"/>
                <w:b/>
                <w:bCs/>
                <w:color w:val="000000"/>
                <w:sz w:val="16"/>
                <w:szCs w:val="16"/>
                <w:lang w:val="en-ZA" w:eastAsia="en-ZA"/>
              </w:rPr>
              <w:t>121</w:t>
            </w:r>
            <w:r w:rsidR="00132913" w:rsidRPr="00132913">
              <w:rPr>
                <w:rFonts w:ascii="Calibri" w:eastAsia="Times New Roman" w:hAnsi="Calibri" w:cs="Calibri"/>
                <w:b/>
                <w:bCs/>
                <w:color w:val="000000"/>
                <w:sz w:val="16"/>
                <w:szCs w:val="16"/>
                <w:lang w:val="en-ZA" w:eastAsia="en-ZA"/>
              </w:rPr>
              <w:t> </w:t>
            </w:r>
          </w:p>
        </w:tc>
        <w:tc>
          <w:tcPr>
            <w:tcW w:w="520" w:type="dxa"/>
            <w:tcBorders>
              <w:top w:val="nil"/>
              <w:left w:val="nil"/>
              <w:bottom w:val="single" w:sz="4" w:space="0" w:color="auto"/>
              <w:right w:val="single" w:sz="4" w:space="0" w:color="auto"/>
            </w:tcBorders>
            <w:shd w:val="clear" w:color="auto" w:fill="auto"/>
            <w:noWrap/>
            <w:vAlign w:val="center"/>
            <w:hideMark/>
          </w:tcPr>
          <w:p w14:paraId="5CCFF288"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0.93</w:t>
            </w:r>
          </w:p>
        </w:tc>
        <w:tc>
          <w:tcPr>
            <w:tcW w:w="660" w:type="dxa"/>
            <w:tcBorders>
              <w:top w:val="nil"/>
              <w:left w:val="nil"/>
              <w:bottom w:val="single" w:sz="4" w:space="0" w:color="auto"/>
              <w:right w:val="single" w:sz="4" w:space="0" w:color="auto"/>
            </w:tcBorders>
            <w:shd w:val="clear" w:color="auto" w:fill="auto"/>
            <w:noWrap/>
            <w:vAlign w:val="center"/>
            <w:hideMark/>
          </w:tcPr>
          <w:p w14:paraId="30983342"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0.36</w:t>
            </w:r>
          </w:p>
        </w:tc>
        <w:tc>
          <w:tcPr>
            <w:tcW w:w="640" w:type="dxa"/>
            <w:tcBorders>
              <w:top w:val="nil"/>
              <w:left w:val="nil"/>
              <w:bottom w:val="single" w:sz="4" w:space="0" w:color="auto"/>
              <w:right w:val="single" w:sz="4" w:space="0" w:color="auto"/>
            </w:tcBorders>
            <w:shd w:val="clear" w:color="auto" w:fill="auto"/>
            <w:noWrap/>
            <w:vAlign w:val="center"/>
            <w:hideMark/>
          </w:tcPr>
          <w:p w14:paraId="59F33B60"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0.44</w:t>
            </w:r>
          </w:p>
        </w:tc>
        <w:tc>
          <w:tcPr>
            <w:tcW w:w="520" w:type="dxa"/>
            <w:tcBorders>
              <w:top w:val="nil"/>
              <w:left w:val="nil"/>
              <w:bottom w:val="single" w:sz="4" w:space="0" w:color="auto"/>
              <w:right w:val="single" w:sz="4" w:space="0" w:color="auto"/>
            </w:tcBorders>
            <w:shd w:val="clear" w:color="auto" w:fill="auto"/>
            <w:noWrap/>
            <w:vAlign w:val="center"/>
            <w:hideMark/>
          </w:tcPr>
          <w:p w14:paraId="6339A7E4"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0.11</w:t>
            </w:r>
          </w:p>
        </w:tc>
        <w:tc>
          <w:tcPr>
            <w:tcW w:w="520" w:type="dxa"/>
            <w:tcBorders>
              <w:top w:val="nil"/>
              <w:left w:val="nil"/>
              <w:bottom w:val="single" w:sz="4" w:space="0" w:color="auto"/>
              <w:right w:val="single" w:sz="4" w:space="0" w:color="auto"/>
            </w:tcBorders>
            <w:shd w:val="clear" w:color="auto" w:fill="auto"/>
            <w:noWrap/>
            <w:vAlign w:val="center"/>
            <w:hideMark/>
          </w:tcPr>
          <w:p w14:paraId="35EAC3C0"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0.03</w:t>
            </w:r>
          </w:p>
        </w:tc>
        <w:tc>
          <w:tcPr>
            <w:tcW w:w="600" w:type="dxa"/>
            <w:tcBorders>
              <w:top w:val="nil"/>
              <w:left w:val="nil"/>
              <w:bottom w:val="single" w:sz="4" w:space="0" w:color="auto"/>
              <w:right w:val="single" w:sz="4" w:space="0" w:color="auto"/>
            </w:tcBorders>
            <w:shd w:val="clear" w:color="auto" w:fill="auto"/>
            <w:noWrap/>
            <w:vAlign w:val="center"/>
            <w:hideMark/>
          </w:tcPr>
          <w:p w14:paraId="0A646223"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229.4</w:t>
            </w:r>
          </w:p>
        </w:tc>
        <w:tc>
          <w:tcPr>
            <w:tcW w:w="700" w:type="dxa"/>
            <w:tcBorders>
              <w:top w:val="nil"/>
              <w:left w:val="nil"/>
              <w:bottom w:val="single" w:sz="4" w:space="0" w:color="auto"/>
              <w:right w:val="single" w:sz="4" w:space="0" w:color="auto"/>
            </w:tcBorders>
            <w:shd w:val="clear" w:color="auto" w:fill="auto"/>
            <w:noWrap/>
            <w:vAlign w:val="center"/>
            <w:hideMark/>
          </w:tcPr>
          <w:p w14:paraId="481593D5"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957.56</w:t>
            </w:r>
          </w:p>
        </w:tc>
        <w:tc>
          <w:tcPr>
            <w:tcW w:w="640" w:type="dxa"/>
            <w:tcBorders>
              <w:top w:val="nil"/>
              <w:left w:val="nil"/>
              <w:bottom w:val="single" w:sz="4" w:space="0" w:color="auto"/>
              <w:right w:val="single" w:sz="4" w:space="0" w:color="auto"/>
            </w:tcBorders>
            <w:shd w:val="clear" w:color="auto" w:fill="auto"/>
            <w:noWrap/>
            <w:vAlign w:val="center"/>
            <w:hideMark/>
          </w:tcPr>
          <w:p w14:paraId="7ED53847"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1.50</w:t>
            </w:r>
          </w:p>
        </w:tc>
      </w:tr>
      <w:tr w:rsidR="00132913" w:rsidRPr="00132913" w14:paraId="17A6A695" w14:textId="77777777" w:rsidTr="00132913">
        <w:trPr>
          <w:trHeight w:val="300"/>
        </w:trPr>
        <w:tc>
          <w:tcPr>
            <w:tcW w:w="2280" w:type="dxa"/>
            <w:tcBorders>
              <w:top w:val="nil"/>
              <w:left w:val="single" w:sz="4" w:space="0" w:color="auto"/>
              <w:bottom w:val="single" w:sz="4" w:space="0" w:color="auto"/>
              <w:right w:val="single" w:sz="4" w:space="0" w:color="auto"/>
            </w:tcBorders>
            <w:shd w:val="clear" w:color="auto" w:fill="auto"/>
            <w:noWrap/>
            <w:vAlign w:val="center"/>
            <w:hideMark/>
          </w:tcPr>
          <w:p w14:paraId="3CEA3551" w14:textId="45F82868" w:rsidR="00132913" w:rsidRPr="00132913" w:rsidRDefault="00521844" w:rsidP="00132913">
            <w:pPr>
              <w:spacing w:after="0" w:line="240" w:lineRule="auto"/>
              <w:rPr>
                <w:rFonts w:ascii="Calibri" w:eastAsia="Times New Roman" w:hAnsi="Calibri" w:cs="Calibri"/>
                <w:b/>
                <w:bCs/>
                <w:color w:val="000000"/>
                <w:sz w:val="16"/>
                <w:szCs w:val="16"/>
                <w:lang w:val="en-ZA" w:eastAsia="en-ZA"/>
              </w:rPr>
            </w:pPr>
            <w:r>
              <w:rPr>
                <w:rFonts w:ascii="Calibri" w:eastAsia="Times New Roman" w:hAnsi="Calibri" w:cs="Calibri"/>
                <w:b/>
                <w:bCs/>
                <w:color w:val="000000"/>
                <w:sz w:val="16"/>
                <w:szCs w:val="16"/>
                <w:lang w:val="en-ZA" w:eastAsia="en-ZA"/>
              </w:rPr>
              <w:t>Average UG1</w:t>
            </w:r>
            <w:r w:rsidR="00132913" w:rsidRPr="00132913">
              <w:rPr>
                <w:rFonts w:ascii="Calibri" w:eastAsia="Times New Roman" w:hAnsi="Calibri" w:cs="Calibri"/>
                <w:b/>
                <w:bCs/>
                <w:color w:val="000000"/>
                <w:sz w:val="16"/>
                <w:szCs w:val="16"/>
                <w:lang w:val="en-ZA" w:eastAsia="en-ZA"/>
              </w:rPr>
              <w:t>B</w:t>
            </w:r>
          </w:p>
        </w:tc>
        <w:tc>
          <w:tcPr>
            <w:tcW w:w="880" w:type="dxa"/>
            <w:tcBorders>
              <w:top w:val="nil"/>
              <w:left w:val="nil"/>
              <w:bottom w:val="single" w:sz="4" w:space="0" w:color="auto"/>
              <w:right w:val="single" w:sz="4" w:space="0" w:color="auto"/>
            </w:tcBorders>
            <w:shd w:val="clear" w:color="auto" w:fill="auto"/>
            <w:noWrap/>
            <w:vAlign w:val="center"/>
            <w:hideMark/>
          </w:tcPr>
          <w:p w14:paraId="000C2937" w14:textId="5BDD9AC5" w:rsidR="00132913" w:rsidRPr="00132913" w:rsidRDefault="00701F55" w:rsidP="00132913">
            <w:pPr>
              <w:spacing w:after="0" w:line="240" w:lineRule="auto"/>
              <w:jc w:val="right"/>
              <w:rPr>
                <w:rFonts w:ascii="Calibri" w:eastAsia="Times New Roman" w:hAnsi="Calibri" w:cs="Calibri"/>
                <w:b/>
                <w:bCs/>
                <w:color w:val="000000"/>
                <w:sz w:val="16"/>
                <w:szCs w:val="16"/>
                <w:lang w:val="en-ZA" w:eastAsia="en-ZA"/>
              </w:rPr>
            </w:pPr>
            <w:r>
              <w:rPr>
                <w:rFonts w:ascii="Calibri" w:eastAsia="Times New Roman" w:hAnsi="Calibri" w:cs="Calibri"/>
                <w:b/>
                <w:bCs/>
                <w:color w:val="000000"/>
                <w:sz w:val="16"/>
                <w:szCs w:val="16"/>
                <w:lang w:val="en-ZA" w:eastAsia="en-ZA"/>
              </w:rPr>
              <w:t>148</w:t>
            </w:r>
            <w:r w:rsidR="00132913" w:rsidRPr="00132913">
              <w:rPr>
                <w:rFonts w:ascii="Calibri" w:eastAsia="Times New Roman" w:hAnsi="Calibri" w:cs="Calibri"/>
                <w:b/>
                <w:bCs/>
                <w:color w:val="000000"/>
                <w:sz w:val="16"/>
                <w:szCs w:val="16"/>
                <w:lang w:val="en-ZA" w:eastAsia="en-ZA"/>
              </w:rPr>
              <w:t> </w:t>
            </w:r>
          </w:p>
        </w:tc>
        <w:tc>
          <w:tcPr>
            <w:tcW w:w="520" w:type="dxa"/>
            <w:tcBorders>
              <w:top w:val="nil"/>
              <w:left w:val="nil"/>
              <w:bottom w:val="single" w:sz="4" w:space="0" w:color="auto"/>
              <w:right w:val="single" w:sz="4" w:space="0" w:color="auto"/>
            </w:tcBorders>
            <w:shd w:val="clear" w:color="auto" w:fill="auto"/>
            <w:noWrap/>
            <w:vAlign w:val="center"/>
            <w:hideMark/>
          </w:tcPr>
          <w:p w14:paraId="6D95CCB7"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1.28</w:t>
            </w:r>
          </w:p>
        </w:tc>
        <w:tc>
          <w:tcPr>
            <w:tcW w:w="660" w:type="dxa"/>
            <w:tcBorders>
              <w:top w:val="nil"/>
              <w:left w:val="nil"/>
              <w:bottom w:val="single" w:sz="4" w:space="0" w:color="auto"/>
              <w:right w:val="single" w:sz="4" w:space="0" w:color="auto"/>
            </w:tcBorders>
            <w:shd w:val="clear" w:color="auto" w:fill="auto"/>
            <w:noWrap/>
            <w:vAlign w:val="center"/>
            <w:hideMark/>
          </w:tcPr>
          <w:p w14:paraId="26DB68FE"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0.60</w:t>
            </w:r>
          </w:p>
        </w:tc>
        <w:tc>
          <w:tcPr>
            <w:tcW w:w="640" w:type="dxa"/>
            <w:tcBorders>
              <w:top w:val="nil"/>
              <w:left w:val="nil"/>
              <w:bottom w:val="single" w:sz="4" w:space="0" w:color="auto"/>
              <w:right w:val="single" w:sz="4" w:space="0" w:color="auto"/>
            </w:tcBorders>
            <w:shd w:val="clear" w:color="auto" w:fill="auto"/>
            <w:noWrap/>
            <w:vAlign w:val="center"/>
            <w:hideMark/>
          </w:tcPr>
          <w:p w14:paraId="4A5797BD"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0.49</w:t>
            </w:r>
          </w:p>
        </w:tc>
        <w:tc>
          <w:tcPr>
            <w:tcW w:w="520" w:type="dxa"/>
            <w:tcBorders>
              <w:top w:val="nil"/>
              <w:left w:val="nil"/>
              <w:bottom w:val="single" w:sz="4" w:space="0" w:color="auto"/>
              <w:right w:val="single" w:sz="4" w:space="0" w:color="auto"/>
            </w:tcBorders>
            <w:shd w:val="clear" w:color="auto" w:fill="auto"/>
            <w:noWrap/>
            <w:vAlign w:val="center"/>
            <w:hideMark/>
          </w:tcPr>
          <w:p w14:paraId="1D6501BB"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0.17</w:t>
            </w:r>
          </w:p>
        </w:tc>
        <w:tc>
          <w:tcPr>
            <w:tcW w:w="520" w:type="dxa"/>
            <w:tcBorders>
              <w:top w:val="nil"/>
              <w:left w:val="nil"/>
              <w:bottom w:val="single" w:sz="4" w:space="0" w:color="auto"/>
              <w:right w:val="single" w:sz="4" w:space="0" w:color="auto"/>
            </w:tcBorders>
            <w:shd w:val="clear" w:color="auto" w:fill="auto"/>
            <w:noWrap/>
            <w:vAlign w:val="center"/>
            <w:hideMark/>
          </w:tcPr>
          <w:p w14:paraId="47003521"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0.01</w:t>
            </w:r>
          </w:p>
        </w:tc>
        <w:tc>
          <w:tcPr>
            <w:tcW w:w="600" w:type="dxa"/>
            <w:tcBorders>
              <w:top w:val="nil"/>
              <w:left w:val="nil"/>
              <w:bottom w:val="single" w:sz="4" w:space="0" w:color="auto"/>
              <w:right w:val="single" w:sz="4" w:space="0" w:color="auto"/>
            </w:tcBorders>
            <w:shd w:val="clear" w:color="auto" w:fill="auto"/>
            <w:noWrap/>
            <w:vAlign w:val="center"/>
            <w:hideMark/>
          </w:tcPr>
          <w:p w14:paraId="6E0316CA"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81.34</w:t>
            </w:r>
          </w:p>
        </w:tc>
        <w:tc>
          <w:tcPr>
            <w:tcW w:w="700" w:type="dxa"/>
            <w:tcBorders>
              <w:top w:val="nil"/>
              <w:left w:val="nil"/>
              <w:bottom w:val="single" w:sz="4" w:space="0" w:color="auto"/>
              <w:right w:val="single" w:sz="4" w:space="0" w:color="auto"/>
            </w:tcBorders>
            <w:shd w:val="clear" w:color="auto" w:fill="auto"/>
            <w:noWrap/>
            <w:vAlign w:val="center"/>
            <w:hideMark/>
          </w:tcPr>
          <w:p w14:paraId="078E417E"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929.04</w:t>
            </w:r>
          </w:p>
        </w:tc>
        <w:tc>
          <w:tcPr>
            <w:tcW w:w="640" w:type="dxa"/>
            <w:tcBorders>
              <w:top w:val="nil"/>
              <w:left w:val="nil"/>
              <w:bottom w:val="single" w:sz="4" w:space="0" w:color="auto"/>
              <w:right w:val="single" w:sz="4" w:space="0" w:color="auto"/>
            </w:tcBorders>
            <w:shd w:val="clear" w:color="auto" w:fill="auto"/>
            <w:noWrap/>
            <w:vAlign w:val="center"/>
            <w:hideMark/>
          </w:tcPr>
          <w:p w14:paraId="777326DB" w14:textId="77777777" w:rsidR="00132913" w:rsidRPr="00132913" w:rsidRDefault="00132913" w:rsidP="00132913">
            <w:pPr>
              <w:spacing w:after="0" w:line="240" w:lineRule="auto"/>
              <w:jc w:val="right"/>
              <w:rPr>
                <w:rFonts w:ascii="Calibri" w:eastAsia="Times New Roman" w:hAnsi="Calibri" w:cs="Calibri"/>
                <w:b/>
                <w:bCs/>
                <w:color w:val="000000"/>
                <w:sz w:val="16"/>
                <w:szCs w:val="16"/>
                <w:lang w:val="en-ZA" w:eastAsia="en-ZA"/>
              </w:rPr>
            </w:pPr>
            <w:r w:rsidRPr="00132913">
              <w:rPr>
                <w:rFonts w:ascii="Calibri" w:eastAsia="Times New Roman" w:hAnsi="Calibri" w:cs="Calibri"/>
                <w:b/>
                <w:bCs/>
                <w:color w:val="000000"/>
                <w:sz w:val="16"/>
                <w:szCs w:val="16"/>
                <w:lang w:val="en-ZA" w:eastAsia="en-ZA"/>
              </w:rPr>
              <w:t>3.59</w:t>
            </w:r>
          </w:p>
        </w:tc>
      </w:tr>
    </w:tbl>
    <w:p w14:paraId="0915AA6E" w14:textId="122C8F69" w:rsidR="00825D50" w:rsidRDefault="00825D50" w:rsidP="00EB7946">
      <w:pPr>
        <w:jc w:val="both"/>
        <w:rPr>
          <w:rFonts w:ascii="Calibri" w:eastAsia="Calibri" w:hAnsi="Calibri" w:cs="Times New Roman"/>
        </w:rPr>
      </w:pPr>
    </w:p>
    <w:p w14:paraId="4252E1FA" w14:textId="3C66C0B3" w:rsidR="006137BE" w:rsidRDefault="00EB7946" w:rsidP="00EB7946">
      <w:pPr>
        <w:jc w:val="both"/>
        <w:rPr>
          <w:rFonts w:ascii="Calibri" w:eastAsia="Calibri" w:hAnsi="Calibri" w:cs="Times New Roman"/>
        </w:rPr>
      </w:pPr>
      <w:r w:rsidRPr="00EB7946">
        <w:rPr>
          <w:rFonts w:ascii="Calibri" w:eastAsia="Calibri" w:hAnsi="Calibri" w:cs="Times New Roman"/>
        </w:rPr>
        <w:t xml:space="preserve">Uken (1998) noted the previously unpublished presence of </w:t>
      </w:r>
      <w:r w:rsidR="009331DE">
        <w:rPr>
          <w:rFonts w:ascii="Calibri" w:eastAsia="Calibri" w:hAnsi="Calibri" w:cs="Times New Roman"/>
        </w:rPr>
        <w:t xml:space="preserve">a “thin, up to 600 m wide sliver of granite from the </w:t>
      </w:r>
      <w:r w:rsidRPr="00EB7946">
        <w:rPr>
          <w:rFonts w:ascii="Calibri" w:eastAsia="Calibri" w:hAnsi="Calibri" w:cs="Times New Roman"/>
        </w:rPr>
        <w:t>Lebowa Granite Suite</w:t>
      </w:r>
      <w:r w:rsidR="00136877">
        <w:rPr>
          <w:rFonts w:ascii="Calibri" w:eastAsia="Calibri" w:hAnsi="Calibri" w:cs="Times New Roman"/>
        </w:rPr>
        <w:t>”</w:t>
      </w:r>
      <w:r w:rsidRPr="00EB7946">
        <w:rPr>
          <w:rFonts w:ascii="Calibri" w:eastAsia="Calibri" w:hAnsi="Calibri" w:cs="Times New Roman"/>
        </w:rPr>
        <w:t xml:space="preserve"> in contact with the eastern limb of the Phosiri Dome, which appears to have masked Critical Zone lithologies from surface mapping. These felsic rocks were subsequently lithologically classified from petrographic studies </w:t>
      </w:r>
      <w:r w:rsidR="006137BE">
        <w:rPr>
          <w:rFonts w:ascii="Calibri" w:eastAsia="Calibri" w:hAnsi="Calibri" w:cs="Times New Roman"/>
        </w:rPr>
        <w:t xml:space="preserve">from trench samples </w:t>
      </w:r>
      <w:r w:rsidRPr="00EB7946">
        <w:rPr>
          <w:rFonts w:ascii="Calibri" w:eastAsia="Calibri" w:hAnsi="Calibri" w:cs="Times New Roman"/>
        </w:rPr>
        <w:t xml:space="preserve">by </w:t>
      </w:r>
      <w:r w:rsidR="009331DE">
        <w:rPr>
          <w:rFonts w:ascii="Calibri" w:eastAsia="Calibri" w:hAnsi="Calibri" w:cs="Times New Roman"/>
        </w:rPr>
        <w:t xml:space="preserve">the </w:t>
      </w:r>
      <w:r w:rsidRPr="00EB7946">
        <w:rPr>
          <w:rFonts w:ascii="Calibri" w:eastAsia="Calibri" w:hAnsi="Calibri" w:cs="Times New Roman"/>
        </w:rPr>
        <w:t xml:space="preserve">Lesego </w:t>
      </w:r>
      <w:r w:rsidR="009331DE">
        <w:rPr>
          <w:rFonts w:ascii="Calibri" w:eastAsia="Calibri" w:hAnsi="Calibri" w:cs="Times New Roman"/>
        </w:rPr>
        <w:t xml:space="preserve">team </w:t>
      </w:r>
      <w:r w:rsidRPr="00EB7946">
        <w:rPr>
          <w:rFonts w:ascii="Calibri" w:eastAsia="Calibri" w:hAnsi="Calibri" w:cs="Times New Roman"/>
        </w:rPr>
        <w:t xml:space="preserve">as a weakly altered </w:t>
      </w:r>
      <w:r w:rsidR="00406507" w:rsidRPr="00406507">
        <w:rPr>
          <w:rFonts w:ascii="Calibri" w:eastAsia="Calibri" w:hAnsi="Calibri" w:cs="Times New Roman"/>
        </w:rPr>
        <w:t>weakly altered gabbronorite</w:t>
      </w:r>
      <w:r w:rsidRPr="00EB7946">
        <w:rPr>
          <w:rFonts w:ascii="Calibri" w:eastAsia="Calibri" w:hAnsi="Calibri" w:cs="Times New Roman"/>
        </w:rPr>
        <w:t xml:space="preserve">. </w:t>
      </w:r>
    </w:p>
    <w:p w14:paraId="5E07B474" w14:textId="45172EEB" w:rsidR="00EB7946" w:rsidRDefault="00EB7946" w:rsidP="00EB7946">
      <w:pPr>
        <w:jc w:val="both"/>
        <w:rPr>
          <w:rFonts w:ascii="Calibri" w:eastAsia="Calibri" w:hAnsi="Calibri" w:cs="Times New Roman"/>
        </w:rPr>
      </w:pPr>
      <w:r w:rsidRPr="00EB7946">
        <w:rPr>
          <w:rFonts w:ascii="Calibri" w:eastAsia="Calibri" w:hAnsi="Calibri" w:cs="Times New Roman"/>
        </w:rPr>
        <w:t xml:space="preserve">A petrographic investigation </w:t>
      </w:r>
      <w:r w:rsidR="006137BE">
        <w:rPr>
          <w:rFonts w:ascii="Calibri" w:eastAsia="Calibri" w:hAnsi="Calibri" w:cs="Times New Roman"/>
        </w:rPr>
        <w:t>(Thatcher, 2011</w:t>
      </w:r>
      <w:r w:rsidR="009331DE">
        <w:rPr>
          <w:rFonts w:ascii="Calibri" w:eastAsia="Calibri" w:hAnsi="Calibri" w:cs="Times New Roman"/>
        </w:rPr>
        <w:t xml:space="preserve">) </w:t>
      </w:r>
      <w:r w:rsidRPr="00EB7946">
        <w:rPr>
          <w:rFonts w:ascii="Calibri" w:eastAsia="Calibri" w:hAnsi="Calibri" w:cs="Times New Roman"/>
        </w:rPr>
        <w:t xml:space="preserve">of the same material from drill hole LES035 showed that the material </w:t>
      </w:r>
      <w:r w:rsidR="006137BE" w:rsidRPr="00EB7946">
        <w:rPr>
          <w:rFonts w:ascii="Calibri" w:eastAsia="Calibri" w:hAnsi="Calibri" w:cs="Times New Roman"/>
        </w:rPr>
        <w:t xml:space="preserve">consists of a weakly altered (saussuritised, chloritised, amphibolised), fine- to medium-grained (&lt;50 µm to </w:t>
      </w:r>
      <w:r w:rsidR="006137BE">
        <w:rPr>
          <w:rFonts w:ascii="Calibri" w:eastAsia="Calibri" w:hAnsi="Calibri" w:cs="Times New Roman"/>
        </w:rPr>
        <w:t>4.24 mm), igneous-</w:t>
      </w:r>
      <w:r w:rsidR="006137BE" w:rsidRPr="00EB7946">
        <w:rPr>
          <w:rFonts w:ascii="Calibri" w:eastAsia="Calibri" w:hAnsi="Calibri" w:cs="Times New Roman"/>
        </w:rPr>
        <w:t>textured rock with no obvious mineral fabrics.</w:t>
      </w:r>
      <w:r w:rsidR="00406507">
        <w:rPr>
          <w:rFonts w:ascii="Calibri" w:eastAsia="Calibri" w:hAnsi="Calibri" w:cs="Times New Roman"/>
        </w:rPr>
        <w:t xml:space="preserve"> The modal composition consisted of </w:t>
      </w:r>
      <w:r w:rsidRPr="00EB7946">
        <w:rPr>
          <w:rFonts w:ascii="Calibri" w:eastAsia="Calibri" w:hAnsi="Calibri" w:cs="Times New Roman"/>
        </w:rPr>
        <w:t>~45% plagioclase, including minor internal saussurite, ~39% clinopyroxene (augite), including minor internal alteration to hornblende, ~8.5% biotite, including minor alteration to chlorite</w:t>
      </w:r>
      <w:r w:rsidR="00406507">
        <w:rPr>
          <w:rFonts w:ascii="Calibri" w:eastAsia="Calibri" w:hAnsi="Calibri" w:cs="Times New Roman"/>
        </w:rPr>
        <w:t>,</w:t>
      </w:r>
      <w:r w:rsidRPr="00EB7946">
        <w:rPr>
          <w:rFonts w:ascii="Calibri" w:eastAsia="Calibri" w:hAnsi="Calibri" w:cs="Times New Roman"/>
        </w:rPr>
        <w:t xml:space="preserve"> 7.5% opaque mi</w:t>
      </w:r>
      <w:bookmarkStart w:id="83" w:name="_Toc349822130"/>
      <w:r w:rsidRPr="00EB7946">
        <w:rPr>
          <w:rFonts w:ascii="Calibri" w:eastAsia="Calibri" w:hAnsi="Calibri" w:cs="Times New Roman"/>
        </w:rPr>
        <w:t>nerals, and some minor apatite.</w:t>
      </w:r>
      <w:r w:rsidR="006137BE">
        <w:rPr>
          <w:rFonts w:ascii="Calibri" w:eastAsia="Calibri" w:hAnsi="Calibri" w:cs="Times New Roman"/>
        </w:rPr>
        <w:t xml:space="preserve"> It is therefore classified as </w:t>
      </w:r>
      <w:r w:rsidR="00406507">
        <w:rPr>
          <w:rFonts w:ascii="Calibri" w:eastAsia="Calibri" w:hAnsi="Calibri" w:cs="Times New Roman"/>
        </w:rPr>
        <w:t xml:space="preserve">a </w:t>
      </w:r>
      <w:r w:rsidR="00406507" w:rsidRPr="00406507">
        <w:rPr>
          <w:rFonts w:ascii="Calibri" w:eastAsia="Calibri" w:hAnsi="Calibri" w:cs="Times New Roman"/>
        </w:rPr>
        <w:t>magnetite-biotite-bearing gabbro</w:t>
      </w:r>
      <w:r w:rsidR="00406507">
        <w:rPr>
          <w:rFonts w:ascii="Calibri" w:eastAsia="Calibri" w:hAnsi="Calibri" w:cs="Times New Roman"/>
        </w:rPr>
        <w:t>.</w:t>
      </w:r>
    </w:p>
    <w:p w14:paraId="256FB707" w14:textId="77777777" w:rsidR="0085534F" w:rsidRPr="00EB7946" w:rsidRDefault="0085534F" w:rsidP="00EB7946">
      <w:pPr>
        <w:jc w:val="both"/>
        <w:rPr>
          <w:rFonts w:ascii="Calibri" w:eastAsia="Calibri" w:hAnsi="Calibri" w:cs="Times New Roman"/>
        </w:rPr>
      </w:pPr>
    </w:p>
    <w:p w14:paraId="68A2A8E5" w14:textId="62BFAD3A" w:rsidR="00EB7946" w:rsidRPr="00C04515" w:rsidRDefault="00EB7946" w:rsidP="00C04515">
      <w:pPr>
        <w:keepNext/>
        <w:keepLines/>
        <w:spacing w:before="40" w:after="0"/>
        <w:outlineLvl w:val="1"/>
        <w:rPr>
          <w:rFonts w:ascii="Calibri" w:eastAsia="Times New Roman" w:hAnsi="Calibri" w:cs="Times New Roman"/>
          <w:i/>
          <w:color w:val="000000"/>
          <w:szCs w:val="26"/>
        </w:rPr>
      </w:pPr>
      <w:bookmarkStart w:id="84" w:name="_Toc349822129"/>
      <w:bookmarkStart w:id="85" w:name="_Toc501030989"/>
      <w:bookmarkStart w:id="86" w:name="_Toc520758790"/>
      <w:bookmarkEnd w:id="83"/>
      <w:r w:rsidRPr="00C04515">
        <w:rPr>
          <w:rFonts w:ascii="Calibri" w:eastAsia="Times New Roman" w:hAnsi="Calibri" w:cs="Times New Roman"/>
          <w:i/>
          <w:color w:val="000000"/>
          <w:szCs w:val="26"/>
        </w:rPr>
        <w:t>Exploration Drilling</w:t>
      </w:r>
      <w:bookmarkEnd w:id="84"/>
      <w:bookmarkEnd w:id="85"/>
      <w:bookmarkEnd w:id="86"/>
    </w:p>
    <w:p w14:paraId="43364277" w14:textId="73877A4B"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Following on from the completion of the seismic survey, an initial series of five diamond boreholes </w:t>
      </w:r>
      <w:r w:rsidR="009D15CB">
        <w:rPr>
          <w:rFonts w:ascii="Calibri" w:eastAsia="Calibri" w:hAnsi="Calibri" w:cs="Times New Roman"/>
        </w:rPr>
        <w:t>(LES001 to LES005, Figure 15</w:t>
      </w:r>
      <w:r w:rsidR="009C4E23">
        <w:rPr>
          <w:rFonts w:ascii="Calibri" w:eastAsia="Calibri" w:hAnsi="Calibri" w:cs="Times New Roman"/>
        </w:rPr>
        <w:t xml:space="preserve">) </w:t>
      </w:r>
      <w:r w:rsidRPr="00EB7946">
        <w:rPr>
          <w:rFonts w:ascii="Calibri" w:eastAsia="Calibri" w:hAnsi="Calibri" w:cs="Times New Roman"/>
        </w:rPr>
        <w:t xml:space="preserve">were drilled along the seismic lines to test the nature of the identified reflectors and to obtain a statistically relevant sample of intersections to allow for a reasonable estimate of average global grades for both the UG2 </w:t>
      </w:r>
      <w:r w:rsidR="009C4E23" w:rsidRPr="00EB7946">
        <w:rPr>
          <w:rFonts w:ascii="Calibri" w:eastAsia="Calibri" w:hAnsi="Calibri" w:cs="Times New Roman"/>
        </w:rPr>
        <w:t xml:space="preserve">Chromitite </w:t>
      </w:r>
      <w:r w:rsidRPr="00EB7946">
        <w:rPr>
          <w:rFonts w:ascii="Calibri" w:eastAsia="Calibri" w:hAnsi="Calibri" w:cs="Times New Roman"/>
        </w:rPr>
        <w:t xml:space="preserve">and Merensky Reef. This drilling confirmed that marker horizons h_5 and h_8 </w:t>
      </w:r>
      <w:r w:rsidR="009D15CB">
        <w:rPr>
          <w:rFonts w:ascii="Calibri" w:eastAsia="Calibri" w:hAnsi="Calibri" w:cs="Times New Roman"/>
        </w:rPr>
        <w:t>(Figure</w:t>
      </w:r>
      <w:r w:rsidR="009C4E23">
        <w:rPr>
          <w:rFonts w:ascii="Calibri" w:eastAsia="Calibri" w:hAnsi="Calibri" w:cs="Times New Roman"/>
        </w:rPr>
        <w:t xml:space="preserve"> 6) </w:t>
      </w:r>
      <w:r w:rsidRPr="00EB7946">
        <w:rPr>
          <w:rFonts w:ascii="Calibri" w:eastAsia="Calibri" w:hAnsi="Calibri" w:cs="Times New Roman"/>
        </w:rPr>
        <w:t xml:space="preserve">represented the Bastard/Merensky </w:t>
      </w:r>
      <w:r w:rsidR="009C4E23">
        <w:rPr>
          <w:rFonts w:ascii="Calibri" w:eastAsia="Calibri" w:hAnsi="Calibri" w:cs="Times New Roman"/>
        </w:rPr>
        <w:t xml:space="preserve">Reef </w:t>
      </w:r>
      <w:r w:rsidRPr="00EB7946">
        <w:rPr>
          <w:rFonts w:ascii="Calibri" w:eastAsia="Calibri" w:hAnsi="Calibri" w:cs="Times New Roman"/>
        </w:rPr>
        <w:t xml:space="preserve">and UG2 </w:t>
      </w:r>
      <w:r w:rsidR="009C4E23" w:rsidRPr="00EB7946">
        <w:rPr>
          <w:rFonts w:ascii="Calibri" w:eastAsia="Calibri" w:hAnsi="Calibri" w:cs="Times New Roman"/>
        </w:rPr>
        <w:t xml:space="preserve">Chromitite </w:t>
      </w:r>
      <w:r w:rsidRPr="00EB7946">
        <w:rPr>
          <w:rFonts w:ascii="Calibri" w:eastAsia="Calibri" w:hAnsi="Calibri" w:cs="Times New Roman"/>
        </w:rPr>
        <w:t>layers respectively.</w:t>
      </w:r>
    </w:p>
    <w:p w14:paraId="13A0B0F1" w14:textId="106EBC91"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A further 51 diamond boreholes </w:t>
      </w:r>
      <w:r w:rsidR="009D15CB">
        <w:rPr>
          <w:rFonts w:ascii="Calibri" w:eastAsia="Calibri" w:hAnsi="Calibri" w:cs="Times New Roman"/>
        </w:rPr>
        <w:t xml:space="preserve">(Figure 15) </w:t>
      </w:r>
      <w:r w:rsidRPr="00EB7946">
        <w:rPr>
          <w:rFonts w:ascii="Calibri" w:eastAsia="Calibri" w:hAnsi="Calibri" w:cs="Times New Roman"/>
        </w:rPr>
        <w:t>successfully delineated both the Merensky and UG2 reefs from 350 m below surface down to 2,250 m. Both reefs show a strike extent of approximately 2,000 m at 350 m depth but this</w:t>
      </w:r>
      <w:r w:rsidR="009C4E23">
        <w:rPr>
          <w:rFonts w:ascii="Calibri" w:eastAsia="Calibri" w:hAnsi="Calibri" w:cs="Times New Roman"/>
        </w:rPr>
        <w:t xml:space="preserve"> strike length</w:t>
      </w:r>
      <w:r w:rsidRPr="00EB7946">
        <w:rPr>
          <w:rFonts w:ascii="Calibri" w:eastAsia="Calibri" w:hAnsi="Calibri" w:cs="Times New Roman"/>
        </w:rPr>
        <w:t xml:space="preserve"> increases considerably at approximately 700 m below surface, and then </w:t>
      </w:r>
      <w:r w:rsidR="009D15CB">
        <w:rPr>
          <w:rFonts w:ascii="Calibri" w:eastAsia="Calibri" w:hAnsi="Calibri" w:cs="Times New Roman"/>
        </w:rPr>
        <w:t xml:space="preserve">to approximately 3,500 m </w:t>
      </w:r>
      <w:r w:rsidRPr="00EB7946">
        <w:rPr>
          <w:rFonts w:ascii="Calibri" w:eastAsia="Calibri" w:hAnsi="Calibri" w:cs="Times New Roman"/>
        </w:rPr>
        <w:t xml:space="preserve">at 1,200 m </w:t>
      </w:r>
      <w:r w:rsidR="009C4E23">
        <w:rPr>
          <w:rFonts w:ascii="Calibri" w:eastAsia="Calibri" w:hAnsi="Calibri" w:cs="Times New Roman"/>
        </w:rPr>
        <w:t xml:space="preserve">depth </w:t>
      </w:r>
      <w:r w:rsidRPr="00EB7946">
        <w:rPr>
          <w:rFonts w:ascii="Calibri" w:eastAsia="Calibri" w:hAnsi="Calibri" w:cs="Times New Roman"/>
        </w:rPr>
        <w:t>and the reefs achieve a full ~7,000 m of strike length at approximately 1,600 m below surface (</w:t>
      </w:r>
      <w:r w:rsidR="000B15ED" w:rsidRPr="000B15ED">
        <w:rPr>
          <w:rFonts w:ascii="Calibri" w:eastAsia="Calibri" w:hAnsi="Calibri" w:cs="Times New Roman"/>
        </w:rPr>
        <w:t>Figure 12</w:t>
      </w:r>
      <w:r w:rsidRPr="00EB7946">
        <w:rPr>
          <w:rFonts w:ascii="Calibri" w:eastAsia="Calibri" w:hAnsi="Calibri" w:cs="Times New Roman"/>
        </w:rPr>
        <w:t>). It is postulated that the Phosiri Dome restricted the formation of the reefs to the north and south of the shallow portions of the ore body</w:t>
      </w:r>
      <w:r w:rsidR="00352C44">
        <w:rPr>
          <w:rFonts w:ascii="Calibri" w:eastAsia="Calibri" w:hAnsi="Calibri" w:cs="Times New Roman"/>
        </w:rPr>
        <w:t xml:space="preserve"> </w:t>
      </w:r>
      <w:r w:rsidRPr="00EB7946">
        <w:rPr>
          <w:rFonts w:ascii="Calibri" w:eastAsia="Calibri" w:hAnsi="Calibri" w:cs="Times New Roman"/>
        </w:rPr>
        <w:t xml:space="preserve">and a synclinal structure along the eastern flank of the Phosiri Dome </w:t>
      </w:r>
      <w:r w:rsidR="00352C44">
        <w:rPr>
          <w:rFonts w:ascii="Calibri" w:eastAsia="Calibri" w:hAnsi="Calibri" w:cs="Times New Roman"/>
        </w:rPr>
        <w:t xml:space="preserve">with the fold hinge plunging at </w:t>
      </w:r>
      <w:r w:rsidR="00352C44" w:rsidRPr="00EB7946">
        <w:rPr>
          <w:rFonts w:ascii="Calibri" w:eastAsia="Calibri" w:hAnsi="Calibri" w:cs="Times New Roman"/>
        </w:rPr>
        <w:t>80°</w:t>
      </w:r>
      <w:r w:rsidR="00352C44">
        <w:rPr>
          <w:rFonts w:ascii="Calibri" w:eastAsia="Calibri" w:hAnsi="Calibri" w:cs="Times New Roman"/>
        </w:rPr>
        <w:t xml:space="preserve"> in westerly direction</w:t>
      </w:r>
      <w:r w:rsidR="00352C44" w:rsidRPr="00EB7946">
        <w:rPr>
          <w:rFonts w:ascii="Calibri" w:eastAsia="Calibri" w:hAnsi="Calibri" w:cs="Times New Roman"/>
        </w:rPr>
        <w:t xml:space="preserve"> </w:t>
      </w:r>
      <w:r w:rsidR="00352C44">
        <w:rPr>
          <w:rFonts w:ascii="Calibri" w:eastAsia="Calibri" w:hAnsi="Calibri" w:cs="Times New Roman"/>
        </w:rPr>
        <w:t>(Fig</w:t>
      </w:r>
      <w:r w:rsidR="009D15CB">
        <w:rPr>
          <w:rFonts w:ascii="Calibri" w:eastAsia="Calibri" w:hAnsi="Calibri" w:cs="Times New Roman"/>
        </w:rPr>
        <w:t>ure</w:t>
      </w:r>
      <w:r w:rsidR="00352C44">
        <w:rPr>
          <w:rFonts w:ascii="Calibri" w:eastAsia="Calibri" w:hAnsi="Calibri" w:cs="Times New Roman"/>
        </w:rPr>
        <w:t xml:space="preserve"> 12) provided</w:t>
      </w:r>
      <w:r w:rsidRPr="00EB7946">
        <w:rPr>
          <w:rFonts w:ascii="Calibri" w:eastAsia="Calibri" w:hAnsi="Calibri" w:cs="Times New Roman"/>
        </w:rPr>
        <w:t xml:space="preserve"> enough space to accommodate the formation of the reefs</w:t>
      </w:r>
      <w:r w:rsidR="009D15CB">
        <w:rPr>
          <w:rFonts w:ascii="Calibri" w:eastAsia="Calibri" w:hAnsi="Calibri" w:cs="Times New Roman"/>
        </w:rPr>
        <w:t xml:space="preserve"> within the Critical Zone package</w:t>
      </w:r>
      <w:r w:rsidRPr="00EB7946">
        <w:rPr>
          <w:rFonts w:ascii="Calibri" w:eastAsia="Calibri" w:hAnsi="Calibri" w:cs="Times New Roman"/>
        </w:rPr>
        <w:t>. The Phosiri Dome has had a dramatic effect on the orientation of the reefs close to the flanks of the Dome. At a depth of 350 m, the reefs dip at approximately 80°</w:t>
      </w:r>
      <w:r w:rsidR="00352C44">
        <w:rPr>
          <w:rFonts w:ascii="Calibri" w:eastAsia="Calibri" w:hAnsi="Calibri" w:cs="Times New Roman"/>
        </w:rPr>
        <w:t xml:space="preserve"> to the east</w:t>
      </w:r>
      <w:r w:rsidRPr="00EB7946">
        <w:rPr>
          <w:rFonts w:ascii="Calibri" w:eastAsia="Calibri" w:hAnsi="Calibri" w:cs="Times New Roman"/>
        </w:rPr>
        <w:t xml:space="preserve">, gradually changing to ~30° at 1,200 m depth below </w:t>
      </w:r>
      <w:r w:rsidR="00352C44" w:rsidRPr="00EB7946">
        <w:rPr>
          <w:rFonts w:ascii="Calibri" w:eastAsia="Calibri" w:hAnsi="Calibri" w:cs="Times New Roman"/>
        </w:rPr>
        <w:t>surface and</w:t>
      </w:r>
      <w:r w:rsidRPr="00EB7946">
        <w:rPr>
          <w:rFonts w:ascii="Calibri" w:eastAsia="Calibri" w:hAnsi="Calibri" w:cs="Times New Roman"/>
        </w:rPr>
        <w:t xml:space="preserve"> flattening out to a constant 10° </w:t>
      </w:r>
      <w:r w:rsidR="00352C44">
        <w:rPr>
          <w:rFonts w:ascii="Calibri" w:eastAsia="Calibri" w:hAnsi="Calibri" w:cs="Times New Roman"/>
        </w:rPr>
        <w:t xml:space="preserve">towards the east </w:t>
      </w:r>
      <w:r w:rsidRPr="00EB7946">
        <w:rPr>
          <w:rFonts w:ascii="Calibri" w:eastAsia="Calibri" w:hAnsi="Calibri" w:cs="Times New Roman"/>
        </w:rPr>
        <w:t>at 1,600 m below surface (Fig</w:t>
      </w:r>
      <w:r w:rsidR="009D15CB">
        <w:rPr>
          <w:rFonts w:ascii="Calibri" w:eastAsia="Calibri" w:hAnsi="Calibri" w:cs="Times New Roman"/>
        </w:rPr>
        <w:t>ure</w:t>
      </w:r>
      <w:r w:rsidRPr="00EB7946">
        <w:rPr>
          <w:rFonts w:ascii="Calibri" w:eastAsia="Calibri" w:hAnsi="Calibri" w:cs="Times New Roman"/>
        </w:rPr>
        <w:t xml:space="preserve"> 1</w:t>
      </w:r>
      <w:r w:rsidR="00352C44">
        <w:rPr>
          <w:rFonts w:ascii="Calibri" w:eastAsia="Calibri" w:hAnsi="Calibri" w:cs="Times New Roman"/>
        </w:rPr>
        <w:t>2</w:t>
      </w:r>
      <w:r w:rsidRPr="00EB7946">
        <w:rPr>
          <w:rFonts w:ascii="Calibri" w:eastAsia="Calibri" w:hAnsi="Calibri" w:cs="Times New Roman"/>
        </w:rPr>
        <w:t>).</w:t>
      </w:r>
    </w:p>
    <w:p w14:paraId="16B0BBA2" w14:textId="09AA6881" w:rsidR="00EB7946" w:rsidRPr="00EB7946" w:rsidRDefault="00352C44" w:rsidP="00EB7946">
      <w:pPr>
        <w:rPr>
          <w:rFonts w:ascii="Calibri" w:eastAsia="Calibri" w:hAnsi="Calibri" w:cs="Times New Roman"/>
        </w:rPr>
      </w:pPr>
      <w:r>
        <w:rPr>
          <w:rFonts w:ascii="Calibri" w:eastAsia="Calibri" w:hAnsi="Calibri" w:cs="Times New Roman"/>
          <w:noProof/>
        </w:rPr>
        <mc:AlternateContent>
          <mc:Choice Requires="wps">
            <w:drawing>
              <wp:anchor distT="0" distB="0" distL="114300" distR="114300" simplePos="0" relativeHeight="251662336" behindDoc="0" locked="0" layoutInCell="1" allowOverlap="1" wp14:anchorId="012C7985" wp14:editId="23757317">
                <wp:simplePos x="0" y="0"/>
                <wp:positionH relativeFrom="column">
                  <wp:posOffset>3023235</wp:posOffset>
                </wp:positionH>
                <wp:positionV relativeFrom="paragraph">
                  <wp:posOffset>441325</wp:posOffset>
                </wp:positionV>
                <wp:extent cx="914400" cy="266700"/>
                <wp:effectExtent l="0" t="0" r="83502" b="0"/>
                <wp:wrapNone/>
                <wp:docPr id="42" name="Text Box 42"/>
                <wp:cNvGraphicFramePr/>
                <a:graphic xmlns:a="http://schemas.openxmlformats.org/drawingml/2006/main">
                  <a:graphicData uri="http://schemas.microsoft.com/office/word/2010/wordprocessingShape">
                    <wps:wsp>
                      <wps:cNvSpPr txBox="1"/>
                      <wps:spPr>
                        <a:xfrm rot="3737952">
                          <a:off x="0" y="0"/>
                          <a:ext cx="914400" cy="266700"/>
                        </a:xfrm>
                        <a:prstGeom prst="rect">
                          <a:avLst/>
                        </a:prstGeom>
                        <a:noFill/>
                        <a:ln w="6350">
                          <a:noFill/>
                        </a:ln>
                      </wps:spPr>
                      <wps:txbx>
                        <w:txbxContent>
                          <w:p w14:paraId="7CC205BF" w14:textId="4EAB418B" w:rsidR="002645B6" w:rsidRPr="00352C44" w:rsidRDefault="002645B6">
                            <w:pPr>
                              <w:rPr>
                                <w:color w:val="FFFFFF" w:themeColor="background1"/>
                                <w:sz w:val="18"/>
                                <w:lang w:val="en-ZA"/>
                              </w:rPr>
                            </w:pPr>
                            <w:r w:rsidRPr="00352C44">
                              <w:rPr>
                                <w:color w:val="FFFFFF" w:themeColor="background1"/>
                                <w:sz w:val="18"/>
                                <w:lang w:val="en-ZA"/>
                              </w:rPr>
                              <w:t>Fold hinge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2C7985" id="Text Box 42" o:spid="_x0000_s1027" type="#_x0000_t202" style="position:absolute;margin-left:238.05pt;margin-top:34.75pt;width:1in;height:21pt;rotation:4082840fd;z-index:2516623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" filled="f" stroked="f" strokeweight=".5pt">
                <v:textbox>
                  <w:txbxContent>
                    <w:p w14:paraId="7CC205BF" w14:textId="4EAB418B" w:rsidR="002645B6" w:rsidRPr="00352C44" w:rsidRDefault="002645B6">
                      <w:pPr>
                        <w:rPr>
                          <w:color w:val="FFFFFF" w:themeColor="background1"/>
                          <w:sz w:val="18"/>
                          <w:lang w:val="en-ZA"/>
                        </w:rPr>
                      </w:pPr>
                      <w:r w:rsidRPr="00352C44">
                        <w:rPr>
                          <w:color w:val="FFFFFF" w:themeColor="background1"/>
                          <w:sz w:val="18"/>
                          <w:lang w:val="en-ZA"/>
                        </w:rPr>
                        <w:t>Fold hinge</w:t>
                      </w:r>
                    </w:p>
                  </w:txbxContent>
                </v:textbox>
              </v:shape>
            </w:pict>
          </mc:Fallback>
        </mc:AlternateContent>
      </w:r>
      <w:r>
        <w:rPr>
          <w:rFonts w:ascii="Calibri" w:eastAsia="Calibri" w:hAnsi="Calibri" w:cs="Times New Roman"/>
          <w:noProof/>
        </w:rPr>
        <mc:AlternateContent>
          <mc:Choice Requires="wps">
            <w:drawing>
              <wp:anchor distT="0" distB="0" distL="114300" distR="114300" simplePos="0" relativeHeight="251664384" behindDoc="0" locked="0" layoutInCell="1" allowOverlap="1" wp14:anchorId="2DD8C43D" wp14:editId="5273971E">
                <wp:simplePos x="0" y="0"/>
                <wp:positionH relativeFrom="column">
                  <wp:posOffset>375285</wp:posOffset>
                </wp:positionH>
                <wp:positionV relativeFrom="paragraph">
                  <wp:posOffset>523240</wp:posOffset>
                </wp:positionV>
                <wp:extent cx="914400" cy="266700"/>
                <wp:effectExtent l="11748" t="0" r="64452" b="0"/>
                <wp:wrapNone/>
                <wp:docPr id="43" name="Text Box 43"/>
                <wp:cNvGraphicFramePr/>
                <a:graphic xmlns:a="http://schemas.openxmlformats.org/drawingml/2006/main">
                  <a:graphicData uri="http://schemas.microsoft.com/office/word/2010/wordprocessingShape">
                    <wps:wsp>
                      <wps:cNvSpPr txBox="1"/>
                      <wps:spPr>
                        <a:xfrm rot="3842609">
                          <a:off x="0" y="0"/>
                          <a:ext cx="914400" cy="266700"/>
                        </a:xfrm>
                        <a:prstGeom prst="rect">
                          <a:avLst/>
                        </a:prstGeom>
                        <a:noFill/>
                        <a:ln w="6350">
                          <a:noFill/>
                        </a:ln>
                      </wps:spPr>
                      <wps:txbx>
                        <w:txbxContent>
                          <w:p w14:paraId="6C1E049E" w14:textId="77777777" w:rsidR="002645B6" w:rsidRPr="00352C44" w:rsidRDefault="002645B6" w:rsidP="00352C44">
                            <w:pPr>
                              <w:rPr>
                                <w:color w:val="FFFFFF" w:themeColor="background1"/>
                                <w:sz w:val="18"/>
                                <w:lang w:val="en-ZA"/>
                              </w:rPr>
                            </w:pPr>
                            <w:r w:rsidRPr="00352C44">
                              <w:rPr>
                                <w:color w:val="FFFFFF" w:themeColor="background1"/>
                                <w:sz w:val="18"/>
                                <w:lang w:val="en-ZA"/>
                              </w:rPr>
                              <w:t>Fold hinge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D8C43D" id="Text Box 43" o:spid="_x0000_s1028" type="#_x0000_t202" style="position:absolute;margin-left:29.55pt;margin-top:41.2pt;width:1in;height:21pt;rotation:4197154fd;z-index:25166438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" filled="f" stroked="f" strokeweight=".5pt">
                <v:textbox>
                  <w:txbxContent>
                    <w:p w14:paraId="6C1E049E" w14:textId="77777777" w:rsidR="002645B6" w:rsidRPr="00352C44" w:rsidRDefault="002645B6" w:rsidP="00352C44">
                      <w:pPr>
                        <w:rPr>
                          <w:color w:val="FFFFFF" w:themeColor="background1"/>
                          <w:sz w:val="18"/>
                          <w:lang w:val="en-ZA"/>
                        </w:rPr>
                      </w:pPr>
                      <w:r w:rsidRPr="00352C44">
                        <w:rPr>
                          <w:color w:val="FFFFFF" w:themeColor="background1"/>
                          <w:sz w:val="18"/>
                          <w:lang w:val="en-ZA"/>
                        </w:rPr>
                        <w:t>Fold hinge</w:t>
                      </w:r>
                    </w:p>
                  </w:txbxContent>
                </v:textbox>
              </v:shape>
            </w:pict>
          </mc:Fallback>
        </mc:AlternateContent>
      </w:r>
      <w:r>
        <w:rPr>
          <w:rFonts w:ascii="Calibri" w:eastAsia="Calibri" w:hAnsi="Calibri" w:cs="Times New Roman"/>
          <w:noProof/>
        </w:rPr>
        <mc:AlternateContent>
          <mc:Choice Requires="wps">
            <w:drawing>
              <wp:anchor distT="0" distB="0" distL="114300" distR="114300" simplePos="0" relativeHeight="251661312" behindDoc="0" locked="0" layoutInCell="1" allowOverlap="1" wp14:anchorId="67D99502" wp14:editId="582C9A32">
                <wp:simplePos x="0" y="0"/>
                <wp:positionH relativeFrom="column">
                  <wp:posOffset>632460</wp:posOffset>
                </wp:positionH>
                <wp:positionV relativeFrom="paragraph">
                  <wp:posOffset>342265</wp:posOffset>
                </wp:positionV>
                <wp:extent cx="228600" cy="447675"/>
                <wp:effectExtent l="0" t="0" r="57150" b="47625"/>
                <wp:wrapNone/>
                <wp:docPr id="41" name="Straight Arrow Connector 41"/>
                <wp:cNvGraphicFramePr/>
                <a:graphic xmlns:a="http://schemas.openxmlformats.org/drawingml/2006/main">
                  <a:graphicData uri="http://schemas.microsoft.com/office/word/2010/wordprocessingShape">
                    <wps:wsp>
                      <wps:cNvCnPr/>
                      <wps:spPr>
                        <a:xfrm>
                          <a:off x="0" y="0"/>
                          <a:ext cx="228600" cy="447675"/>
                        </a:xfrm>
                        <a:prstGeom prst="straightConnector1">
                          <a:avLst/>
                        </a:prstGeom>
                        <a:ln>
                          <a:solidFill>
                            <a:schemeClr val="bg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8E0B4B6" id="_x0000_t32" coordsize="21600,21600" o:spt="32" o:oned="t" path="m,l21600,21600e" filled="f">
                <v:path arrowok="t" fillok="f" o:connecttype="none"/>
                <o:lock v:ext="edit" shapetype="t"/>
              </v:shapetype>
              <v:shape id="Straight Arrow Connector 41" o:spid="_x0000_s1026" type="#_x0000_t32" style="position:absolute;margin-left:49.8pt;margin-top:26.95pt;width:18pt;height:3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" strokecolor="white [3212]" strokeweight=".5pt">
                <v:stroke dashstyle="dash" endarrow="block" joinstyle="miter"/>
              </v:shape>
            </w:pict>
          </mc:Fallback>
        </mc:AlternateContent>
      </w:r>
      <w:r>
        <w:rPr>
          <w:rFonts w:ascii="Calibri" w:eastAsia="Calibri" w:hAnsi="Calibri" w:cs="Times New Roman"/>
          <w:noProof/>
        </w:rPr>
        <mc:AlternateContent>
          <mc:Choice Requires="wps">
            <w:drawing>
              <wp:anchor distT="0" distB="0" distL="114300" distR="114300" simplePos="0" relativeHeight="251659264" behindDoc="0" locked="0" layoutInCell="1" allowOverlap="1" wp14:anchorId="2ED6E763" wp14:editId="2AFFCF42">
                <wp:simplePos x="0" y="0"/>
                <wp:positionH relativeFrom="column">
                  <wp:posOffset>3270885</wp:posOffset>
                </wp:positionH>
                <wp:positionV relativeFrom="paragraph">
                  <wp:posOffset>247015</wp:posOffset>
                </wp:positionV>
                <wp:extent cx="276225" cy="542925"/>
                <wp:effectExtent l="0" t="0" r="47625" b="47625"/>
                <wp:wrapNone/>
                <wp:docPr id="40" name="Straight Arrow Connector 40"/>
                <wp:cNvGraphicFramePr/>
                <a:graphic xmlns:a="http://schemas.openxmlformats.org/drawingml/2006/main">
                  <a:graphicData uri="http://schemas.microsoft.com/office/word/2010/wordprocessingShape">
                    <wps:wsp>
                      <wps:cNvCnPr/>
                      <wps:spPr>
                        <a:xfrm>
                          <a:off x="0" y="0"/>
                          <a:ext cx="276225" cy="542925"/>
                        </a:xfrm>
                        <a:prstGeom prst="straightConnector1">
                          <a:avLst/>
                        </a:prstGeom>
                        <a:ln>
                          <a:solidFill>
                            <a:schemeClr val="bg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3B0B51B" id="Straight Arrow Connector 40" o:spid="_x0000_s1026" type="#_x0000_t32" style="position:absolute;margin-left:257.55pt;margin-top:19.45pt;width:21.7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" strokecolor="white [3212]" strokeweight=".5pt">
                <v:stroke dashstyle="dash" endarrow="block" joinstyle="miter"/>
              </v:shape>
            </w:pict>
          </mc:Fallback>
        </mc:AlternateContent>
      </w:r>
      <w:r w:rsidR="00EB7946" w:rsidRPr="00EB7946">
        <w:rPr>
          <w:rFonts w:ascii="Calibri" w:eastAsia="Calibri" w:hAnsi="Calibri" w:cs="Times New Roman"/>
          <w:noProof/>
        </w:rPr>
        <w:drawing>
          <wp:inline distT="0" distB="0" distL="0" distR="0" wp14:anchorId="11C92CAC" wp14:editId="6DC387A4">
            <wp:extent cx="6120765" cy="208407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20765" cy="2084070"/>
                    </a:xfrm>
                    <a:prstGeom prst="rect">
                      <a:avLst/>
                    </a:prstGeom>
                  </pic:spPr>
                </pic:pic>
              </a:graphicData>
            </a:graphic>
          </wp:inline>
        </w:drawing>
      </w:r>
    </w:p>
    <w:p w14:paraId="151B0487" w14:textId="5DDFB9B9" w:rsidR="00EB7946" w:rsidRPr="00E928C2" w:rsidRDefault="00352C44" w:rsidP="00E928C2">
      <w:pPr>
        <w:pStyle w:val="Caption"/>
        <w:jc w:val="both"/>
      </w:pPr>
      <w:bookmarkStart w:id="87" w:name="_Toc520757563"/>
      <w:r>
        <w:t xml:space="preserve">Figure </w:t>
      </w:r>
      <w:fldSimple w:instr=" SEQ Figure \* ARABIC ">
        <w:r w:rsidR="002645B6">
          <w:rPr>
            <w:noProof/>
          </w:rPr>
          <w:t>12</w:t>
        </w:r>
      </w:fldSimple>
      <w:r w:rsidR="00EB7946" w:rsidRPr="00E928C2">
        <w:t>: Wireframe model showing the extent and dip of the Merensky Reef (image on the left) and UG2 chromitite (image on the right) looking from the southeast towards the eastern flank of the dome</w:t>
      </w:r>
      <w:r w:rsidRPr="00E928C2">
        <w:t>.</w:t>
      </w:r>
      <w:bookmarkEnd w:id="87"/>
    </w:p>
    <w:p w14:paraId="423F0EDC" w14:textId="05B3E546" w:rsidR="0085534F" w:rsidRDefault="0085534F" w:rsidP="0085534F">
      <w:pPr>
        <w:jc w:val="both"/>
        <w:rPr>
          <w:rFonts w:ascii="Calibri" w:eastAsia="Calibri" w:hAnsi="Calibri" w:cs="Times New Roman"/>
          <w:lang w:val="en-GB"/>
        </w:rPr>
      </w:pPr>
      <w:r w:rsidRPr="00EB7946">
        <w:rPr>
          <w:rFonts w:ascii="Calibri" w:eastAsia="Calibri" w:hAnsi="Calibri" w:cs="Times New Roman"/>
          <w:lang w:val="en-GB"/>
        </w:rPr>
        <w:t xml:space="preserve">Between depths of approximately 350 m and surface on Spelonk and Olifantspoort, there appears to be an extensive amount of </w:t>
      </w:r>
      <w:r w:rsidR="00013237">
        <w:rPr>
          <w:rFonts w:ascii="Calibri" w:eastAsia="Calibri" w:hAnsi="Calibri" w:cs="Times New Roman"/>
          <w:lang w:val="en-GB"/>
        </w:rPr>
        <w:t xml:space="preserve">gabbroic material contaminated with </w:t>
      </w:r>
      <w:r>
        <w:rPr>
          <w:rFonts w:ascii="Calibri" w:eastAsia="Calibri" w:hAnsi="Calibri" w:cs="Times New Roman"/>
          <w:lang w:val="en-GB"/>
        </w:rPr>
        <w:t xml:space="preserve">anatectic </w:t>
      </w:r>
      <w:r w:rsidRPr="00EB7946">
        <w:rPr>
          <w:rFonts w:ascii="Calibri" w:eastAsia="Calibri" w:hAnsi="Calibri" w:cs="Times New Roman"/>
          <w:lang w:val="en-GB"/>
        </w:rPr>
        <w:t xml:space="preserve">melt </w:t>
      </w:r>
      <w:r w:rsidR="009D15CB">
        <w:rPr>
          <w:rFonts w:ascii="Calibri" w:eastAsia="Calibri" w:hAnsi="Calibri" w:cs="Times New Roman"/>
          <w:lang w:val="en-GB"/>
        </w:rPr>
        <w:t>(Figure</w:t>
      </w:r>
      <w:r w:rsidR="00281CAB">
        <w:rPr>
          <w:rFonts w:ascii="Calibri" w:eastAsia="Calibri" w:hAnsi="Calibri" w:cs="Times New Roman"/>
          <w:lang w:val="en-GB"/>
        </w:rPr>
        <w:t xml:space="preserve"> 13) </w:t>
      </w:r>
      <w:r w:rsidR="00013237">
        <w:rPr>
          <w:rFonts w:ascii="Calibri" w:eastAsia="Calibri" w:hAnsi="Calibri" w:cs="Times New Roman"/>
          <w:lang w:val="en-GB"/>
        </w:rPr>
        <w:t>from floor (or possibly roof) metasedimentary rocks</w:t>
      </w:r>
      <w:r w:rsidRPr="00EB7946">
        <w:rPr>
          <w:rFonts w:ascii="Calibri" w:eastAsia="Calibri" w:hAnsi="Calibri" w:cs="Times New Roman"/>
          <w:lang w:val="en-GB"/>
        </w:rPr>
        <w:t xml:space="preserve">, which </w:t>
      </w:r>
      <w:r w:rsidR="00013237">
        <w:rPr>
          <w:rFonts w:ascii="Calibri" w:eastAsia="Calibri" w:hAnsi="Calibri" w:cs="Times New Roman"/>
          <w:lang w:val="en-GB"/>
        </w:rPr>
        <w:t xml:space="preserve">have intruded into </w:t>
      </w:r>
      <w:r w:rsidRPr="00EB7946">
        <w:rPr>
          <w:rFonts w:ascii="Calibri" w:eastAsia="Calibri" w:hAnsi="Calibri" w:cs="Times New Roman"/>
          <w:lang w:val="en-GB"/>
        </w:rPr>
        <w:t>the mafic</w:t>
      </w:r>
      <w:r w:rsidR="00013237">
        <w:rPr>
          <w:rFonts w:ascii="Calibri" w:eastAsia="Calibri" w:hAnsi="Calibri" w:cs="Times New Roman"/>
          <w:lang w:val="en-GB"/>
        </w:rPr>
        <w:t>-ultramafic</w:t>
      </w:r>
      <w:r w:rsidRPr="00EB7946">
        <w:rPr>
          <w:rFonts w:ascii="Calibri" w:eastAsia="Calibri" w:hAnsi="Calibri" w:cs="Times New Roman"/>
          <w:lang w:val="en-GB"/>
        </w:rPr>
        <w:t xml:space="preserve"> rocks of the Rustenburg Layered Suite. This may have possibly played a role in obliterating any Critical Zone rocks </w:t>
      </w:r>
      <w:r>
        <w:rPr>
          <w:rFonts w:ascii="Calibri" w:eastAsia="Calibri" w:hAnsi="Calibri" w:cs="Times New Roman"/>
          <w:lang w:val="en-GB"/>
        </w:rPr>
        <w:t xml:space="preserve">on surface </w:t>
      </w:r>
      <w:r w:rsidRPr="00EB7946">
        <w:rPr>
          <w:rFonts w:ascii="Calibri" w:eastAsia="Calibri" w:hAnsi="Calibri" w:cs="Times New Roman"/>
          <w:lang w:val="en-GB"/>
        </w:rPr>
        <w:t xml:space="preserve">adjacent to the eastern flank of the dome on Olifantspoort and the southern portions of Spelonk, save for a small window of Critical Zone rocks mapped in trenches directly adjacent to the dome, as highlighted by the soil chrome anomaly in </w:t>
      </w:r>
      <w:r w:rsidRPr="00EB7946">
        <w:rPr>
          <w:rFonts w:ascii="Calibri" w:eastAsia="Calibri" w:hAnsi="Calibri" w:cs="Times New Roman"/>
          <w:lang w:val="en-GB"/>
        </w:rPr>
        <w:fldChar w:fldCharType="begin"/>
      </w:r>
      <w:r w:rsidRPr="00EB7946">
        <w:rPr>
          <w:rFonts w:ascii="Calibri" w:eastAsia="Calibri" w:hAnsi="Calibri" w:cs="Times New Roman"/>
          <w:lang w:val="en-GB"/>
        </w:rPr>
        <w:instrText xml:space="preserve"> REF _Ref506592284 \h  \* MERGEFORMAT </w:instrText>
      </w:r>
      <w:r w:rsidRPr="00EB7946">
        <w:rPr>
          <w:rFonts w:ascii="Calibri" w:eastAsia="Calibri" w:hAnsi="Calibri" w:cs="Times New Roman"/>
          <w:lang w:val="en-GB"/>
        </w:rPr>
      </w:r>
      <w:r w:rsidRPr="00EB7946">
        <w:rPr>
          <w:rFonts w:ascii="Calibri" w:eastAsia="Calibri" w:hAnsi="Calibri" w:cs="Times New Roman"/>
          <w:lang w:val="en-GB"/>
        </w:rPr>
        <w:fldChar w:fldCharType="separate"/>
      </w:r>
      <w:r w:rsidR="002645B6" w:rsidRPr="002645B6">
        <w:rPr>
          <w:rFonts w:ascii="Calibri" w:eastAsia="Calibri" w:hAnsi="Calibri" w:cs="Times New Roman"/>
        </w:rPr>
        <w:t>Figure 11</w:t>
      </w:r>
      <w:r w:rsidRPr="00EB7946">
        <w:rPr>
          <w:rFonts w:ascii="Calibri" w:eastAsia="Calibri" w:hAnsi="Calibri" w:cs="Times New Roman"/>
          <w:lang w:val="en-GB"/>
        </w:rPr>
        <w:fldChar w:fldCharType="end"/>
      </w:r>
      <w:r w:rsidRPr="00EB7946">
        <w:rPr>
          <w:rFonts w:ascii="Calibri" w:eastAsia="Calibri" w:hAnsi="Calibri" w:cs="Times New Roman"/>
          <w:lang w:val="en-GB"/>
        </w:rPr>
        <w:t>.</w:t>
      </w:r>
    </w:p>
    <w:p w14:paraId="49837EE1" w14:textId="41481124" w:rsidR="008A1473" w:rsidRDefault="00013237" w:rsidP="0085534F">
      <w:pPr>
        <w:jc w:val="both"/>
        <w:rPr>
          <w:rFonts w:ascii="Calibri" w:eastAsia="Calibri" w:hAnsi="Calibri" w:cs="Times New Roman"/>
          <w:lang w:val="en-GB"/>
        </w:rPr>
      </w:pPr>
      <w:r>
        <w:rPr>
          <w:rFonts w:ascii="Calibri" w:eastAsia="Calibri" w:hAnsi="Calibri" w:cs="Times New Roman"/>
          <w:noProof/>
        </w:rPr>
        <w:lastRenderedPageBreak/>
        <mc:AlternateContent>
          <mc:Choice Requires="wps">
            <w:drawing>
              <wp:anchor distT="0" distB="0" distL="114300" distR="114300" simplePos="0" relativeHeight="251672576" behindDoc="0" locked="0" layoutInCell="1" allowOverlap="1" wp14:anchorId="04C672AA" wp14:editId="596A16A9">
                <wp:simplePos x="0" y="0"/>
                <wp:positionH relativeFrom="column">
                  <wp:posOffset>272719</wp:posOffset>
                </wp:positionH>
                <wp:positionV relativeFrom="paragraph">
                  <wp:posOffset>715010</wp:posOffset>
                </wp:positionV>
                <wp:extent cx="87464" cy="524786"/>
                <wp:effectExtent l="0" t="38100" r="65405" b="27940"/>
                <wp:wrapNone/>
                <wp:docPr id="11" name="Straight Arrow Connector 11"/>
                <wp:cNvGraphicFramePr/>
                <a:graphic xmlns:a="http://schemas.openxmlformats.org/drawingml/2006/main">
                  <a:graphicData uri="http://schemas.microsoft.com/office/word/2010/wordprocessingShape">
                    <wps:wsp>
                      <wps:cNvCnPr/>
                      <wps:spPr>
                        <a:xfrm flipV="1">
                          <a:off x="0" y="0"/>
                          <a:ext cx="87464" cy="524786"/>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83F95FE" id="_x0000_t32" coordsize="21600,21600" o:spt="32" o:oned="t" path="m,l21600,21600e" filled="f">
                <v:path arrowok="t" fillok="f" o:connecttype="none"/>
                <o:lock v:ext="edit" shapetype="t"/>
              </v:shapetype>
              <v:shape id="Straight Arrow Connector 11" o:spid="_x0000_s1026" type="#_x0000_t32" style="position:absolute;margin-left:21.45pt;margin-top:56.3pt;width:6.9pt;height:41.3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" strokecolor="black [3213]" strokeweight="1pt">
                <v:stroke endarrow="block" joinstyle="miter"/>
              </v:shape>
            </w:pict>
          </mc:Fallback>
        </mc:AlternateContent>
      </w:r>
      <w:r w:rsidR="00281CAB">
        <w:rPr>
          <w:rFonts w:ascii="Calibri" w:eastAsia="Calibri" w:hAnsi="Calibri" w:cs="Times New Roman"/>
          <w:noProof/>
        </w:rPr>
        <mc:AlternateContent>
          <mc:Choice Requires="wps">
            <w:drawing>
              <wp:anchor distT="0" distB="0" distL="114300" distR="114300" simplePos="0" relativeHeight="251667456" behindDoc="0" locked="0" layoutInCell="1" allowOverlap="1" wp14:anchorId="655EEADF" wp14:editId="69B6964B">
                <wp:simplePos x="0" y="0"/>
                <wp:positionH relativeFrom="column">
                  <wp:posOffset>-164078</wp:posOffset>
                </wp:positionH>
                <wp:positionV relativeFrom="paragraph">
                  <wp:posOffset>1216881</wp:posOffset>
                </wp:positionV>
                <wp:extent cx="1105232" cy="540689"/>
                <wp:effectExtent l="0" t="0" r="0" b="0"/>
                <wp:wrapNone/>
                <wp:docPr id="193" name="Text Box 193"/>
                <wp:cNvGraphicFramePr/>
                <a:graphic xmlns:a="http://schemas.openxmlformats.org/drawingml/2006/main">
                  <a:graphicData uri="http://schemas.microsoft.com/office/word/2010/wordprocessingShape">
                    <wps:wsp>
                      <wps:cNvSpPr txBox="1"/>
                      <wps:spPr>
                        <a:xfrm>
                          <a:off x="0" y="0"/>
                          <a:ext cx="1105232" cy="540689"/>
                        </a:xfrm>
                        <a:prstGeom prst="rect">
                          <a:avLst/>
                        </a:prstGeom>
                        <a:solidFill>
                          <a:schemeClr val="bg1"/>
                        </a:solidFill>
                        <a:ln w="6350">
                          <a:noFill/>
                        </a:ln>
                      </wps:spPr>
                      <wps:txbx>
                        <w:txbxContent>
                          <w:p w14:paraId="1CA3451B" w14:textId="73F3EE2D" w:rsidR="002645B6" w:rsidRPr="00013237" w:rsidRDefault="002645B6">
                            <w:pPr>
                              <w:rPr>
                                <w:sz w:val="18"/>
                                <w:lang w:val="en-ZA"/>
                              </w:rPr>
                            </w:pPr>
                            <w:r w:rsidRPr="00013237">
                              <w:rPr>
                                <w:sz w:val="18"/>
                                <w:lang w:val="en-ZA"/>
                              </w:rPr>
                              <w:t xml:space="preserve">Gabbroic material contaminated with Anatectic melt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5EEADF" id="Text Box 193" o:spid="_x0000_s1029" type="#_x0000_t202" style="position:absolute;left:0;text-align:left;margin-left:-12.9pt;margin-top:95.8pt;width:87.05pt;height:42.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" fillcolor="white [3212]" stroked="f" strokeweight=".5pt">
                <v:textbox>
                  <w:txbxContent>
                    <w:p w14:paraId="1CA3451B" w14:textId="73F3EE2D" w:rsidR="002645B6" w:rsidRPr="00013237" w:rsidRDefault="002645B6">
                      <w:pPr>
                        <w:rPr>
                          <w:sz w:val="18"/>
                          <w:lang w:val="en-ZA"/>
                        </w:rPr>
                      </w:pPr>
                      <w:r w:rsidRPr="00013237">
                        <w:rPr>
                          <w:sz w:val="18"/>
                          <w:lang w:val="en-ZA"/>
                        </w:rPr>
                        <w:t xml:space="preserve">Gabbroic material contaminated with Anatectic melt </w:t>
                      </w:r>
                    </w:p>
                  </w:txbxContent>
                </v:textbox>
              </v:shape>
            </w:pict>
          </mc:Fallback>
        </mc:AlternateContent>
      </w:r>
      <w:r w:rsidR="00281CAB">
        <w:rPr>
          <w:rFonts w:ascii="Calibri" w:eastAsia="Calibri" w:hAnsi="Calibri" w:cs="Times New Roman"/>
          <w:noProof/>
        </w:rPr>
        <mc:AlternateContent>
          <mc:Choice Requires="wps">
            <w:drawing>
              <wp:anchor distT="0" distB="0" distL="114300" distR="114300" simplePos="0" relativeHeight="251671552" behindDoc="0" locked="0" layoutInCell="1" allowOverlap="1" wp14:anchorId="66DB1471" wp14:editId="2B6ED246">
                <wp:simplePos x="0" y="0"/>
                <wp:positionH relativeFrom="column">
                  <wp:posOffset>2242185</wp:posOffset>
                </wp:positionH>
                <wp:positionV relativeFrom="paragraph">
                  <wp:posOffset>2146935</wp:posOffset>
                </wp:positionV>
                <wp:extent cx="1095375" cy="257175"/>
                <wp:effectExtent l="0" t="0" r="0" b="0"/>
                <wp:wrapNone/>
                <wp:docPr id="195" name="Text Box 195"/>
                <wp:cNvGraphicFramePr/>
                <a:graphic xmlns:a="http://schemas.openxmlformats.org/drawingml/2006/main">
                  <a:graphicData uri="http://schemas.microsoft.com/office/word/2010/wordprocessingShape">
                    <wps:wsp>
                      <wps:cNvSpPr txBox="1"/>
                      <wps:spPr>
                        <a:xfrm>
                          <a:off x="0" y="0"/>
                          <a:ext cx="1095375" cy="257175"/>
                        </a:xfrm>
                        <a:prstGeom prst="rect">
                          <a:avLst/>
                        </a:prstGeom>
                        <a:noFill/>
                        <a:ln w="6350">
                          <a:noFill/>
                        </a:ln>
                      </wps:spPr>
                      <wps:txbx>
                        <w:txbxContent>
                          <w:p w14:paraId="23F29695" w14:textId="559943F0" w:rsidR="002645B6" w:rsidRPr="00281CAB" w:rsidRDefault="002645B6" w:rsidP="00281CAB">
                            <w:pPr>
                              <w:rPr>
                                <w:color w:val="FFFFFF" w:themeColor="background1"/>
                                <w:sz w:val="18"/>
                                <w:lang w:val="en-ZA"/>
                              </w:rPr>
                            </w:pPr>
                            <w:r w:rsidRPr="00281CAB">
                              <w:rPr>
                                <w:color w:val="FFFFFF" w:themeColor="background1"/>
                                <w:sz w:val="18"/>
                                <w:lang w:val="en-ZA"/>
                              </w:rPr>
                              <w:t>UG2 Chromitite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DB1471" id="Text Box 195" o:spid="_x0000_s1030" type="#_x0000_t202" style="position:absolute;left:0;text-align:left;margin-left:176.55pt;margin-top:169.05pt;width:86.25pt;height:20.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" filled="f" stroked="f" strokeweight=".5pt">
                <v:textbox>
                  <w:txbxContent>
                    <w:p w14:paraId="23F29695" w14:textId="559943F0" w:rsidR="002645B6" w:rsidRPr="00281CAB" w:rsidRDefault="002645B6" w:rsidP="00281CAB">
                      <w:pPr>
                        <w:rPr>
                          <w:color w:val="FFFFFF" w:themeColor="background1"/>
                          <w:sz w:val="18"/>
                          <w:lang w:val="en-ZA"/>
                        </w:rPr>
                      </w:pPr>
                      <w:r w:rsidRPr="00281CAB">
                        <w:rPr>
                          <w:color w:val="FFFFFF" w:themeColor="background1"/>
                          <w:sz w:val="18"/>
                          <w:lang w:val="en-ZA"/>
                        </w:rPr>
                        <w:t>UG2 Chromitite</w:t>
                      </w:r>
                    </w:p>
                  </w:txbxContent>
                </v:textbox>
              </v:shape>
            </w:pict>
          </mc:Fallback>
        </mc:AlternateContent>
      </w:r>
      <w:r w:rsidR="00281CAB">
        <w:rPr>
          <w:rFonts w:ascii="Calibri" w:eastAsia="Calibri" w:hAnsi="Calibri" w:cs="Times New Roman"/>
          <w:noProof/>
        </w:rPr>
        <mc:AlternateContent>
          <mc:Choice Requires="wps">
            <w:drawing>
              <wp:anchor distT="0" distB="0" distL="114300" distR="114300" simplePos="0" relativeHeight="251669504" behindDoc="0" locked="0" layoutInCell="1" allowOverlap="1" wp14:anchorId="439A46F7" wp14:editId="559AEE66">
                <wp:simplePos x="0" y="0"/>
                <wp:positionH relativeFrom="column">
                  <wp:posOffset>2337435</wp:posOffset>
                </wp:positionH>
                <wp:positionV relativeFrom="paragraph">
                  <wp:posOffset>1756410</wp:posOffset>
                </wp:positionV>
                <wp:extent cx="1095375" cy="257175"/>
                <wp:effectExtent l="0" t="0" r="0" b="0"/>
                <wp:wrapNone/>
                <wp:docPr id="194" name="Text Box 194"/>
                <wp:cNvGraphicFramePr/>
                <a:graphic xmlns:a="http://schemas.openxmlformats.org/drawingml/2006/main">
                  <a:graphicData uri="http://schemas.microsoft.com/office/word/2010/wordprocessingShape">
                    <wps:wsp>
                      <wps:cNvSpPr txBox="1"/>
                      <wps:spPr>
                        <a:xfrm>
                          <a:off x="0" y="0"/>
                          <a:ext cx="1095375" cy="257175"/>
                        </a:xfrm>
                        <a:prstGeom prst="rect">
                          <a:avLst/>
                        </a:prstGeom>
                        <a:noFill/>
                        <a:ln w="6350">
                          <a:noFill/>
                        </a:ln>
                      </wps:spPr>
                      <wps:txbx>
                        <w:txbxContent>
                          <w:p w14:paraId="7482E478" w14:textId="6BD904A0" w:rsidR="002645B6" w:rsidRPr="00281CAB" w:rsidRDefault="002645B6" w:rsidP="00281CAB">
                            <w:pPr>
                              <w:rPr>
                                <w:color w:val="FFFFFF" w:themeColor="background1"/>
                                <w:sz w:val="18"/>
                                <w:lang w:val="en-ZA"/>
                              </w:rPr>
                            </w:pPr>
                            <w:r w:rsidRPr="00281CAB">
                              <w:rPr>
                                <w:color w:val="FFFFFF" w:themeColor="background1"/>
                                <w:sz w:val="18"/>
                                <w:lang w:val="en-ZA"/>
                              </w:rPr>
                              <w:t>Merensky Reef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9A46F7" id="Text Box 194" o:spid="_x0000_s1031" type="#_x0000_t202" style="position:absolute;left:0;text-align:left;margin-left:184.05pt;margin-top:138.3pt;width:86.25pt;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" filled="f" stroked="f" strokeweight=".5pt">
                <v:textbox>
                  <w:txbxContent>
                    <w:p w14:paraId="7482E478" w14:textId="6BD904A0" w:rsidR="002645B6" w:rsidRPr="00281CAB" w:rsidRDefault="002645B6" w:rsidP="00281CAB">
                      <w:pPr>
                        <w:rPr>
                          <w:color w:val="FFFFFF" w:themeColor="background1"/>
                          <w:sz w:val="18"/>
                          <w:lang w:val="en-ZA"/>
                        </w:rPr>
                      </w:pPr>
                      <w:r w:rsidRPr="00281CAB">
                        <w:rPr>
                          <w:color w:val="FFFFFF" w:themeColor="background1"/>
                          <w:sz w:val="18"/>
                          <w:lang w:val="en-ZA"/>
                        </w:rPr>
                        <w:t>Merensky Reef</w:t>
                      </w:r>
                    </w:p>
                  </w:txbxContent>
                </v:textbox>
              </v:shape>
            </w:pict>
          </mc:Fallback>
        </mc:AlternateContent>
      </w:r>
      <w:r w:rsidR="00281CAB">
        <w:rPr>
          <w:rFonts w:ascii="Calibri" w:eastAsia="Calibri" w:hAnsi="Calibri" w:cs="Times New Roman"/>
          <w:noProof/>
        </w:rPr>
        <mc:AlternateContent>
          <mc:Choice Requires="wps">
            <w:drawing>
              <wp:anchor distT="0" distB="0" distL="114300" distR="114300" simplePos="0" relativeHeight="251666432" behindDoc="0" locked="0" layoutInCell="1" allowOverlap="1" wp14:anchorId="78493E82" wp14:editId="00A7BFFF">
                <wp:simplePos x="0" y="0"/>
                <wp:positionH relativeFrom="column">
                  <wp:posOffset>299085</wp:posOffset>
                </wp:positionH>
                <wp:positionV relativeFrom="paragraph">
                  <wp:posOffset>375286</wp:posOffset>
                </wp:positionV>
                <wp:extent cx="733425" cy="419100"/>
                <wp:effectExtent l="19050" t="19050" r="28575" b="19050"/>
                <wp:wrapNone/>
                <wp:docPr id="192" name="Oval 192"/>
                <wp:cNvGraphicFramePr/>
                <a:graphic xmlns:a="http://schemas.openxmlformats.org/drawingml/2006/main">
                  <a:graphicData uri="http://schemas.microsoft.com/office/word/2010/wordprocessingShape">
                    <wps:wsp>
                      <wps:cNvSpPr/>
                      <wps:spPr>
                        <a:xfrm>
                          <a:off x="0" y="0"/>
                          <a:ext cx="733425" cy="419100"/>
                        </a:xfrm>
                        <a:prstGeom prst="ellipse">
                          <a:avLst/>
                        </a:prstGeom>
                        <a:noFill/>
                        <a:ln w="28575">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0429E16" id="Oval 192" o:spid="_x0000_s1026" style="position:absolute;margin-left:23.55pt;margin-top:29.55pt;width:57.75pt;height:3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" filled="f" strokecolor="black [3213]" strokeweight="2.25pt">
                <v:stroke dashstyle="dash" joinstyle="miter"/>
              </v:oval>
            </w:pict>
          </mc:Fallback>
        </mc:AlternateContent>
      </w:r>
      <w:r w:rsidR="008A1473" w:rsidRPr="008A1473">
        <w:rPr>
          <w:rFonts w:ascii="Calibri" w:eastAsia="Calibri" w:hAnsi="Calibri" w:cs="Times New Roman"/>
          <w:noProof/>
        </w:rPr>
        <w:drawing>
          <wp:inline distT="0" distB="0" distL="0" distR="0" wp14:anchorId="51792CD0" wp14:editId="2368F478">
            <wp:extent cx="3816581" cy="2558810"/>
            <wp:effectExtent l="0" t="0" r="0" b="0"/>
            <wp:docPr id="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a:off x="0" y="0"/>
                      <a:ext cx="3816581" cy="2558810"/>
                    </a:xfrm>
                    <a:prstGeom prst="rect">
                      <a:avLst/>
                    </a:prstGeom>
                    <a:noFill/>
                    <a:ln>
                      <a:noFill/>
                    </a:ln>
                    <a:effectLst/>
                    <a:extLst/>
                  </pic:spPr>
                </pic:pic>
              </a:graphicData>
            </a:graphic>
          </wp:inline>
        </w:drawing>
      </w:r>
    </w:p>
    <w:p w14:paraId="37FD8ACB" w14:textId="6501F563" w:rsidR="001A5AAC" w:rsidRPr="00E928C2" w:rsidRDefault="001A5AAC" w:rsidP="00E928C2">
      <w:pPr>
        <w:pStyle w:val="Caption"/>
        <w:jc w:val="both"/>
      </w:pPr>
      <w:bookmarkStart w:id="88" w:name="_Toc520757564"/>
      <w:r>
        <w:t xml:space="preserve">Figure </w:t>
      </w:r>
      <w:fldSimple w:instr=" SEQ Figure \* ARABIC ">
        <w:r w:rsidR="002645B6">
          <w:rPr>
            <w:noProof/>
          </w:rPr>
          <w:t>13</w:t>
        </w:r>
      </w:fldSimple>
      <w:r>
        <w:t xml:space="preserve">: Three-dimensional view </w:t>
      </w:r>
      <w:r w:rsidR="00E928C2">
        <w:t xml:space="preserve">looking north </w:t>
      </w:r>
      <w:r>
        <w:t xml:space="preserve">of </w:t>
      </w:r>
      <w:r w:rsidR="00E928C2">
        <w:t xml:space="preserve">the </w:t>
      </w:r>
      <w:r>
        <w:t xml:space="preserve">exploration drill holes </w:t>
      </w:r>
      <w:r w:rsidR="00E928C2">
        <w:t xml:space="preserve">on the Phosiri Project </w:t>
      </w:r>
      <w:r>
        <w:t>showing</w:t>
      </w:r>
      <w:r w:rsidR="00013237">
        <w:t xml:space="preserve"> </w:t>
      </w:r>
      <w:r w:rsidR="00754070">
        <w:t xml:space="preserve">in orange </w:t>
      </w:r>
      <w:r w:rsidR="00013237">
        <w:t>gabbro</w:t>
      </w:r>
      <w:r w:rsidR="00754070">
        <w:t>ic material</w:t>
      </w:r>
      <w:r w:rsidR="00013237">
        <w:t xml:space="preserve"> heavily contaminated with</w:t>
      </w:r>
      <w:r>
        <w:t xml:space="preserve"> anatectic melt</w:t>
      </w:r>
      <w:r w:rsidR="00E928C2">
        <w:t>.</w:t>
      </w:r>
      <w:bookmarkEnd w:id="88"/>
    </w:p>
    <w:p w14:paraId="64094306" w14:textId="2929A8E5" w:rsidR="0085534F" w:rsidRPr="00EB7946" w:rsidRDefault="0085534F" w:rsidP="0085534F">
      <w:pPr>
        <w:jc w:val="both"/>
        <w:rPr>
          <w:rFonts w:ascii="Calibri" w:eastAsia="Calibri" w:hAnsi="Calibri" w:cs="Times New Roman"/>
          <w:lang w:val="en-GB"/>
        </w:rPr>
      </w:pPr>
      <w:r>
        <w:rPr>
          <w:rFonts w:ascii="Calibri" w:eastAsia="Calibri" w:hAnsi="Calibri" w:cs="Times New Roman"/>
          <w:lang w:val="en-GB"/>
        </w:rPr>
        <w:t xml:space="preserve">The presence of this </w:t>
      </w:r>
      <w:r w:rsidR="00013237">
        <w:rPr>
          <w:rFonts w:ascii="Calibri" w:eastAsia="Calibri" w:hAnsi="Calibri" w:cs="Times New Roman"/>
          <w:lang w:val="en-GB"/>
        </w:rPr>
        <w:t>contaminated gabbroic material</w:t>
      </w:r>
      <w:r>
        <w:rPr>
          <w:rFonts w:ascii="Calibri" w:eastAsia="Calibri" w:hAnsi="Calibri" w:cs="Times New Roman"/>
          <w:lang w:val="en-GB"/>
        </w:rPr>
        <w:t xml:space="preserve"> explains the paucity of reflectors in the seismic survey close to the </w:t>
      </w:r>
      <w:r w:rsidR="00CB5E81">
        <w:rPr>
          <w:rFonts w:ascii="Calibri" w:eastAsia="Calibri" w:hAnsi="Calibri" w:cs="Times New Roman"/>
          <w:lang w:val="en-GB"/>
        </w:rPr>
        <w:t>eastern flank of the Phosiri Dome, and possibly played a role in the disruption of mineralisation mechanisms in the formation of the Merensky Reef and UG2 Chromitite.</w:t>
      </w:r>
    </w:p>
    <w:p w14:paraId="0829F0AE" w14:textId="68DEDC74" w:rsidR="0085534F" w:rsidRPr="00EB7946" w:rsidRDefault="0085534F" w:rsidP="0085534F">
      <w:pPr>
        <w:jc w:val="both"/>
        <w:rPr>
          <w:rFonts w:ascii="Calibri" w:eastAsia="Calibri" w:hAnsi="Calibri" w:cs="Times New Roman"/>
        </w:rPr>
      </w:pPr>
      <w:r w:rsidRPr="00EB7946">
        <w:rPr>
          <w:rFonts w:ascii="Calibri" w:eastAsia="Calibri" w:hAnsi="Calibri" w:cs="Times New Roman"/>
        </w:rPr>
        <w:t xml:space="preserve">The drilling confirmed that the eastern flank of the Phosiri Dome appears to be less disrupted </w:t>
      </w:r>
      <w:r w:rsidR="00386201">
        <w:rPr>
          <w:rFonts w:ascii="Calibri" w:eastAsia="Calibri" w:hAnsi="Calibri" w:cs="Times New Roman"/>
        </w:rPr>
        <w:t xml:space="preserve">than the southern flank </w:t>
      </w:r>
      <w:r w:rsidRPr="00EB7946">
        <w:rPr>
          <w:rFonts w:ascii="Calibri" w:eastAsia="Calibri" w:hAnsi="Calibri" w:cs="Times New Roman"/>
        </w:rPr>
        <w:t xml:space="preserve">and, whilst the Bushveld Complex lithologies are shown to be steeply inclined close to the </w:t>
      </w:r>
      <w:r>
        <w:rPr>
          <w:rFonts w:ascii="Calibri" w:eastAsia="Calibri" w:hAnsi="Calibri" w:cs="Times New Roman"/>
        </w:rPr>
        <w:t>footwall</w:t>
      </w:r>
      <w:r w:rsidRPr="00EB7946">
        <w:rPr>
          <w:rFonts w:ascii="Calibri" w:eastAsia="Calibri" w:hAnsi="Calibri" w:cs="Times New Roman"/>
        </w:rPr>
        <w:t xml:space="preserve"> contact, the seismic and drilling evidence shows a substantial ‘flattening’ of dip </w:t>
      </w:r>
      <w:r>
        <w:rPr>
          <w:rFonts w:ascii="Calibri" w:eastAsia="Calibri" w:hAnsi="Calibri" w:cs="Times New Roman"/>
        </w:rPr>
        <w:t>approximately</w:t>
      </w:r>
      <w:r w:rsidRPr="00EB7946">
        <w:rPr>
          <w:rFonts w:ascii="Calibri" w:eastAsia="Calibri" w:hAnsi="Calibri" w:cs="Times New Roman"/>
        </w:rPr>
        <w:t xml:space="preserve"> 1,700 m </w:t>
      </w:r>
      <w:r>
        <w:rPr>
          <w:rFonts w:ascii="Calibri" w:eastAsia="Calibri" w:hAnsi="Calibri" w:cs="Times New Roman"/>
        </w:rPr>
        <w:t>east of the footwall contact</w:t>
      </w:r>
      <w:r w:rsidRPr="00EB7946">
        <w:rPr>
          <w:rFonts w:ascii="Calibri" w:eastAsia="Calibri" w:hAnsi="Calibri" w:cs="Times New Roman"/>
        </w:rPr>
        <w:t>, creating a large area of sub-horizontal</w:t>
      </w:r>
      <w:r>
        <w:rPr>
          <w:rFonts w:ascii="Calibri" w:eastAsia="Calibri" w:hAnsi="Calibri" w:cs="Times New Roman"/>
        </w:rPr>
        <w:t>, largely</w:t>
      </w:r>
      <w:r w:rsidRPr="00EB7946">
        <w:rPr>
          <w:rFonts w:ascii="Calibri" w:eastAsia="Calibri" w:hAnsi="Calibri" w:cs="Times New Roman"/>
        </w:rPr>
        <w:t xml:space="preserve"> undisturbed</w:t>
      </w:r>
      <w:r>
        <w:rPr>
          <w:rFonts w:ascii="Calibri" w:eastAsia="Calibri" w:hAnsi="Calibri" w:cs="Times New Roman"/>
        </w:rPr>
        <w:t>,</w:t>
      </w:r>
      <w:r w:rsidRPr="00EB7946">
        <w:rPr>
          <w:rFonts w:ascii="Calibri" w:eastAsia="Calibri" w:hAnsi="Calibri" w:cs="Times New Roman"/>
        </w:rPr>
        <w:t xml:space="preserve"> </w:t>
      </w:r>
      <w:r>
        <w:rPr>
          <w:rFonts w:ascii="Calibri" w:eastAsia="Calibri" w:hAnsi="Calibri" w:cs="Times New Roman"/>
        </w:rPr>
        <w:t xml:space="preserve">Rustenburg Layered Suite </w:t>
      </w:r>
      <w:r w:rsidRPr="00EB7946">
        <w:rPr>
          <w:rFonts w:ascii="Calibri" w:eastAsia="Calibri" w:hAnsi="Calibri" w:cs="Times New Roman"/>
        </w:rPr>
        <w:t>lithologies at a depth of approximately 1,200 m adjacent to the eastern flank</w:t>
      </w:r>
      <w:r w:rsidR="00386201">
        <w:rPr>
          <w:rFonts w:ascii="Calibri" w:eastAsia="Calibri" w:hAnsi="Calibri" w:cs="Times New Roman"/>
        </w:rPr>
        <w:t xml:space="preserve"> (Figure 12)</w:t>
      </w:r>
      <w:r w:rsidRPr="00EB7946">
        <w:rPr>
          <w:rFonts w:ascii="Calibri" w:eastAsia="Calibri" w:hAnsi="Calibri" w:cs="Times New Roman"/>
        </w:rPr>
        <w:t>.</w:t>
      </w:r>
    </w:p>
    <w:p w14:paraId="4C03061F" w14:textId="710433AB" w:rsidR="0085534F" w:rsidRPr="00EB7946" w:rsidRDefault="0085534F" w:rsidP="0085534F">
      <w:pPr>
        <w:jc w:val="both"/>
        <w:rPr>
          <w:rFonts w:ascii="Calibri" w:eastAsia="Calibri" w:hAnsi="Calibri" w:cs="Times New Roman"/>
        </w:rPr>
      </w:pPr>
      <w:r w:rsidRPr="00EB7946">
        <w:rPr>
          <w:rFonts w:ascii="Calibri" w:eastAsia="Calibri" w:hAnsi="Calibri" w:cs="Times New Roman"/>
        </w:rPr>
        <w:t xml:space="preserve">The influence of the Phosiri Dome is especially evident in the anorthositic hangingwall to the Merensky Reef in proximity to the Phosiri Dome. The anorthosite </w:t>
      </w:r>
      <w:r w:rsidR="00CB5E81">
        <w:rPr>
          <w:rFonts w:ascii="Calibri" w:eastAsia="Calibri" w:hAnsi="Calibri" w:cs="Times New Roman"/>
        </w:rPr>
        <w:t>commonly</w:t>
      </w:r>
      <w:r w:rsidRPr="00EB7946">
        <w:rPr>
          <w:rFonts w:ascii="Calibri" w:eastAsia="Calibri" w:hAnsi="Calibri" w:cs="Times New Roman"/>
        </w:rPr>
        <w:t xml:space="preserve"> shows characteristics of strain in the form of deformed large intercumu</w:t>
      </w:r>
      <w:r w:rsidR="007D2A06">
        <w:rPr>
          <w:rFonts w:ascii="Calibri" w:eastAsia="Calibri" w:hAnsi="Calibri" w:cs="Times New Roman"/>
        </w:rPr>
        <w:t>lus pyroxene mottles (Fig</w:t>
      </w:r>
      <w:r w:rsidR="00754070">
        <w:rPr>
          <w:rFonts w:ascii="Calibri" w:eastAsia="Calibri" w:hAnsi="Calibri" w:cs="Times New Roman"/>
        </w:rPr>
        <w:t>ure</w:t>
      </w:r>
      <w:r w:rsidR="007D2A06">
        <w:rPr>
          <w:rFonts w:ascii="Calibri" w:eastAsia="Calibri" w:hAnsi="Calibri" w:cs="Times New Roman"/>
        </w:rPr>
        <w:t xml:space="preserve"> 1</w:t>
      </w:r>
      <w:r w:rsidR="00281CAB">
        <w:rPr>
          <w:rFonts w:ascii="Calibri" w:eastAsia="Calibri" w:hAnsi="Calibri" w:cs="Times New Roman"/>
        </w:rPr>
        <w:t>4</w:t>
      </w:r>
      <w:r w:rsidR="007D2A06">
        <w:rPr>
          <w:rFonts w:ascii="Calibri" w:eastAsia="Calibri" w:hAnsi="Calibri" w:cs="Times New Roman"/>
        </w:rPr>
        <w:t>), indicating deformation due to the emplacement of the Phosiri Dome after the crystall</w:t>
      </w:r>
      <w:r w:rsidR="005D78EA">
        <w:rPr>
          <w:rFonts w:ascii="Calibri" w:eastAsia="Calibri" w:hAnsi="Calibri" w:cs="Times New Roman"/>
        </w:rPr>
        <w:t>isation</w:t>
      </w:r>
      <w:r w:rsidR="007D2A06">
        <w:rPr>
          <w:rFonts w:ascii="Calibri" w:eastAsia="Calibri" w:hAnsi="Calibri" w:cs="Times New Roman"/>
        </w:rPr>
        <w:t xml:space="preserve"> of the mottled anorthosite.</w:t>
      </w:r>
    </w:p>
    <w:p w14:paraId="2B0EB4F8" w14:textId="7F8FDA5F" w:rsidR="0085534F" w:rsidRPr="00EB7946" w:rsidRDefault="007D2A06" w:rsidP="0085534F">
      <w:pPr>
        <w:jc w:val="both"/>
        <w:rPr>
          <w:rFonts w:ascii="Calibri" w:eastAsia="Calibri" w:hAnsi="Calibri" w:cs="Times New Roman"/>
        </w:rPr>
      </w:pPr>
      <w:r w:rsidRPr="007D2A06">
        <w:rPr>
          <w:noProof/>
        </w:rPr>
        <w:drawing>
          <wp:inline distT="0" distB="0" distL="0" distR="0" wp14:anchorId="4CB96114" wp14:editId="06968626">
            <wp:extent cx="6120765" cy="1838325"/>
            <wp:effectExtent l="0" t="0" r="0" b="952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765" cy="1838325"/>
                    </a:xfrm>
                    <a:prstGeom prst="rect">
                      <a:avLst/>
                    </a:prstGeom>
                  </pic:spPr>
                </pic:pic>
              </a:graphicData>
            </a:graphic>
          </wp:inline>
        </w:drawing>
      </w:r>
    </w:p>
    <w:p w14:paraId="6E416289" w14:textId="4B84F1BA" w:rsidR="0085534F" w:rsidRPr="00374FA6" w:rsidRDefault="00CB5E81" w:rsidP="00374FA6">
      <w:pPr>
        <w:pStyle w:val="Caption"/>
        <w:jc w:val="both"/>
      </w:pPr>
      <w:bookmarkStart w:id="89" w:name="_Toc520757565"/>
      <w:r>
        <w:t xml:space="preserve">Figure </w:t>
      </w:r>
      <w:fldSimple w:instr=" SEQ Figure \* ARABIC ">
        <w:r w:rsidR="002645B6">
          <w:rPr>
            <w:noProof/>
          </w:rPr>
          <w:t>14</w:t>
        </w:r>
      </w:fldSimple>
      <w:r w:rsidR="0085534F" w:rsidRPr="00374FA6">
        <w:t xml:space="preserve">: Photograph of drill core from drill hole LES039 </w:t>
      </w:r>
      <w:r w:rsidR="007D2A06" w:rsidRPr="00374FA6">
        <w:t xml:space="preserve">located approximately 400 m from the Phosiri Dome, </w:t>
      </w:r>
      <w:r w:rsidR="0085534F" w:rsidRPr="00374FA6">
        <w:t xml:space="preserve">showing the </w:t>
      </w:r>
      <w:r w:rsidR="007D2A06" w:rsidRPr="00374FA6">
        <w:t xml:space="preserve">deformed </w:t>
      </w:r>
      <w:r w:rsidR="0085534F" w:rsidRPr="00374FA6">
        <w:t xml:space="preserve">mottled anorthosite hangingwall </w:t>
      </w:r>
      <w:r w:rsidR="007D2A06" w:rsidRPr="00374FA6">
        <w:t xml:space="preserve">to the </w:t>
      </w:r>
      <w:r w:rsidR="0085534F" w:rsidRPr="00374FA6">
        <w:t xml:space="preserve">Merensky </w:t>
      </w:r>
      <w:r w:rsidR="00FC18C3" w:rsidRPr="00374FA6">
        <w:t>Reef pyroxenite.</w:t>
      </w:r>
      <w:r w:rsidR="007D2A06" w:rsidRPr="00374FA6">
        <w:t xml:space="preserve"> The mottled anorthosite shows strong foliations, indicating strain probably due to the post crystall</w:t>
      </w:r>
      <w:r w:rsidR="005D78EA">
        <w:t>isation</w:t>
      </w:r>
      <w:r w:rsidR="007D2A06" w:rsidRPr="00374FA6">
        <w:t xml:space="preserve"> emplacement of the Phosiri Dome.</w:t>
      </w:r>
      <w:bookmarkEnd w:id="89"/>
    </w:p>
    <w:p w14:paraId="2BFAB0E8" w14:textId="5C3303FF" w:rsidR="00352C44" w:rsidRPr="00EB7946" w:rsidRDefault="00D63BDC" w:rsidP="00352C44">
      <w:pPr>
        <w:rPr>
          <w:rFonts w:ascii="Calibri" w:eastAsia="Calibri" w:hAnsi="Calibri" w:cs="Times New Roman"/>
        </w:rPr>
      </w:pPr>
      <w:r w:rsidRPr="00D63BDC">
        <w:rPr>
          <w:noProof/>
        </w:rPr>
        <w:lastRenderedPageBreak/>
        <w:drawing>
          <wp:inline distT="0" distB="0" distL="0" distR="0" wp14:anchorId="2C2D2A2D" wp14:editId="66F1E895">
            <wp:extent cx="6120765" cy="8656955"/>
            <wp:effectExtent l="0" t="0" r="0" b="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120765" cy="8656955"/>
                    </a:xfrm>
                    <a:prstGeom prst="rect">
                      <a:avLst/>
                    </a:prstGeom>
                  </pic:spPr>
                </pic:pic>
              </a:graphicData>
            </a:graphic>
          </wp:inline>
        </w:drawing>
      </w:r>
    </w:p>
    <w:p w14:paraId="4B6174CB" w14:textId="2DA8304C" w:rsidR="00352C44" w:rsidRPr="00374FA6" w:rsidRDefault="00352C44" w:rsidP="00374FA6">
      <w:pPr>
        <w:pStyle w:val="Caption"/>
        <w:jc w:val="both"/>
      </w:pPr>
      <w:bookmarkStart w:id="90" w:name="_Toc520757566"/>
      <w:r>
        <w:t xml:space="preserve">Figure </w:t>
      </w:r>
      <w:fldSimple w:instr=" SEQ Figure \* ARABIC ">
        <w:r w:rsidR="002645B6">
          <w:rPr>
            <w:noProof/>
          </w:rPr>
          <w:t>15</w:t>
        </w:r>
      </w:fldSimple>
      <w:r w:rsidRPr="00374FA6">
        <w:t xml:space="preserve">: </w:t>
      </w:r>
      <w:bookmarkStart w:id="91" w:name="_Hlk521052147"/>
      <w:r w:rsidRPr="00374FA6">
        <w:t>Location of all diamond exploration drill holes drilled on the Lesego lease area, as well as the seismic traverses conducted in 2007.</w:t>
      </w:r>
      <w:r w:rsidR="00932C9B" w:rsidRPr="00374FA6">
        <w:t xml:space="preserve"> The white block on the inset denotes the area displayed in the main image.</w:t>
      </w:r>
      <w:bookmarkEnd w:id="90"/>
      <w:bookmarkEnd w:id="91"/>
    </w:p>
    <w:p w14:paraId="61AD924B" w14:textId="6C9F83B5" w:rsidR="007D2A06" w:rsidRPr="00CE738E" w:rsidRDefault="00C04515" w:rsidP="00CE738E">
      <w:pPr>
        <w:pStyle w:val="Heading2"/>
        <w:rPr>
          <w:color w:val="000000" w:themeColor="text1"/>
        </w:rPr>
      </w:pPr>
      <w:bookmarkStart w:id="92" w:name="_Toc520758791"/>
      <w:r w:rsidRPr="00CE738E">
        <w:rPr>
          <w:color w:val="000000" w:themeColor="text1"/>
        </w:rPr>
        <w:lastRenderedPageBreak/>
        <w:t>Lithology and Petrography</w:t>
      </w:r>
      <w:bookmarkEnd w:id="92"/>
    </w:p>
    <w:p w14:paraId="6C1B0A41" w14:textId="59DBD600" w:rsidR="00EB7946" w:rsidRPr="00EB7946" w:rsidRDefault="00EB7946" w:rsidP="00EB7946">
      <w:pPr>
        <w:keepNext/>
        <w:keepLines/>
        <w:spacing w:before="40" w:after="0"/>
        <w:outlineLvl w:val="1"/>
        <w:rPr>
          <w:rFonts w:ascii="Calibri Light" w:eastAsia="Times New Roman" w:hAnsi="Calibri Light" w:cs="Times New Roman"/>
          <w:i/>
          <w:color w:val="000000"/>
          <w:szCs w:val="26"/>
        </w:rPr>
      </w:pPr>
      <w:bookmarkStart w:id="93" w:name="_Toc520758792"/>
      <w:r w:rsidRPr="00EB7946">
        <w:rPr>
          <w:rFonts w:ascii="Calibri Light" w:eastAsia="Times New Roman" w:hAnsi="Calibri Light" w:cs="Times New Roman"/>
          <w:i/>
          <w:color w:val="000000"/>
          <w:szCs w:val="26"/>
        </w:rPr>
        <w:t>UG2 Chromitite Horizon</w:t>
      </w:r>
      <w:bookmarkEnd w:id="93"/>
    </w:p>
    <w:p w14:paraId="1EAC9706" w14:textId="2A08C578" w:rsidR="00EB7946" w:rsidRPr="00EB7946" w:rsidRDefault="00EB7946" w:rsidP="00EB7946">
      <w:pPr>
        <w:jc w:val="both"/>
        <w:rPr>
          <w:rFonts w:ascii="Calibri" w:eastAsia="Calibri" w:hAnsi="Calibri" w:cs="Times New Roman"/>
        </w:rPr>
      </w:pPr>
      <w:bookmarkStart w:id="94" w:name="_Hlk507329002"/>
      <w:r w:rsidRPr="00EB7946">
        <w:rPr>
          <w:rFonts w:ascii="Calibri" w:eastAsia="Calibri" w:hAnsi="Calibri" w:cs="Times New Roman"/>
        </w:rPr>
        <w:t xml:space="preserve">The UG2 </w:t>
      </w:r>
      <w:r w:rsidR="00C04515" w:rsidRPr="00EB7946">
        <w:rPr>
          <w:rFonts w:ascii="Calibri" w:eastAsia="Calibri" w:hAnsi="Calibri" w:cs="Times New Roman"/>
        </w:rPr>
        <w:t xml:space="preserve">Chromitite </w:t>
      </w:r>
      <w:r w:rsidRPr="00EB7946">
        <w:rPr>
          <w:rFonts w:ascii="Calibri" w:eastAsia="Calibri" w:hAnsi="Calibri" w:cs="Times New Roman"/>
        </w:rPr>
        <w:t xml:space="preserve">package on the Lesego </w:t>
      </w:r>
      <w:r w:rsidR="00C04515" w:rsidRPr="00EB7946">
        <w:rPr>
          <w:rFonts w:ascii="Calibri" w:eastAsia="Calibri" w:hAnsi="Calibri" w:cs="Times New Roman"/>
        </w:rPr>
        <w:t xml:space="preserve">Lease Area </w:t>
      </w:r>
      <w:r w:rsidRPr="00EB7946">
        <w:rPr>
          <w:rFonts w:ascii="Calibri" w:eastAsia="Calibri" w:hAnsi="Calibri" w:cs="Times New Roman"/>
        </w:rPr>
        <w:t>appears similar to the stratigraphy developed at Lonmin’s Limpopo Division (previously Messina Platinum Mine) (</w:t>
      </w:r>
      <w:r w:rsidR="00C04515" w:rsidRPr="00EB7946">
        <w:rPr>
          <w:rFonts w:ascii="Calibri" w:eastAsia="Calibri" w:hAnsi="Calibri" w:cs="Times New Roman"/>
        </w:rPr>
        <w:t xml:space="preserve">Von </w:t>
      </w:r>
      <w:r w:rsidRPr="00EB7946">
        <w:rPr>
          <w:rFonts w:ascii="Calibri" w:eastAsia="Calibri" w:hAnsi="Calibri" w:cs="Times New Roman"/>
        </w:rPr>
        <w:t xml:space="preserve">Gruenewaldt </w:t>
      </w:r>
      <w:r w:rsidRPr="00785551">
        <w:rPr>
          <w:rFonts w:ascii="Calibri" w:eastAsia="Calibri" w:hAnsi="Calibri" w:cs="Times New Roman"/>
          <w:i/>
        </w:rPr>
        <w:t>et al</w:t>
      </w:r>
      <w:r w:rsidRPr="00EB7946">
        <w:rPr>
          <w:rFonts w:ascii="Calibri" w:eastAsia="Calibri" w:hAnsi="Calibri" w:cs="Times New Roman"/>
          <w:i/>
        </w:rPr>
        <w:t>.</w:t>
      </w:r>
      <w:r w:rsidRPr="00EB7946">
        <w:rPr>
          <w:rFonts w:ascii="Calibri" w:eastAsia="Calibri" w:hAnsi="Calibri" w:cs="Times New Roman"/>
        </w:rPr>
        <w:t>, 1990; Lea, 1996), and at Bokoni Platinum Mine (previously Atok Mine) (Mossom, 1986). The UG2 lies between 200 m and 300 m below the Merensky Reef package. The footwall to the UG2 package is a noritic unit of variable thickness</w:t>
      </w:r>
      <w:r w:rsidR="0037493F">
        <w:rPr>
          <w:rFonts w:ascii="Calibri" w:eastAsia="Calibri" w:hAnsi="Calibri" w:cs="Times New Roman"/>
        </w:rPr>
        <w:t xml:space="preserve"> (</w:t>
      </w:r>
      <w:r w:rsidR="00CE738E">
        <w:rPr>
          <w:rFonts w:ascii="Calibri" w:eastAsia="Calibri" w:hAnsi="Calibri" w:cs="Times New Roman"/>
        </w:rPr>
        <w:t>Figure</w:t>
      </w:r>
      <w:r w:rsidR="0037493F">
        <w:rPr>
          <w:rFonts w:ascii="Calibri" w:eastAsia="Calibri" w:hAnsi="Calibri" w:cs="Times New Roman"/>
        </w:rPr>
        <w:t xml:space="preserve"> 15)</w:t>
      </w:r>
      <w:r w:rsidRPr="00EB7946">
        <w:rPr>
          <w:rFonts w:ascii="Calibri" w:eastAsia="Calibri" w:hAnsi="Calibri" w:cs="Times New Roman"/>
        </w:rPr>
        <w:t xml:space="preserve">. A basal feldspathic pegmatoidal pyroxenite unit of varying </w:t>
      </w:r>
      <w:r w:rsidR="00C04515">
        <w:rPr>
          <w:rFonts w:ascii="Calibri" w:eastAsia="Calibri" w:hAnsi="Calibri" w:cs="Times New Roman"/>
        </w:rPr>
        <w:t>thickness</w:t>
      </w:r>
      <w:r w:rsidRPr="00EB7946">
        <w:rPr>
          <w:rFonts w:ascii="Calibri" w:eastAsia="Calibri" w:hAnsi="Calibri" w:cs="Times New Roman"/>
        </w:rPr>
        <w:t xml:space="preserve"> forms the immediate footwall to the main UG2 chromitite seam which is generally between 80 cm and 130 cm thick. Overlying the pegmatoidal pyroxenite unit is the main chromitite seam, which is approximately 110 cm thick.</w:t>
      </w:r>
      <w:r w:rsidR="00C8688C">
        <w:rPr>
          <w:rFonts w:ascii="Calibri" w:eastAsia="Calibri" w:hAnsi="Calibri" w:cs="Times New Roman"/>
        </w:rPr>
        <w:t xml:space="preserve"> </w:t>
      </w:r>
      <w:r w:rsidRPr="00EB7946">
        <w:rPr>
          <w:rFonts w:ascii="Calibri" w:eastAsia="Calibri" w:hAnsi="Calibri" w:cs="Times New Roman"/>
        </w:rPr>
        <w:t>In places, the main chromitite seam is split by a pyroxenite parting varying from a few centimeters to up to 1.5 m thick. The leader chromitite seam occurs in relatively close proximity to the upper contact of the main chromitite seam (within 25 cm to 80 cm). Where the parting is present, the leader chromitite moves proportionally further away from the main chromitite seam, up to several meters in places. On this basis, the UG2 has been divided into two main facies, a “single ree</w:t>
      </w:r>
      <w:r w:rsidR="00754070">
        <w:rPr>
          <w:rFonts w:ascii="Calibri" w:eastAsia="Calibri" w:hAnsi="Calibri" w:cs="Times New Roman"/>
        </w:rPr>
        <w:t>f” and “split reef” facies (Figure</w:t>
      </w:r>
      <w:r w:rsidRPr="00EB7946">
        <w:rPr>
          <w:rFonts w:ascii="Calibri" w:eastAsia="Calibri" w:hAnsi="Calibri" w:cs="Times New Roman"/>
        </w:rPr>
        <w:t xml:space="preserve"> </w:t>
      </w:r>
      <w:r w:rsidR="00754070">
        <w:rPr>
          <w:rFonts w:ascii="Calibri" w:eastAsia="Calibri" w:hAnsi="Calibri" w:cs="Times New Roman"/>
        </w:rPr>
        <w:t>16</w:t>
      </w:r>
      <w:r w:rsidRPr="00EB7946">
        <w:rPr>
          <w:rFonts w:ascii="Calibri" w:eastAsia="Calibri" w:hAnsi="Calibri" w:cs="Times New Roman"/>
        </w:rPr>
        <w:t>).</w:t>
      </w:r>
    </w:p>
    <w:bookmarkEnd w:id="94"/>
    <w:p w14:paraId="5E2A8CDB" w14:textId="77777777" w:rsidR="00EB7946" w:rsidRPr="00EB7946" w:rsidRDefault="00EB7946" w:rsidP="00EB7946">
      <w:pPr>
        <w:jc w:val="both"/>
        <w:rPr>
          <w:rFonts w:ascii="Calibri" w:eastAsia="Calibri" w:hAnsi="Calibri"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819"/>
      </w:tblGrid>
      <w:tr w:rsidR="00EB7946" w:rsidRPr="00EB7946" w14:paraId="07E5F461" w14:textId="77777777" w:rsidTr="00EB7946">
        <w:tc>
          <w:tcPr>
            <w:tcW w:w="4814" w:type="dxa"/>
          </w:tcPr>
          <w:p w14:paraId="216A98EF"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noProof/>
                <w:lang w:val="en-ZA" w:eastAsia="en-ZA"/>
              </w:rPr>
              <w:drawing>
                <wp:inline distT="0" distB="0" distL="0" distR="0" wp14:anchorId="785A36E9" wp14:editId="18D91A5C">
                  <wp:extent cx="2935046" cy="24410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4685" t="10146" r="3301" b="4792"/>
                          <a:stretch/>
                        </pic:blipFill>
                        <pic:spPr bwMode="auto">
                          <a:xfrm>
                            <a:off x="0" y="0"/>
                            <a:ext cx="2961788" cy="2463291"/>
                          </a:xfrm>
                          <a:prstGeom prst="rect">
                            <a:avLst/>
                          </a:prstGeom>
                          <a:ln>
                            <a:noFill/>
                          </a:ln>
                          <a:extLst>
                            <a:ext uri="{53640926-AAD7-44D8-BBD7-CCE9431645EC}">
                              <a14:shadowObscured xmlns:a14="http://schemas.microsoft.com/office/drawing/2010/main"/>
                            </a:ext>
                          </a:extLst>
                        </pic:spPr>
                      </pic:pic>
                    </a:graphicData>
                  </a:graphic>
                </wp:inline>
              </w:drawing>
            </w:r>
          </w:p>
        </w:tc>
        <w:tc>
          <w:tcPr>
            <w:tcW w:w="4815" w:type="dxa"/>
          </w:tcPr>
          <w:p w14:paraId="1179C778"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noProof/>
                <w:lang w:val="en-ZA" w:eastAsia="en-ZA"/>
              </w:rPr>
              <w:drawing>
                <wp:inline distT="0" distB="0" distL="0" distR="0" wp14:anchorId="77382A4A" wp14:editId="40BB4514">
                  <wp:extent cx="2932981" cy="2493910"/>
                  <wp:effectExtent l="0" t="0" r="1270" b="1905"/>
                  <wp:docPr id="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8"/>
                          <pic:cNvPicPr>
                            <a:picLocks noChangeAspect="1"/>
                          </pic:cNvPicPr>
                        </pic:nvPicPr>
                        <pic:blipFill rotWithShape="1">
                          <a:blip r:embed="rId30" cstate="print">
                            <a:extLst>
                              <a:ext uri="{28A0092B-C50C-407E-A947-70E740481C1C}">
                                <a14:useLocalDpi xmlns:a14="http://schemas.microsoft.com/office/drawing/2010/main" val="0"/>
                              </a:ext>
                            </a:extLst>
                          </a:blip>
                          <a:srcRect l="6028" t="10126" r="2034" b="4101"/>
                          <a:stretch/>
                        </pic:blipFill>
                        <pic:spPr bwMode="auto">
                          <a:xfrm>
                            <a:off x="0" y="0"/>
                            <a:ext cx="2952453" cy="2510467"/>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1BDCE00B" w14:textId="77777777" w:rsidR="00EB7946" w:rsidRPr="00EB7946" w:rsidRDefault="00EB7946" w:rsidP="00EB7946">
      <w:pPr>
        <w:jc w:val="both"/>
        <w:rPr>
          <w:rFonts w:ascii="Calibri" w:eastAsia="Calibri" w:hAnsi="Calibri" w:cs="Times New Roman"/>
        </w:rPr>
      </w:pPr>
    </w:p>
    <w:p w14:paraId="038BBF52" w14:textId="753EC5E6" w:rsidR="00EB7946" w:rsidRPr="00374FA6" w:rsidRDefault="007D2A06" w:rsidP="00374FA6">
      <w:pPr>
        <w:pStyle w:val="Caption"/>
        <w:jc w:val="both"/>
      </w:pPr>
      <w:bookmarkStart w:id="95" w:name="_Toc520757567"/>
      <w:r>
        <w:t xml:space="preserve">Figure </w:t>
      </w:r>
      <w:fldSimple w:instr=" SEQ Figure \* ARABIC ">
        <w:r w:rsidR="002645B6">
          <w:rPr>
            <w:noProof/>
          </w:rPr>
          <w:t>16</w:t>
        </w:r>
      </w:fldSimple>
      <w:r w:rsidR="00EB7946" w:rsidRPr="00374FA6">
        <w:t xml:space="preserve">: Typical stratigraphy and grade profile across the UG2 </w:t>
      </w:r>
      <w:r w:rsidR="00C8688C" w:rsidRPr="00374FA6">
        <w:t>Chromitite in the Lesego Lease Area</w:t>
      </w:r>
      <w:r w:rsidR="00EB7946" w:rsidRPr="00374FA6">
        <w:t xml:space="preserve">. (a) Single reef facies, (b) </w:t>
      </w:r>
      <w:r w:rsidR="00C8688C" w:rsidRPr="00374FA6">
        <w:t xml:space="preserve">Split </w:t>
      </w:r>
      <w:r w:rsidR="00EB7946" w:rsidRPr="00374FA6">
        <w:t xml:space="preserve">reef facies with two chromitite seams separated by </w:t>
      </w:r>
      <w:r w:rsidR="00C8688C" w:rsidRPr="00374FA6">
        <w:t xml:space="preserve">a </w:t>
      </w:r>
      <w:r w:rsidR="00EB7946" w:rsidRPr="00374FA6">
        <w:t>pyroxenite</w:t>
      </w:r>
      <w:r w:rsidR="00C8688C" w:rsidRPr="00374FA6">
        <w:t xml:space="preserve"> parting </w:t>
      </w:r>
      <w:r w:rsidR="00101217">
        <w:t xml:space="preserve">compiled from composite boreholes </w:t>
      </w:r>
      <w:r w:rsidR="00C8688C" w:rsidRPr="00374FA6">
        <w:t>(after Njowa and Clay, 2010)</w:t>
      </w:r>
      <w:r w:rsidR="00EB7946" w:rsidRPr="00374FA6">
        <w:t>.</w:t>
      </w:r>
      <w:bookmarkEnd w:id="95"/>
    </w:p>
    <w:p w14:paraId="23375E8B" w14:textId="77777777" w:rsidR="00EB7946" w:rsidRPr="00EB7946" w:rsidRDefault="00EB7946" w:rsidP="00EB7946">
      <w:pPr>
        <w:rPr>
          <w:rFonts w:ascii="Calibri" w:eastAsia="Calibri" w:hAnsi="Calibri" w:cs="Times New Roman"/>
        </w:rPr>
      </w:pPr>
    </w:p>
    <w:p w14:paraId="1E32C55A" w14:textId="77777777" w:rsidR="00EB7946" w:rsidRPr="00EB7946" w:rsidRDefault="00EB7946" w:rsidP="00EB7946">
      <w:pPr>
        <w:keepNext/>
        <w:keepLines/>
        <w:spacing w:before="40" w:after="0"/>
        <w:outlineLvl w:val="1"/>
        <w:rPr>
          <w:rFonts w:ascii="Calibri Light" w:eastAsia="Times New Roman" w:hAnsi="Calibri Light" w:cs="Times New Roman"/>
          <w:i/>
          <w:color w:val="000000"/>
          <w:szCs w:val="26"/>
        </w:rPr>
      </w:pPr>
      <w:bookmarkStart w:id="96" w:name="_Toc520758793"/>
      <w:r w:rsidRPr="00EB7946">
        <w:rPr>
          <w:rFonts w:ascii="Calibri Light" w:eastAsia="Times New Roman" w:hAnsi="Calibri Light" w:cs="Times New Roman"/>
          <w:i/>
          <w:color w:val="000000"/>
          <w:szCs w:val="26"/>
        </w:rPr>
        <w:t>Merensky Reef</w:t>
      </w:r>
      <w:bookmarkEnd w:id="96"/>
    </w:p>
    <w:p w14:paraId="1CC9D2C8" w14:textId="478ABB00"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Merensky Reef and Bastard Reef stratigraphy observed within the project area </w:t>
      </w:r>
      <w:r w:rsidR="00C8688C">
        <w:rPr>
          <w:rFonts w:ascii="Calibri" w:eastAsia="Calibri" w:hAnsi="Calibri" w:cs="Times New Roman"/>
        </w:rPr>
        <w:t>are</w:t>
      </w:r>
      <w:r w:rsidRPr="00EB7946">
        <w:rPr>
          <w:rFonts w:ascii="Calibri" w:eastAsia="Calibri" w:hAnsi="Calibri" w:cs="Times New Roman"/>
        </w:rPr>
        <w:t xml:space="preserve"> typical of </w:t>
      </w:r>
      <w:r w:rsidR="00C8688C">
        <w:rPr>
          <w:rFonts w:ascii="Calibri" w:eastAsia="Calibri" w:hAnsi="Calibri" w:cs="Times New Roman"/>
        </w:rPr>
        <w:t>the north western part of the Eastern Limb</w:t>
      </w:r>
      <w:r w:rsidRPr="00EB7946">
        <w:rPr>
          <w:rFonts w:ascii="Calibri" w:eastAsia="Calibri" w:hAnsi="Calibri" w:cs="Times New Roman"/>
        </w:rPr>
        <w:t xml:space="preserve"> of the Bushveld Complex</w:t>
      </w:r>
      <w:r w:rsidR="00C8688C">
        <w:rPr>
          <w:rFonts w:ascii="Calibri" w:eastAsia="Calibri" w:hAnsi="Calibri" w:cs="Times New Roman"/>
        </w:rPr>
        <w:t xml:space="preserve"> (Lea, 1996)</w:t>
      </w:r>
      <w:r w:rsidRPr="00EB7946">
        <w:rPr>
          <w:rFonts w:ascii="Calibri" w:eastAsia="Calibri" w:hAnsi="Calibri" w:cs="Times New Roman"/>
        </w:rPr>
        <w:t>, and would be classified as “Thick Reef” based on Cawthorn</w:t>
      </w:r>
      <w:r w:rsidR="00C8688C">
        <w:rPr>
          <w:rFonts w:ascii="Calibri" w:eastAsia="Calibri" w:hAnsi="Calibri" w:cs="Times New Roman"/>
        </w:rPr>
        <w:t>’s</w:t>
      </w:r>
      <w:r w:rsidRPr="00EB7946">
        <w:rPr>
          <w:rFonts w:ascii="Calibri" w:eastAsia="Calibri" w:hAnsi="Calibri" w:cs="Times New Roman"/>
        </w:rPr>
        <w:t xml:space="preserve"> (2011) reef facies classification system.</w:t>
      </w:r>
    </w:p>
    <w:p w14:paraId="05A80845" w14:textId="42D4CD60"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immediate footwall to the Merensky </w:t>
      </w:r>
      <w:r w:rsidR="00C8688C" w:rsidRPr="00EB7946">
        <w:rPr>
          <w:rFonts w:ascii="Calibri" w:eastAsia="Calibri" w:hAnsi="Calibri" w:cs="Times New Roman"/>
        </w:rPr>
        <w:t xml:space="preserve">pyroxenite </w:t>
      </w:r>
      <w:r w:rsidRPr="00EB7946">
        <w:rPr>
          <w:rFonts w:ascii="Calibri" w:eastAsia="Calibri" w:hAnsi="Calibri" w:cs="Times New Roman"/>
        </w:rPr>
        <w:t xml:space="preserve">is an oikiocrystic chloritised norite. There is evidence in several boreholes of the development of multiple layers of mineralised Merensky pyroxenite and pegmatoid containing significant quantities of PGE+Au, a situation similar to that observed on the easternmost leaseholds of Lonmin’s Limpopo </w:t>
      </w:r>
      <w:r w:rsidR="00C8688C" w:rsidRPr="00EB7946">
        <w:rPr>
          <w:rFonts w:ascii="Calibri" w:eastAsia="Calibri" w:hAnsi="Calibri" w:cs="Times New Roman"/>
        </w:rPr>
        <w:t xml:space="preserve">Mine </w:t>
      </w:r>
      <w:r w:rsidRPr="00EB7946">
        <w:rPr>
          <w:rFonts w:ascii="Calibri" w:eastAsia="Calibri" w:hAnsi="Calibri" w:cs="Times New Roman"/>
        </w:rPr>
        <w:t>(</w:t>
      </w:r>
      <w:r w:rsidR="00672AF4">
        <w:rPr>
          <w:rFonts w:ascii="Calibri" w:eastAsia="Calibri" w:hAnsi="Calibri" w:cs="Times New Roman"/>
        </w:rPr>
        <w:t>V</w:t>
      </w:r>
      <w:r w:rsidR="00C8688C" w:rsidRPr="00EB7946">
        <w:rPr>
          <w:rFonts w:ascii="Calibri" w:eastAsia="Calibri" w:hAnsi="Calibri" w:cs="Times New Roman"/>
        </w:rPr>
        <w:t xml:space="preserve">on </w:t>
      </w:r>
      <w:r w:rsidRPr="00EB7946">
        <w:rPr>
          <w:rFonts w:ascii="Calibri" w:eastAsia="Calibri" w:hAnsi="Calibri" w:cs="Times New Roman"/>
        </w:rPr>
        <w:t xml:space="preserve">Gruenewaldt </w:t>
      </w:r>
      <w:r w:rsidRPr="00785551">
        <w:rPr>
          <w:rFonts w:ascii="Calibri" w:eastAsia="Calibri" w:hAnsi="Calibri" w:cs="Times New Roman"/>
          <w:i/>
        </w:rPr>
        <w:t>et al</w:t>
      </w:r>
      <w:r w:rsidRPr="00EB7946">
        <w:rPr>
          <w:rFonts w:ascii="Calibri" w:eastAsia="Calibri" w:hAnsi="Calibri" w:cs="Times New Roman"/>
          <w:i/>
        </w:rPr>
        <w:t>.</w:t>
      </w:r>
      <w:r w:rsidRPr="00EB7946">
        <w:rPr>
          <w:rFonts w:ascii="Calibri" w:eastAsia="Calibri" w:hAnsi="Calibri" w:cs="Times New Roman"/>
        </w:rPr>
        <w:t>, 1990; Lea, 1996).</w:t>
      </w:r>
    </w:p>
    <w:p w14:paraId="1A51E8BB" w14:textId="3D0CD342" w:rsidR="00EB7946" w:rsidRPr="00EB7946" w:rsidRDefault="00EB7946" w:rsidP="00EB7946">
      <w:pPr>
        <w:jc w:val="both"/>
        <w:rPr>
          <w:rFonts w:ascii="Calibri" w:eastAsia="Calibri" w:hAnsi="Calibri" w:cs="Times New Roman"/>
        </w:rPr>
      </w:pPr>
      <w:r w:rsidRPr="00EB7946">
        <w:rPr>
          <w:rFonts w:ascii="Calibri" w:eastAsia="Calibri" w:hAnsi="Calibri" w:cs="Times New Roman"/>
        </w:rPr>
        <w:t>The Merensky pyroxenite consists of a moderate to thick pyroxenite package (general</w:t>
      </w:r>
      <w:r w:rsidR="00C8688C">
        <w:rPr>
          <w:rFonts w:ascii="Calibri" w:eastAsia="Calibri" w:hAnsi="Calibri" w:cs="Times New Roman"/>
        </w:rPr>
        <w:t xml:space="preserve">ly 4 to 15 m) with a centimeter - scale </w:t>
      </w:r>
      <w:r w:rsidRPr="00EB7946">
        <w:rPr>
          <w:rFonts w:ascii="Calibri" w:eastAsia="Calibri" w:hAnsi="Calibri" w:cs="Times New Roman"/>
        </w:rPr>
        <w:t>chromitite stringer occurring between 20 cm to 90 cm below the hanging wall norite/pyroxenite contact (Fig</w:t>
      </w:r>
      <w:r w:rsidR="00754070">
        <w:rPr>
          <w:rFonts w:ascii="Calibri" w:eastAsia="Calibri" w:hAnsi="Calibri" w:cs="Times New Roman"/>
        </w:rPr>
        <w:t>ure 17</w:t>
      </w:r>
      <w:r w:rsidRPr="00EB7946">
        <w:rPr>
          <w:rFonts w:ascii="Calibri" w:eastAsia="Calibri" w:hAnsi="Calibri" w:cs="Times New Roman"/>
        </w:rPr>
        <w:t xml:space="preserve">). </w:t>
      </w:r>
    </w:p>
    <w:p w14:paraId="535A011C" w14:textId="27DDB89B" w:rsidR="00EB7946" w:rsidRPr="00EB7946" w:rsidRDefault="00EB7946" w:rsidP="00EB7946">
      <w:pPr>
        <w:jc w:val="both"/>
        <w:rPr>
          <w:rFonts w:ascii="Calibri" w:eastAsia="Calibri" w:hAnsi="Calibri" w:cs="Times New Roman"/>
        </w:rPr>
      </w:pPr>
      <w:r w:rsidRPr="00EB7946">
        <w:rPr>
          <w:rFonts w:ascii="Calibri" w:eastAsia="Calibri" w:hAnsi="Calibri" w:cs="Times New Roman"/>
        </w:rPr>
        <w:lastRenderedPageBreak/>
        <w:t xml:space="preserve">A second, usually more robust chromitite stringer </w:t>
      </w:r>
      <w:r w:rsidR="00C8688C">
        <w:rPr>
          <w:rFonts w:ascii="Calibri" w:eastAsia="Calibri" w:hAnsi="Calibri" w:cs="Times New Roman"/>
        </w:rPr>
        <w:t>commonly</w:t>
      </w:r>
      <w:r w:rsidRPr="00EB7946">
        <w:rPr>
          <w:rFonts w:ascii="Calibri" w:eastAsia="Calibri" w:hAnsi="Calibri" w:cs="Times New Roman"/>
        </w:rPr>
        <w:t xml:space="preserve"> occurs at the base of the internal pyroxenite unit. This pyroxenite unit corresponds to the more traditional hangingwall pyroxenite seen </w:t>
      </w:r>
      <w:r w:rsidR="0037493F">
        <w:rPr>
          <w:rFonts w:ascii="Calibri" w:eastAsia="Calibri" w:hAnsi="Calibri" w:cs="Times New Roman"/>
        </w:rPr>
        <w:t>at Limpopo Mine</w:t>
      </w:r>
      <w:r w:rsidRPr="00EB7946">
        <w:rPr>
          <w:rFonts w:ascii="Calibri" w:eastAsia="Calibri" w:hAnsi="Calibri" w:cs="Times New Roman"/>
        </w:rPr>
        <w:t xml:space="preserve"> (Lea, 1996).</w:t>
      </w:r>
    </w:p>
    <w:p w14:paraId="3EE96B56" w14:textId="4139AE5A" w:rsidR="00EB7946" w:rsidRPr="00EB7946" w:rsidRDefault="00EB7946" w:rsidP="00EB7946">
      <w:pPr>
        <w:jc w:val="both"/>
        <w:rPr>
          <w:rFonts w:ascii="Calibri" w:eastAsia="Calibri" w:hAnsi="Calibri" w:cs="Times New Roman"/>
        </w:rPr>
      </w:pPr>
      <w:r w:rsidRPr="00EB7946">
        <w:rPr>
          <w:rFonts w:ascii="Calibri" w:eastAsia="Calibri" w:hAnsi="Calibri" w:cs="Times New Roman"/>
        </w:rPr>
        <w:t>The chromitite units consist of 70 - 90% modal chromite, present as euhedral to rounded grains varying in size from 0.1</w:t>
      </w:r>
      <w:r w:rsidR="0037493F">
        <w:rPr>
          <w:rFonts w:ascii="Calibri" w:eastAsia="Calibri" w:hAnsi="Calibri" w:cs="Times New Roman"/>
        </w:rPr>
        <w:t xml:space="preserve"> mm – 1 </w:t>
      </w:r>
      <w:r w:rsidRPr="00EB7946">
        <w:rPr>
          <w:rFonts w:ascii="Calibri" w:eastAsia="Calibri" w:hAnsi="Calibri" w:cs="Times New Roman"/>
        </w:rPr>
        <w:t xml:space="preserve">mm. In places, chromite grains coalesce to form semi-massive chromite seams that can reach a thickness of 3 – 4 mm. The intervening silicate phase between chromite grains consists of a combination of plagioclase and orthopyroxene crystals (10 - 20%), with smaller quantities of plagioclase (5 - 10%), rutile (1%) and base metal </w:t>
      </w:r>
      <w:r w:rsidR="00AF2AFC">
        <w:rPr>
          <w:rFonts w:ascii="Calibri" w:eastAsia="Calibri" w:hAnsi="Calibri" w:cs="Times New Roman"/>
        </w:rPr>
        <w:t>sulphide</w:t>
      </w:r>
      <w:r w:rsidRPr="00EB7946">
        <w:rPr>
          <w:rFonts w:ascii="Calibri" w:eastAsia="Calibri" w:hAnsi="Calibri" w:cs="Times New Roman"/>
        </w:rPr>
        <w:t>s (2 - 3%). The lower contacts of the chromitites are generally sharp, whereas the upper contacts are gradational</w:t>
      </w:r>
      <w:r w:rsidR="0037493F">
        <w:rPr>
          <w:rFonts w:ascii="Calibri" w:eastAsia="Calibri" w:hAnsi="Calibri" w:cs="Times New Roman"/>
        </w:rPr>
        <w:t xml:space="preserve"> (Price, 2015)</w:t>
      </w:r>
      <w:r w:rsidRPr="00EB7946">
        <w:rPr>
          <w:rFonts w:ascii="Calibri" w:eastAsia="Calibri" w:hAnsi="Calibri" w:cs="Times New Roman"/>
        </w:rPr>
        <w:t>.</w:t>
      </w:r>
    </w:p>
    <w:p w14:paraId="1BC785C1" w14:textId="305992A1"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Below the lower chromitite stringer a footwall feldspathic pegmatoidal unit of variable thickness is generally present, corresponding to the traditional M2 Pegmatoid </w:t>
      </w:r>
      <w:r w:rsidR="0011655B">
        <w:rPr>
          <w:rFonts w:ascii="Calibri" w:eastAsia="Calibri" w:hAnsi="Calibri" w:cs="Times New Roman"/>
        </w:rPr>
        <w:t xml:space="preserve">in the Limpopo Mine area </w:t>
      </w:r>
      <w:r w:rsidRPr="00EB7946">
        <w:rPr>
          <w:rFonts w:ascii="Calibri" w:eastAsia="Calibri" w:hAnsi="Calibri" w:cs="Times New Roman"/>
        </w:rPr>
        <w:t>(Lea, 1996). The pegmatoidal pyroxenite is character</w:t>
      </w:r>
      <w:r w:rsidR="005D78EA">
        <w:rPr>
          <w:rFonts w:ascii="Calibri" w:eastAsia="Calibri" w:hAnsi="Calibri" w:cs="Times New Roman"/>
        </w:rPr>
        <w:t>ised</w:t>
      </w:r>
      <w:r w:rsidRPr="00EB7946">
        <w:rPr>
          <w:rFonts w:ascii="Calibri" w:eastAsia="Calibri" w:hAnsi="Calibri" w:cs="Times New Roman"/>
        </w:rPr>
        <w:t xml:space="preserve"> by coarse, rounded </w:t>
      </w:r>
      <w:r w:rsidR="00AB7C09">
        <w:rPr>
          <w:rFonts w:ascii="Calibri" w:eastAsia="Calibri" w:hAnsi="Calibri" w:cs="Times New Roman"/>
        </w:rPr>
        <w:t>crystals</w:t>
      </w:r>
      <w:r w:rsidRPr="00EB7946">
        <w:rPr>
          <w:rFonts w:ascii="Calibri" w:eastAsia="Calibri" w:hAnsi="Calibri" w:cs="Times New Roman"/>
        </w:rPr>
        <w:t xml:space="preserve"> of orthopyroxene reaching 4 </w:t>
      </w:r>
      <w:r w:rsidR="0037493F">
        <w:rPr>
          <w:rFonts w:ascii="Calibri" w:eastAsia="Calibri" w:hAnsi="Calibri" w:cs="Times New Roman"/>
        </w:rPr>
        <w:t xml:space="preserve">mm </w:t>
      </w:r>
      <w:r w:rsidRPr="00EB7946">
        <w:rPr>
          <w:rFonts w:ascii="Calibri" w:eastAsia="Calibri" w:hAnsi="Calibri" w:cs="Times New Roman"/>
        </w:rPr>
        <w:t xml:space="preserve">– 18 mm in size, in addition to </w:t>
      </w:r>
      <w:r w:rsidR="0037493F">
        <w:rPr>
          <w:rFonts w:ascii="Calibri" w:eastAsia="Calibri" w:hAnsi="Calibri" w:cs="Times New Roman"/>
        </w:rPr>
        <w:t>commonly</w:t>
      </w:r>
      <w:r w:rsidRPr="00EB7946">
        <w:rPr>
          <w:rFonts w:ascii="Calibri" w:eastAsia="Calibri" w:hAnsi="Calibri" w:cs="Times New Roman"/>
        </w:rPr>
        <w:t xml:space="preserve"> poikilitic plagioclase and clinopyroxene. Plagioclase exhibits a distinctive interstitial texture, </w:t>
      </w:r>
      <w:r w:rsidR="0037493F">
        <w:rPr>
          <w:rFonts w:ascii="Calibri" w:eastAsia="Calibri" w:hAnsi="Calibri" w:cs="Times New Roman"/>
        </w:rPr>
        <w:t>whereas</w:t>
      </w:r>
      <w:r w:rsidRPr="00EB7946">
        <w:rPr>
          <w:rFonts w:ascii="Calibri" w:eastAsia="Calibri" w:hAnsi="Calibri" w:cs="Times New Roman"/>
        </w:rPr>
        <w:t xml:space="preserve"> large oikocrysts of clinopyroxene up to 20 mm in size enclose smaller sub-millimetre orthopyroxene chadacrysts.</w:t>
      </w:r>
    </w:p>
    <w:p w14:paraId="506309D7" w14:textId="78562B09"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Some large orthopyroxene grains appear to be composite grains consisting of multiple crystals forced together. Olivine occurs sporadically as large </w:t>
      </w:r>
      <w:r w:rsidR="0037493F" w:rsidRPr="00EB7946">
        <w:rPr>
          <w:rFonts w:ascii="Calibri" w:eastAsia="Calibri" w:hAnsi="Calibri" w:cs="Times New Roman"/>
        </w:rPr>
        <w:t xml:space="preserve">1 cm </w:t>
      </w:r>
      <w:r w:rsidR="003C58CB" w:rsidRPr="00EB7946">
        <w:rPr>
          <w:rFonts w:ascii="Calibri" w:eastAsia="Calibri" w:hAnsi="Calibri" w:cs="Times New Roman"/>
        </w:rPr>
        <w:t>crystals and</w:t>
      </w:r>
      <w:r w:rsidRPr="00EB7946">
        <w:rPr>
          <w:rFonts w:ascii="Calibri" w:eastAsia="Calibri" w:hAnsi="Calibri" w:cs="Times New Roman"/>
        </w:rPr>
        <w:t xml:space="preserve"> </w:t>
      </w:r>
      <w:r w:rsidR="0037493F">
        <w:rPr>
          <w:rFonts w:ascii="Calibri" w:eastAsia="Calibri" w:hAnsi="Calibri" w:cs="Times New Roman"/>
        </w:rPr>
        <w:t>is</w:t>
      </w:r>
      <w:r w:rsidRPr="00EB7946">
        <w:rPr>
          <w:rFonts w:ascii="Calibri" w:eastAsia="Calibri" w:hAnsi="Calibri" w:cs="Times New Roman"/>
        </w:rPr>
        <w:t xml:space="preserve"> typically heavily serpentinised. Abundant accessory phases are identified, including hornblende, phlogopite, chromite, apatite, quartz, monazite, carbonate veining and various </w:t>
      </w:r>
      <w:r w:rsidR="00AF2AFC">
        <w:rPr>
          <w:rFonts w:ascii="Calibri" w:eastAsia="Calibri" w:hAnsi="Calibri" w:cs="Times New Roman"/>
        </w:rPr>
        <w:t>sulphide</w:t>
      </w:r>
      <w:r w:rsidRPr="00EB7946">
        <w:rPr>
          <w:rFonts w:ascii="Calibri" w:eastAsia="Calibri" w:hAnsi="Calibri" w:cs="Times New Roman"/>
        </w:rPr>
        <w:t>s, mainly pyrrhotite, pentlandite, chalcopyrite and pyrite, in that order of relative abundance.</w:t>
      </w:r>
    </w:p>
    <w:p w14:paraId="027D56F3" w14:textId="706035D2"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Most of the visible </w:t>
      </w:r>
      <w:r w:rsidR="00AF2AFC">
        <w:rPr>
          <w:rFonts w:ascii="Calibri" w:eastAsia="Calibri" w:hAnsi="Calibri" w:cs="Times New Roman"/>
        </w:rPr>
        <w:t>sulphide</w:t>
      </w:r>
      <w:r w:rsidRPr="00EB7946">
        <w:rPr>
          <w:rFonts w:ascii="Calibri" w:eastAsia="Calibri" w:hAnsi="Calibri" w:cs="Times New Roman"/>
        </w:rPr>
        <w:t xml:space="preserve"> </w:t>
      </w:r>
      <w:r w:rsidR="00AF2AFC">
        <w:rPr>
          <w:rFonts w:ascii="Calibri" w:eastAsia="Calibri" w:hAnsi="Calibri" w:cs="Times New Roman"/>
        </w:rPr>
        <w:t>mineralisation</w:t>
      </w:r>
      <w:r w:rsidRPr="00EB7946">
        <w:rPr>
          <w:rFonts w:ascii="Calibri" w:eastAsia="Calibri" w:hAnsi="Calibri" w:cs="Times New Roman"/>
        </w:rPr>
        <w:t xml:space="preserve"> occurs within the pyroxenite unit and appears to be concentrated in and around the uppermost chromitite stringer. Visible sulfide </w:t>
      </w:r>
      <w:r w:rsidR="00AF2AFC">
        <w:rPr>
          <w:rFonts w:ascii="Calibri" w:eastAsia="Calibri" w:hAnsi="Calibri" w:cs="Times New Roman"/>
        </w:rPr>
        <w:t>mineralisation</w:t>
      </w:r>
      <w:r w:rsidRPr="00EB7946">
        <w:rPr>
          <w:rFonts w:ascii="Calibri" w:eastAsia="Calibri" w:hAnsi="Calibri" w:cs="Times New Roman"/>
        </w:rPr>
        <w:t xml:space="preserve"> extends into the footwall feldspathic pegmatoidal pyroxenite as well as the norite hanging wall, albeit to a lesser extent. PGE grade is concentrated between the two chromitite stringers and into the underlying pegmatoidal feldspathic pyroxenite (</w:t>
      </w:r>
      <w:r w:rsidR="00CE738E">
        <w:rPr>
          <w:rFonts w:ascii="Calibri" w:eastAsia="Calibri" w:hAnsi="Calibri" w:cs="Times New Roman"/>
        </w:rPr>
        <w:t>Figure</w:t>
      </w:r>
      <w:r w:rsidRPr="00EB7946">
        <w:rPr>
          <w:rFonts w:ascii="Calibri" w:eastAsia="Calibri" w:hAnsi="Calibri" w:cs="Times New Roman"/>
        </w:rPr>
        <w:t xml:space="preserve"> 16), similar to that described by Mitchell and Scoon (2007)</w:t>
      </w:r>
      <w:r w:rsidR="0011655B">
        <w:rPr>
          <w:rFonts w:ascii="Calibri" w:eastAsia="Calibri" w:hAnsi="Calibri" w:cs="Times New Roman"/>
        </w:rPr>
        <w:t xml:space="preserve"> on the Central Sector of the Eastern Limb at Winnaarshoek, approximately 50 km east of the Lesego Project</w:t>
      </w:r>
      <w:r w:rsidRPr="00EB7946">
        <w:rPr>
          <w:rFonts w:ascii="Calibri" w:eastAsia="Calibri" w:hAnsi="Calibri" w:cs="Times New Roman"/>
        </w:rPr>
        <w:t>.</w:t>
      </w:r>
    </w:p>
    <w:p w14:paraId="1D7D5397" w14:textId="58D29180" w:rsidR="00EB7946" w:rsidRPr="00EB7946" w:rsidRDefault="00EB7946" w:rsidP="00EB7946">
      <w:pPr>
        <w:jc w:val="both"/>
        <w:rPr>
          <w:rFonts w:ascii="Calibri" w:eastAsia="Calibri" w:hAnsi="Calibri" w:cs="Times New Roman"/>
        </w:rPr>
      </w:pPr>
      <w:r w:rsidRPr="00EB7946">
        <w:rPr>
          <w:rFonts w:ascii="Calibri" w:eastAsia="Calibri" w:hAnsi="Calibri" w:cs="Times New Roman"/>
        </w:rPr>
        <w:t>The Bastar</w:t>
      </w:r>
      <w:r w:rsidR="0011655B">
        <w:rPr>
          <w:rFonts w:ascii="Calibri" w:eastAsia="Calibri" w:hAnsi="Calibri" w:cs="Times New Roman"/>
        </w:rPr>
        <w:t>d unit in the</w:t>
      </w:r>
      <w:r w:rsidRPr="00EB7946">
        <w:rPr>
          <w:rFonts w:ascii="Calibri" w:eastAsia="Calibri" w:hAnsi="Calibri" w:cs="Times New Roman"/>
        </w:rPr>
        <w:t xml:space="preserve"> Lesego </w:t>
      </w:r>
      <w:r w:rsidR="0011655B">
        <w:rPr>
          <w:rFonts w:ascii="Calibri" w:eastAsia="Calibri" w:hAnsi="Calibri" w:cs="Times New Roman"/>
        </w:rPr>
        <w:t xml:space="preserve">Lease Area </w:t>
      </w:r>
      <w:r w:rsidRPr="00EB7946">
        <w:rPr>
          <w:rFonts w:ascii="Calibri" w:eastAsia="Calibri" w:hAnsi="Calibri" w:cs="Times New Roman"/>
        </w:rPr>
        <w:t>consists of norite and feldspathic pyroxenite with rare interstitial sulfides and</w:t>
      </w:r>
      <w:r w:rsidR="0011655B">
        <w:rPr>
          <w:rFonts w:ascii="Calibri" w:eastAsia="Calibri" w:hAnsi="Calibri" w:cs="Times New Roman"/>
        </w:rPr>
        <w:t>,</w:t>
      </w:r>
      <w:r w:rsidRPr="00EB7946">
        <w:rPr>
          <w:rFonts w:ascii="Calibri" w:eastAsia="Calibri" w:hAnsi="Calibri" w:cs="Times New Roman"/>
        </w:rPr>
        <w:t xml:space="preserve"> </w:t>
      </w:r>
      <w:r w:rsidR="0011655B">
        <w:rPr>
          <w:rFonts w:ascii="Calibri" w:eastAsia="Calibri" w:hAnsi="Calibri" w:cs="Times New Roman"/>
        </w:rPr>
        <w:t xml:space="preserve">locally, </w:t>
      </w:r>
      <w:r w:rsidRPr="00EB7946">
        <w:rPr>
          <w:rFonts w:ascii="Calibri" w:eastAsia="Calibri" w:hAnsi="Calibri" w:cs="Times New Roman"/>
        </w:rPr>
        <w:t>a basal chromitite stringer. The sequence between the Bastard Pyroxenite and the Merensky cycle consists of a well-developed package of mottled anorthosite (</w:t>
      </w:r>
      <w:r w:rsidR="0011655B">
        <w:rPr>
          <w:rFonts w:ascii="Calibri" w:eastAsia="Calibri" w:hAnsi="Calibri" w:cs="Times New Roman"/>
        </w:rPr>
        <w:t>thicknesses</w:t>
      </w:r>
      <w:r w:rsidRPr="00EB7946">
        <w:rPr>
          <w:rFonts w:ascii="Calibri" w:eastAsia="Calibri" w:hAnsi="Calibri" w:cs="Times New Roman"/>
        </w:rPr>
        <w:t xml:space="preserve"> of between 5.6 m and 4.4 m) grading into a spotted anorthosite (</w:t>
      </w:r>
      <w:r w:rsidR="0011655B">
        <w:rPr>
          <w:rFonts w:ascii="Calibri" w:eastAsia="Calibri" w:hAnsi="Calibri" w:cs="Times New Roman"/>
        </w:rPr>
        <w:t>thicknesses</w:t>
      </w:r>
      <w:r w:rsidR="0011655B" w:rsidRPr="00EB7946">
        <w:rPr>
          <w:rFonts w:ascii="Calibri" w:eastAsia="Calibri" w:hAnsi="Calibri" w:cs="Times New Roman"/>
        </w:rPr>
        <w:t xml:space="preserve"> </w:t>
      </w:r>
      <w:r w:rsidRPr="00EB7946">
        <w:rPr>
          <w:rFonts w:ascii="Calibri" w:eastAsia="Calibri" w:hAnsi="Calibri" w:cs="Times New Roman"/>
        </w:rPr>
        <w:t>of between 3.8 m and 2.9 m) and finally a gradational change into a leuconorite (</w:t>
      </w:r>
      <w:r w:rsidR="0011655B">
        <w:rPr>
          <w:rFonts w:ascii="Calibri" w:eastAsia="Calibri" w:hAnsi="Calibri" w:cs="Times New Roman"/>
        </w:rPr>
        <w:t>thicknesses</w:t>
      </w:r>
      <w:r w:rsidR="0011655B" w:rsidRPr="00EB7946">
        <w:rPr>
          <w:rFonts w:ascii="Calibri" w:eastAsia="Calibri" w:hAnsi="Calibri" w:cs="Times New Roman"/>
        </w:rPr>
        <w:t xml:space="preserve"> </w:t>
      </w:r>
      <w:r w:rsidRPr="00EB7946">
        <w:rPr>
          <w:rFonts w:ascii="Calibri" w:eastAsia="Calibri" w:hAnsi="Calibri" w:cs="Times New Roman"/>
        </w:rPr>
        <w:t>between 2.7 m and 1.3 m).</w:t>
      </w:r>
    </w:p>
    <w:p w14:paraId="6BFC7AE2" w14:textId="4738A9C2"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immediate hangingwall to the Bastard cycle is the Giant Mottled Anorthosite (GMA) of Subzone A of the Main Zone </w:t>
      </w:r>
      <w:r w:rsidR="003E18F8">
        <w:rPr>
          <w:rFonts w:ascii="Calibri" w:eastAsia="Calibri" w:hAnsi="Calibri" w:cs="Times New Roman"/>
        </w:rPr>
        <w:t xml:space="preserve">(Figure 2) </w:t>
      </w:r>
      <w:r w:rsidRPr="00EB7946">
        <w:rPr>
          <w:rFonts w:ascii="Calibri" w:eastAsia="Calibri" w:hAnsi="Calibri" w:cs="Times New Roman"/>
        </w:rPr>
        <w:t>(SACS, 1980). A well-developed GMA sequence is observed at Lesego, in general ranging in thickness from 61 m to 79 m.</w:t>
      </w:r>
    </w:p>
    <w:p w14:paraId="50031554" w14:textId="77777777" w:rsidR="00EB7946" w:rsidRPr="00EB7946" w:rsidRDefault="00EB7946" w:rsidP="00EB7946">
      <w:pPr>
        <w:rPr>
          <w:rFonts w:ascii="Calibri" w:eastAsia="Calibri" w:hAnsi="Calibri" w:cs="Times New Roman"/>
        </w:rPr>
      </w:pPr>
      <w:r w:rsidRPr="00EB7946">
        <w:rPr>
          <w:rFonts w:ascii="Calibri" w:eastAsia="Calibri" w:hAnsi="Calibri" w:cs="Times New Roman"/>
        </w:rPr>
        <w:br w:type="page"/>
      </w:r>
    </w:p>
    <w:p w14:paraId="215620A4"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noProof/>
          <w:lang w:val="en-ZA" w:eastAsia="en-ZA"/>
        </w:rPr>
        <w:lastRenderedPageBreak/>
        <w:drawing>
          <wp:inline distT="0" distB="0" distL="0" distR="0" wp14:anchorId="6B55F531" wp14:editId="5BAC4C57">
            <wp:extent cx="4047490" cy="328612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783" t="12810" r="3535" b="2176"/>
                    <a:stretch/>
                  </pic:blipFill>
                  <pic:spPr bwMode="auto">
                    <a:xfrm>
                      <a:off x="0" y="0"/>
                      <a:ext cx="4048816" cy="3287202"/>
                    </a:xfrm>
                    <a:prstGeom prst="rect">
                      <a:avLst/>
                    </a:prstGeom>
                    <a:ln>
                      <a:noFill/>
                    </a:ln>
                    <a:extLst>
                      <a:ext uri="{53640926-AAD7-44D8-BBD7-CCE9431645EC}">
                        <a14:shadowObscured xmlns:a14="http://schemas.microsoft.com/office/drawing/2010/main"/>
                      </a:ext>
                    </a:extLst>
                  </pic:spPr>
                </pic:pic>
              </a:graphicData>
            </a:graphic>
          </wp:inline>
        </w:drawing>
      </w:r>
    </w:p>
    <w:p w14:paraId="002F075A" w14:textId="77777777" w:rsidR="00EB7946" w:rsidRPr="00EB7946" w:rsidRDefault="00EB7946" w:rsidP="00EB7946">
      <w:pPr>
        <w:jc w:val="both"/>
        <w:rPr>
          <w:rFonts w:ascii="Calibri" w:eastAsia="Calibri" w:hAnsi="Calibri" w:cs="Times New Roman"/>
        </w:rPr>
      </w:pPr>
    </w:p>
    <w:p w14:paraId="2739BE05" w14:textId="35B75723" w:rsidR="00EB7946" w:rsidRPr="00374FA6" w:rsidRDefault="007D2A06" w:rsidP="00374FA6">
      <w:pPr>
        <w:pStyle w:val="Caption"/>
        <w:jc w:val="both"/>
      </w:pPr>
      <w:bookmarkStart w:id="97" w:name="_Toc520757568"/>
      <w:r>
        <w:t xml:space="preserve">Figure </w:t>
      </w:r>
      <w:fldSimple w:instr=" SEQ Figure \* ARABIC ">
        <w:r w:rsidR="002645B6">
          <w:rPr>
            <w:noProof/>
          </w:rPr>
          <w:t>17</w:t>
        </w:r>
      </w:fldSimple>
      <w:r w:rsidR="00EB7946" w:rsidRPr="00374FA6">
        <w:t xml:space="preserve">: Typical stratigraphy </w:t>
      </w:r>
      <w:r w:rsidR="0011655B" w:rsidRPr="00374FA6">
        <w:t xml:space="preserve">representing the average width </w:t>
      </w:r>
      <w:r w:rsidR="00EB7946" w:rsidRPr="00374FA6">
        <w:t xml:space="preserve">and grade profile </w:t>
      </w:r>
      <w:r w:rsidR="00101217">
        <w:t xml:space="preserve">compiled from composite boreholes </w:t>
      </w:r>
      <w:r w:rsidR="00EB7946" w:rsidRPr="00374FA6">
        <w:t xml:space="preserve">across the Merensky Reef </w:t>
      </w:r>
      <w:r w:rsidR="0011655B" w:rsidRPr="00374FA6">
        <w:t>in the</w:t>
      </w:r>
      <w:r w:rsidR="00EB7946" w:rsidRPr="00374FA6">
        <w:t xml:space="preserve"> Lesego</w:t>
      </w:r>
      <w:r w:rsidR="0011655B" w:rsidRPr="00374FA6">
        <w:t xml:space="preserve"> Project Area (after Njowa and Clay, 2010).</w:t>
      </w:r>
      <w:bookmarkEnd w:id="97"/>
    </w:p>
    <w:p w14:paraId="0F7258CD" w14:textId="77777777" w:rsidR="007D2A06" w:rsidRPr="007D2A06" w:rsidRDefault="007D2A06" w:rsidP="00415C14">
      <w:pPr>
        <w:spacing w:before="60" w:after="60" w:line="240" w:lineRule="auto"/>
        <w:ind w:right="-1"/>
        <w:jc w:val="both"/>
        <w:rPr>
          <w:rFonts w:ascii="Arial" w:eastAsia="Times New Roman" w:hAnsi="Arial" w:cs="Times New Roman"/>
          <w:szCs w:val="20"/>
          <w:lang w:val="en-GB"/>
        </w:rPr>
      </w:pPr>
    </w:p>
    <w:p w14:paraId="219FC4A8" w14:textId="77777777" w:rsidR="00EB7946" w:rsidRPr="00CE738E" w:rsidRDefault="00EB7946" w:rsidP="00CE738E">
      <w:pPr>
        <w:pStyle w:val="Heading2"/>
        <w:rPr>
          <w:color w:val="000000" w:themeColor="text1"/>
        </w:rPr>
      </w:pPr>
      <w:bookmarkStart w:id="98" w:name="_Toc501030999"/>
      <w:bookmarkStart w:id="99" w:name="_Toc520758794"/>
      <w:r w:rsidRPr="00CE738E">
        <w:rPr>
          <w:color w:val="000000" w:themeColor="text1"/>
        </w:rPr>
        <w:t>Precious Metal Mineralogy</w:t>
      </w:r>
      <w:bookmarkEnd w:id="98"/>
      <w:bookmarkEnd w:id="99"/>
    </w:p>
    <w:p w14:paraId="042D6B2D" w14:textId="1D69C2CE" w:rsidR="00000998" w:rsidRPr="00EB7946" w:rsidRDefault="00EB7946" w:rsidP="00000998">
      <w:pPr>
        <w:jc w:val="both"/>
        <w:rPr>
          <w:rFonts w:ascii="Calibri" w:eastAsia="Calibri" w:hAnsi="Calibri" w:cs="Times New Roman"/>
        </w:rPr>
      </w:pPr>
      <w:bookmarkStart w:id="100" w:name="_Toc501031000"/>
      <w:r w:rsidRPr="00EB7946">
        <w:rPr>
          <w:rFonts w:ascii="Calibri" w:eastAsia="Calibri" w:hAnsi="Calibri" w:cs="Times New Roman"/>
        </w:rPr>
        <w:t xml:space="preserve">Two separate mineralogical studies were carried out (Buurman, 2015; Price, 2015) to determine the composition, distribution, size and abundance of PGM across a complete section of the Merensky Reef from the Lesego </w:t>
      </w:r>
      <w:r w:rsidR="00000998">
        <w:rPr>
          <w:rFonts w:ascii="Calibri" w:eastAsia="Calibri" w:hAnsi="Calibri" w:cs="Times New Roman"/>
        </w:rPr>
        <w:t xml:space="preserve">Project </w:t>
      </w:r>
      <w:r w:rsidRPr="00EB7946">
        <w:rPr>
          <w:rFonts w:ascii="Calibri" w:eastAsia="Calibri" w:hAnsi="Calibri" w:cs="Times New Roman"/>
        </w:rPr>
        <w:t xml:space="preserve">area, as well as to deduce what effects, if any, the emplacement of the Phosiri Dome has had upon the mineralogy of the Merensky Reef and the PGM distribution present. </w:t>
      </w:r>
    </w:p>
    <w:p w14:paraId="0948126A" w14:textId="6A3C111F"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Pt-Pd sulfides cooperite and braggite are typically the most common PGM, with considerable Pt-Pd tellurides and lesser Pt-arsenides, in addition to the Ru sulfide laurite, in the Merensky Reef in this area of the Bushveld (Schwellnus </w:t>
      </w:r>
      <w:r w:rsidRPr="00785551">
        <w:rPr>
          <w:rFonts w:ascii="Calibri" w:eastAsia="Calibri" w:hAnsi="Calibri" w:cs="Times New Roman"/>
          <w:i/>
        </w:rPr>
        <w:t>et al</w:t>
      </w:r>
      <w:r w:rsidRPr="00EB7946">
        <w:rPr>
          <w:rFonts w:ascii="Calibri" w:eastAsia="Calibri" w:hAnsi="Calibri" w:cs="Times New Roman"/>
        </w:rPr>
        <w:t xml:space="preserve">., 1976; Kinloch </w:t>
      </w:r>
      <w:r w:rsidR="00000998">
        <w:rPr>
          <w:rFonts w:ascii="Calibri" w:eastAsia="Calibri" w:hAnsi="Calibri" w:cs="Times New Roman"/>
        </w:rPr>
        <w:t>and</w:t>
      </w:r>
      <w:r w:rsidRPr="00EB7946">
        <w:rPr>
          <w:rFonts w:ascii="Calibri" w:eastAsia="Calibri" w:hAnsi="Calibri" w:cs="Times New Roman"/>
        </w:rPr>
        <w:t xml:space="preserve"> Peyerl, 1990).  </w:t>
      </w:r>
    </w:p>
    <w:p w14:paraId="77686C75" w14:textId="22CEEF78"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pegmatoidal feldspathic pyroxenite including the two chromitite seams from drill holes LES037, LES034, LES036, LES040, LES034, LES024, LES022 </w:t>
      </w:r>
      <w:r w:rsidR="00000998">
        <w:rPr>
          <w:rFonts w:ascii="Calibri" w:eastAsia="Calibri" w:hAnsi="Calibri" w:cs="Times New Roman"/>
        </w:rPr>
        <w:t>(</w:t>
      </w:r>
      <w:r w:rsidR="00CE738E">
        <w:rPr>
          <w:rFonts w:ascii="Calibri" w:eastAsia="Calibri" w:hAnsi="Calibri" w:cs="Times New Roman"/>
        </w:rPr>
        <w:t>Figure</w:t>
      </w:r>
      <w:r w:rsidR="00000998">
        <w:rPr>
          <w:rFonts w:ascii="Calibri" w:eastAsia="Calibri" w:hAnsi="Calibri" w:cs="Times New Roman"/>
        </w:rPr>
        <w:t xml:space="preserve"> 14) </w:t>
      </w:r>
      <w:r w:rsidRPr="00EB7946">
        <w:rPr>
          <w:rFonts w:ascii="Calibri" w:eastAsia="Calibri" w:hAnsi="Calibri" w:cs="Times New Roman"/>
        </w:rPr>
        <w:t xml:space="preserve">was sampled and analyzed by Buurman (2015), whilst the hanging wall, reef and footwall rocks from drill holes LES019 and LES025 </w:t>
      </w:r>
      <w:r w:rsidR="00000998">
        <w:rPr>
          <w:rFonts w:ascii="Calibri" w:eastAsia="Calibri" w:hAnsi="Calibri" w:cs="Times New Roman"/>
        </w:rPr>
        <w:t>(</w:t>
      </w:r>
      <w:r w:rsidR="00CE738E">
        <w:rPr>
          <w:rFonts w:ascii="Calibri" w:eastAsia="Calibri" w:hAnsi="Calibri" w:cs="Times New Roman"/>
        </w:rPr>
        <w:t>Figure</w:t>
      </w:r>
      <w:r w:rsidR="00000998">
        <w:rPr>
          <w:rFonts w:ascii="Calibri" w:eastAsia="Calibri" w:hAnsi="Calibri" w:cs="Times New Roman"/>
        </w:rPr>
        <w:t xml:space="preserve"> 14) </w:t>
      </w:r>
      <w:r w:rsidRPr="00EB7946">
        <w:rPr>
          <w:rFonts w:ascii="Calibri" w:eastAsia="Calibri" w:hAnsi="Calibri" w:cs="Times New Roman"/>
        </w:rPr>
        <w:t xml:space="preserve">were sampled and analyzed by Price (2015). </w:t>
      </w:r>
      <w:r w:rsidR="00000998">
        <w:rPr>
          <w:rFonts w:ascii="Calibri" w:eastAsia="Calibri" w:hAnsi="Calibri" w:cs="Times New Roman"/>
        </w:rPr>
        <w:t xml:space="preserve"> </w:t>
      </w:r>
      <w:r w:rsidRPr="00EB7946">
        <w:rPr>
          <w:rFonts w:ascii="Calibri" w:eastAsia="Calibri" w:hAnsi="Calibri" w:cs="Times New Roman"/>
        </w:rPr>
        <w:t>The samples were examined by transmitted light microscopy, reflected light microscopy and scanning electron microscope (SEM).</w:t>
      </w:r>
    </w:p>
    <w:p w14:paraId="7C15CC7F" w14:textId="550DA4E2" w:rsidR="00EB7946" w:rsidRPr="00EB7946" w:rsidRDefault="00EB7946" w:rsidP="00EB7946">
      <w:pPr>
        <w:jc w:val="both"/>
        <w:rPr>
          <w:rFonts w:ascii="Calibri" w:eastAsia="Calibri" w:hAnsi="Calibri" w:cs="Times New Roman"/>
        </w:rPr>
      </w:pPr>
      <w:r w:rsidRPr="00EB7946">
        <w:rPr>
          <w:rFonts w:ascii="Calibri" w:eastAsia="Calibri" w:hAnsi="Calibri" w:cs="Times New Roman"/>
        </w:rPr>
        <w:t>The dominant precious metal minerals (PMM) identified using SEM in the thin sections of the borehole samples taken from the pegmatoidal feldspathic pyroxenite are cooperite (33.11%), moncheite (29.18%), sperrylite (13.44%), braggite (7.21%), laurite (5.57%), kotulskite (3.61%), platarsite (2.3%) and michernite (1.64%)</w:t>
      </w:r>
      <w:r w:rsidR="005205DE">
        <w:rPr>
          <w:rFonts w:ascii="Calibri" w:eastAsia="Calibri" w:hAnsi="Calibri" w:cs="Times New Roman"/>
        </w:rPr>
        <w:t>; t</w:t>
      </w:r>
      <w:r w:rsidRPr="00EB7946">
        <w:rPr>
          <w:rFonts w:ascii="Calibri" w:eastAsia="Calibri" w:hAnsi="Calibri" w:cs="Times New Roman"/>
        </w:rPr>
        <w:t>he presence of hollingworthi</w:t>
      </w:r>
      <w:r w:rsidR="00000998">
        <w:rPr>
          <w:rFonts w:ascii="Calibri" w:eastAsia="Calibri" w:hAnsi="Calibri" w:cs="Times New Roman"/>
        </w:rPr>
        <w:t xml:space="preserve">te, niggliite, palladoarsenide and </w:t>
      </w:r>
      <w:r w:rsidRPr="00EB7946">
        <w:rPr>
          <w:rFonts w:ascii="Calibri" w:eastAsia="Calibri" w:hAnsi="Calibri" w:cs="Times New Roman"/>
        </w:rPr>
        <w:t>rustenburgite was noted</w:t>
      </w:r>
      <w:r w:rsidR="005205DE">
        <w:rPr>
          <w:rFonts w:ascii="Calibri" w:eastAsia="Calibri" w:hAnsi="Calibri" w:cs="Times New Roman"/>
        </w:rPr>
        <w:t xml:space="preserve"> (</w:t>
      </w:r>
      <w:r w:rsidR="00E508BB">
        <w:rPr>
          <w:rFonts w:ascii="Calibri" w:eastAsia="Calibri" w:hAnsi="Calibri" w:cs="Times New Roman"/>
        </w:rPr>
        <w:t xml:space="preserve">Buurman, 2015; </w:t>
      </w:r>
      <w:r w:rsidR="005205DE">
        <w:rPr>
          <w:rFonts w:ascii="Calibri" w:eastAsia="Calibri" w:hAnsi="Calibri" w:cs="Times New Roman"/>
        </w:rPr>
        <w:t>Price, 2015)</w:t>
      </w:r>
      <w:r w:rsidRPr="00EB7946">
        <w:rPr>
          <w:rFonts w:ascii="Calibri" w:eastAsia="Calibri" w:hAnsi="Calibri" w:cs="Times New Roman"/>
        </w:rPr>
        <w:t>.</w:t>
      </w:r>
    </w:p>
    <w:p w14:paraId="6B53180C" w14:textId="4388E5DB" w:rsidR="00EB7946" w:rsidRPr="00EB7946" w:rsidRDefault="00EB7946" w:rsidP="00EB7946">
      <w:pPr>
        <w:jc w:val="both"/>
        <w:rPr>
          <w:rFonts w:ascii="Calibri" w:eastAsia="Calibri" w:hAnsi="Calibri" w:cs="Times New Roman"/>
        </w:rPr>
      </w:pPr>
      <w:r w:rsidRPr="00EB7946">
        <w:rPr>
          <w:rFonts w:ascii="Calibri" w:eastAsia="Calibri" w:hAnsi="Calibri" w:cs="Times New Roman"/>
        </w:rPr>
        <w:t>In the samples taken from across all lithological horizons of the Merensky Reef in drill holes LES019 and LES02</w:t>
      </w:r>
      <w:r w:rsidR="00000998">
        <w:rPr>
          <w:rFonts w:ascii="Calibri" w:eastAsia="Calibri" w:hAnsi="Calibri" w:cs="Times New Roman"/>
        </w:rPr>
        <w:t>5</w:t>
      </w:r>
      <w:r w:rsidRPr="00EB7946">
        <w:rPr>
          <w:rFonts w:ascii="Calibri" w:eastAsia="Calibri" w:hAnsi="Calibri" w:cs="Times New Roman"/>
        </w:rPr>
        <w:t xml:space="preserve">), the PGE sulfides are mainly braggite, cooperite, laurite, </w:t>
      </w:r>
      <w:r w:rsidR="00000998">
        <w:rPr>
          <w:rFonts w:ascii="Calibri" w:eastAsia="Calibri" w:hAnsi="Calibri" w:cs="Times New Roman"/>
        </w:rPr>
        <w:t xml:space="preserve">an </w:t>
      </w:r>
      <w:r w:rsidRPr="00EB7946">
        <w:rPr>
          <w:rFonts w:ascii="Calibri" w:eastAsia="Calibri" w:hAnsi="Calibri" w:cs="Times New Roman"/>
        </w:rPr>
        <w:t xml:space="preserve">unnamed CuPtRh sulfide and vysotskite, </w:t>
      </w:r>
      <w:r w:rsidR="00000998">
        <w:rPr>
          <w:rFonts w:ascii="Calibri" w:eastAsia="Calibri" w:hAnsi="Calibri" w:cs="Times New Roman"/>
        </w:rPr>
        <w:t xml:space="preserve">which </w:t>
      </w:r>
      <w:r w:rsidRPr="00EB7946">
        <w:rPr>
          <w:rFonts w:ascii="Calibri" w:eastAsia="Calibri" w:hAnsi="Calibri" w:cs="Times New Roman"/>
        </w:rPr>
        <w:t xml:space="preserve">account </w:t>
      </w:r>
      <w:r w:rsidR="006C4780">
        <w:rPr>
          <w:rFonts w:ascii="Calibri" w:eastAsia="Calibri" w:hAnsi="Calibri" w:cs="Times New Roman"/>
        </w:rPr>
        <w:t xml:space="preserve">by </w:t>
      </w:r>
      <w:r w:rsidR="00E508BB">
        <w:rPr>
          <w:rFonts w:ascii="Calibri" w:eastAsia="Calibri" w:hAnsi="Calibri" w:cs="Times New Roman"/>
        </w:rPr>
        <w:t xml:space="preserve">count </w:t>
      </w:r>
      <w:r w:rsidRPr="00EB7946">
        <w:rPr>
          <w:rFonts w:ascii="Calibri" w:eastAsia="Calibri" w:hAnsi="Calibri" w:cs="Times New Roman"/>
        </w:rPr>
        <w:t xml:space="preserve">for 40.0% of total </w:t>
      </w:r>
      <w:r w:rsidR="006C4780">
        <w:rPr>
          <w:rFonts w:ascii="Calibri" w:eastAsia="Calibri" w:hAnsi="Calibri" w:cs="Times New Roman"/>
        </w:rPr>
        <w:t>precious metal minerals</w:t>
      </w:r>
      <w:r w:rsidRPr="00EB7946">
        <w:rPr>
          <w:rFonts w:ascii="Calibri" w:eastAsia="Calibri" w:hAnsi="Calibri" w:cs="Times New Roman"/>
        </w:rPr>
        <w:t xml:space="preserve">, </w:t>
      </w:r>
      <w:r w:rsidR="005205DE">
        <w:rPr>
          <w:rFonts w:ascii="Calibri" w:eastAsia="Calibri" w:hAnsi="Calibri" w:cs="Times New Roman"/>
        </w:rPr>
        <w:t>whereas</w:t>
      </w:r>
      <w:r w:rsidRPr="00EB7946">
        <w:rPr>
          <w:rFonts w:ascii="Calibri" w:eastAsia="Calibri" w:hAnsi="Calibri" w:cs="Times New Roman"/>
        </w:rPr>
        <w:t xml:space="preserve"> PGE bismuthotellurides (m</w:t>
      </w:r>
      <w:r w:rsidR="00FF3013">
        <w:rPr>
          <w:rFonts w:ascii="Calibri" w:eastAsia="Calibri" w:hAnsi="Calibri" w:cs="Times New Roman"/>
        </w:rPr>
        <w:t>ichen</w:t>
      </w:r>
      <w:r w:rsidRPr="00EB7946">
        <w:rPr>
          <w:rFonts w:ascii="Calibri" w:eastAsia="Calibri" w:hAnsi="Calibri" w:cs="Times New Roman"/>
        </w:rPr>
        <w:t>e</w:t>
      </w:r>
      <w:r w:rsidR="00FF3013">
        <w:rPr>
          <w:rFonts w:ascii="Calibri" w:eastAsia="Calibri" w:hAnsi="Calibri" w:cs="Times New Roman"/>
        </w:rPr>
        <w:t>rite</w:t>
      </w:r>
      <w:r w:rsidRPr="00EB7946">
        <w:rPr>
          <w:rFonts w:ascii="Calibri" w:eastAsia="Calibri" w:hAnsi="Calibri" w:cs="Times New Roman"/>
        </w:rPr>
        <w:t xml:space="preserve"> and merenskyite) account for 36.4% of all grains. </w:t>
      </w:r>
      <w:r w:rsidR="005205DE">
        <w:rPr>
          <w:rFonts w:ascii="Calibri" w:eastAsia="Calibri" w:hAnsi="Calibri" w:cs="Times New Roman"/>
        </w:rPr>
        <w:t>The remaining 23.6% is made up of minor precious metal minerals.</w:t>
      </w:r>
    </w:p>
    <w:p w14:paraId="6DCE848F" w14:textId="7745CE6A" w:rsidR="00EB7946" w:rsidRPr="00EB7946" w:rsidRDefault="00EB7946" w:rsidP="00EB7946">
      <w:pPr>
        <w:jc w:val="both"/>
        <w:rPr>
          <w:rFonts w:ascii="Calibri" w:eastAsia="Calibri" w:hAnsi="Calibri" w:cs="Times New Roman"/>
        </w:rPr>
      </w:pPr>
      <w:r w:rsidRPr="00EB7946">
        <w:rPr>
          <w:rFonts w:ascii="Calibri" w:eastAsia="Calibri" w:hAnsi="Calibri" w:cs="Times New Roman"/>
        </w:rPr>
        <w:lastRenderedPageBreak/>
        <w:t xml:space="preserve">Price </w:t>
      </w:r>
      <w:r w:rsidR="00E508BB">
        <w:rPr>
          <w:rFonts w:ascii="Calibri" w:eastAsia="Calibri" w:hAnsi="Calibri" w:cs="Times New Roman"/>
        </w:rPr>
        <w:t xml:space="preserve">(2015) </w:t>
      </w:r>
      <w:r w:rsidRPr="00EB7946">
        <w:rPr>
          <w:rFonts w:ascii="Calibri" w:eastAsia="Calibri" w:hAnsi="Calibri" w:cs="Times New Roman"/>
        </w:rPr>
        <w:t xml:space="preserve">demonstrated that the highest PMM count by number and area are primarily in the chromitite units and that the PGE </w:t>
      </w:r>
      <w:r w:rsidR="00AF2AFC">
        <w:rPr>
          <w:rFonts w:ascii="Calibri" w:eastAsia="Calibri" w:hAnsi="Calibri" w:cs="Times New Roman"/>
        </w:rPr>
        <w:t>mineralisation</w:t>
      </w:r>
      <w:r w:rsidRPr="00EB7946">
        <w:rPr>
          <w:rFonts w:ascii="Calibri" w:eastAsia="Calibri" w:hAnsi="Calibri" w:cs="Times New Roman"/>
        </w:rPr>
        <w:t xml:space="preserve"> present is bimodal, with highest concentrations associated in and immediately below the upper chromitite(s) and lesser PGE </w:t>
      </w:r>
      <w:r w:rsidR="00AF2AFC">
        <w:rPr>
          <w:rFonts w:ascii="Calibri" w:eastAsia="Calibri" w:hAnsi="Calibri" w:cs="Times New Roman"/>
        </w:rPr>
        <w:t>mineralisation</w:t>
      </w:r>
      <w:r w:rsidRPr="00EB7946">
        <w:rPr>
          <w:rFonts w:ascii="Calibri" w:eastAsia="Calibri" w:hAnsi="Calibri" w:cs="Times New Roman"/>
        </w:rPr>
        <w:t xml:space="preserve"> in the thin chromitite atop the footwall anorthosite. These two peaks are separated by several meters of pyroxenites lacking PGE </w:t>
      </w:r>
      <w:r w:rsidR="00AF2AFC">
        <w:rPr>
          <w:rFonts w:ascii="Calibri" w:eastAsia="Calibri" w:hAnsi="Calibri" w:cs="Times New Roman"/>
        </w:rPr>
        <w:t>mineralisation</w:t>
      </w:r>
      <w:r w:rsidRPr="00EB7946">
        <w:rPr>
          <w:rFonts w:ascii="Calibri" w:eastAsia="Calibri" w:hAnsi="Calibri" w:cs="Times New Roman"/>
        </w:rPr>
        <w:t xml:space="preserve">. </w:t>
      </w:r>
      <w:r w:rsidR="00E508BB">
        <w:rPr>
          <w:rFonts w:ascii="Calibri" w:eastAsia="Calibri" w:hAnsi="Calibri" w:cs="Times New Roman"/>
        </w:rPr>
        <w:t>This correlates well with the grade distributio</w:t>
      </w:r>
      <w:r w:rsidR="00754070">
        <w:rPr>
          <w:rFonts w:ascii="Calibri" w:eastAsia="Calibri" w:hAnsi="Calibri" w:cs="Times New Roman"/>
        </w:rPr>
        <w:t>n across the Merensky Reef (Figure 17</w:t>
      </w:r>
      <w:r w:rsidR="00E508BB">
        <w:rPr>
          <w:rFonts w:ascii="Calibri" w:eastAsia="Calibri" w:hAnsi="Calibri" w:cs="Times New Roman"/>
        </w:rPr>
        <w:t>).</w:t>
      </w:r>
    </w:p>
    <w:p w14:paraId="7EF3EC32" w14:textId="0E24A1B0" w:rsidR="00000998" w:rsidRPr="00000998" w:rsidRDefault="00EB7946" w:rsidP="00000998">
      <w:pPr>
        <w:jc w:val="both"/>
        <w:rPr>
          <w:rFonts w:ascii="Calibri" w:eastAsia="Calibri" w:hAnsi="Calibri" w:cs="Times New Roman"/>
        </w:rPr>
      </w:pPr>
      <w:r w:rsidRPr="00EB7946">
        <w:rPr>
          <w:rFonts w:ascii="Calibri" w:eastAsia="Calibri" w:hAnsi="Calibri" w:cs="Times New Roman"/>
        </w:rPr>
        <w:t>The chromitite units and silicate units of the reef have distinctly different PGM assemblages. The bismuthotelluride PGM</w:t>
      </w:r>
      <w:r w:rsidR="00E508BB">
        <w:rPr>
          <w:rFonts w:ascii="Calibri" w:eastAsia="Calibri" w:hAnsi="Calibri" w:cs="Times New Roman"/>
        </w:rPr>
        <w:t>s</w:t>
      </w:r>
      <w:r w:rsidRPr="00EB7946">
        <w:rPr>
          <w:rFonts w:ascii="Calibri" w:eastAsia="Calibri" w:hAnsi="Calibri" w:cs="Times New Roman"/>
        </w:rPr>
        <w:t xml:space="preserve"> occur throughout all rocks and dominate in the silicate lithologies.</w:t>
      </w:r>
      <w:r w:rsidR="00E508BB">
        <w:rPr>
          <w:rFonts w:ascii="Calibri" w:eastAsia="Calibri" w:hAnsi="Calibri" w:cs="Times New Roman"/>
        </w:rPr>
        <w:t xml:space="preserve"> T</w:t>
      </w:r>
      <w:r w:rsidRPr="00EB7946">
        <w:rPr>
          <w:rFonts w:ascii="Calibri" w:eastAsia="Calibri" w:hAnsi="Calibri" w:cs="Times New Roman"/>
        </w:rPr>
        <w:t xml:space="preserve">he chromitite units </w:t>
      </w:r>
      <w:r w:rsidR="00E508BB" w:rsidRPr="00EB7946">
        <w:rPr>
          <w:rFonts w:ascii="Calibri" w:eastAsia="Calibri" w:hAnsi="Calibri" w:cs="Times New Roman"/>
        </w:rPr>
        <w:t xml:space="preserve">additionally </w:t>
      </w:r>
      <w:r w:rsidRPr="00EB7946">
        <w:rPr>
          <w:rFonts w:ascii="Calibri" w:eastAsia="Calibri" w:hAnsi="Calibri" w:cs="Times New Roman"/>
        </w:rPr>
        <w:t xml:space="preserve">contain Pt-Pd sulfides, an unnamed CuPt(Rh) sulfide and laurite. This contrast in PGM assemblage is consistent with that previously recorded by Prichard </w:t>
      </w:r>
      <w:r w:rsidRPr="00785551">
        <w:rPr>
          <w:rFonts w:ascii="Calibri" w:eastAsia="Calibri" w:hAnsi="Calibri" w:cs="Times New Roman"/>
          <w:i/>
        </w:rPr>
        <w:t>et al</w:t>
      </w:r>
      <w:r w:rsidRPr="00EB7946">
        <w:rPr>
          <w:rFonts w:ascii="Calibri" w:eastAsia="Calibri" w:hAnsi="Calibri" w:cs="Times New Roman"/>
        </w:rPr>
        <w:t xml:space="preserve">. (2004) at Impala </w:t>
      </w:r>
      <w:r w:rsidR="00E508BB">
        <w:rPr>
          <w:rFonts w:ascii="Calibri" w:eastAsia="Calibri" w:hAnsi="Calibri" w:cs="Times New Roman"/>
        </w:rPr>
        <w:t xml:space="preserve">Platinum </w:t>
      </w:r>
      <w:r w:rsidRPr="00EB7946">
        <w:rPr>
          <w:rFonts w:ascii="Calibri" w:eastAsia="Calibri" w:hAnsi="Calibri" w:cs="Times New Roman"/>
        </w:rPr>
        <w:t>Mines, on the weste</w:t>
      </w:r>
      <w:r w:rsidR="00E508BB">
        <w:rPr>
          <w:rFonts w:ascii="Calibri" w:eastAsia="Calibri" w:hAnsi="Calibri" w:cs="Times New Roman"/>
        </w:rPr>
        <w:t xml:space="preserve">rn limb of the Bushveld Complex, but it is unknown at this stage how this compares to </w:t>
      </w:r>
      <w:r w:rsidR="00FE2E37">
        <w:rPr>
          <w:rFonts w:ascii="Calibri" w:eastAsia="Calibri" w:hAnsi="Calibri" w:cs="Times New Roman"/>
        </w:rPr>
        <w:t>the PGM assemblage in the immediate vicinity.</w:t>
      </w:r>
    </w:p>
    <w:p w14:paraId="6EB93319" w14:textId="77777777" w:rsidR="00000998" w:rsidRPr="00CE738E" w:rsidRDefault="00000998" w:rsidP="00CE738E">
      <w:pPr>
        <w:pStyle w:val="Heading2"/>
        <w:rPr>
          <w:color w:val="000000" w:themeColor="text1"/>
        </w:rPr>
      </w:pPr>
      <w:bookmarkStart w:id="101" w:name="_Toc520758795"/>
      <w:r w:rsidRPr="00CE738E">
        <w:rPr>
          <w:color w:val="000000" w:themeColor="text1"/>
        </w:rPr>
        <w:t>Resource Statement</w:t>
      </w:r>
      <w:bookmarkEnd w:id="101"/>
    </w:p>
    <w:p w14:paraId="1ED4671A" w14:textId="6AEF28CB" w:rsidR="00000998" w:rsidRDefault="00000998" w:rsidP="00000998">
      <w:pPr>
        <w:jc w:val="both"/>
        <w:rPr>
          <w:rFonts w:ascii="Calibri" w:eastAsia="Calibri" w:hAnsi="Calibri" w:cs="Times New Roman"/>
        </w:rPr>
      </w:pPr>
      <w:r>
        <w:rPr>
          <w:rFonts w:ascii="Calibri" w:eastAsia="Calibri" w:hAnsi="Calibri" w:cs="Times New Roman"/>
        </w:rPr>
        <w:t>In</w:t>
      </w:r>
      <w:r w:rsidRPr="00EB7946">
        <w:rPr>
          <w:rFonts w:ascii="Calibri" w:eastAsia="Calibri" w:hAnsi="Calibri" w:cs="Times New Roman"/>
        </w:rPr>
        <w:t xml:space="preserve"> total</w:t>
      </w:r>
      <w:r>
        <w:rPr>
          <w:rFonts w:ascii="Calibri" w:eastAsia="Calibri" w:hAnsi="Calibri" w:cs="Times New Roman"/>
        </w:rPr>
        <w:t xml:space="preserve">, </w:t>
      </w:r>
      <w:r w:rsidRPr="00EB7946">
        <w:rPr>
          <w:rFonts w:ascii="Calibri" w:eastAsia="Calibri" w:hAnsi="Calibri" w:cs="Times New Roman"/>
        </w:rPr>
        <w:t>86,550 m of</w:t>
      </w:r>
      <w:r>
        <w:rPr>
          <w:rFonts w:ascii="Calibri" w:eastAsia="Calibri" w:hAnsi="Calibri" w:cs="Times New Roman"/>
        </w:rPr>
        <w:t xml:space="preserve"> core was retrieved from the</w:t>
      </w:r>
      <w:r w:rsidRPr="00EB7946">
        <w:rPr>
          <w:rFonts w:ascii="Calibri" w:eastAsia="Calibri" w:hAnsi="Calibri" w:cs="Times New Roman"/>
        </w:rPr>
        <w:t xml:space="preserve"> 56 boreholes </w:t>
      </w:r>
      <w:r>
        <w:rPr>
          <w:rFonts w:ascii="Calibri" w:eastAsia="Calibri" w:hAnsi="Calibri" w:cs="Times New Roman"/>
        </w:rPr>
        <w:t xml:space="preserve">drilled </w:t>
      </w:r>
      <w:r w:rsidRPr="00EB7946">
        <w:rPr>
          <w:rFonts w:ascii="Calibri" w:eastAsia="Calibri" w:hAnsi="Calibri" w:cs="Times New Roman"/>
        </w:rPr>
        <w:t>over the lease area (</w:t>
      </w:r>
      <w:r w:rsidR="00013237">
        <w:rPr>
          <w:rFonts w:ascii="Calibri" w:eastAsia="Calibri" w:hAnsi="Calibri" w:cs="Times New Roman"/>
        </w:rPr>
        <w:t>Figure 15</w:t>
      </w:r>
      <w:r w:rsidRPr="00EB7946">
        <w:rPr>
          <w:rFonts w:ascii="Calibri" w:eastAsia="Calibri" w:hAnsi="Calibri" w:cs="Times New Roman"/>
        </w:rPr>
        <w:t xml:space="preserve">). </w:t>
      </w:r>
      <w:r>
        <w:t xml:space="preserve">A global discount of 17% was applied to the resource statement to account for geological losses owing to faulting, potholing, dykes and IRUPs. </w:t>
      </w:r>
      <w:r w:rsidRPr="00EB7946">
        <w:rPr>
          <w:rFonts w:ascii="Calibri" w:eastAsia="Calibri" w:hAnsi="Calibri" w:cs="Times New Roman"/>
        </w:rPr>
        <w:t>This drilling resulted in the declaration of a SAMREC compliant resource of 204.18 Mt containing 39.03 million ounces of 3PGE+Au at a grade of 5.95 g/t above a depth of 2,250 m (</w:t>
      </w:r>
      <w:r w:rsidR="00013237">
        <w:rPr>
          <w:rFonts w:ascii="Calibri" w:eastAsia="Calibri" w:hAnsi="Calibri" w:cs="Times New Roman"/>
        </w:rPr>
        <w:t>Table 8</w:t>
      </w:r>
      <w:r>
        <w:rPr>
          <w:rFonts w:ascii="Calibri" w:eastAsia="Calibri" w:hAnsi="Calibri" w:cs="Times New Roman"/>
        </w:rPr>
        <w:t xml:space="preserve">) (Hall, 2013). </w:t>
      </w:r>
    </w:p>
    <w:p w14:paraId="55841F6B" w14:textId="4FF13277" w:rsidR="00000998" w:rsidRPr="00EB7946" w:rsidRDefault="00000998" w:rsidP="00000998">
      <w:pPr>
        <w:pStyle w:val="Caption"/>
        <w:rPr>
          <w:rFonts w:ascii="Arial" w:eastAsia="Times New Roman" w:hAnsi="Arial" w:cs="Times New Roman"/>
          <w:b/>
          <w:bCs/>
          <w:szCs w:val="20"/>
          <w:lang w:val="en-ZA"/>
        </w:rPr>
      </w:pPr>
      <w:bookmarkStart w:id="102" w:name="_Toc520740335"/>
      <w:r>
        <w:t xml:space="preserve">Table </w:t>
      </w:r>
      <w:fldSimple w:instr=" SEQ Table \* ARABIC ">
        <w:r w:rsidR="002645B6">
          <w:rPr>
            <w:noProof/>
          </w:rPr>
          <w:t>8</w:t>
        </w:r>
      </w:fldSimple>
      <w:r w:rsidRPr="00EB7946">
        <w:rPr>
          <w:rFonts w:ascii="Arial" w:eastAsia="Times New Roman" w:hAnsi="Arial" w:cs="Times New Roman"/>
          <w:b/>
          <w:bCs/>
          <w:szCs w:val="20"/>
          <w:lang w:val="en-ZA"/>
        </w:rPr>
        <w:t xml:space="preserve">: </w:t>
      </w:r>
      <w:r w:rsidRPr="00E928C2">
        <w:t>Mineral Resources of the Lesego Project</w:t>
      </w:r>
      <w:bookmarkEnd w:id="102"/>
      <w:r w:rsidR="00777FD2">
        <w:t xml:space="preserve"> (Hall, 2013).</w:t>
      </w:r>
    </w:p>
    <w:tbl>
      <w:tblPr>
        <w:tblW w:w="10100" w:type="dxa"/>
        <w:tblLook w:val="04A0" w:firstRow="1" w:lastRow="0" w:firstColumn="1" w:lastColumn="0" w:noHBand="0" w:noVBand="1"/>
      </w:tblPr>
      <w:tblGrid>
        <w:gridCol w:w="2260"/>
        <w:gridCol w:w="1140"/>
        <w:gridCol w:w="1080"/>
        <w:gridCol w:w="1060"/>
        <w:gridCol w:w="860"/>
        <w:gridCol w:w="1060"/>
        <w:gridCol w:w="901"/>
        <w:gridCol w:w="880"/>
        <w:gridCol w:w="880"/>
      </w:tblGrid>
      <w:tr w:rsidR="00000998" w:rsidRPr="001947BD" w14:paraId="7A4443B3" w14:textId="77777777" w:rsidTr="002D68CB">
        <w:trPr>
          <w:trHeight w:val="300"/>
        </w:trPr>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B636F2"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 xml:space="preserve">Resource </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14:paraId="1166AB0C"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Width</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2ABCA9A0"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Grade (g/t)</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22C436CB"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Cu</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14:paraId="5C76D127"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Ni</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5542A2FA"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Tonnage</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14:paraId="78733A8A"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Moz</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14:paraId="7799CBA5"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Cu</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14:paraId="62268189"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Ni</w:t>
            </w:r>
          </w:p>
        </w:tc>
      </w:tr>
      <w:tr w:rsidR="00000998" w:rsidRPr="001947BD" w14:paraId="150C7CD6" w14:textId="77777777" w:rsidTr="002D68CB">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27E62F8D"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Classification</w:t>
            </w:r>
          </w:p>
        </w:tc>
        <w:tc>
          <w:tcPr>
            <w:tcW w:w="1140" w:type="dxa"/>
            <w:tcBorders>
              <w:top w:val="nil"/>
              <w:left w:val="nil"/>
              <w:bottom w:val="single" w:sz="4" w:space="0" w:color="auto"/>
              <w:right w:val="single" w:sz="4" w:space="0" w:color="auto"/>
            </w:tcBorders>
            <w:shd w:val="clear" w:color="auto" w:fill="auto"/>
            <w:noWrap/>
            <w:vAlign w:val="bottom"/>
            <w:hideMark/>
          </w:tcPr>
          <w:p w14:paraId="44BB0213"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(m)</w:t>
            </w:r>
          </w:p>
        </w:tc>
        <w:tc>
          <w:tcPr>
            <w:tcW w:w="1080" w:type="dxa"/>
            <w:tcBorders>
              <w:top w:val="nil"/>
              <w:left w:val="nil"/>
              <w:bottom w:val="single" w:sz="4" w:space="0" w:color="auto"/>
              <w:right w:val="single" w:sz="4" w:space="0" w:color="auto"/>
            </w:tcBorders>
            <w:shd w:val="clear" w:color="auto" w:fill="auto"/>
            <w:noWrap/>
            <w:vAlign w:val="bottom"/>
            <w:hideMark/>
          </w:tcPr>
          <w:p w14:paraId="554B622D"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3PGE+Au</w:t>
            </w:r>
          </w:p>
        </w:tc>
        <w:tc>
          <w:tcPr>
            <w:tcW w:w="1060" w:type="dxa"/>
            <w:tcBorders>
              <w:top w:val="nil"/>
              <w:left w:val="nil"/>
              <w:bottom w:val="single" w:sz="4" w:space="0" w:color="auto"/>
              <w:right w:val="single" w:sz="4" w:space="0" w:color="auto"/>
            </w:tcBorders>
            <w:shd w:val="clear" w:color="auto" w:fill="auto"/>
            <w:noWrap/>
            <w:vAlign w:val="bottom"/>
            <w:hideMark/>
          </w:tcPr>
          <w:p w14:paraId="480238EE"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w:t>
            </w:r>
          </w:p>
        </w:tc>
        <w:tc>
          <w:tcPr>
            <w:tcW w:w="860" w:type="dxa"/>
            <w:tcBorders>
              <w:top w:val="nil"/>
              <w:left w:val="nil"/>
              <w:bottom w:val="single" w:sz="4" w:space="0" w:color="auto"/>
              <w:right w:val="single" w:sz="4" w:space="0" w:color="auto"/>
            </w:tcBorders>
            <w:shd w:val="clear" w:color="auto" w:fill="auto"/>
            <w:noWrap/>
            <w:vAlign w:val="bottom"/>
            <w:hideMark/>
          </w:tcPr>
          <w:p w14:paraId="184EE179"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w:t>
            </w:r>
          </w:p>
        </w:tc>
        <w:tc>
          <w:tcPr>
            <w:tcW w:w="1060" w:type="dxa"/>
            <w:tcBorders>
              <w:top w:val="nil"/>
              <w:left w:val="nil"/>
              <w:bottom w:val="single" w:sz="4" w:space="0" w:color="auto"/>
              <w:right w:val="single" w:sz="4" w:space="0" w:color="auto"/>
            </w:tcBorders>
            <w:shd w:val="clear" w:color="auto" w:fill="auto"/>
            <w:noWrap/>
            <w:vAlign w:val="bottom"/>
            <w:hideMark/>
          </w:tcPr>
          <w:p w14:paraId="252C9EB9"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(Mt)</w:t>
            </w:r>
          </w:p>
        </w:tc>
        <w:tc>
          <w:tcPr>
            <w:tcW w:w="880" w:type="dxa"/>
            <w:tcBorders>
              <w:top w:val="nil"/>
              <w:left w:val="nil"/>
              <w:bottom w:val="single" w:sz="4" w:space="0" w:color="auto"/>
              <w:right w:val="single" w:sz="4" w:space="0" w:color="auto"/>
            </w:tcBorders>
            <w:shd w:val="clear" w:color="auto" w:fill="auto"/>
            <w:noWrap/>
            <w:vAlign w:val="bottom"/>
            <w:hideMark/>
          </w:tcPr>
          <w:p w14:paraId="3BD1E8CA"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3PGE+Au</w:t>
            </w:r>
          </w:p>
        </w:tc>
        <w:tc>
          <w:tcPr>
            <w:tcW w:w="880" w:type="dxa"/>
            <w:tcBorders>
              <w:top w:val="nil"/>
              <w:left w:val="nil"/>
              <w:bottom w:val="single" w:sz="4" w:space="0" w:color="auto"/>
              <w:right w:val="single" w:sz="4" w:space="0" w:color="auto"/>
            </w:tcBorders>
            <w:shd w:val="clear" w:color="auto" w:fill="auto"/>
            <w:noWrap/>
            <w:vAlign w:val="bottom"/>
            <w:hideMark/>
          </w:tcPr>
          <w:p w14:paraId="7EDC4F17"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tons</w:t>
            </w:r>
          </w:p>
        </w:tc>
        <w:tc>
          <w:tcPr>
            <w:tcW w:w="880" w:type="dxa"/>
            <w:tcBorders>
              <w:top w:val="nil"/>
              <w:left w:val="nil"/>
              <w:bottom w:val="single" w:sz="4" w:space="0" w:color="auto"/>
              <w:right w:val="single" w:sz="4" w:space="0" w:color="auto"/>
            </w:tcBorders>
            <w:shd w:val="clear" w:color="auto" w:fill="auto"/>
            <w:noWrap/>
            <w:vAlign w:val="bottom"/>
            <w:hideMark/>
          </w:tcPr>
          <w:p w14:paraId="64D33105" w14:textId="77777777" w:rsidR="00000998" w:rsidRPr="002D68CB" w:rsidRDefault="00000998" w:rsidP="00AA0667">
            <w:pPr>
              <w:spacing w:after="0" w:line="240" w:lineRule="auto"/>
              <w:jc w:val="center"/>
              <w:rPr>
                <w:rFonts w:ascii="Calibri" w:eastAsia="Times New Roman" w:hAnsi="Calibri" w:cs="Arial"/>
                <w:b/>
                <w:bCs/>
                <w:color w:val="000000" w:themeColor="text1"/>
                <w:sz w:val="18"/>
                <w:szCs w:val="18"/>
                <w:lang w:val="en-ZA" w:eastAsia="en-ZA"/>
              </w:rPr>
            </w:pPr>
            <w:r w:rsidRPr="002D68CB">
              <w:rPr>
                <w:rFonts w:ascii="Calibri" w:eastAsia="Times New Roman" w:hAnsi="Calibri" w:cs="Arial"/>
                <w:b/>
                <w:bCs/>
                <w:color w:val="000000" w:themeColor="text1"/>
                <w:sz w:val="18"/>
                <w:szCs w:val="18"/>
                <w:lang w:val="en-ZA" w:eastAsia="en-ZA"/>
              </w:rPr>
              <w:t>tons</w:t>
            </w:r>
          </w:p>
        </w:tc>
      </w:tr>
      <w:tr w:rsidR="00000998" w:rsidRPr="001947BD" w14:paraId="234CA76F" w14:textId="77777777" w:rsidTr="00AA0667">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1B1DE66D" w14:textId="77777777" w:rsidR="00000998" w:rsidRPr="001947BD" w:rsidRDefault="00000998" w:rsidP="00AA0667">
            <w:pPr>
              <w:spacing w:after="0" w:line="240" w:lineRule="auto"/>
              <w:jc w:val="center"/>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Measured</w:t>
            </w:r>
          </w:p>
        </w:tc>
        <w:tc>
          <w:tcPr>
            <w:tcW w:w="1140" w:type="dxa"/>
            <w:tcBorders>
              <w:top w:val="nil"/>
              <w:left w:val="nil"/>
              <w:bottom w:val="single" w:sz="4" w:space="0" w:color="auto"/>
              <w:right w:val="single" w:sz="4" w:space="0" w:color="auto"/>
            </w:tcBorders>
            <w:shd w:val="clear" w:color="auto" w:fill="auto"/>
            <w:noWrap/>
            <w:vAlign w:val="bottom"/>
            <w:hideMark/>
          </w:tcPr>
          <w:p w14:paraId="651D9E6A"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1.21</w:t>
            </w:r>
          </w:p>
        </w:tc>
        <w:tc>
          <w:tcPr>
            <w:tcW w:w="1080" w:type="dxa"/>
            <w:tcBorders>
              <w:top w:val="nil"/>
              <w:left w:val="nil"/>
              <w:bottom w:val="single" w:sz="4" w:space="0" w:color="auto"/>
              <w:right w:val="single" w:sz="4" w:space="0" w:color="auto"/>
            </w:tcBorders>
            <w:shd w:val="clear" w:color="auto" w:fill="auto"/>
            <w:noWrap/>
            <w:vAlign w:val="bottom"/>
            <w:hideMark/>
          </w:tcPr>
          <w:p w14:paraId="3C5338E7"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5.61</w:t>
            </w:r>
          </w:p>
        </w:tc>
        <w:tc>
          <w:tcPr>
            <w:tcW w:w="1060" w:type="dxa"/>
            <w:tcBorders>
              <w:top w:val="nil"/>
              <w:left w:val="nil"/>
              <w:bottom w:val="single" w:sz="4" w:space="0" w:color="auto"/>
              <w:right w:val="single" w:sz="4" w:space="0" w:color="auto"/>
            </w:tcBorders>
            <w:shd w:val="clear" w:color="auto" w:fill="auto"/>
            <w:noWrap/>
            <w:vAlign w:val="bottom"/>
            <w:hideMark/>
          </w:tcPr>
          <w:p w14:paraId="5FBABB13"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0.09%</w:t>
            </w:r>
          </w:p>
        </w:tc>
        <w:tc>
          <w:tcPr>
            <w:tcW w:w="860" w:type="dxa"/>
            <w:tcBorders>
              <w:top w:val="nil"/>
              <w:left w:val="nil"/>
              <w:bottom w:val="single" w:sz="4" w:space="0" w:color="auto"/>
              <w:right w:val="single" w:sz="4" w:space="0" w:color="auto"/>
            </w:tcBorders>
            <w:shd w:val="clear" w:color="auto" w:fill="auto"/>
            <w:noWrap/>
            <w:vAlign w:val="bottom"/>
            <w:hideMark/>
          </w:tcPr>
          <w:p w14:paraId="19A7BAD8"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0.21%</w:t>
            </w:r>
          </w:p>
        </w:tc>
        <w:tc>
          <w:tcPr>
            <w:tcW w:w="1060" w:type="dxa"/>
            <w:tcBorders>
              <w:top w:val="nil"/>
              <w:left w:val="nil"/>
              <w:bottom w:val="single" w:sz="4" w:space="0" w:color="auto"/>
              <w:right w:val="single" w:sz="4" w:space="0" w:color="auto"/>
            </w:tcBorders>
            <w:shd w:val="clear" w:color="auto" w:fill="auto"/>
            <w:noWrap/>
            <w:vAlign w:val="bottom"/>
            <w:hideMark/>
          </w:tcPr>
          <w:p w14:paraId="52B7BC5F"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43.97</w:t>
            </w:r>
          </w:p>
        </w:tc>
        <w:tc>
          <w:tcPr>
            <w:tcW w:w="880" w:type="dxa"/>
            <w:tcBorders>
              <w:top w:val="nil"/>
              <w:left w:val="nil"/>
              <w:bottom w:val="single" w:sz="4" w:space="0" w:color="auto"/>
              <w:right w:val="single" w:sz="4" w:space="0" w:color="auto"/>
            </w:tcBorders>
            <w:shd w:val="clear" w:color="auto" w:fill="auto"/>
            <w:noWrap/>
            <w:vAlign w:val="bottom"/>
            <w:hideMark/>
          </w:tcPr>
          <w:p w14:paraId="6DC2626C" w14:textId="77777777" w:rsidR="00000998" w:rsidRPr="001947BD" w:rsidRDefault="00000998" w:rsidP="00AA0667">
            <w:pPr>
              <w:spacing w:after="0" w:line="240" w:lineRule="auto"/>
              <w:jc w:val="right"/>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7.94</w:t>
            </w:r>
          </w:p>
        </w:tc>
        <w:tc>
          <w:tcPr>
            <w:tcW w:w="880" w:type="dxa"/>
            <w:tcBorders>
              <w:top w:val="nil"/>
              <w:left w:val="nil"/>
              <w:bottom w:val="single" w:sz="4" w:space="0" w:color="auto"/>
              <w:right w:val="single" w:sz="4" w:space="0" w:color="auto"/>
            </w:tcBorders>
            <w:shd w:val="clear" w:color="auto" w:fill="auto"/>
            <w:noWrap/>
            <w:vAlign w:val="bottom"/>
            <w:hideMark/>
          </w:tcPr>
          <w:p w14:paraId="5546C83D" w14:textId="77777777" w:rsidR="00000998" w:rsidRPr="001947BD" w:rsidRDefault="00000998" w:rsidP="00AA0667">
            <w:pPr>
              <w:spacing w:after="0" w:line="240" w:lineRule="auto"/>
              <w:jc w:val="right"/>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 xml:space="preserve">38 235 </w:t>
            </w:r>
          </w:p>
        </w:tc>
        <w:tc>
          <w:tcPr>
            <w:tcW w:w="880" w:type="dxa"/>
            <w:tcBorders>
              <w:top w:val="nil"/>
              <w:left w:val="nil"/>
              <w:bottom w:val="single" w:sz="4" w:space="0" w:color="auto"/>
              <w:right w:val="single" w:sz="4" w:space="0" w:color="auto"/>
            </w:tcBorders>
            <w:shd w:val="clear" w:color="auto" w:fill="auto"/>
            <w:noWrap/>
            <w:vAlign w:val="bottom"/>
            <w:hideMark/>
          </w:tcPr>
          <w:p w14:paraId="177CA182" w14:textId="77777777" w:rsidR="00000998" w:rsidRPr="001947BD" w:rsidRDefault="00000998" w:rsidP="00AA0667">
            <w:pPr>
              <w:spacing w:after="0" w:line="240" w:lineRule="auto"/>
              <w:jc w:val="right"/>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 xml:space="preserve">91 838 </w:t>
            </w:r>
          </w:p>
        </w:tc>
      </w:tr>
      <w:tr w:rsidR="00000998" w:rsidRPr="001947BD" w14:paraId="7706F090" w14:textId="77777777" w:rsidTr="00AA0667">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4EC0116F" w14:textId="77777777" w:rsidR="00000998" w:rsidRPr="001947BD" w:rsidRDefault="00000998" w:rsidP="00AA0667">
            <w:pPr>
              <w:spacing w:after="0" w:line="240" w:lineRule="auto"/>
              <w:jc w:val="center"/>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Indicated</w:t>
            </w:r>
          </w:p>
        </w:tc>
        <w:tc>
          <w:tcPr>
            <w:tcW w:w="1140" w:type="dxa"/>
            <w:tcBorders>
              <w:top w:val="nil"/>
              <w:left w:val="nil"/>
              <w:bottom w:val="single" w:sz="4" w:space="0" w:color="auto"/>
              <w:right w:val="single" w:sz="4" w:space="0" w:color="auto"/>
            </w:tcBorders>
            <w:shd w:val="clear" w:color="auto" w:fill="auto"/>
            <w:noWrap/>
            <w:vAlign w:val="bottom"/>
            <w:hideMark/>
          </w:tcPr>
          <w:p w14:paraId="3969AD6F"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1.21</w:t>
            </w:r>
          </w:p>
        </w:tc>
        <w:tc>
          <w:tcPr>
            <w:tcW w:w="1080" w:type="dxa"/>
            <w:tcBorders>
              <w:top w:val="nil"/>
              <w:left w:val="nil"/>
              <w:bottom w:val="nil"/>
              <w:right w:val="single" w:sz="4" w:space="0" w:color="auto"/>
            </w:tcBorders>
            <w:shd w:val="clear" w:color="auto" w:fill="auto"/>
            <w:noWrap/>
            <w:vAlign w:val="bottom"/>
            <w:hideMark/>
          </w:tcPr>
          <w:p w14:paraId="262F5A8F"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6.05</w:t>
            </w:r>
          </w:p>
        </w:tc>
        <w:tc>
          <w:tcPr>
            <w:tcW w:w="1060" w:type="dxa"/>
            <w:tcBorders>
              <w:top w:val="nil"/>
              <w:left w:val="nil"/>
              <w:bottom w:val="single" w:sz="4" w:space="0" w:color="auto"/>
              <w:right w:val="single" w:sz="4" w:space="0" w:color="auto"/>
            </w:tcBorders>
            <w:shd w:val="clear" w:color="auto" w:fill="auto"/>
            <w:noWrap/>
            <w:vAlign w:val="bottom"/>
            <w:hideMark/>
          </w:tcPr>
          <w:p w14:paraId="01B1F49F"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0.09%</w:t>
            </w:r>
          </w:p>
        </w:tc>
        <w:tc>
          <w:tcPr>
            <w:tcW w:w="860" w:type="dxa"/>
            <w:tcBorders>
              <w:top w:val="nil"/>
              <w:left w:val="nil"/>
              <w:bottom w:val="single" w:sz="4" w:space="0" w:color="auto"/>
              <w:right w:val="single" w:sz="4" w:space="0" w:color="auto"/>
            </w:tcBorders>
            <w:shd w:val="clear" w:color="auto" w:fill="auto"/>
            <w:noWrap/>
            <w:vAlign w:val="bottom"/>
            <w:hideMark/>
          </w:tcPr>
          <w:p w14:paraId="230234FB"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0.20%</w:t>
            </w:r>
          </w:p>
        </w:tc>
        <w:tc>
          <w:tcPr>
            <w:tcW w:w="1060" w:type="dxa"/>
            <w:tcBorders>
              <w:top w:val="nil"/>
              <w:left w:val="nil"/>
              <w:bottom w:val="single" w:sz="4" w:space="0" w:color="auto"/>
              <w:right w:val="single" w:sz="4" w:space="0" w:color="auto"/>
            </w:tcBorders>
            <w:shd w:val="clear" w:color="auto" w:fill="auto"/>
            <w:noWrap/>
            <w:vAlign w:val="bottom"/>
            <w:hideMark/>
          </w:tcPr>
          <w:p w14:paraId="26B74406"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83.65</w:t>
            </w:r>
          </w:p>
        </w:tc>
        <w:tc>
          <w:tcPr>
            <w:tcW w:w="880" w:type="dxa"/>
            <w:tcBorders>
              <w:top w:val="nil"/>
              <w:left w:val="nil"/>
              <w:bottom w:val="single" w:sz="4" w:space="0" w:color="auto"/>
              <w:right w:val="single" w:sz="4" w:space="0" w:color="auto"/>
            </w:tcBorders>
            <w:shd w:val="clear" w:color="auto" w:fill="auto"/>
            <w:noWrap/>
            <w:vAlign w:val="bottom"/>
            <w:hideMark/>
          </w:tcPr>
          <w:p w14:paraId="5FB9658E" w14:textId="77777777" w:rsidR="00000998" w:rsidRPr="001947BD" w:rsidRDefault="00000998" w:rsidP="00AA0667">
            <w:pPr>
              <w:spacing w:after="0" w:line="240" w:lineRule="auto"/>
              <w:jc w:val="right"/>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16.26</w:t>
            </w:r>
          </w:p>
        </w:tc>
        <w:tc>
          <w:tcPr>
            <w:tcW w:w="880" w:type="dxa"/>
            <w:tcBorders>
              <w:top w:val="nil"/>
              <w:left w:val="nil"/>
              <w:bottom w:val="single" w:sz="4" w:space="0" w:color="auto"/>
              <w:right w:val="single" w:sz="4" w:space="0" w:color="auto"/>
            </w:tcBorders>
            <w:shd w:val="clear" w:color="auto" w:fill="auto"/>
            <w:noWrap/>
            <w:vAlign w:val="bottom"/>
            <w:hideMark/>
          </w:tcPr>
          <w:p w14:paraId="6679EE72" w14:textId="77777777" w:rsidR="00000998" w:rsidRPr="001947BD" w:rsidRDefault="00000998" w:rsidP="00AA0667">
            <w:pPr>
              <w:spacing w:after="0" w:line="240" w:lineRule="auto"/>
              <w:jc w:val="right"/>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 xml:space="preserve">71 659 </w:t>
            </w:r>
          </w:p>
        </w:tc>
        <w:tc>
          <w:tcPr>
            <w:tcW w:w="880" w:type="dxa"/>
            <w:tcBorders>
              <w:top w:val="nil"/>
              <w:left w:val="nil"/>
              <w:bottom w:val="single" w:sz="4" w:space="0" w:color="auto"/>
              <w:right w:val="single" w:sz="4" w:space="0" w:color="auto"/>
            </w:tcBorders>
            <w:shd w:val="clear" w:color="auto" w:fill="auto"/>
            <w:noWrap/>
            <w:vAlign w:val="bottom"/>
            <w:hideMark/>
          </w:tcPr>
          <w:p w14:paraId="6EBD80E6" w14:textId="77777777" w:rsidR="00000998" w:rsidRPr="001947BD" w:rsidRDefault="00000998" w:rsidP="00AA0667">
            <w:pPr>
              <w:spacing w:after="0" w:line="240" w:lineRule="auto"/>
              <w:jc w:val="right"/>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 xml:space="preserve">168 353 </w:t>
            </w:r>
          </w:p>
        </w:tc>
      </w:tr>
      <w:tr w:rsidR="00000998" w:rsidRPr="001947BD" w14:paraId="7A603505" w14:textId="77777777" w:rsidTr="00AA0667">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6047ABA3" w14:textId="77777777" w:rsidR="00000998" w:rsidRPr="001947BD" w:rsidRDefault="00000998" w:rsidP="00AA0667">
            <w:pPr>
              <w:spacing w:after="0" w:line="240" w:lineRule="auto"/>
              <w:jc w:val="center"/>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Inferred</w:t>
            </w:r>
          </w:p>
        </w:tc>
        <w:tc>
          <w:tcPr>
            <w:tcW w:w="1140" w:type="dxa"/>
            <w:tcBorders>
              <w:top w:val="nil"/>
              <w:left w:val="nil"/>
              <w:bottom w:val="single" w:sz="4" w:space="0" w:color="auto"/>
              <w:right w:val="single" w:sz="4" w:space="0" w:color="auto"/>
            </w:tcBorders>
            <w:shd w:val="clear" w:color="auto" w:fill="auto"/>
            <w:noWrap/>
            <w:vAlign w:val="bottom"/>
            <w:hideMark/>
          </w:tcPr>
          <w:p w14:paraId="389078A3"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1.18</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1970D8B0"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6.03</w:t>
            </w:r>
          </w:p>
        </w:tc>
        <w:tc>
          <w:tcPr>
            <w:tcW w:w="1060" w:type="dxa"/>
            <w:tcBorders>
              <w:top w:val="nil"/>
              <w:left w:val="nil"/>
              <w:bottom w:val="single" w:sz="4" w:space="0" w:color="auto"/>
              <w:right w:val="single" w:sz="4" w:space="0" w:color="auto"/>
            </w:tcBorders>
            <w:shd w:val="clear" w:color="auto" w:fill="auto"/>
            <w:noWrap/>
            <w:vAlign w:val="bottom"/>
            <w:hideMark/>
          </w:tcPr>
          <w:p w14:paraId="193598C1"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0.09%</w:t>
            </w:r>
          </w:p>
        </w:tc>
        <w:tc>
          <w:tcPr>
            <w:tcW w:w="860" w:type="dxa"/>
            <w:tcBorders>
              <w:top w:val="nil"/>
              <w:left w:val="nil"/>
              <w:bottom w:val="single" w:sz="4" w:space="0" w:color="auto"/>
              <w:right w:val="single" w:sz="4" w:space="0" w:color="auto"/>
            </w:tcBorders>
            <w:shd w:val="clear" w:color="auto" w:fill="auto"/>
            <w:noWrap/>
            <w:vAlign w:val="bottom"/>
            <w:hideMark/>
          </w:tcPr>
          <w:p w14:paraId="3831DC29"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0.21%</w:t>
            </w:r>
          </w:p>
        </w:tc>
        <w:tc>
          <w:tcPr>
            <w:tcW w:w="1060" w:type="dxa"/>
            <w:tcBorders>
              <w:top w:val="nil"/>
              <w:left w:val="nil"/>
              <w:bottom w:val="single" w:sz="4" w:space="0" w:color="auto"/>
              <w:right w:val="single" w:sz="4" w:space="0" w:color="auto"/>
            </w:tcBorders>
            <w:shd w:val="clear" w:color="auto" w:fill="auto"/>
            <w:noWrap/>
            <w:vAlign w:val="bottom"/>
            <w:hideMark/>
          </w:tcPr>
          <w:p w14:paraId="6BD7E5A3"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76.56</w:t>
            </w:r>
          </w:p>
        </w:tc>
        <w:tc>
          <w:tcPr>
            <w:tcW w:w="880" w:type="dxa"/>
            <w:tcBorders>
              <w:top w:val="nil"/>
              <w:left w:val="nil"/>
              <w:bottom w:val="single" w:sz="4" w:space="0" w:color="auto"/>
              <w:right w:val="single" w:sz="4" w:space="0" w:color="auto"/>
            </w:tcBorders>
            <w:shd w:val="clear" w:color="auto" w:fill="auto"/>
            <w:noWrap/>
            <w:vAlign w:val="bottom"/>
            <w:hideMark/>
          </w:tcPr>
          <w:p w14:paraId="549188C3" w14:textId="77777777" w:rsidR="00000998" w:rsidRPr="001947BD" w:rsidRDefault="00000998" w:rsidP="00AA0667">
            <w:pPr>
              <w:spacing w:after="0" w:line="240" w:lineRule="auto"/>
              <w:jc w:val="right"/>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14.83</w:t>
            </w:r>
          </w:p>
        </w:tc>
        <w:tc>
          <w:tcPr>
            <w:tcW w:w="880" w:type="dxa"/>
            <w:tcBorders>
              <w:top w:val="nil"/>
              <w:left w:val="nil"/>
              <w:bottom w:val="single" w:sz="4" w:space="0" w:color="auto"/>
              <w:right w:val="single" w:sz="4" w:space="0" w:color="auto"/>
            </w:tcBorders>
            <w:shd w:val="clear" w:color="auto" w:fill="auto"/>
            <w:noWrap/>
            <w:vAlign w:val="bottom"/>
            <w:hideMark/>
          </w:tcPr>
          <w:p w14:paraId="6E388611" w14:textId="77777777" w:rsidR="00000998" w:rsidRPr="001947BD" w:rsidRDefault="00000998" w:rsidP="00AA0667">
            <w:pPr>
              <w:spacing w:after="0" w:line="240" w:lineRule="auto"/>
              <w:jc w:val="right"/>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 xml:space="preserve">69 434 </w:t>
            </w:r>
          </w:p>
        </w:tc>
        <w:tc>
          <w:tcPr>
            <w:tcW w:w="880" w:type="dxa"/>
            <w:tcBorders>
              <w:top w:val="nil"/>
              <w:left w:val="nil"/>
              <w:bottom w:val="single" w:sz="4" w:space="0" w:color="auto"/>
              <w:right w:val="single" w:sz="4" w:space="0" w:color="auto"/>
            </w:tcBorders>
            <w:shd w:val="clear" w:color="auto" w:fill="auto"/>
            <w:noWrap/>
            <w:vAlign w:val="bottom"/>
            <w:hideMark/>
          </w:tcPr>
          <w:p w14:paraId="097C233B" w14:textId="77777777" w:rsidR="00000998" w:rsidRPr="001947BD" w:rsidRDefault="00000998" w:rsidP="00AA0667">
            <w:pPr>
              <w:spacing w:after="0" w:line="240" w:lineRule="auto"/>
              <w:jc w:val="right"/>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 xml:space="preserve">160 733 </w:t>
            </w:r>
          </w:p>
        </w:tc>
      </w:tr>
      <w:tr w:rsidR="00000998" w:rsidRPr="001947BD" w14:paraId="4016AB0A" w14:textId="77777777" w:rsidTr="00AA0667">
        <w:trPr>
          <w:trHeight w:val="300"/>
        </w:trPr>
        <w:tc>
          <w:tcPr>
            <w:tcW w:w="3400"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57DEEF8F" w14:textId="77777777" w:rsidR="00000998" w:rsidRPr="001947BD" w:rsidRDefault="00000998" w:rsidP="00AA0667">
            <w:pPr>
              <w:spacing w:after="0" w:line="240" w:lineRule="auto"/>
              <w:jc w:val="center"/>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Total Project Mineral Resources</w:t>
            </w:r>
          </w:p>
        </w:tc>
        <w:tc>
          <w:tcPr>
            <w:tcW w:w="1080" w:type="dxa"/>
            <w:tcBorders>
              <w:top w:val="nil"/>
              <w:left w:val="nil"/>
              <w:bottom w:val="single" w:sz="4" w:space="0" w:color="auto"/>
              <w:right w:val="single" w:sz="4" w:space="0" w:color="auto"/>
            </w:tcBorders>
            <w:shd w:val="clear" w:color="000000" w:fill="D9D9D9"/>
            <w:noWrap/>
            <w:vAlign w:val="bottom"/>
            <w:hideMark/>
          </w:tcPr>
          <w:p w14:paraId="1E992CC6" w14:textId="77777777" w:rsidR="00000998" w:rsidRPr="001947BD" w:rsidRDefault="00000998" w:rsidP="00AA0667">
            <w:pPr>
              <w:spacing w:after="0" w:line="240" w:lineRule="auto"/>
              <w:jc w:val="right"/>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5.95</w:t>
            </w:r>
          </w:p>
        </w:tc>
        <w:tc>
          <w:tcPr>
            <w:tcW w:w="1060" w:type="dxa"/>
            <w:tcBorders>
              <w:top w:val="nil"/>
              <w:left w:val="nil"/>
              <w:bottom w:val="single" w:sz="4" w:space="0" w:color="auto"/>
              <w:right w:val="single" w:sz="4" w:space="0" w:color="auto"/>
            </w:tcBorders>
            <w:shd w:val="clear" w:color="000000" w:fill="D9D9D9"/>
            <w:noWrap/>
            <w:vAlign w:val="bottom"/>
            <w:hideMark/>
          </w:tcPr>
          <w:p w14:paraId="75576A03" w14:textId="77777777" w:rsidR="00000998" w:rsidRPr="001947BD" w:rsidRDefault="00000998" w:rsidP="00AA0667">
            <w:pPr>
              <w:spacing w:after="0" w:line="240" w:lineRule="auto"/>
              <w:jc w:val="right"/>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0.09%</w:t>
            </w:r>
          </w:p>
        </w:tc>
        <w:tc>
          <w:tcPr>
            <w:tcW w:w="860" w:type="dxa"/>
            <w:tcBorders>
              <w:top w:val="nil"/>
              <w:left w:val="nil"/>
              <w:bottom w:val="single" w:sz="4" w:space="0" w:color="auto"/>
              <w:right w:val="single" w:sz="4" w:space="0" w:color="auto"/>
            </w:tcBorders>
            <w:shd w:val="clear" w:color="000000" w:fill="D9D9D9"/>
            <w:noWrap/>
            <w:vAlign w:val="bottom"/>
            <w:hideMark/>
          </w:tcPr>
          <w:p w14:paraId="358AFD3C" w14:textId="77777777" w:rsidR="00000998" w:rsidRPr="001947BD" w:rsidRDefault="00000998" w:rsidP="00AA0667">
            <w:pPr>
              <w:spacing w:after="0" w:line="240" w:lineRule="auto"/>
              <w:jc w:val="right"/>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0.21%</w:t>
            </w:r>
          </w:p>
        </w:tc>
        <w:tc>
          <w:tcPr>
            <w:tcW w:w="1060" w:type="dxa"/>
            <w:tcBorders>
              <w:top w:val="nil"/>
              <w:left w:val="nil"/>
              <w:bottom w:val="single" w:sz="4" w:space="0" w:color="auto"/>
              <w:right w:val="single" w:sz="4" w:space="0" w:color="auto"/>
            </w:tcBorders>
            <w:shd w:val="clear" w:color="000000" w:fill="D9D9D9"/>
            <w:noWrap/>
            <w:vAlign w:val="bottom"/>
            <w:hideMark/>
          </w:tcPr>
          <w:p w14:paraId="3021C249" w14:textId="77777777" w:rsidR="00000998" w:rsidRPr="001947BD" w:rsidRDefault="00000998" w:rsidP="00AA0667">
            <w:pPr>
              <w:spacing w:after="0" w:line="240" w:lineRule="auto"/>
              <w:jc w:val="right"/>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 xml:space="preserve">204.18 </w:t>
            </w:r>
          </w:p>
        </w:tc>
        <w:tc>
          <w:tcPr>
            <w:tcW w:w="880" w:type="dxa"/>
            <w:tcBorders>
              <w:top w:val="nil"/>
              <w:left w:val="nil"/>
              <w:bottom w:val="single" w:sz="4" w:space="0" w:color="auto"/>
              <w:right w:val="single" w:sz="4" w:space="0" w:color="auto"/>
            </w:tcBorders>
            <w:shd w:val="clear" w:color="000000" w:fill="D9D9D9"/>
            <w:noWrap/>
            <w:vAlign w:val="bottom"/>
            <w:hideMark/>
          </w:tcPr>
          <w:p w14:paraId="1A273C0B" w14:textId="77777777" w:rsidR="00000998" w:rsidRPr="001947BD" w:rsidRDefault="00000998" w:rsidP="00AA0667">
            <w:pPr>
              <w:spacing w:after="0" w:line="240" w:lineRule="auto"/>
              <w:jc w:val="center"/>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 xml:space="preserve">39.03 </w:t>
            </w:r>
          </w:p>
        </w:tc>
        <w:tc>
          <w:tcPr>
            <w:tcW w:w="880" w:type="dxa"/>
            <w:tcBorders>
              <w:top w:val="nil"/>
              <w:left w:val="nil"/>
              <w:bottom w:val="single" w:sz="4" w:space="0" w:color="auto"/>
              <w:right w:val="single" w:sz="4" w:space="0" w:color="auto"/>
            </w:tcBorders>
            <w:shd w:val="clear" w:color="000000" w:fill="D9D9D9"/>
            <w:noWrap/>
            <w:vAlign w:val="bottom"/>
            <w:hideMark/>
          </w:tcPr>
          <w:p w14:paraId="6E373D72" w14:textId="77777777" w:rsidR="00000998" w:rsidRPr="001947BD" w:rsidRDefault="00000998" w:rsidP="00AA0667">
            <w:pPr>
              <w:spacing w:after="0" w:line="240" w:lineRule="auto"/>
              <w:jc w:val="center"/>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 xml:space="preserve">179 328 </w:t>
            </w:r>
          </w:p>
        </w:tc>
        <w:tc>
          <w:tcPr>
            <w:tcW w:w="880" w:type="dxa"/>
            <w:tcBorders>
              <w:top w:val="nil"/>
              <w:left w:val="nil"/>
              <w:bottom w:val="single" w:sz="4" w:space="0" w:color="auto"/>
              <w:right w:val="single" w:sz="4" w:space="0" w:color="auto"/>
            </w:tcBorders>
            <w:shd w:val="clear" w:color="000000" w:fill="D9D9D9"/>
            <w:noWrap/>
            <w:vAlign w:val="bottom"/>
            <w:hideMark/>
          </w:tcPr>
          <w:p w14:paraId="583D3B3E" w14:textId="77777777" w:rsidR="00000998" w:rsidRPr="001947BD" w:rsidRDefault="00000998" w:rsidP="00AA0667">
            <w:pPr>
              <w:spacing w:after="0" w:line="240" w:lineRule="auto"/>
              <w:jc w:val="center"/>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 xml:space="preserve">420 924 </w:t>
            </w:r>
          </w:p>
        </w:tc>
      </w:tr>
      <w:tr w:rsidR="00000998" w:rsidRPr="001947BD" w14:paraId="74AD311F" w14:textId="77777777" w:rsidTr="00AA0667">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40AC7F97" w14:textId="77777777" w:rsidR="00000998" w:rsidRPr="001947BD" w:rsidRDefault="00000998" w:rsidP="00AA0667">
            <w:pPr>
              <w:spacing w:after="0" w:line="240" w:lineRule="auto"/>
              <w:jc w:val="center"/>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MR Mineral Resources</w:t>
            </w:r>
          </w:p>
        </w:tc>
        <w:tc>
          <w:tcPr>
            <w:tcW w:w="1140" w:type="dxa"/>
            <w:tcBorders>
              <w:top w:val="nil"/>
              <w:left w:val="nil"/>
              <w:bottom w:val="single" w:sz="4" w:space="0" w:color="auto"/>
              <w:right w:val="single" w:sz="4" w:space="0" w:color="auto"/>
            </w:tcBorders>
            <w:shd w:val="clear" w:color="auto" w:fill="auto"/>
            <w:noWrap/>
            <w:vAlign w:val="bottom"/>
            <w:hideMark/>
          </w:tcPr>
          <w:p w14:paraId="34A79F58"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1.09</w:t>
            </w:r>
          </w:p>
        </w:tc>
        <w:tc>
          <w:tcPr>
            <w:tcW w:w="1080" w:type="dxa"/>
            <w:tcBorders>
              <w:top w:val="nil"/>
              <w:left w:val="nil"/>
              <w:bottom w:val="single" w:sz="4" w:space="0" w:color="auto"/>
              <w:right w:val="single" w:sz="4" w:space="0" w:color="auto"/>
            </w:tcBorders>
            <w:shd w:val="clear" w:color="auto" w:fill="auto"/>
            <w:noWrap/>
            <w:vAlign w:val="bottom"/>
            <w:hideMark/>
          </w:tcPr>
          <w:p w14:paraId="1D98C47E"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5.66</w:t>
            </w:r>
          </w:p>
        </w:tc>
        <w:tc>
          <w:tcPr>
            <w:tcW w:w="1060" w:type="dxa"/>
            <w:tcBorders>
              <w:top w:val="nil"/>
              <w:left w:val="nil"/>
              <w:bottom w:val="single" w:sz="4" w:space="0" w:color="auto"/>
              <w:right w:val="single" w:sz="4" w:space="0" w:color="auto"/>
            </w:tcBorders>
            <w:shd w:val="clear" w:color="auto" w:fill="auto"/>
            <w:noWrap/>
            <w:vAlign w:val="bottom"/>
            <w:hideMark/>
          </w:tcPr>
          <w:p w14:paraId="08B6E13B"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0.13%</w:t>
            </w:r>
          </w:p>
        </w:tc>
        <w:tc>
          <w:tcPr>
            <w:tcW w:w="860" w:type="dxa"/>
            <w:tcBorders>
              <w:top w:val="nil"/>
              <w:left w:val="nil"/>
              <w:bottom w:val="single" w:sz="4" w:space="0" w:color="auto"/>
              <w:right w:val="single" w:sz="4" w:space="0" w:color="auto"/>
            </w:tcBorders>
            <w:shd w:val="clear" w:color="auto" w:fill="auto"/>
            <w:noWrap/>
            <w:vAlign w:val="bottom"/>
            <w:hideMark/>
          </w:tcPr>
          <w:p w14:paraId="6AEB4489"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0.25%</w:t>
            </w:r>
          </w:p>
        </w:tc>
        <w:tc>
          <w:tcPr>
            <w:tcW w:w="1060" w:type="dxa"/>
            <w:tcBorders>
              <w:top w:val="nil"/>
              <w:left w:val="nil"/>
              <w:bottom w:val="single" w:sz="4" w:space="0" w:color="auto"/>
              <w:right w:val="single" w:sz="4" w:space="0" w:color="auto"/>
            </w:tcBorders>
            <w:shd w:val="clear" w:color="auto" w:fill="auto"/>
            <w:noWrap/>
            <w:vAlign w:val="bottom"/>
            <w:hideMark/>
          </w:tcPr>
          <w:p w14:paraId="5EB12D22"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80.47</w:t>
            </w:r>
          </w:p>
        </w:tc>
        <w:tc>
          <w:tcPr>
            <w:tcW w:w="880" w:type="dxa"/>
            <w:tcBorders>
              <w:top w:val="nil"/>
              <w:left w:val="nil"/>
              <w:bottom w:val="single" w:sz="4" w:space="0" w:color="auto"/>
              <w:right w:val="single" w:sz="4" w:space="0" w:color="auto"/>
            </w:tcBorders>
            <w:shd w:val="clear" w:color="auto" w:fill="auto"/>
            <w:noWrap/>
            <w:vAlign w:val="bottom"/>
            <w:hideMark/>
          </w:tcPr>
          <w:p w14:paraId="4E1D6ACF"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14.65</w:t>
            </w:r>
          </w:p>
        </w:tc>
        <w:tc>
          <w:tcPr>
            <w:tcW w:w="880" w:type="dxa"/>
            <w:tcBorders>
              <w:top w:val="nil"/>
              <w:left w:val="nil"/>
              <w:bottom w:val="single" w:sz="4" w:space="0" w:color="auto"/>
              <w:right w:val="single" w:sz="4" w:space="0" w:color="auto"/>
            </w:tcBorders>
            <w:shd w:val="clear" w:color="auto" w:fill="auto"/>
            <w:noWrap/>
            <w:vAlign w:val="bottom"/>
            <w:hideMark/>
          </w:tcPr>
          <w:p w14:paraId="599771E5"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 xml:space="preserve">101 277 </w:t>
            </w:r>
          </w:p>
        </w:tc>
        <w:tc>
          <w:tcPr>
            <w:tcW w:w="880" w:type="dxa"/>
            <w:tcBorders>
              <w:top w:val="nil"/>
              <w:left w:val="nil"/>
              <w:bottom w:val="single" w:sz="4" w:space="0" w:color="auto"/>
              <w:right w:val="single" w:sz="4" w:space="0" w:color="auto"/>
            </w:tcBorders>
            <w:shd w:val="clear" w:color="auto" w:fill="auto"/>
            <w:noWrap/>
            <w:vAlign w:val="bottom"/>
            <w:hideMark/>
          </w:tcPr>
          <w:p w14:paraId="21F95135" w14:textId="77777777" w:rsidR="00000998" w:rsidRPr="001947BD" w:rsidRDefault="00000998" w:rsidP="00AA0667">
            <w:pPr>
              <w:spacing w:after="0" w:line="240" w:lineRule="auto"/>
              <w:jc w:val="center"/>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 xml:space="preserve">204 878 </w:t>
            </w:r>
          </w:p>
        </w:tc>
      </w:tr>
      <w:tr w:rsidR="00000998" w:rsidRPr="001947BD" w14:paraId="74E3A50E" w14:textId="77777777" w:rsidTr="00AA0667">
        <w:trPr>
          <w:trHeight w:val="300"/>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33426E6B" w14:textId="77777777" w:rsidR="00000998" w:rsidRPr="001947BD" w:rsidRDefault="00000998" w:rsidP="00AA0667">
            <w:pPr>
              <w:spacing w:after="0" w:line="240" w:lineRule="auto"/>
              <w:jc w:val="center"/>
              <w:rPr>
                <w:rFonts w:ascii="Calibri" w:eastAsia="Times New Roman" w:hAnsi="Calibri" w:cs="Arial"/>
                <w:color w:val="000000"/>
                <w:sz w:val="18"/>
                <w:szCs w:val="18"/>
                <w:lang w:val="en-ZA" w:eastAsia="en-ZA"/>
              </w:rPr>
            </w:pPr>
            <w:r w:rsidRPr="001947BD">
              <w:rPr>
                <w:rFonts w:ascii="Calibri" w:eastAsia="Times New Roman" w:hAnsi="Calibri" w:cs="Arial"/>
                <w:color w:val="000000"/>
                <w:sz w:val="18"/>
                <w:szCs w:val="18"/>
                <w:lang w:val="en-ZA" w:eastAsia="en-ZA"/>
              </w:rPr>
              <w:t>UG2 Mineral Resources</w:t>
            </w:r>
          </w:p>
        </w:tc>
        <w:tc>
          <w:tcPr>
            <w:tcW w:w="1140" w:type="dxa"/>
            <w:tcBorders>
              <w:top w:val="nil"/>
              <w:left w:val="nil"/>
              <w:bottom w:val="single" w:sz="4" w:space="0" w:color="auto"/>
              <w:right w:val="single" w:sz="4" w:space="0" w:color="auto"/>
            </w:tcBorders>
            <w:shd w:val="clear" w:color="auto" w:fill="auto"/>
            <w:noWrap/>
            <w:vAlign w:val="bottom"/>
            <w:hideMark/>
          </w:tcPr>
          <w:p w14:paraId="1692D7F7"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1.27</w:t>
            </w:r>
          </w:p>
        </w:tc>
        <w:tc>
          <w:tcPr>
            <w:tcW w:w="1080" w:type="dxa"/>
            <w:tcBorders>
              <w:top w:val="nil"/>
              <w:left w:val="nil"/>
              <w:bottom w:val="single" w:sz="4" w:space="0" w:color="auto"/>
              <w:right w:val="single" w:sz="4" w:space="0" w:color="auto"/>
            </w:tcBorders>
            <w:shd w:val="clear" w:color="auto" w:fill="auto"/>
            <w:noWrap/>
            <w:vAlign w:val="bottom"/>
            <w:hideMark/>
          </w:tcPr>
          <w:p w14:paraId="1A73D116"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6.13</w:t>
            </w:r>
          </w:p>
        </w:tc>
        <w:tc>
          <w:tcPr>
            <w:tcW w:w="1060" w:type="dxa"/>
            <w:tcBorders>
              <w:top w:val="nil"/>
              <w:left w:val="nil"/>
              <w:bottom w:val="single" w:sz="4" w:space="0" w:color="auto"/>
              <w:right w:val="single" w:sz="4" w:space="0" w:color="auto"/>
            </w:tcBorders>
            <w:shd w:val="clear" w:color="auto" w:fill="auto"/>
            <w:noWrap/>
            <w:vAlign w:val="bottom"/>
            <w:hideMark/>
          </w:tcPr>
          <w:p w14:paraId="6828EEDD"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0.06%</w:t>
            </w:r>
          </w:p>
        </w:tc>
        <w:tc>
          <w:tcPr>
            <w:tcW w:w="860" w:type="dxa"/>
            <w:tcBorders>
              <w:top w:val="nil"/>
              <w:left w:val="nil"/>
              <w:bottom w:val="single" w:sz="4" w:space="0" w:color="auto"/>
              <w:right w:val="single" w:sz="4" w:space="0" w:color="auto"/>
            </w:tcBorders>
            <w:shd w:val="clear" w:color="auto" w:fill="auto"/>
            <w:noWrap/>
            <w:vAlign w:val="bottom"/>
            <w:hideMark/>
          </w:tcPr>
          <w:p w14:paraId="05608522"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0.17%</w:t>
            </w:r>
          </w:p>
        </w:tc>
        <w:tc>
          <w:tcPr>
            <w:tcW w:w="1060" w:type="dxa"/>
            <w:tcBorders>
              <w:top w:val="nil"/>
              <w:left w:val="nil"/>
              <w:bottom w:val="single" w:sz="4" w:space="0" w:color="auto"/>
              <w:right w:val="single" w:sz="4" w:space="0" w:color="auto"/>
            </w:tcBorders>
            <w:shd w:val="clear" w:color="auto" w:fill="auto"/>
            <w:noWrap/>
            <w:vAlign w:val="bottom"/>
            <w:hideMark/>
          </w:tcPr>
          <w:p w14:paraId="62E00B98"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123.71</w:t>
            </w:r>
          </w:p>
        </w:tc>
        <w:tc>
          <w:tcPr>
            <w:tcW w:w="880" w:type="dxa"/>
            <w:tcBorders>
              <w:top w:val="nil"/>
              <w:left w:val="nil"/>
              <w:bottom w:val="single" w:sz="4" w:space="0" w:color="auto"/>
              <w:right w:val="single" w:sz="4" w:space="0" w:color="auto"/>
            </w:tcBorders>
            <w:shd w:val="clear" w:color="auto" w:fill="auto"/>
            <w:noWrap/>
            <w:vAlign w:val="bottom"/>
            <w:hideMark/>
          </w:tcPr>
          <w:p w14:paraId="4829A06F"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24.38</w:t>
            </w:r>
          </w:p>
        </w:tc>
        <w:tc>
          <w:tcPr>
            <w:tcW w:w="880" w:type="dxa"/>
            <w:tcBorders>
              <w:top w:val="nil"/>
              <w:left w:val="nil"/>
              <w:bottom w:val="single" w:sz="4" w:space="0" w:color="auto"/>
              <w:right w:val="single" w:sz="4" w:space="0" w:color="auto"/>
            </w:tcBorders>
            <w:shd w:val="clear" w:color="auto" w:fill="auto"/>
            <w:noWrap/>
            <w:vAlign w:val="bottom"/>
            <w:hideMark/>
          </w:tcPr>
          <w:p w14:paraId="7FFC9079" w14:textId="77777777" w:rsidR="00000998" w:rsidRPr="001947BD" w:rsidRDefault="00000998" w:rsidP="00AA0667">
            <w:pPr>
              <w:spacing w:after="0" w:line="240" w:lineRule="auto"/>
              <w:jc w:val="right"/>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 xml:space="preserve">78 050 </w:t>
            </w:r>
          </w:p>
        </w:tc>
        <w:tc>
          <w:tcPr>
            <w:tcW w:w="880" w:type="dxa"/>
            <w:tcBorders>
              <w:top w:val="nil"/>
              <w:left w:val="nil"/>
              <w:bottom w:val="single" w:sz="4" w:space="0" w:color="auto"/>
              <w:right w:val="single" w:sz="4" w:space="0" w:color="auto"/>
            </w:tcBorders>
            <w:shd w:val="clear" w:color="auto" w:fill="auto"/>
            <w:noWrap/>
            <w:vAlign w:val="bottom"/>
            <w:hideMark/>
          </w:tcPr>
          <w:p w14:paraId="173F5D1B" w14:textId="77777777" w:rsidR="00000998" w:rsidRPr="001947BD" w:rsidRDefault="00000998" w:rsidP="00AA0667">
            <w:pPr>
              <w:spacing w:after="0" w:line="240" w:lineRule="auto"/>
              <w:jc w:val="center"/>
              <w:rPr>
                <w:rFonts w:ascii="Calibri" w:eastAsia="Times New Roman" w:hAnsi="Calibri" w:cs="Times New Roman"/>
                <w:color w:val="000000"/>
                <w:sz w:val="18"/>
                <w:szCs w:val="18"/>
                <w:lang w:val="en-ZA" w:eastAsia="en-ZA"/>
              </w:rPr>
            </w:pPr>
            <w:r w:rsidRPr="001947BD">
              <w:rPr>
                <w:rFonts w:ascii="Calibri" w:eastAsia="Times New Roman" w:hAnsi="Calibri" w:cs="Times New Roman"/>
                <w:color w:val="000000"/>
                <w:sz w:val="18"/>
                <w:szCs w:val="18"/>
                <w:lang w:val="en-ZA" w:eastAsia="en-ZA"/>
              </w:rPr>
              <w:t xml:space="preserve">216 046 </w:t>
            </w:r>
          </w:p>
        </w:tc>
      </w:tr>
      <w:tr w:rsidR="00000998" w:rsidRPr="001947BD" w14:paraId="7B1EB29D" w14:textId="77777777" w:rsidTr="00AA0667">
        <w:trPr>
          <w:trHeight w:val="300"/>
        </w:trPr>
        <w:tc>
          <w:tcPr>
            <w:tcW w:w="3400"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5C3FF887" w14:textId="77777777" w:rsidR="00000998" w:rsidRPr="001947BD" w:rsidRDefault="00000998" w:rsidP="00AA0667">
            <w:pPr>
              <w:spacing w:after="0" w:line="240" w:lineRule="auto"/>
              <w:jc w:val="center"/>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Total Project Mineral Resources</w:t>
            </w:r>
          </w:p>
        </w:tc>
        <w:tc>
          <w:tcPr>
            <w:tcW w:w="1080" w:type="dxa"/>
            <w:tcBorders>
              <w:top w:val="nil"/>
              <w:left w:val="nil"/>
              <w:bottom w:val="single" w:sz="4" w:space="0" w:color="auto"/>
              <w:right w:val="single" w:sz="4" w:space="0" w:color="auto"/>
            </w:tcBorders>
            <w:shd w:val="clear" w:color="000000" w:fill="D9D9D9"/>
            <w:noWrap/>
            <w:vAlign w:val="bottom"/>
            <w:hideMark/>
          </w:tcPr>
          <w:p w14:paraId="1D2E495B" w14:textId="77777777" w:rsidR="00000998" w:rsidRPr="001947BD" w:rsidRDefault="00000998" w:rsidP="00AA0667">
            <w:pPr>
              <w:spacing w:after="0" w:line="240" w:lineRule="auto"/>
              <w:jc w:val="right"/>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5.95</w:t>
            </w:r>
          </w:p>
        </w:tc>
        <w:tc>
          <w:tcPr>
            <w:tcW w:w="1060" w:type="dxa"/>
            <w:tcBorders>
              <w:top w:val="nil"/>
              <w:left w:val="nil"/>
              <w:bottom w:val="single" w:sz="4" w:space="0" w:color="auto"/>
              <w:right w:val="single" w:sz="4" w:space="0" w:color="auto"/>
            </w:tcBorders>
            <w:shd w:val="clear" w:color="000000" w:fill="D9D9D9"/>
            <w:noWrap/>
            <w:vAlign w:val="bottom"/>
            <w:hideMark/>
          </w:tcPr>
          <w:p w14:paraId="13C0FAA2" w14:textId="77777777" w:rsidR="00000998" w:rsidRPr="001947BD" w:rsidRDefault="00000998" w:rsidP="00AA0667">
            <w:pPr>
              <w:spacing w:after="0" w:line="240" w:lineRule="auto"/>
              <w:jc w:val="right"/>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0.09%</w:t>
            </w:r>
          </w:p>
        </w:tc>
        <w:tc>
          <w:tcPr>
            <w:tcW w:w="860" w:type="dxa"/>
            <w:tcBorders>
              <w:top w:val="nil"/>
              <w:left w:val="nil"/>
              <w:bottom w:val="single" w:sz="4" w:space="0" w:color="auto"/>
              <w:right w:val="single" w:sz="4" w:space="0" w:color="auto"/>
            </w:tcBorders>
            <w:shd w:val="clear" w:color="000000" w:fill="D9D9D9"/>
            <w:noWrap/>
            <w:vAlign w:val="bottom"/>
            <w:hideMark/>
          </w:tcPr>
          <w:p w14:paraId="6D5BD2C5" w14:textId="77777777" w:rsidR="00000998" w:rsidRPr="001947BD" w:rsidRDefault="00000998" w:rsidP="00AA0667">
            <w:pPr>
              <w:spacing w:after="0" w:line="240" w:lineRule="auto"/>
              <w:jc w:val="right"/>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0.21%</w:t>
            </w:r>
          </w:p>
        </w:tc>
        <w:tc>
          <w:tcPr>
            <w:tcW w:w="1060" w:type="dxa"/>
            <w:tcBorders>
              <w:top w:val="nil"/>
              <w:left w:val="nil"/>
              <w:bottom w:val="single" w:sz="4" w:space="0" w:color="auto"/>
              <w:right w:val="single" w:sz="4" w:space="0" w:color="auto"/>
            </w:tcBorders>
            <w:shd w:val="clear" w:color="000000" w:fill="D9D9D9"/>
            <w:noWrap/>
            <w:vAlign w:val="bottom"/>
            <w:hideMark/>
          </w:tcPr>
          <w:p w14:paraId="76B1B910" w14:textId="77777777" w:rsidR="00000998" w:rsidRPr="001947BD" w:rsidRDefault="00000998" w:rsidP="00AA0667">
            <w:pPr>
              <w:spacing w:after="0" w:line="240" w:lineRule="auto"/>
              <w:jc w:val="right"/>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 xml:space="preserve">204.18 </w:t>
            </w:r>
          </w:p>
        </w:tc>
        <w:tc>
          <w:tcPr>
            <w:tcW w:w="880" w:type="dxa"/>
            <w:tcBorders>
              <w:top w:val="nil"/>
              <w:left w:val="nil"/>
              <w:bottom w:val="single" w:sz="4" w:space="0" w:color="auto"/>
              <w:right w:val="single" w:sz="4" w:space="0" w:color="auto"/>
            </w:tcBorders>
            <w:shd w:val="clear" w:color="000000" w:fill="D9D9D9"/>
            <w:noWrap/>
            <w:vAlign w:val="bottom"/>
            <w:hideMark/>
          </w:tcPr>
          <w:p w14:paraId="1B15916D" w14:textId="77777777" w:rsidR="00000998" w:rsidRPr="001947BD" w:rsidRDefault="00000998" w:rsidP="00AA0667">
            <w:pPr>
              <w:spacing w:after="0" w:line="240" w:lineRule="auto"/>
              <w:jc w:val="center"/>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 xml:space="preserve">39.03 </w:t>
            </w:r>
          </w:p>
        </w:tc>
        <w:tc>
          <w:tcPr>
            <w:tcW w:w="880" w:type="dxa"/>
            <w:tcBorders>
              <w:top w:val="nil"/>
              <w:left w:val="nil"/>
              <w:bottom w:val="single" w:sz="4" w:space="0" w:color="auto"/>
              <w:right w:val="single" w:sz="4" w:space="0" w:color="auto"/>
            </w:tcBorders>
            <w:shd w:val="clear" w:color="000000" w:fill="D9D9D9"/>
            <w:noWrap/>
            <w:vAlign w:val="bottom"/>
            <w:hideMark/>
          </w:tcPr>
          <w:p w14:paraId="2578CAC1" w14:textId="77777777" w:rsidR="00000998" w:rsidRPr="001947BD" w:rsidRDefault="00000998" w:rsidP="00AA0667">
            <w:pPr>
              <w:spacing w:after="0" w:line="240" w:lineRule="auto"/>
              <w:jc w:val="center"/>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 xml:space="preserve">179 328 </w:t>
            </w:r>
          </w:p>
        </w:tc>
        <w:tc>
          <w:tcPr>
            <w:tcW w:w="880" w:type="dxa"/>
            <w:tcBorders>
              <w:top w:val="nil"/>
              <w:left w:val="nil"/>
              <w:bottom w:val="single" w:sz="4" w:space="0" w:color="auto"/>
              <w:right w:val="single" w:sz="4" w:space="0" w:color="auto"/>
            </w:tcBorders>
            <w:shd w:val="clear" w:color="000000" w:fill="D9D9D9"/>
            <w:noWrap/>
            <w:vAlign w:val="bottom"/>
            <w:hideMark/>
          </w:tcPr>
          <w:p w14:paraId="260724E2" w14:textId="77777777" w:rsidR="00000998" w:rsidRPr="001947BD" w:rsidRDefault="00000998" w:rsidP="00AA0667">
            <w:pPr>
              <w:spacing w:after="0" w:line="240" w:lineRule="auto"/>
              <w:jc w:val="center"/>
              <w:rPr>
                <w:rFonts w:ascii="Calibri" w:eastAsia="Times New Roman" w:hAnsi="Calibri" w:cs="Arial"/>
                <w:b/>
                <w:bCs/>
                <w:color w:val="000000"/>
                <w:sz w:val="18"/>
                <w:szCs w:val="18"/>
                <w:lang w:val="en-ZA" w:eastAsia="en-ZA"/>
              </w:rPr>
            </w:pPr>
            <w:r w:rsidRPr="001947BD">
              <w:rPr>
                <w:rFonts w:ascii="Calibri" w:eastAsia="Times New Roman" w:hAnsi="Calibri" w:cs="Arial"/>
                <w:b/>
                <w:bCs/>
                <w:color w:val="000000"/>
                <w:sz w:val="18"/>
                <w:szCs w:val="18"/>
                <w:lang w:val="en-ZA" w:eastAsia="en-ZA"/>
              </w:rPr>
              <w:t xml:space="preserve">420 924 </w:t>
            </w:r>
          </w:p>
        </w:tc>
      </w:tr>
    </w:tbl>
    <w:p w14:paraId="63B719EF" w14:textId="77777777" w:rsidR="00000998" w:rsidRPr="00EB7946" w:rsidRDefault="00000998" w:rsidP="00000998">
      <w:pPr>
        <w:rPr>
          <w:rFonts w:ascii="Calibri" w:eastAsia="Calibri" w:hAnsi="Calibri" w:cs="Times New Roman"/>
          <w:sz w:val="20"/>
          <w:szCs w:val="20"/>
        </w:rPr>
      </w:pPr>
      <w:r w:rsidRPr="00EB7946">
        <w:rPr>
          <w:rFonts w:ascii="Calibri" w:eastAsia="Calibri" w:hAnsi="Calibri" w:cs="Times New Roman"/>
        </w:rPr>
        <w:t>*</w:t>
      </w:r>
      <w:r w:rsidRPr="00EB7946">
        <w:rPr>
          <w:rFonts w:ascii="Calibri" w:eastAsia="Calibri" w:hAnsi="Calibri" w:cs="Times New Roman"/>
          <w:sz w:val="20"/>
          <w:szCs w:val="20"/>
        </w:rPr>
        <w:t>After Geological loss of 17% Combined Merensky Reef and UG2 Chromitite</w:t>
      </w:r>
    </w:p>
    <w:p w14:paraId="026ACB0E" w14:textId="7D46A903" w:rsidR="00000998" w:rsidRDefault="00000998" w:rsidP="00000998">
      <w:pPr>
        <w:jc w:val="both"/>
        <w:rPr>
          <w:rFonts w:ascii="Calibri" w:eastAsia="Calibri" w:hAnsi="Calibri" w:cs="Times New Roman"/>
        </w:rPr>
      </w:pPr>
      <w:r w:rsidRPr="00EB7946">
        <w:rPr>
          <w:rFonts w:ascii="Calibri" w:eastAsia="Calibri" w:hAnsi="Calibri" w:cs="Times New Roman"/>
        </w:rPr>
        <w:t>The 4E prill split is consistent for the area with both the Merensky Reef and UG2 chromitite being platinum dominated; the Merensky Reef has a 1.8:1 Pt:Pd ratio, whilst the UG2 has a 1.3:1 Pt:Pd ratio (</w:t>
      </w:r>
      <w:r w:rsidR="00013237">
        <w:rPr>
          <w:rFonts w:ascii="Calibri" w:eastAsia="Calibri" w:hAnsi="Calibri" w:cs="Times New Roman"/>
        </w:rPr>
        <w:t>Table 9</w:t>
      </w:r>
      <w:r w:rsidRPr="00EB7946">
        <w:rPr>
          <w:rFonts w:ascii="Calibri" w:eastAsia="Calibri" w:hAnsi="Calibri" w:cs="Times New Roman"/>
        </w:rPr>
        <w:t>).</w:t>
      </w:r>
    </w:p>
    <w:p w14:paraId="55FC9AC5" w14:textId="77777777" w:rsidR="00000998" w:rsidRDefault="00000998" w:rsidP="00000998">
      <w:pPr>
        <w:rPr>
          <w:rFonts w:ascii="Calibri" w:eastAsia="Calibri" w:hAnsi="Calibri" w:cs="Times New Roman"/>
        </w:rPr>
      </w:pPr>
      <w:r>
        <w:rPr>
          <w:rFonts w:ascii="Calibri" w:eastAsia="Calibri" w:hAnsi="Calibri" w:cs="Times New Roman"/>
        </w:rPr>
        <w:br w:type="page"/>
      </w:r>
    </w:p>
    <w:p w14:paraId="56CA6ABC" w14:textId="77777777" w:rsidR="00000998" w:rsidRPr="00EB7946" w:rsidRDefault="00000998" w:rsidP="00000998">
      <w:pPr>
        <w:jc w:val="both"/>
        <w:rPr>
          <w:rFonts w:ascii="Calibri" w:eastAsia="Calibri" w:hAnsi="Calibri" w:cs="Times New Roman"/>
        </w:rPr>
      </w:pPr>
    </w:p>
    <w:p w14:paraId="2E6D7FBF" w14:textId="63BA4E1C" w:rsidR="00000998" w:rsidRPr="00EB7946" w:rsidRDefault="00000998" w:rsidP="00000998">
      <w:pPr>
        <w:pStyle w:val="Caption"/>
        <w:rPr>
          <w:rFonts w:ascii="Arial" w:eastAsia="Times New Roman" w:hAnsi="Arial" w:cs="Times New Roman"/>
          <w:b/>
          <w:bCs/>
          <w:szCs w:val="20"/>
          <w:lang w:val="en-ZA"/>
        </w:rPr>
      </w:pPr>
      <w:bookmarkStart w:id="103" w:name="_Toc520740336"/>
      <w:r>
        <w:t xml:space="preserve">Table </w:t>
      </w:r>
      <w:fldSimple w:instr=" SEQ Table \* ARABIC ">
        <w:r w:rsidR="002645B6">
          <w:rPr>
            <w:noProof/>
          </w:rPr>
          <w:t>9</w:t>
        </w:r>
      </w:fldSimple>
      <w:r w:rsidRPr="00EB7946">
        <w:rPr>
          <w:rFonts w:ascii="Arial" w:eastAsia="Times New Roman" w:hAnsi="Arial" w:cs="Times New Roman"/>
          <w:b/>
          <w:bCs/>
          <w:szCs w:val="20"/>
          <w:lang w:val="en-ZA"/>
        </w:rPr>
        <w:t>:</w:t>
      </w:r>
      <w:r>
        <w:rPr>
          <w:rFonts w:ascii="Arial" w:eastAsia="Times New Roman" w:hAnsi="Arial" w:cs="Times New Roman"/>
          <w:b/>
          <w:bCs/>
          <w:szCs w:val="20"/>
          <w:lang w:val="en-ZA"/>
        </w:rPr>
        <w:t xml:space="preserve"> </w:t>
      </w:r>
      <w:r w:rsidRPr="00E928C2">
        <w:t>Prill splits for the Lesego Resource</w:t>
      </w:r>
      <w:bookmarkEnd w:id="103"/>
    </w:p>
    <w:tbl>
      <w:tblPr>
        <w:tblW w:w="5691" w:type="dxa"/>
        <w:tblLook w:val="04A0" w:firstRow="1" w:lastRow="0" w:firstColumn="1" w:lastColumn="0" w:noHBand="0" w:noVBand="1"/>
      </w:tblPr>
      <w:tblGrid>
        <w:gridCol w:w="2263"/>
        <w:gridCol w:w="597"/>
        <w:gridCol w:w="940"/>
        <w:gridCol w:w="1000"/>
        <w:gridCol w:w="1220"/>
      </w:tblGrid>
      <w:tr w:rsidR="00000998" w:rsidRPr="001A6F17" w14:paraId="783CB25C" w14:textId="77777777" w:rsidTr="001A6F17">
        <w:trPr>
          <w:trHeight w:val="300"/>
        </w:trPr>
        <w:tc>
          <w:tcPr>
            <w:tcW w:w="22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CA86DF" w14:textId="77777777" w:rsidR="00000998" w:rsidRPr="001A6F17" w:rsidRDefault="00000998" w:rsidP="00AA0667">
            <w:pPr>
              <w:spacing w:after="0" w:line="240" w:lineRule="auto"/>
              <w:jc w:val="center"/>
              <w:rPr>
                <w:rFonts w:ascii="Calibri" w:eastAsia="Times New Roman" w:hAnsi="Calibri" w:cs="Times New Roman"/>
                <w:b/>
                <w:bCs/>
                <w:color w:val="000000" w:themeColor="text1"/>
                <w:lang w:val="en-ZA" w:eastAsia="en-ZA"/>
              </w:rPr>
            </w:pPr>
            <w:r w:rsidRPr="001A6F17">
              <w:rPr>
                <w:rFonts w:ascii="Calibri" w:eastAsia="Times New Roman" w:hAnsi="Calibri" w:cs="Times New Roman"/>
                <w:b/>
                <w:bCs/>
                <w:color w:val="000000" w:themeColor="text1"/>
                <w:lang w:val="en-ZA" w:eastAsia="en-ZA"/>
              </w:rPr>
              <w:t>Reef</w:t>
            </w:r>
          </w:p>
        </w:tc>
        <w:tc>
          <w:tcPr>
            <w:tcW w:w="268" w:type="dxa"/>
            <w:tcBorders>
              <w:top w:val="single" w:sz="4" w:space="0" w:color="auto"/>
              <w:left w:val="nil"/>
              <w:bottom w:val="single" w:sz="4" w:space="0" w:color="auto"/>
              <w:right w:val="single" w:sz="4" w:space="0" w:color="auto"/>
            </w:tcBorders>
            <w:shd w:val="clear" w:color="auto" w:fill="auto"/>
            <w:noWrap/>
            <w:vAlign w:val="bottom"/>
            <w:hideMark/>
          </w:tcPr>
          <w:p w14:paraId="29A4F39A" w14:textId="77777777" w:rsidR="00000998" w:rsidRPr="001A6F17" w:rsidRDefault="00000998" w:rsidP="00AA0667">
            <w:pPr>
              <w:spacing w:after="0" w:line="240" w:lineRule="auto"/>
              <w:jc w:val="center"/>
              <w:rPr>
                <w:rFonts w:ascii="Calibri" w:eastAsia="Times New Roman" w:hAnsi="Calibri" w:cs="Times New Roman"/>
                <w:b/>
                <w:bCs/>
                <w:color w:val="000000" w:themeColor="text1"/>
                <w:lang w:val="en-ZA" w:eastAsia="en-ZA"/>
              </w:rPr>
            </w:pPr>
            <w:r w:rsidRPr="001A6F17">
              <w:rPr>
                <w:rFonts w:ascii="Calibri" w:eastAsia="Times New Roman" w:hAnsi="Calibri" w:cs="Times New Roman"/>
                <w:b/>
                <w:bCs/>
                <w:color w:val="000000" w:themeColor="text1"/>
                <w:lang w:val="en-ZA" w:eastAsia="en-ZA"/>
              </w:rPr>
              <w:t>Pt</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14:paraId="38222593" w14:textId="77777777" w:rsidR="00000998" w:rsidRPr="001A6F17" w:rsidRDefault="00000998" w:rsidP="00AA0667">
            <w:pPr>
              <w:spacing w:after="0" w:line="240" w:lineRule="auto"/>
              <w:jc w:val="center"/>
              <w:rPr>
                <w:rFonts w:ascii="Calibri" w:eastAsia="Times New Roman" w:hAnsi="Calibri" w:cs="Times New Roman"/>
                <w:b/>
                <w:bCs/>
                <w:color w:val="000000" w:themeColor="text1"/>
                <w:lang w:val="en-ZA" w:eastAsia="en-ZA"/>
              </w:rPr>
            </w:pPr>
            <w:r w:rsidRPr="001A6F17">
              <w:rPr>
                <w:rFonts w:ascii="Calibri" w:eastAsia="Times New Roman" w:hAnsi="Calibri" w:cs="Times New Roman"/>
                <w:b/>
                <w:bCs/>
                <w:color w:val="000000" w:themeColor="text1"/>
                <w:lang w:val="en-ZA" w:eastAsia="en-ZA"/>
              </w:rPr>
              <w:t>Pd</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11084EF3" w14:textId="77777777" w:rsidR="00000998" w:rsidRPr="001A6F17" w:rsidRDefault="00000998" w:rsidP="00AA0667">
            <w:pPr>
              <w:spacing w:after="0" w:line="240" w:lineRule="auto"/>
              <w:jc w:val="center"/>
              <w:rPr>
                <w:rFonts w:ascii="Calibri" w:eastAsia="Times New Roman" w:hAnsi="Calibri" w:cs="Times New Roman"/>
                <w:b/>
                <w:bCs/>
                <w:color w:val="000000" w:themeColor="text1"/>
                <w:lang w:val="en-ZA" w:eastAsia="en-ZA"/>
              </w:rPr>
            </w:pPr>
            <w:r w:rsidRPr="001A6F17">
              <w:rPr>
                <w:rFonts w:ascii="Calibri" w:eastAsia="Times New Roman" w:hAnsi="Calibri" w:cs="Times New Roman"/>
                <w:b/>
                <w:bCs/>
                <w:color w:val="000000" w:themeColor="text1"/>
                <w:lang w:val="en-ZA" w:eastAsia="en-ZA"/>
              </w:rPr>
              <w:t>Rh</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14:paraId="06C96BE4" w14:textId="77777777" w:rsidR="00000998" w:rsidRPr="001A6F17" w:rsidRDefault="00000998" w:rsidP="00AA0667">
            <w:pPr>
              <w:spacing w:after="0" w:line="240" w:lineRule="auto"/>
              <w:jc w:val="center"/>
              <w:rPr>
                <w:rFonts w:ascii="Calibri" w:eastAsia="Times New Roman" w:hAnsi="Calibri" w:cs="Times New Roman"/>
                <w:b/>
                <w:bCs/>
                <w:color w:val="000000" w:themeColor="text1"/>
                <w:lang w:val="en-ZA" w:eastAsia="en-ZA"/>
              </w:rPr>
            </w:pPr>
            <w:r w:rsidRPr="001A6F17">
              <w:rPr>
                <w:rFonts w:ascii="Calibri" w:eastAsia="Times New Roman" w:hAnsi="Calibri" w:cs="Times New Roman"/>
                <w:b/>
                <w:bCs/>
                <w:color w:val="000000" w:themeColor="text1"/>
                <w:lang w:val="en-ZA" w:eastAsia="en-ZA"/>
              </w:rPr>
              <w:t>Au</w:t>
            </w:r>
          </w:p>
        </w:tc>
      </w:tr>
      <w:tr w:rsidR="00000998" w:rsidRPr="001A6F17" w14:paraId="6FD101F6" w14:textId="77777777" w:rsidTr="00AA0667">
        <w:trPr>
          <w:trHeight w:val="30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4B937DE4" w14:textId="77777777" w:rsidR="00000998" w:rsidRPr="001A6F17" w:rsidRDefault="00000998" w:rsidP="00AA0667">
            <w:pPr>
              <w:spacing w:after="0" w:line="240" w:lineRule="auto"/>
              <w:rPr>
                <w:rFonts w:ascii="Calibri" w:eastAsia="Times New Roman" w:hAnsi="Calibri" w:cs="Times New Roman"/>
                <w:color w:val="000000"/>
                <w:lang w:val="en-ZA" w:eastAsia="en-ZA"/>
              </w:rPr>
            </w:pPr>
            <w:r w:rsidRPr="001A6F17">
              <w:rPr>
                <w:rFonts w:ascii="Calibri" w:eastAsia="Times New Roman" w:hAnsi="Calibri" w:cs="Times New Roman"/>
                <w:color w:val="000000"/>
                <w:lang w:val="en-ZA" w:eastAsia="en-ZA"/>
              </w:rPr>
              <w:t>Merensky Reef</w:t>
            </w:r>
          </w:p>
        </w:tc>
        <w:tc>
          <w:tcPr>
            <w:tcW w:w="268" w:type="dxa"/>
            <w:tcBorders>
              <w:top w:val="nil"/>
              <w:left w:val="nil"/>
              <w:bottom w:val="single" w:sz="4" w:space="0" w:color="auto"/>
              <w:right w:val="single" w:sz="4" w:space="0" w:color="auto"/>
            </w:tcBorders>
            <w:shd w:val="clear" w:color="auto" w:fill="auto"/>
            <w:noWrap/>
            <w:vAlign w:val="bottom"/>
            <w:hideMark/>
          </w:tcPr>
          <w:p w14:paraId="74516114" w14:textId="77777777" w:rsidR="00000998" w:rsidRPr="001A6F17" w:rsidRDefault="00000998" w:rsidP="00AA0667">
            <w:pPr>
              <w:spacing w:after="0" w:line="240" w:lineRule="auto"/>
              <w:jc w:val="right"/>
              <w:rPr>
                <w:rFonts w:ascii="Calibri" w:eastAsia="Times New Roman" w:hAnsi="Calibri" w:cs="Times New Roman"/>
                <w:color w:val="000000"/>
                <w:lang w:val="en-ZA" w:eastAsia="en-ZA"/>
              </w:rPr>
            </w:pPr>
            <w:r w:rsidRPr="001A6F17">
              <w:rPr>
                <w:rFonts w:ascii="Calibri" w:eastAsia="Times New Roman" w:hAnsi="Calibri" w:cs="Times New Roman"/>
                <w:color w:val="000000"/>
                <w:lang w:val="en-ZA" w:eastAsia="en-ZA"/>
              </w:rPr>
              <w:t>59%</w:t>
            </w:r>
          </w:p>
        </w:tc>
        <w:tc>
          <w:tcPr>
            <w:tcW w:w="940" w:type="dxa"/>
            <w:tcBorders>
              <w:top w:val="nil"/>
              <w:left w:val="nil"/>
              <w:bottom w:val="single" w:sz="4" w:space="0" w:color="auto"/>
              <w:right w:val="single" w:sz="4" w:space="0" w:color="auto"/>
            </w:tcBorders>
            <w:shd w:val="clear" w:color="auto" w:fill="auto"/>
            <w:noWrap/>
            <w:vAlign w:val="bottom"/>
            <w:hideMark/>
          </w:tcPr>
          <w:p w14:paraId="71062084" w14:textId="77777777" w:rsidR="00000998" w:rsidRPr="001A6F17" w:rsidRDefault="00000998" w:rsidP="00AA0667">
            <w:pPr>
              <w:spacing w:after="0" w:line="240" w:lineRule="auto"/>
              <w:jc w:val="right"/>
              <w:rPr>
                <w:rFonts w:ascii="Calibri" w:eastAsia="Times New Roman" w:hAnsi="Calibri" w:cs="Times New Roman"/>
                <w:color w:val="000000"/>
                <w:lang w:val="en-ZA" w:eastAsia="en-ZA"/>
              </w:rPr>
            </w:pPr>
            <w:r w:rsidRPr="001A6F17">
              <w:rPr>
                <w:rFonts w:ascii="Calibri" w:eastAsia="Times New Roman" w:hAnsi="Calibri" w:cs="Times New Roman"/>
                <w:color w:val="000000"/>
                <w:lang w:val="en-ZA" w:eastAsia="en-ZA"/>
              </w:rPr>
              <w:t>32%</w:t>
            </w:r>
          </w:p>
        </w:tc>
        <w:tc>
          <w:tcPr>
            <w:tcW w:w="1000" w:type="dxa"/>
            <w:tcBorders>
              <w:top w:val="nil"/>
              <w:left w:val="nil"/>
              <w:bottom w:val="single" w:sz="4" w:space="0" w:color="auto"/>
              <w:right w:val="single" w:sz="4" w:space="0" w:color="auto"/>
            </w:tcBorders>
            <w:shd w:val="clear" w:color="auto" w:fill="auto"/>
            <w:noWrap/>
            <w:vAlign w:val="bottom"/>
            <w:hideMark/>
          </w:tcPr>
          <w:p w14:paraId="131A69A8" w14:textId="77777777" w:rsidR="00000998" w:rsidRPr="001A6F17" w:rsidRDefault="00000998" w:rsidP="00AA0667">
            <w:pPr>
              <w:spacing w:after="0" w:line="240" w:lineRule="auto"/>
              <w:jc w:val="right"/>
              <w:rPr>
                <w:rFonts w:ascii="Calibri" w:eastAsia="Times New Roman" w:hAnsi="Calibri" w:cs="Times New Roman"/>
                <w:color w:val="000000"/>
                <w:lang w:val="en-ZA" w:eastAsia="en-ZA"/>
              </w:rPr>
            </w:pPr>
            <w:r w:rsidRPr="001A6F17">
              <w:rPr>
                <w:rFonts w:ascii="Calibri" w:eastAsia="Times New Roman" w:hAnsi="Calibri" w:cs="Times New Roman"/>
                <w:color w:val="000000"/>
                <w:lang w:val="en-ZA" w:eastAsia="en-ZA"/>
              </w:rPr>
              <w:t>3%</w:t>
            </w:r>
          </w:p>
        </w:tc>
        <w:tc>
          <w:tcPr>
            <w:tcW w:w="1220" w:type="dxa"/>
            <w:tcBorders>
              <w:top w:val="nil"/>
              <w:left w:val="nil"/>
              <w:bottom w:val="single" w:sz="4" w:space="0" w:color="auto"/>
              <w:right w:val="single" w:sz="4" w:space="0" w:color="auto"/>
            </w:tcBorders>
            <w:shd w:val="clear" w:color="auto" w:fill="auto"/>
            <w:noWrap/>
            <w:vAlign w:val="bottom"/>
            <w:hideMark/>
          </w:tcPr>
          <w:p w14:paraId="775415B0" w14:textId="77777777" w:rsidR="00000998" w:rsidRPr="001A6F17" w:rsidRDefault="00000998" w:rsidP="00AA0667">
            <w:pPr>
              <w:spacing w:after="0" w:line="240" w:lineRule="auto"/>
              <w:jc w:val="right"/>
              <w:rPr>
                <w:rFonts w:ascii="Calibri" w:eastAsia="Times New Roman" w:hAnsi="Calibri" w:cs="Times New Roman"/>
                <w:color w:val="000000"/>
                <w:lang w:val="en-ZA" w:eastAsia="en-ZA"/>
              </w:rPr>
            </w:pPr>
            <w:r w:rsidRPr="001A6F17">
              <w:rPr>
                <w:rFonts w:ascii="Calibri" w:eastAsia="Times New Roman" w:hAnsi="Calibri" w:cs="Times New Roman"/>
                <w:color w:val="000000"/>
                <w:lang w:val="en-ZA" w:eastAsia="en-ZA"/>
              </w:rPr>
              <w:t>6%</w:t>
            </w:r>
          </w:p>
        </w:tc>
      </w:tr>
      <w:tr w:rsidR="00000998" w:rsidRPr="001A6F17" w14:paraId="1131E384" w14:textId="77777777" w:rsidTr="00AA0667">
        <w:trPr>
          <w:trHeight w:val="30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4045327A" w14:textId="77777777" w:rsidR="00000998" w:rsidRPr="001A6F17" w:rsidRDefault="00000998" w:rsidP="00AA0667">
            <w:pPr>
              <w:spacing w:after="0" w:line="240" w:lineRule="auto"/>
              <w:rPr>
                <w:rFonts w:ascii="Calibri" w:eastAsia="Times New Roman" w:hAnsi="Calibri" w:cs="Times New Roman"/>
                <w:color w:val="000000"/>
                <w:lang w:val="en-ZA" w:eastAsia="en-ZA"/>
              </w:rPr>
            </w:pPr>
            <w:r w:rsidRPr="001A6F17">
              <w:rPr>
                <w:rFonts w:ascii="Calibri" w:eastAsia="Times New Roman" w:hAnsi="Calibri" w:cs="Times New Roman"/>
                <w:color w:val="000000"/>
                <w:lang w:val="en-ZA" w:eastAsia="en-ZA"/>
              </w:rPr>
              <w:t>UG2</w:t>
            </w:r>
          </w:p>
        </w:tc>
        <w:tc>
          <w:tcPr>
            <w:tcW w:w="268" w:type="dxa"/>
            <w:tcBorders>
              <w:top w:val="nil"/>
              <w:left w:val="nil"/>
              <w:bottom w:val="single" w:sz="4" w:space="0" w:color="auto"/>
              <w:right w:val="single" w:sz="4" w:space="0" w:color="auto"/>
            </w:tcBorders>
            <w:shd w:val="clear" w:color="auto" w:fill="auto"/>
            <w:noWrap/>
            <w:vAlign w:val="bottom"/>
            <w:hideMark/>
          </w:tcPr>
          <w:p w14:paraId="39AE52C1" w14:textId="77777777" w:rsidR="00000998" w:rsidRPr="001A6F17" w:rsidRDefault="00000998" w:rsidP="00AA0667">
            <w:pPr>
              <w:spacing w:after="0" w:line="240" w:lineRule="auto"/>
              <w:jc w:val="right"/>
              <w:rPr>
                <w:rFonts w:ascii="Calibri" w:eastAsia="Times New Roman" w:hAnsi="Calibri" w:cs="Times New Roman"/>
                <w:color w:val="000000"/>
                <w:lang w:val="en-ZA" w:eastAsia="en-ZA"/>
              </w:rPr>
            </w:pPr>
            <w:r w:rsidRPr="001A6F17">
              <w:rPr>
                <w:rFonts w:ascii="Calibri" w:eastAsia="Times New Roman" w:hAnsi="Calibri" w:cs="Times New Roman"/>
                <w:color w:val="000000"/>
                <w:lang w:val="en-ZA" w:eastAsia="en-ZA"/>
              </w:rPr>
              <w:t>48%</w:t>
            </w:r>
          </w:p>
        </w:tc>
        <w:tc>
          <w:tcPr>
            <w:tcW w:w="940" w:type="dxa"/>
            <w:tcBorders>
              <w:top w:val="nil"/>
              <w:left w:val="nil"/>
              <w:bottom w:val="single" w:sz="4" w:space="0" w:color="auto"/>
              <w:right w:val="single" w:sz="4" w:space="0" w:color="auto"/>
            </w:tcBorders>
            <w:shd w:val="clear" w:color="auto" w:fill="auto"/>
            <w:noWrap/>
            <w:vAlign w:val="bottom"/>
            <w:hideMark/>
          </w:tcPr>
          <w:p w14:paraId="6FA9872F" w14:textId="77777777" w:rsidR="00000998" w:rsidRPr="001A6F17" w:rsidRDefault="00000998" w:rsidP="00AA0667">
            <w:pPr>
              <w:spacing w:after="0" w:line="240" w:lineRule="auto"/>
              <w:jc w:val="right"/>
              <w:rPr>
                <w:rFonts w:ascii="Calibri" w:eastAsia="Times New Roman" w:hAnsi="Calibri" w:cs="Times New Roman"/>
                <w:color w:val="000000"/>
                <w:lang w:val="en-ZA" w:eastAsia="en-ZA"/>
              </w:rPr>
            </w:pPr>
            <w:r w:rsidRPr="001A6F17">
              <w:rPr>
                <w:rFonts w:ascii="Calibri" w:eastAsia="Times New Roman" w:hAnsi="Calibri" w:cs="Times New Roman"/>
                <w:color w:val="000000"/>
                <w:lang w:val="en-ZA" w:eastAsia="en-ZA"/>
              </w:rPr>
              <w:t>38%</w:t>
            </w:r>
          </w:p>
        </w:tc>
        <w:tc>
          <w:tcPr>
            <w:tcW w:w="1000" w:type="dxa"/>
            <w:tcBorders>
              <w:top w:val="nil"/>
              <w:left w:val="nil"/>
              <w:bottom w:val="single" w:sz="4" w:space="0" w:color="auto"/>
              <w:right w:val="single" w:sz="4" w:space="0" w:color="auto"/>
            </w:tcBorders>
            <w:shd w:val="clear" w:color="auto" w:fill="auto"/>
            <w:noWrap/>
            <w:vAlign w:val="bottom"/>
            <w:hideMark/>
          </w:tcPr>
          <w:p w14:paraId="55B40471" w14:textId="77777777" w:rsidR="00000998" w:rsidRPr="001A6F17" w:rsidRDefault="00000998" w:rsidP="00AA0667">
            <w:pPr>
              <w:spacing w:after="0" w:line="240" w:lineRule="auto"/>
              <w:jc w:val="right"/>
              <w:rPr>
                <w:rFonts w:ascii="Calibri" w:eastAsia="Times New Roman" w:hAnsi="Calibri" w:cs="Times New Roman"/>
                <w:color w:val="000000"/>
                <w:lang w:val="en-ZA" w:eastAsia="en-ZA"/>
              </w:rPr>
            </w:pPr>
            <w:r w:rsidRPr="001A6F17">
              <w:rPr>
                <w:rFonts w:ascii="Calibri" w:eastAsia="Times New Roman" w:hAnsi="Calibri" w:cs="Times New Roman"/>
                <w:color w:val="000000"/>
                <w:lang w:val="en-ZA" w:eastAsia="en-ZA"/>
              </w:rPr>
              <w:t>12%</w:t>
            </w:r>
          </w:p>
        </w:tc>
        <w:tc>
          <w:tcPr>
            <w:tcW w:w="1220" w:type="dxa"/>
            <w:tcBorders>
              <w:top w:val="nil"/>
              <w:left w:val="nil"/>
              <w:bottom w:val="single" w:sz="4" w:space="0" w:color="auto"/>
              <w:right w:val="single" w:sz="4" w:space="0" w:color="auto"/>
            </w:tcBorders>
            <w:shd w:val="clear" w:color="auto" w:fill="auto"/>
            <w:noWrap/>
            <w:vAlign w:val="bottom"/>
            <w:hideMark/>
          </w:tcPr>
          <w:p w14:paraId="761B5251" w14:textId="77777777" w:rsidR="00000998" w:rsidRPr="001A6F17" w:rsidRDefault="00000998" w:rsidP="00AA0667">
            <w:pPr>
              <w:spacing w:after="0" w:line="240" w:lineRule="auto"/>
              <w:jc w:val="right"/>
              <w:rPr>
                <w:rFonts w:ascii="Calibri" w:eastAsia="Times New Roman" w:hAnsi="Calibri" w:cs="Times New Roman"/>
                <w:color w:val="000000"/>
                <w:lang w:val="en-ZA" w:eastAsia="en-ZA"/>
              </w:rPr>
            </w:pPr>
            <w:r w:rsidRPr="001A6F17">
              <w:rPr>
                <w:rFonts w:ascii="Calibri" w:eastAsia="Times New Roman" w:hAnsi="Calibri" w:cs="Times New Roman"/>
                <w:color w:val="000000"/>
                <w:lang w:val="en-ZA" w:eastAsia="en-ZA"/>
              </w:rPr>
              <w:t>2%</w:t>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000998" w:rsidRPr="00EB7946" w14:paraId="5E818366" w14:textId="77777777" w:rsidTr="00AA0667">
        <w:tc>
          <w:tcPr>
            <w:tcW w:w="9639" w:type="dxa"/>
          </w:tcPr>
          <w:p w14:paraId="41F1FC9F" w14:textId="77777777" w:rsidR="00000998" w:rsidRDefault="00000998" w:rsidP="00AA0667">
            <w:pPr>
              <w:jc w:val="both"/>
              <w:rPr>
                <w:noProof/>
              </w:rPr>
            </w:pPr>
          </w:p>
          <w:p w14:paraId="7B75260B" w14:textId="77777777" w:rsidR="00000998" w:rsidRDefault="00000998" w:rsidP="00AA0667">
            <w:pPr>
              <w:jc w:val="both"/>
              <w:rPr>
                <w:noProof/>
              </w:rPr>
            </w:pPr>
          </w:p>
          <w:p w14:paraId="58415C5F" w14:textId="77777777" w:rsidR="00000998" w:rsidRPr="00EB7946" w:rsidRDefault="00000998" w:rsidP="00AA0667">
            <w:pPr>
              <w:jc w:val="both"/>
              <w:rPr>
                <w:rFonts w:ascii="Calibri" w:eastAsia="Calibri" w:hAnsi="Calibri" w:cs="Times New Roman"/>
              </w:rPr>
            </w:pPr>
            <w:r>
              <w:rPr>
                <w:noProof/>
              </w:rPr>
              <w:drawing>
                <wp:inline distT="0" distB="0" distL="0" distR="0" wp14:anchorId="6EBC0DD6" wp14:editId="3F6BAACD">
                  <wp:extent cx="6120765" cy="322643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20765" cy="3226435"/>
                          </a:xfrm>
                          <a:prstGeom prst="rect">
                            <a:avLst/>
                          </a:prstGeom>
                        </pic:spPr>
                      </pic:pic>
                    </a:graphicData>
                  </a:graphic>
                </wp:inline>
              </w:drawing>
            </w:r>
          </w:p>
        </w:tc>
      </w:tr>
      <w:tr w:rsidR="00000998" w:rsidRPr="00EB7946" w14:paraId="288DB758" w14:textId="77777777" w:rsidTr="00AA0667">
        <w:tc>
          <w:tcPr>
            <w:tcW w:w="9639" w:type="dxa"/>
          </w:tcPr>
          <w:p w14:paraId="299AC68F" w14:textId="77777777" w:rsidR="00000998" w:rsidRPr="00EB7946" w:rsidRDefault="00000998" w:rsidP="00AA0667">
            <w:pPr>
              <w:jc w:val="both"/>
              <w:rPr>
                <w:rFonts w:ascii="Calibri" w:eastAsia="Calibri" w:hAnsi="Calibri" w:cs="Times New Roman"/>
              </w:rPr>
            </w:pPr>
          </w:p>
          <w:p w14:paraId="31C02202" w14:textId="77777777" w:rsidR="00000998" w:rsidRPr="00EB7946" w:rsidRDefault="00000998" w:rsidP="00AA0667">
            <w:pPr>
              <w:jc w:val="both"/>
              <w:rPr>
                <w:rFonts w:ascii="Calibri" w:eastAsia="Calibri" w:hAnsi="Calibri" w:cs="Times New Roman"/>
              </w:rPr>
            </w:pPr>
            <w:r>
              <w:rPr>
                <w:noProof/>
              </w:rPr>
              <w:drawing>
                <wp:inline distT="0" distB="0" distL="0" distR="0" wp14:anchorId="20844F38" wp14:editId="0EDFDB88">
                  <wp:extent cx="6120765" cy="3404870"/>
                  <wp:effectExtent l="0" t="0" r="0" b="508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20765" cy="3404870"/>
                          </a:xfrm>
                          <a:prstGeom prst="rect">
                            <a:avLst/>
                          </a:prstGeom>
                        </pic:spPr>
                      </pic:pic>
                    </a:graphicData>
                  </a:graphic>
                </wp:inline>
              </w:drawing>
            </w:r>
          </w:p>
          <w:p w14:paraId="32E57A33" w14:textId="77777777" w:rsidR="00000998" w:rsidRPr="00EB7946" w:rsidRDefault="00000998" w:rsidP="00AA0667">
            <w:pPr>
              <w:jc w:val="both"/>
              <w:rPr>
                <w:rFonts w:ascii="Calibri" w:eastAsia="Calibri" w:hAnsi="Calibri" w:cs="Times New Roman"/>
              </w:rPr>
            </w:pPr>
          </w:p>
        </w:tc>
      </w:tr>
      <w:tr w:rsidR="00000998" w:rsidRPr="00EB7946" w14:paraId="4C466532" w14:textId="77777777" w:rsidTr="00AA0667">
        <w:tc>
          <w:tcPr>
            <w:tcW w:w="9639" w:type="dxa"/>
          </w:tcPr>
          <w:p w14:paraId="5FBF6303" w14:textId="77777777" w:rsidR="00000998" w:rsidRPr="00EB7946" w:rsidRDefault="00000998" w:rsidP="00AA0667">
            <w:pPr>
              <w:keepNext/>
              <w:jc w:val="both"/>
              <w:rPr>
                <w:rFonts w:ascii="Calibri" w:eastAsia="Calibri" w:hAnsi="Calibri" w:cs="Times New Roman"/>
              </w:rPr>
            </w:pPr>
          </w:p>
        </w:tc>
      </w:tr>
    </w:tbl>
    <w:p w14:paraId="43A519B6" w14:textId="332FB9B7" w:rsidR="00000998" w:rsidRPr="00374FA6" w:rsidRDefault="00000998" w:rsidP="00000998">
      <w:pPr>
        <w:pStyle w:val="Caption"/>
        <w:jc w:val="both"/>
      </w:pPr>
      <w:bookmarkStart w:id="104" w:name="_Toc520757569"/>
      <w:r>
        <w:t xml:space="preserve">Figure </w:t>
      </w:r>
      <w:fldSimple w:instr=" SEQ Figure \* ARABIC ">
        <w:r w:rsidR="002645B6">
          <w:rPr>
            <w:noProof/>
          </w:rPr>
          <w:t>18</w:t>
        </w:r>
      </w:fldSimple>
      <w:r w:rsidRPr="00374FA6">
        <w:t>: Contoured map of the Lesego Project Area showing 3PGE+Au, Cu and Ni grades over the Merensky Reef (top image) and UG2 (bottom image). Note the general improvement of grade with depth (to the right) and the low-grade portions at the margins of the resource.</w:t>
      </w:r>
      <w:bookmarkEnd w:id="104"/>
    </w:p>
    <w:p w14:paraId="2FD84032" w14:textId="77777777" w:rsidR="00000998" w:rsidRDefault="00000998" w:rsidP="00000998">
      <w:pPr>
        <w:jc w:val="both"/>
        <w:rPr>
          <w:rFonts w:ascii="Calibri" w:eastAsia="Calibri" w:hAnsi="Calibri" w:cs="Times New Roman"/>
        </w:rPr>
      </w:pPr>
    </w:p>
    <w:p w14:paraId="16239948" w14:textId="3E05A1A2" w:rsidR="00000998" w:rsidRDefault="00000998" w:rsidP="00000998">
      <w:pPr>
        <w:jc w:val="both"/>
        <w:rPr>
          <w:rFonts w:ascii="Calibri" w:eastAsia="Calibri" w:hAnsi="Calibri" w:cs="Times New Roman"/>
        </w:rPr>
      </w:pPr>
      <w:r w:rsidRPr="00EB7946">
        <w:rPr>
          <w:rFonts w:ascii="Calibri" w:eastAsia="Calibri" w:hAnsi="Calibri" w:cs="Times New Roman"/>
        </w:rPr>
        <w:t>The grades, and to a lesser degree, the thickness, of both the Merensky and UG2 reefs improve with depth, and it is clear that the Phosiri Dome had an adverse effect on the grades and thicknesses of the reefs when in close proximity to the Dome (</w:t>
      </w:r>
      <w:r w:rsidR="00754070">
        <w:rPr>
          <w:rFonts w:ascii="Calibri" w:eastAsia="Calibri" w:hAnsi="Calibri" w:cs="Times New Roman"/>
        </w:rPr>
        <w:t>Figure 18</w:t>
      </w:r>
      <w:r w:rsidRPr="00EB7946">
        <w:rPr>
          <w:rFonts w:ascii="Calibri" w:eastAsia="Calibri" w:hAnsi="Calibri" w:cs="Times New Roman"/>
        </w:rPr>
        <w:t>).</w:t>
      </w:r>
      <w:r>
        <w:rPr>
          <w:rFonts w:ascii="Calibri" w:eastAsia="Calibri" w:hAnsi="Calibri" w:cs="Times New Roman"/>
        </w:rPr>
        <w:t xml:space="preserve"> It is unclear at this stage whether this is due to tectonic effects such as shearing or stretching of the Rustenburg Layered Suite lithologies during the emplacement of the Phosiri Dome during crystall</w:t>
      </w:r>
      <w:r w:rsidR="005D78EA">
        <w:rPr>
          <w:rFonts w:ascii="Calibri" w:eastAsia="Calibri" w:hAnsi="Calibri" w:cs="Times New Roman"/>
        </w:rPr>
        <w:t>isation</w:t>
      </w:r>
      <w:r>
        <w:rPr>
          <w:rFonts w:ascii="Calibri" w:eastAsia="Calibri" w:hAnsi="Calibri" w:cs="Times New Roman"/>
        </w:rPr>
        <w:t xml:space="preserve"> of the reefs, or whether metamorphism and contamination by anatectic melts from the metasedimentary footwall rocks effected the </w:t>
      </w:r>
      <w:r w:rsidR="00AF2AFC">
        <w:rPr>
          <w:rFonts w:ascii="Calibri" w:eastAsia="Calibri" w:hAnsi="Calibri" w:cs="Times New Roman"/>
        </w:rPr>
        <w:t>mineralisation</w:t>
      </w:r>
      <w:r>
        <w:rPr>
          <w:rFonts w:ascii="Calibri" w:eastAsia="Calibri" w:hAnsi="Calibri" w:cs="Times New Roman"/>
        </w:rPr>
        <w:t xml:space="preserve"> </w:t>
      </w:r>
      <w:r w:rsidR="00754070">
        <w:rPr>
          <w:rFonts w:ascii="Calibri" w:eastAsia="Calibri" w:hAnsi="Calibri" w:cs="Times New Roman"/>
        </w:rPr>
        <w:t>process</w:t>
      </w:r>
      <w:r>
        <w:rPr>
          <w:rFonts w:ascii="Calibri" w:eastAsia="Calibri" w:hAnsi="Calibri" w:cs="Times New Roman"/>
        </w:rPr>
        <w:t>.</w:t>
      </w:r>
    </w:p>
    <w:p w14:paraId="33D14940" w14:textId="77777777" w:rsidR="00000998" w:rsidRPr="00EB7946" w:rsidRDefault="00000998" w:rsidP="00EB7946">
      <w:pPr>
        <w:jc w:val="both"/>
        <w:rPr>
          <w:rFonts w:ascii="Calibri" w:eastAsia="Calibri" w:hAnsi="Calibri" w:cs="Times New Roman"/>
        </w:rPr>
      </w:pPr>
    </w:p>
    <w:p w14:paraId="3C4BD1E2" w14:textId="77777777" w:rsidR="00EB7946" w:rsidRPr="00CE738E" w:rsidRDefault="00EB7946" w:rsidP="00CE738E">
      <w:pPr>
        <w:pStyle w:val="Heading2"/>
        <w:rPr>
          <w:color w:val="000000" w:themeColor="text1"/>
        </w:rPr>
      </w:pPr>
      <w:bookmarkStart w:id="105" w:name="_Toc520758796"/>
      <w:r w:rsidRPr="00CE738E">
        <w:rPr>
          <w:color w:val="000000" w:themeColor="text1"/>
        </w:rPr>
        <w:t>Discussion</w:t>
      </w:r>
      <w:bookmarkEnd w:id="105"/>
    </w:p>
    <w:p w14:paraId="28D7325B" w14:textId="67D4C898"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discovery and resulting definition of the resources of the Lesego PGE </w:t>
      </w:r>
      <w:r w:rsidR="00FE2E37">
        <w:rPr>
          <w:rFonts w:ascii="Calibri" w:eastAsia="Calibri" w:hAnsi="Calibri" w:cs="Times New Roman"/>
        </w:rPr>
        <w:t xml:space="preserve">Project </w:t>
      </w:r>
      <w:r w:rsidRPr="00EB7946">
        <w:rPr>
          <w:rFonts w:ascii="Calibri" w:eastAsia="Calibri" w:hAnsi="Calibri" w:cs="Times New Roman"/>
        </w:rPr>
        <w:t>resulted from a systematic phased exploration program testing a conceptual exploration model based on the syn-Bushveld emplacement of the Phosiri Dome.</w:t>
      </w:r>
    </w:p>
    <w:p w14:paraId="62B395E3" w14:textId="72BAEBD5" w:rsidR="00EB7946" w:rsidRPr="00EB7946" w:rsidRDefault="00EB7946" w:rsidP="00EB7946">
      <w:pPr>
        <w:jc w:val="both"/>
        <w:rPr>
          <w:rFonts w:ascii="Calibri" w:eastAsia="Calibri" w:hAnsi="Calibri" w:cs="Times New Roman"/>
        </w:rPr>
      </w:pPr>
      <w:r w:rsidRPr="00EB7946">
        <w:rPr>
          <w:rFonts w:ascii="Calibri" w:eastAsia="Calibri" w:hAnsi="Calibri" w:cs="Times New Roman"/>
        </w:rPr>
        <w:t>On the southern flank of the Phosiri Dome, Scoon</w:t>
      </w:r>
      <w:r w:rsidR="008E720C">
        <w:rPr>
          <w:rFonts w:ascii="Calibri" w:eastAsia="Calibri" w:hAnsi="Calibri" w:cs="Times New Roman"/>
        </w:rPr>
        <w:t>, page 1,047,</w:t>
      </w:r>
      <w:r w:rsidRPr="00EB7946">
        <w:rPr>
          <w:rFonts w:ascii="Calibri" w:eastAsia="Calibri" w:hAnsi="Calibri" w:cs="Times New Roman"/>
        </w:rPr>
        <w:t xml:space="preserve"> (2002) identifie</w:t>
      </w:r>
      <w:r w:rsidR="00FE2E37">
        <w:rPr>
          <w:rFonts w:ascii="Calibri" w:eastAsia="Calibri" w:hAnsi="Calibri" w:cs="Times New Roman"/>
        </w:rPr>
        <w:t>d</w:t>
      </w:r>
      <w:r w:rsidRPr="00EB7946">
        <w:rPr>
          <w:rFonts w:ascii="Calibri" w:eastAsia="Calibri" w:hAnsi="Calibri" w:cs="Times New Roman"/>
        </w:rPr>
        <w:t xml:space="preserve"> a “relatively chaotic sequence underlying the Upper Zone with increased distance from the Zaaikloof (Phosiri) dome” and attribute</w:t>
      </w:r>
      <w:r w:rsidR="00FE2E37">
        <w:rPr>
          <w:rFonts w:ascii="Calibri" w:eastAsia="Calibri" w:hAnsi="Calibri" w:cs="Times New Roman"/>
        </w:rPr>
        <w:t>d</w:t>
      </w:r>
      <w:r w:rsidRPr="00EB7946">
        <w:rPr>
          <w:rFonts w:ascii="Calibri" w:eastAsia="Calibri" w:hAnsi="Calibri" w:cs="Times New Roman"/>
        </w:rPr>
        <w:t xml:space="preserve"> the occurrence of marker layers in some sections and lack of these marker layers in other sections to not only the non-development or attenuation of these layers, but possibly also to strike-slip faulting associated with the upward movement of the Phosiri Dome. By contrast, the layering of the Rustenburg Layered Suite on the eastern flank of the Phosiri Dome, to the north</w:t>
      </w:r>
      <w:r w:rsidR="00FE2E37">
        <w:rPr>
          <w:rFonts w:ascii="Calibri" w:eastAsia="Calibri" w:hAnsi="Calibri" w:cs="Times New Roman"/>
        </w:rPr>
        <w:t>east</w:t>
      </w:r>
      <w:r w:rsidRPr="00EB7946">
        <w:rPr>
          <w:rFonts w:ascii="Calibri" w:eastAsia="Calibri" w:hAnsi="Calibri" w:cs="Times New Roman"/>
        </w:rPr>
        <w:t xml:space="preserve"> of the fold </w:t>
      </w:r>
      <w:r w:rsidR="00FE2E37">
        <w:rPr>
          <w:rFonts w:ascii="Calibri" w:eastAsia="Calibri" w:hAnsi="Calibri" w:cs="Times New Roman"/>
        </w:rPr>
        <w:t>hinge</w:t>
      </w:r>
      <w:r w:rsidRPr="00EB7946">
        <w:rPr>
          <w:rFonts w:ascii="Calibri" w:eastAsia="Calibri" w:hAnsi="Calibri" w:cs="Times New Roman"/>
        </w:rPr>
        <w:t>, appears to be relatively consistent and predictable with increased distance from the floor rocks. This may indicate an asymmetrical emplacement of the Phosiri Dome, or subsequent modification of the area of the Phosiri Dome which only affected the southern flank, however</w:t>
      </w:r>
      <w:r w:rsidR="00FE2E37">
        <w:rPr>
          <w:rFonts w:ascii="Calibri" w:eastAsia="Calibri" w:hAnsi="Calibri" w:cs="Times New Roman"/>
        </w:rPr>
        <w:t>,</w:t>
      </w:r>
      <w:r w:rsidRPr="00EB7946">
        <w:rPr>
          <w:rFonts w:ascii="Calibri" w:eastAsia="Calibri" w:hAnsi="Calibri" w:cs="Times New Roman"/>
        </w:rPr>
        <w:t xml:space="preserve"> on both the southern and eastern flanks of the Phosiri Dome, drilling has confirmed that a combination of uplift and tilting has resulted in the absence, or at the very least, the attenuation of marker layers close to the floor rocks (Scoon, 2002).</w:t>
      </w:r>
      <w:r w:rsidR="008E720C">
        <w:rPr>
          <w:rFonts w:ascii="Calibri" w:eastAsia="Calibri" w:hAnsi="Calibri" w:cs="Times New Roman"/>
        </w:rPr>
        <w:t xml:space="preserve"> Strain fabrics commonly seen in mottled anorthosites intersected in drill cores in close proximity to the Dome, as well as the steepening of the dip of Rustenburg Layered Suite lithologies, mean that emplacement of the Dome postdated the crystall</w:t>
      </w:r>
      <w:r w:rsidR="005D78EA">
        <w:rPr>
          <w:rFonts w:ascii="Calibri" w:eastAsia="Calibri" w:hAnsi="Calibri" w:cs="Times New Roman"/>
        </w:rPr>
        <w:t>isation</w:t>
      </w:r>
      <w:r w:rsidR="008E720C">
        <w:rPr>
          <w:rFonts w:ascii="Calibri" w:eastAsia="Calibri" w:hAnsi="Calibri" w:cs="Times New Roman"/>
        </w:rPr>
        <w:t xml:space="preserve"> of Rustenburg Layered Suite magmas.</w:t>
      </w:r>
    </w:p>
    <w:p w14:paraId="1E8A1496" w14:textId="0086BE73" w:rsidR="00EB7946" w:rsidRPr="00EB7946" w:rsidRDefault="00EB7946" w:rsidP="00EB7946">
      <w:pPr>
        <w:jc w:val="both"/>
        <w:rPr>
          <w:rFonts w:ascii="Calibri" w:eastAsia="Calibri" w:hAnsi="Calibri" w:cs="Times New Roman"/>
        </w:rPr>
      </w:pPr>
      <w:bookmarkStart w:id="106" w:name="_Hlk507367704"/>
      <w:r w:rsidRPr="00EB7946">
        <w:rPr>
          <w:rFonts w:ascii="Calibri" w:eastAsia="Calibri" w:hAnsi="Calibri" w:cs="Times New Roman"/>
        </w:rPr>
        <w:t xml:space="preserve">The structural setting of the deposit is unique in the </w:t>
      </w:r>
      <w:r w:rsidR="00FE2E37">
        <w:rPr>
          <w:rFonts w:ascii="Calibri" w:eastAsia="Calibri" w:hAnsi="Calibri" w:cs="Times New Roman"/>
        </w:rPr>
        <w:t>Bushveld Complex, given the sub-</w:t>
      </w:r>
      <w:r w:rsidRPr="00EB7946">
        <w:rPr>
          <w:rFonts w:ascii="Calibri" w:eastAsia="Calibri" w:hAnsi="Calibri" w:cs="Times New Roman"/>
        </w:rPr>
        <w:t>vertical dips of the reefs near surface, which shallow out with increasing depth</w:t>
      </w:r>
      <w:r w:rsidR="00FE2E37">
        <w:rPr>
          <w:rFonts w:ascii="Calibri" w:eastAsia="Calibri" w:hAnsi="Calibri" w:cs="Times New Roman"/>
        </w:rPr>
        <w:t>. At depth</w:t>
      </w:r>
      <w:r w:rsidRPr="00EB7946">
        <w:rPr>
          <w:rFonts w:ascii="Calibri" w:eastAsia="Calibri" w:hAnsi="Calibri" w:cs="Times New Roman"/>
        </w:rPr>
        <w:t xml:space="preserve"> the Merensky and UG2 reefs typically dip at angles of less than 35°</w:t>
      </w:r>
      <w:r w:rsidR="00FE2E37">
        <w:rPr>
          <w:rFonts w:ascii="Calibri" w:eastAsia="Calibri" w:hAnsi="Calibri" w:cs="Times New Roman"/>
        </w:rPr>
        <w:t>,</w:t>
      </w:r>
      <w:r w:rsidRPr="00EB7946">
        <w:rPr>
          <w:rFonts w:ascii="Calibri" w:eastAsia="Calibri" w:hAnsi="Calibri" w:cs="Times New Roman"/>
        </w:rPr>
        <w:t xml:space="preserve"> which lends itself to conventional breast mining techniques. </w:t>
      </w:r>
      <w:r w:rsidR="00FE2E37">
        <w:rPr>
          <w:rFonts w:ascii="Calibri" w:eastAsia="Calibri" w:hAnsi="Calibri" w:cs="Times New Roman"/>
        </w:rPr>
        <w:t>Closer to the Phosiri Dome</w:t>
      </w:r>
      <w:r w:rsidRPr="00EB7946">
        <w:rPr>
          <w:rFonts w:ascii="Calibri" w:eastAsia="Calibri" w:hAnsi="Calibri" w:cs="Times New Roman"/>
        </w:rPr>
        <w:t xml:space="preserve">, </w:t>
      </w:r>
      <w:r w:rsidR="00FE2E37">
        <w:rPr>
          <w:rFonts w:ascii="Calibri" w:eastAsia="Calibri" w:hAnsi="Calibri" w:cs="Times New Roman"/>
        </w:rPr>
        <w:t xml:space="preserve">the upper parts of the ore body, </w:t>
      </w:r>
      <w:r w:rsidRPr="00EB7946">
        <w:rPr>
          <w:rFonts w:ascii="Calibri" w:eastAsia="Calibri" w:hAnsi="Calibri" w:cs="Times New Roman"/>
        </w:rPr>
        <w:t>by virtue of its steep dips above 1,200 m</w:t>
      </w:r>
      <w:r w:rsidR="00FE2E37">
        <w:rPr>
          <w:rFonts w:ascii="Calibri" w:eastAsia="Calibri" w:hAnsi="Calibri" w:cs="Times New Roman"/>
        </w:rPr>
        <w:t xml:space="preserve"> depth</w:t>
      </w:r>
      <w:r w:rsidRPr="00EB7946">
        <w:rPr>
          <w:rFonts w:ascii="Calibri" w:eastAsia="Calibri" w:hAnsi="Calibri" w:cs="Times New Roman"/>
        </w:rPr>
        <w:t>, lends itself to an arguably safer, lower cost mechan</w:t>
      </w:r>
      <w:r w:rsidR="005D78EA">
        <w:rPr>
          <w:rFonts w:ascii="Calibri" w:eastAsia="Calibri" w:hAnsi="Calibri" w:cs="Times New Roman"/>
        </w:rPr>
        <w:t>ised</w:t>
      </w:r>
      <w:r w:rsidRPr="00EB7946">
        <w:rPr>
          <w:rFonts w:ascii="Calibri" w:eastAsia="Calibri" w:hAnsi="Calibri" w:cs="Times New Roman"/>
        </w:rPr>
        <w:t xml:space="preserve"> mining technique for the upper portions.</w:t>
      </w:r>
    </w:p>
    <w:p w14:paraId="2BBE367A" w14:textId="4C7CD861" w:rsidR="005006E1" w:rsidRDefault="00EB1583" w:rsidP="00EB7946">
      <w:pPr>
        <w:jc w:val="both"/>
        <w:rPr>
          <w:rFonts w:ascii="Calibri" w:eastAsia="Calibri" w:hAnsi="Calibri" w:cs="Times New Roman"/>
        </w:rPr>
      </w:pPr>
      <w:bookmarkStart w:id="107" w:name="_Hlk507367490"/>
      <w:bookmarkEnd w:id="106"/>
      <w:r>
        <w:rPr>
          <w:rFonts w:ascii="Calibri" w:eastAsia="Calibri" w:hAnsi="Calibri" w:cs="Times New Roman"/>
        </w:rPr>
        <w:t xml:space="preserve">The inability to recognize the upper orebody in previous studies was a </w:t>
      </w:r>
      <w:r w:rsidR="005006E1">
        <w:rPr>
          <w:rFonts w:ascii="Calibri" w:eastAsia="Calibri" w:hAnsi="Calibri" w:cs="Times New Roman"/>
        </w:rPr>
        <w:t>result of several factors. Firstly, the</w:t>
      </w:r>
      <w:r w:rsidR="005006E1" w:rsidRPr="00EB7946">
        <w:rPr>
          <w:rFonts w:ascii="Calibri" w:eastAsia="Calibri" w:hAnsi="Calibri" w:cs="Times New Roman"/>
        </w:rPr>
        <w:t xml:space="preserve"> steep dip </w:t>
      </w:r>
      <w:r w:rsidR="005006E1">
        <w:rPr>
          <w:rFonts w:ascii="Calibri" w:eastAsia="Calibri" w:hAnsi="Calibri" w:cs="Times New Roman"/>
        </w:rPr>
        <w:t xml:space="preserve">of the Rustenburg Layered Suite </w:t>
      </w:r>
      <w:r w:rsidR="005006E1" w:rsidRPr="00EB7946">
        <w:rPr>
          <w:rFonts w:ascii="Calibri" w:eastAsia="Calibri" w:hAnsi="Calibri" w:cs="Times New Roman"/>
        </w:rPr>
        <w:t>in clos</w:t>
      </w:r>
      <w:r w:rsidR="005006E1">
        <w:rPr>
          <w:rFonts w:ascii="Calibri" w:eastAsia="Calibri" w:hAnsi="Calibri" w:cs="Times New Roman"/>
        </w:rPr>
        <w:t>e proximity to the Phosiri Dome meant that traditional two-dimensional seismic surveys adjacent to the Phosiri Dome would fail to detect any reflectors. T</w:t>
      </w:r>
      <w:r w:rsidR="005006E1" w:rsidRPr="00EB7946">
        <w:rPr>
          <w:rFonts w:ascii="Calibri" w:eastAsia="Calibri" w:hAnsi="Calibri" w:cs="Times New Roman"/>
        </w:rPr>
        <w:t>he relatively sharp inflexion point</w:t>
      </w:r>
      <w:r w:rsidR="005006E1">
        <w:rPr>
          <w:rFonts w:ascii="Calibri" w:eastAsia="Calibri" w:hAnsi="Calibri" w:cs="Times New Roman"/>
        </w:rPr>
        <w:t xml:space="preserve"> of the Rustenburg Layered Suite at approximately 1,200 m means that the seismic signature of shallow-dipping reflectors disappeared relatively quickly and a gradual change in dip of the reflectors was not detectable. </w:t>
      </w:r>
      <w:r w:rsidR="006C6777">
        <w:rPr>
          <w:rFonts w:ascii="Calibri" w:eastAsia="Calibri" w:hAnsi="Calibri" w:cs="Times New Roman"/>
        </w:rPr>
        <w:t>N</w:t>
      </w:r>
      <w:r w:rsidR="005006E1">
        <w:rPr>
          <w:rFonts w:ascii="Calibri" w:eastAsia="Calibri" w:hAnsi="Calibri" w:cs="Times New Roman"/>
        </w:rPr>
        <w:t xml:space="preserve">ew exploration drilling </w:t>
      </w:r>
      <w:r w:rsidR="006C6777">
        <w:rPr>
          <w:rFonts w:ascii="Calibri" w:eastAsia="Calibri" w:hAnsi="Calibri" w:cs="Times New Roman"/>
        </w:rPr>
        <w:t xml:space="preserve">by Lesego has </w:t>
      </w:r>
      <w:r w:rsidR="005006E1">
        <w:rPr>
          <w:rFonts w:ascii="Calibri" w:eastAsia="Calibri" w:hAnsi="Calibri" w:cs="Times New Roman"/>
        </w:rPr>
        <w:t xml:space="preserve">revealed extensive sheets of </w:t>
      </w:r>
      <w:r w:rsidR="00013237">
        <w:rPr>
          <w:rFonts w:ascii="Calibri" w:eastAsia="Calibri" w:hAnsi="Calibri" w:cs="Times New Roman"/>
        </w:rPr>
        <w:t xml:space="preserve">gabbroic material contaminated with </w:t>
      </w:r>
      <w:r w:rsidR="005006E1">
        <w:rPr>
          <w:rFonts w:ascii="Calibri" w:eastAsia="Calibri" w:hAnsi="Calibri" w:cs="Times New Roman"/>
        </w:rPr>
        <w:t xml:space="preserve">anatectic melt, </w:t>
      </w:r>
      <w:r w:rsidR="006C6777">
        <w:rPr>
          <w:rFonts w:ascii="Calibri" w:eastAsia="Calibri" w:hAnsi="Calibri" w:cs="Times New Roman"/>
        </w:rPr>
        <w:t>which appears to have interfered with magmatic layering in the Rustenburg Layered Suite between 350 m and surface, thus obscuring any Critical Zone lithologies at surface.</w:t>
      </w:r>
    </w:p>
    <w:p w14:paraId="32448048" w14:textId="6B58C56B"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This has important implications for exploration strategies around other possible Merensky </w:t>
      </w:r>
      <w:r w:rsidR="00754070">
        <w:rPr>
          <w:rFonts w:ascii="Calibri" w:eastAsia="Calibri" w:hAnsi="Calibri" w:cs="Times New Roman"/>
        </w:rPr>
        <w:t xml:space="preserve">Reef </w:t>
      </w:r>
      <w:r w:rsidRPr="00EB7946">
        <w:rPr>
          <w:rFonts w:ascii="Calibri" w:eastAsia="Calibri" w:hAnsi="Calibri" w:cs="Times New Roman"/>
        </w:rPr>
        <w:t xml:space="preserve">and UG2 </w:t>
      </w:r>
      <w:r w:rsidR="00754070">
        <w:rPr>
          <w:rFonts w:ascii="Calibri" w:eastAsia="Calibri" w:hAnsi="Calibri" w:cs="Times New Roman"/>
        </w:rPr>
        <w:t xml:space="preserve">Chromitite </w:t>
      </w:r>
      <w:r w:rsidRPr="00EB7946">
        <w:rPr>
          <w:rFonts w:ascii="Calibri" w:eastAsia="Calibri" w:hAnsi="Calibri" w:cs="Times New Roman"/>
        </w:rPr>
        <w:t xml:space="preserve">dome-associated targets </w:t>
      </w:r>
      <w:r w:rsidR="006F47B5">
        <w:rPr>
          <w:rFonts w:ascii="Calibri" w:eastAsia="Calibri" w:hAnsi="Calibri" w:cs="Times New Roman"/>
        </w:rPr>
        <w:t>i</w:t>
      </w:r>
      <w:r w:rsidRPr="00EB7946">
        <w:rPr>
          <w:rFonts w:ascii="Calibri" w:eastAsia="Calibri" w:hAnsi="Calibri" w:cs="Times New Roman"/>
        </w:rPr>
        <w:t xml:space="preserve">n the Bushveld Complex. In order to increase the chances of success, a counter-intuitive strategy of starting exploration away from the immediate vicinity of the dome should be adopted, in order to understand the undisturbed stratigraphy through a process of mapping, </w:t>
      </w:r>
      <w:r w:rsidR="00754070">
        <w:rPr>
          <w:rFonts w:ascii="Calibri" w:eastAsia="Calibri" w:hAnsi="Calibri" w:cs="Times New Roman"/>
        </w:rPr>
        <w:t xml:space="preserve">soil geochemistry, </w:t>
      </w:r>
      <w:r w:rsidRPr="00EB7946">
        <w:rPr>
          <w:rFonts w:ascii="Calibri" w:eastAsia="Calibri" w:hAnsi="Calibri" w:cs="Times New Roman"/>
        </w:rPr>
        <w:t>seismics and subsequent drilling, and once this is better understood, the exploration program can move from the “known stratigraphy” into the disturbed horizons closer to the dome.</w:t>
      </w:r>
    </w:p>
    <w:p w14:paraId="08FA1011" w14:textId="77777777" w:rsidR="00EB7946" w:rsidRPr="00CE738E" w:rsidRDefault="00EB7946" w:rsidP="00CE738E">
      <w:pPr>
        <w:pStyle w:val="Heading2"/>
        <w:rPr>
          <w:color w:val="000000" w:themeColor="text1"/>
        </w:rPr>
      </w:pPr>
      <w:bookmarkStart w:id="108" w:name="_Toc520758797"/>
      <w:bookmarkEnd w:id="107"/>
      <w:r w:rsidRPr="00CE738E">
        <w:rPr>
          <w:color w:val="000000" w:themeColor="text1"/>
        </w:rPr>
        <w:lastRenderedPageBreak/>
        <w:t>Conclusions</w:t>
      </w:r>
      <w:bookmarkEnd w:id="108"/>
    </w:p>
    <w:p w14:paraId="7C4721B5" w14:textId="6B64F0D1"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The Phosiri Dome was instrumental in the uplifting of the Rustenburg Layered Suite, bringing the Merensky and UG2 reefs to economically extractable depths. </w:t>
      </w:r>
      <w:r w:rsidR="00754070">
        <w:rPr>
          <w:rFonts w:ascii="Calibri" w:eastAsia="Calibri" w:hAnsi="Calibri" w:cs="Times New Roman"/>
        </w:rPr>
        <w:t>Dome emplacement was post the emplacement of the Critical Zone magmas.</w:t>
      </w:r>
      <w:r w:rsidRPr="00EB7946">
        <w:rPr>
          <w:rFonts w:ascii="Calibri" w:eastAsia="Calibri" w:hAnsi="Calibri" w:cs="Times New Roman"/>
        </w:rPr>
        <w:t xml:space="preserve"> </w:t>
      </w:r>
      <w:r w:rsidR="00754070">
        <w:rPr>
          <w:rFonts w:ascii="Calibri" w:eastAsia="Calibri" w:hAnsi="Calibri" w:cs="Times New Roman"/>
        </w:rPr>
        <w:t>E</w:t>
      </w:r>
      <w:r w:rsidRPr="00EB7946">
        <w:rPr>
          <w:rFonts w:ascii="Calibri" w:eastAsia="Calibri" w:hAnsi="Calibri" w:cs="Times New Roman"/>
        </w:rPr>
        <w:t>xploration on the eastern flank of the Phosiri Dome has resulted in the discovery and evaluation of a previously unrecognized 39 million-ounce PGE resource that appears to be structurally more coherent than reef horizons identified on the southern flank of the Dome.</w:t>
      </w:r>
    </w:p>
    <w:bookmarkEnd w:id="100"/>
    <w:p w14:paraId="2110D1B9" w14:textId="4E9F4887" w:rsidR="00EB7946" w:rsidRPr="00343E19" w:rsidRDefault="00343E19" w:rsidP="00343E19">
      <w:pPr>
        <w:spacing w:before="60" w:after="60" w:line="240" w:lineRule="auto"/>
        <w:jc w:val="both"/>
        <w:rPr>
          <w:rFonts w:ascii="Arial" w:eastAsia="Times New Roman" w:hAnsi="Arial" w:cs="Times New Roman"/>
          <w:szCs w:val="20"/>
          <w:lang w:val="en-GB"/>
        </w:rPr>
        <w:sectPr w:rsidR="00EB7946" w:rsidRPr="00343E19" w:rsidSect="00A9526B">
          <w:headerReference w:type="first" r:id="rId34"/>
          <w:footerReference w:type="first" r:id="rId35"/>
          <w:pgSz w:w="11907" w:h="16840" w:code="9"/>
          <w:pgMar w:top="1389" w:right="1134" w:bottom="993" w:left="1134" w:header="454" w:footer="454" w:gutter="0"/>
          <w:cols w:space="720"/>
          <w:titlePg/>
          <w:docGrid w:linePitch="360"/>
        </w:sectPr>
      </w:pPr>
      <w:r>
        <w:rPr>
          <w:rFonts w:ascii="Arial" w:eastAsia="Times New Roman" w:hAnsi="Arial" w:cs="Times New Roman"/>
          <w:szCs w:val="20"/>
          <w:lang w:val="en-GB"/>
        </w:rPr>
        <w:br w:type="page"/>
      </w:r>
    </w:p>
    <w:p w14:paraId="1D4A629A" w14:textId="14BDA1EB" w:rsidR="00EB7946" w:rsidRPr="00CE738E" w:rsidRDefault="00EB7946" w:rsidP="00CE738E">
      <w:pPr>
        <w:pStyle w:val="Heading2"/>
        <w:rPr>
          <w:color w:val="000000" w:themeColor="text1"/>
        </w:rPr>
      </w:pPr>
      <w:bookmarkStart w:id="109" w:name="_Toc501031006"/>
      <w:bookmarkStart w:id="110" w:name="_Toc520758798"/>
      <w:r w:rsidRPr="00CE738E">
        <w:rPr>
          <w:color w:val="000000" w:themeColor="text1"/>
        </w:rPr>
        <w:lastRenderedPageBreak/>
        <w:t>Acknowledgements</w:t>
      </w:r>
      <w:bookmarkEnd w:id="109"/>
      <w:bookmarkEnd w:id="110"/>
    </w:p>
    <w:p w14:paraId="50B76344" w14:textId="33C7F04F" w:rsidR="00EB7946" w:rsidRPr="00EB7946" w:rsidRDefault="00EB7946" w:rsidP="00EB7946">
      <w:pPr>
        <w:jc w:val="both"/>
        <w:rPr>
          <w:rFonts w:ascii="Calibri" w:eastAsia="Calibri" w:hAnsi="Calibri" w:cs="Times New Roman"/>
        </w:rPr>
      </w:pPr>
      <w:r w:rsidRPr="00EB7946">
        <w:rPr>
          <w:rFonts w:ascii="Calibri" w:eastAsia="Calibri" w:hAnsi="Calibri" w:cs="Times New Roman"/>
        </w:rPr>
        <w:t>Company founders Mike Scott, Keith Scott</w:t>
      </w:r>
      <w:r w:rsidR="00BE6B64">
        <w:rPr>
          <w:rFonts w:ascii="Calibri" w:eastAsia="Calibri" w:hAnsi="Calibri" w:cs="Times New Roman"/>
        </w:rPr>
        <w:t>, Rob Gerhard</w:t>
      </w:r>
      <w:r w:rsidRPr="00EB7946">
        <w:rPr>
          <w:rFonts w:ascii="Calibri" w:eastAsia="Calibri" w:hAnsi="Calibri" w:cs="Times New Roman"/>
        </w:rPr>
        <w:t xml:space="preserve"> and Dorian Wrigley, who recognised the potential of the area</w:t>
      </w:r>
      <w:r w:rsidR="006C6777">
        <w:rPr>
          <w:rFonts w:ascii="Calibri" w:eastAsia="Calibri" w:hAnsi="Calibri" w:cs="Times New Roman"/>
        </w:rPr>
        <w:t>, are thanked for their foresight and technical input</w:t>
      </w:r>
      <w:r w:rsidRPr="00EB7946">
        <w:rPr>
          <w:rFonts w:ascii="Calibri" w:eastAsia="Calibri" w:hAnsi="Calibri" w:cs="Times New Roman"/>
        </w:rPr>
        <w:t xml:space="preserve">. The exploration team involved </w:t>
      </w:r>
      <w:r w:rsidR="006C6777">
        <w:rPr>
          <w:rFonts w:ascii="Calibri" w:eastAsia="Calibri" w:hAnsi="Calibri" w:cs="Times New Roman"/>
        </w:rPr>
        <w:t xml:space="preserve">are thanked for </w:t>
      </w:r>
      <w:r w:rsidRPr="00EB7946">
        <w:rPr>
          <w:rFonts w:ascii="Calibri" w:eastAsia="Calibri" w:hAnsi="Calibri" w:cs="Times New Roman"/>
        </w:rPr>
        <w:t>their diligence</w:t>
      </w:r>
      <w:r w:rsidR="006C6777">
        <w:rPr>
          <w:rFonts w:ascii="Calibri" w:eastAsia="Calibri" w:hAnsi="Calibri" w:cs="Times New Roman"/>
        </w:rPr>
        <w:t>, technical input</w:t>
      </w:r>
      <w:r w:rsidRPr="00EB7946">
        <w:rPr>
          <w:rFonts w:ascii="Calibri" w:eastAsia="Calibri" w:hAnsi="Calibri" w:cs="Times New Roman"/>
        </w:rPr>
        <w:t xml:space="preserve"> and hard work: Rob Kiefer, Frieder Reichhardt, Neels van Rooyen and Wiehann Kleynhans. </w:t>
      </w:r>
      <w:r w:rsidR="006C6777">
        <w:rPr>
          <w:rFonts w:ascii="Calibri" w:eastAsia="Calibri" w:hAnsi="Calibri" w:cs="Times New Roman"/>
        </w:rPr>
        <w:t xml:space="preserve">My gratitude to </w:t>
      </w:r>
      <w:r w:rsidRPr="00EB7946">
        <w:rPr>
          <w:rFonts w:ascii="Calibri" w:eastAsia="Calibri" w:hAnsi="Calibri" w:cs="Times New Roman"/>
        </w:rPr>
        <w:t xml:space="preserve">Peter Sebake for his invaluable assistance in the </w:t>
      </w:r>
      <w:r w:rsidR="006C6777">
        <w:rPr>
          <w:rFonts w:ascii="Calibri" w:eastAsia="Calibri" w:hAnsi="Calibri" w:cs="Times New Roman"/>
        </w:rPr>
        <w:t xml:space="preserve">continued </w:t>
      </w:r>
      <w:r w:rsidRPr="00EB7946">
        <w:rPr>
          <w:rFonts w:ascii="Calibri" w:eastAsia="Calibri" w:hAnsi="Calibri" w:cs="Times New Roman"/>
        </w:rPr>
        <w:t>successful liaison with our host communities</w:t>
      </w:r>
      <w:r w:rsidR="006C6777">
        <w:rPr>
          <w:rFonts w:ascii="Calibri" w:eastAsia="Calibri" w:hAnsi="Calibri" w:cs="Times New Roman"/>
        </w:rPr>
        <w:t xml:space="preserve"> and helping to build a lasting partnership with our hosts</w:t>
      </w:r>
      <w:r w:rsidRPr="00EB7946">
        <w:rPr>
          <w:rFonts w:ascii="Calibri" w:eastAsia="Calibri" w:hAnsi="Calibri" w:cs="Times New Roman"/>
        </w:rPr>
        <w:t>.</w:t>
      </w:r>
    </w:p>
    <w:p w14:paraId="2667FC26"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Professor Judith Kinnaird is thanked for her review of this paper. Diane Shearer is thanked for her assistance with the illustrations. The management of Lesego Platinum, Village Main Reef and Umbono Capital are thanked for their continued support of the project. The Industrial Development Corporation of South Africa is thanked for their funding of the project to advance it from exploration stages through to completed feasibility studies. We hope that this project can be used as a means to improve the lives of the communities which live on and around this resource.</w:t>
      </w:r>
    </w:p>
    <w:p w14:paraId="2AB1E071" w14:textId="77777777" w:rsidR="00CE738E" w:rsidRDefault="00CE738E" w:rsidP="00CE738E">
      <w:bookmarkStart w:id="111" w:name="_Toc501031007"/>
    </w:p>
    <w:p w14:paraId="7E410C7A" w14:textId="0C581888" w:rsidR="00EB7946" w:rsidRPr="00CE738E" w:rsidRDefault="00EB7946" w:rsidP="00CE738E">
      <w:pPr>
        <w:pStyle w:val="Heading2"/>
        <w:rPr>
          <w:color w:val="000000" w:themeColor="text1"/>
        </w:rPr>
      </w:pPr>
      <w:bookmarkStart w:id="112" w:name="_Toc520758799"/>
      <w:r w:rsidRPr="00CE738E">
        <w:rPr>
          <w:color w:val="000000" w:themeColor="text1"/>
        </w:rPr>
        <w:t>References</w:t>
      </w:r>
      <w:bookmarkEnd w:id="111"/>
      <w:bookmarkEnd w:id="112"/>
    </w:p>
    <w:p w14:paraId="33844CCB"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Button, A., 1976, Stratigraphy and relations of the Bushveld floor in the eastern Transvaal: South African Journal of Geology, v. 79, p. 3-12.</w:t>
      </w:r>
    </w:p>
    <w:p w14:paraId="7582CB7A"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Buurman, I., 2015, Applied mineralogical study on a portion of the Lesego platinum project situated in the eastern limb of the Bushveld Igneous Complex. Unpublished B.Sc. (Hons) project, Bloemfontein, South Africa, University of the Free State, 70 p.</w:t>
      </w:r>
    </w:p>
    <w:p w14:paraId="35C50F51"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Cameron, E. N. 1980, Evolution of the lower critical zone, central sector, eastern Bushveld Complex, and its chromite deposits: Economic Geology, v. 75, p. 845-871.</w:t>
      </w:r>
    </w:p>
    <w:p w14:paraId="63E963FA"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Cameron, E. N. 1982, The upper critical zone of the eastern Bushveld Complex; precursor of the Merensky Reef: Economic Geology, v. 77, p. 1307-1327.</w:t>
      </w:r>
    </w:p>
    <w:p w14:paraId="0BAD4797" w14:textId="77777777" w:rsidR="00EB7946" w:rsidRPr="00EB7946" w:rsidRDefault="00EB7946" w:rsidP="00EB7946">
      <w:pPr>
        <w:jc w:val="both"/>
        <w:rPr>
          <w:rFonts w:ascii="Calibri" w:eastAsia="Calibri" w:hAnsi="Calibri" w:cs="Times New Roman"/>
        </w:rPr>
      </w:pPr>
      <w:bookmarkStart w:id="113" w:name="_Hlk507366192"/>
      <w:r w:rsidRPr="00EB7946">
        <w:rPr>
          <w:rFonts w:ascii="Calibri" w:eastAsia="Calibri" w:hAnsi="Calibri" w:cs="Times New Roman"/>
        </w:rPr>
        <w:t>Campbell, G. 2010, Interpretation of high resolution aeromagnetic and radiometric survey data over the Phosiri Project area, Sekhukhune-Land locality, Limpopo Province on behalf of Lesego Platinum Mining (Pty) Ltd: Unpublished Lesego internal company report, 43 p.</w:t>
      </w:r>
    </w:p>
    <w:bookmarkEnd w:id="113"/>
    <w:p w14:paraId="11A01033"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Cawthorn, R. G., 1999a, The platinum and palladium resources of the Bushveld Complex: South African Journal of Science, v. 95, 481 p.</w:t>
      </w:r>
    </w:p>
    <w:p w14:paraId="449A2BAD" w14:textId="3C8C79AE"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Cawthorn, R.G., 1999b, Platinum-group element </w:t>
      </w:r>
      <w:r w:rsidR="00AF2AFC">
        <w:rPr>
          <w:rFonts w:ascii="Calibri" w:eastAsia="Calibri" w:hAnsi="Calibri" w:cs="Times New Roman"/>
        </w:rPr>
        <w:t>mineralisation</w:t>
      </w:r>
      <w:r w:rsidRPr="00EB7946">
        <w:rPr>
          <w:rFonts w:ascii="Calibri" w:eastAsia="Calibri" w:hAnsi="Calibri" w:cs="Times New Roman"/>
        </w:rPr>
        <w:t xml:space="preserve"> in the Bushveld Complex – a critical reassessment of geochemical models: South African Journal of Geology, v. 102, p. 268-281.</w:t>
      </w:r>
    </w:p>
    <w:p w14:paraId="698A59B2"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Cawthorn, R. G., 2011, Geological interpretations from the PGE distribution in the Bushveld Merensky and UG2 chromitite reefs: Journal of the Southern African Institute of Mining and Metallurgy, v. 111, p. 67-79.</w:t>
      </w:r>
    </w:p>
    <w:p w14:paraId="7B9FF74C" w14:textId="54757E68"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Cawthorn, R.G., 2015, A review of the Bushveld complex and its </w:t>
      </w:r>
      <w:r w:rsidR="00AF2AFC">
        <w:rPr>
          <w:rFonts w:ascii="Calibri" w:eastAsia="Calibri" w:hAnsi="Calibri" w:cs="Times New Roman"/>
        </w:rPr>
        <w:t>mineralisation</w:t>
      </w:r>
      <w:r w:rsidRPr="00EB7946">
        <w:rPr>
          <w:rFonts w:ascii="Calibri" w:eastAsia="Calibri" w:hAnsi="Calibri" w:cs="Times New Roman"/>
        </w:rPr>
        <w:t>, in</w:t>
      </w:r>
      <w:r w:rsidRPr="00EB7946">
        <w:rPr>
          <w:rFonts w:ascii="Calibri" w:eastAsia="Calibri" w:hAnsi="Calibri" w:cs="Times New Roman"/>
          <w:i/>
        </w:rPr>
        <w:t xml:space="preserve"> </w:t>
      </w:r>
      <w:r w:rsidRPr="00EB7946">
        <w:rPr>
          <w:rFonts w:ascii="Calibri" w:eastAsia="Calibri" w:hAnsi="Calibri" w:cs="Times New Roman"/>
        </w:rPr>
        <w:t xml:space="preserve">Hammond, N.Q. and Hatton, C.H. ed., Platinum-group element </w:t>
      </w:r>
      <w:r w:rsidR="00AF2AFC">
        <w:rPr>
          <w:rFonts w:ascii="Calibri" w:eastAsia="Calibri" w:hAnsi="Calibri" w:cs="Times New Roman"/>
        </w:rPr>
        <w:t>mineralisation</w:t>
      </w:r>
      <w:r w:rsidRPr="00EB7946">
        <w:rPr>
          <w:rFonts w:ascii="Calibri" w:eastAsia="Calibri" w:hAnsi="Calibri" w:cs="Times New Roman"/>
        </w:rPr>
        <w:t xml:space="preserve"> and resources of the Bushveld Complex, South Africa.: Council for Geoscience, p. 17 – 90.</w:t>
      </w:r>
    </w:p>
    <w:p w14:paraId="42DF258E"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Cawthorn, R. G., and Spies, L., 2003, Plagioclase content of cyclic units in the Bushveld Complex, South Africa: Contributions to Mineralogy and Petrology, v. 145, p. 47-60.</w:t>
      </w:r>
    </w:p>
    <w:p w14:paraId="05B097AC"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lastRenderedPageBreak/>
        <w:t>Clarke, B. M., Uken, R., Watkeys, M. K., and Reinhardt, J., 2005, Folding of the Rustenburg layered suite adjacent to the Steelpoort pericline: implications for syn-Bushveld tectonism in the eastern Bushveld Complex: South African Journal of Geology, v. 108, p. 397-412.</w:t>
      </w:r>
    </w:p>
    <w:p w14:paraId="62B76837" w14:textId="4F0C69ED" w:rsidR="00EB7946" w:rsidRPr="00EB7946" w:rsidRDefault="00EB7946" w:rsidP="00EB7946">
      <w:pPr>
        <w:jc w:val="both"/>
        <w:rPr>
          <w:rFonts w:ascii="Calibri" w:eastAsia="Calibri" w:hAnsi="Calibri" w:cs="Times New Roman"/>
        </w:rPr>
      </w:pPr>
      <w:r w:rsidRPr="00EB7946">
        <w:rPr>
          <w:rFonts w:ascii="Calibri" w:eastAsia="Calibri" w:hAnsi="Calibri" w:cs="Times New Roman"/>
        </w:rPr>
        <w:t>Du Plessis, C. P</w:t>
      </w:r>
      <w:r w:rsidR="006C6777">
        <w:rPr>
          <w:rFonts w:ascii="Calibri" w:eastAsia="Calibri" w:hAnsi="Calibri" w:cs="Times New Roman"/>
        </w:rPr>
        <w:t>. and</w:t>
      </w:r>
      <w:r w:rsidRPr="00EB7946">
        <w:rPr>
          <w:rFonts w:ascii="Calibri" w:eastAsia="Calibri" w:hAnsi="Calibri" w:cs="Times New Roman"/>
        </w:rPr>
        <w:t xml:space="preserve"> Walraven, F., 1990, The tectonic setting of the Bushveld Complex in Southern Africa, Part 1. Structural deformation and distribution: Tectonophysics, v. 179, p. 305-319.</w:t>
      </w:r>
    </w:p>
    <w:p w14:paraId="3125F1CE" w14:textId="3DDF9EEF"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Eales, H. V., Botha, W. J., Hattingh, P. J., De Klerk, W. J., Maier, W. D. and Odgers, A. T. R., 1993, The mafic rocks of the Bushveld Complex: a review of emplacement and crystallization history, and </w:t>
      </w:r>
      <w:r w:rsidR="00AF2AFC">
        <w:rPr>
          <w:rFonts w:ascii="Calibri" w:eastAsia="Calibri" w:hAnsi="Calibri" w:cs="Times New Roman"/>
        </w:rPr>
        <w:t>mineralisation</w:t>
      </w:r>
      <w:r w:rsidRPr="00EB7946">
        <w:rPr>
          <w:rFonts w:ascii="Calibri" w:eastAsia="Calibri" w:hAnsi="Calibri" w:cs="Times New Roman"/>
        </w:rPr>
        <w:t>, in the light of recent data. Journal of African Earth Sciences (and the Middle East), v. 16, p. 121-142.</w:t>
      </w:r>
    </w:p>
    <w:p w14:paraId="17BA2DED" w14:textId="77777777" w:rsidR="00EB7946" w:rsidRPr="00EB7946" w:rsidRDefault="00EB7946" w:rsidP="00EB7946">
      <w:pPr>
        <w:rPr>
          <w:rFonts w:ascii="Calibri" w:eastAsia="Calibri" w:hAnsi="Calibri" w:cs="Times New Roman"/>
        </w:rPr>
      </w:pPr>
      <w:r w:rsidRPr="00EB7946">
        <w:rPr>
          <w:rFonts w:ascii="Calibri" w:eastAsia="Calibri" w:hAnsi="Calibri" w:cs="Times New Roman"/>
        </w:rPr>
        <w:t>Eales, H.V. and Cawthorn, R.G., 1996, The Bushveld Complex, in Cawthorn, R.G. ed., Layered Intrusions: Elsevier, Amsterdam, p. 191-229.</w:t>
      </w:r>
    </w:p>
    <w:p w14:paraId="5C809884" w14:textId="293150A4" w:rsidR="00EB7946" w:rsidRPr="00EB7946" w:rsidRDefault="00EB7946" w:rsidP="00EB7946">
      <w:pPr>
        <w:jc w:val="both"/>
        <w:rPr>
          <w:rFonts w:ascii="Calibri" w:eastAsia="Calibri" w:hAnsi="Calibri" w:cs="Times New Roman"/>
        </w:rPr>
      </w:pPr>
      <w:r w:rsidRPr="00EB7946">
        <w:rPr>
          <w:rFonts w:ascii="Calibri" w:eastAsia="Calibri" w:hAnsi="Calibri" w:cs="Times New Roman"/>
        </w:rPr>
        <w:t>Finn, C.A., Bedrosian,</w:t>
      </w:r>
      <w:r w:rsidR="006C6777">
        <w:rPr>
          <w:rFonts w:ascii="Calibri" w:eastAsia="Calibri" w:hAnsi="Calibri" w:cs="Times New Roman"/>
        </w:rPr>
        <w:t xml:space="preserve"> P.A., Cole, J.C., Khoza, T.D. and </w:t>
      </w:r>
      <w:r w:rsidRPr="00EB7946">
        <w:rPr>
          <w:rFonts w:ascii="Calibri" w:eastAsia="Calibri" w:hAnsi="Calibri" w:cs="Times New Roman"/>
        </w:rPr>
        <w:t>Webb, S.J., 2015, Mapping the 3-D extent of the Northern Lobe of the Bushveld layered mafic intrusion from geophysical data: Precambrian Research, v. 268, p. 279 - 294.</w:t>
      </w:r>
    </w:p>
    <w:p w14:paraId="4C67DB5D"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Gerya, T. V., Uken, R., Reinhardt, J., Watkeys, M. K., Maresch, W. V., and Clarke, B. M., 2003, Cold fingers in a hot magma: Numerical modeling of country-rock diapirs in the Bushveld Complex, South Africa: Geology, v. 31, p. 753-756.</w:t>
      </w:r>
    </w:p>
    <w:p w14:paraId="47576FB4" w14:textId="0F185EA9" w:rsidR="00EB7946" w:rsidRPr="00EB7946" w:rsidRDefault="00EB7946" w:rsidP="00EB7946">
      <w:pPr>
        <w:jc w:val="both"/>
        <w:rPr>
          <w:rFonts w:ascii="Calibri" w:eastAsia="Calibri" w:hAnsi="Calibri" w:cs="Times New Roman"/>
        </w:rPr>
      </w:pPr>
      <w:r w:rsidRPr="00EB7946">
        <w:rPr>
          <w:rFonts w:ascii="Calibri" w:eastAsia="Calibri" w:hAnsi="Calibri" w:cs="Times New Roman"/>
        </w:rPr>
        <w:t xml:space="preserve">Hatton, C. J., and </w:t>
      </w:r>
      <w:r w:rsidR="007F30D2">
        <w:rPr>
          <w:rFonts w:ascii="Calibri" w:eastAsia="Calibri" w:hAnsi="Calibri" w:cs="Times New Roman"/>
        </w:rPr>
        <w:t>von</w:t>
      </w:r>
      <w:r w:rsidRPr="00EB7946">
        <w:rPr>
          <w:rFonts w:ascii="Calibri" w:eastAsia="Calibri" w:hAnsi="Calibri" w:cs="Times New Roman"/>
        </w:rPr>
        <w:t xml:space="preserve"> Gruenewaldt, G., 1987, The geological setting and petrogenesis of the Bushveld chromitite layers, in Stowe, C.W., ed., Evolution of chromium ore fields: New York, Van Nostrand Reinhold Company, p. 109-143.</w:t>
      </w:r>
    </w:p>
    <w:p w14:paraId="00651BF8"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Ireland, R. H., and Penniston-Dorland, S. C., 2015, Chemical interactions between a sedimentary diapir and surrounding magma: Evidence from the Phepane Dome and Bushveld Complex, South Africa: American Mineralogist, v. 100, p. 1985-2000.</w:t>
      </w:r>
    </w:p>
    <w:p w14:paraId="41EEA8D3"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hint="eastAsia"/>
        </w:rPr>
        <w:t>Johnson, T., Brown, M., Gibson, R., and Wing, B.</w:t>
      </w:r>
      <w:r w:rsidRPr="00EB7946">
        <w:rPr>
          <w:rFonts w:ascii="Calibri" w:eastAsia="Calibri" w:hAnsi="Calibri" w:cs="Times New Roman"/>
        </w:rPr>
        <w:t>,</w:t>
      </w:r>
      <w:r w:rsidRPr="00EB7946">
        <w:rPr>
          <w:rFonts w:ascii="Calibri" w:eastAsia="Calibri" w:hAnsi="Calibri" w:cs="Times New Roman" w:hint="eastAsia"/>
        </w:rPr>
        <w:t xml:space="preserve"> 2004</w:t>
      </w:r>
      <w:r w:rsidRPr="00EB7946">
        <w:rPr>
          <w:rFonts w:ascii="Calibri" w:eastAsia="Calibri" w:hAnsi="Calibri" w:cs="Times New Roman"/>
        </w:rPr>
        <w:t>,</w:t>
      </w:r>
      <w:r w:rsidRPr="00EB7946">
        <w:rPr>
          <w:rFonts w:ascii="Calibri" w:eastAsia="Calibri" w:hAnsi="Calibri" w:cs="Times New Roman" w:hint="eastAsia"/>
        </w:rPr>
        <w:t xml:space="preserve"> Spinel</w:t>
      </w:r>
      <w:r w:rsidRPr="00EB7946">
        <w:rPr>
          <w:rFonts w:ascii="Calibri" w:eastAsia="Calibri" w:hAnsi="Calibri" w:cs="Times New Roman"/>
        </w:rPr>
        <w:t xml:space="preserve"> </w:t>
      </w:r>
      <w:r w:rsidRPr="00EB7946">
        <w:rPr>
          <w:rFonts w:ascii="Calibri" w:eastAsia="MS Mincho" w:hAnsi="Calibri" w:cs="Times New Roman" w:hint="eastAsia"/>
        </w:rPr>
        <w:t xml:space="preserve">- </w:t>
      </w:r>
      <w:r w:rsidRPr="00EB7946">
        <w:rPr>
          <w:rFonts w:ascii="Calibri" w:eastAsia="Calibri" w:hAnsi="Calibri" w:cs="Times New Roman" w:hint="eastAsia"/>
        </w:rPr>
        <w:t>cordierite symplectites replacing andalusite: evidence for melt‐assisted diapirism in the Bushveld Complex, South Africa</w:t>
      </w:r>
      <w:r w:rsidRPr="00EB7946">
        <w:rPr>
          <w:rFonts w:ascii="Calibri" w:eastAsia="Calibri" w:hAnsi="Calibri" w:cs="Times New Roman"/>
        </w:rPr>
        <w:t>:</w:t>
      </w:r>
      <w:r w:rsidRPr="00EB7946">
        <w:rPr>
          <w:rFonts w:ascii="Calibri" w:eastAsia="Calibri" w:hAnsi="Calibri" w:cs="Times New Roman" w:hint="eastAsia"/>
        </w:rPr>
        <w:t xml:space="preserve"> Journal of Metamorphic Geology, </w:t>
      </w:r>
      <w:r w:rsidRPr="00EB7946">
        <w:rPr>
          <w:rFonts w:ascii="Calibri" w:eastAsia="Calibri" w:hAnsi="Calibri" w:cs="Times New Roman"/>
        </w:rPr>
        <w:t xml:space="preserve">v. </w:t>
      </w:r>
      <w:r w:rsidRPr="00EB7946">
        <w:rPr>
          <w:rFonts w:ascii="Calibri" w:eastAsia="Calibri" w:hAnsi="Calibri" w:cs="Times New Roman" w:hint="eastAsia"/>
        </w:rPr>
        <w:t>22,</w:t>
      </w:r>
      <w:r w:rsidRPr="00EB7946">
        <w:rPr>
          <w:rFonts w:ascii="Calibri" w:eastAsia="Calibri" w:hAnsi="Calibri" w:cs="Times New Roman"/>
        </w:rPr>
        <w:t xml:space="preserve"> p.</w:t>
      </w:r>
      <w:r w:rsidRPr="00EB7946">
        <w:rPr>
          <w:rFonts w:ascii="Calibri" w:eastAsia="Calibri" w:hAnsi="Calibri" w:cs="Times New Roman" w:hint="eastAsia"/>
        </w:rPr>
        <w:t xml:space="preserve"> 529-545.</w:t>
      </w:r>
    </w:p>
    <w:p w14:paraId="7BCF752D"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King, H.L., Petit, P.J., Barends, R., 2011, An Independent National Instrument 43-101 Technical Report on the Mooiplats PGE Project, Limpopo Province, South Africa, On behalf of SAMDC (Pty) Ltd: Unpublished SAMDC company report, 92 p.</w:t>
      </w:r>
    </w:p>
    <w:p w14:paraId="60CF355C" w14:textId="4F5F255C" w:rsidR="00EB7946" w:rsidRPr="00EB7946" w:rsidRDefault="00EB7946" w:rsidP="00EB7946">
      <w:pPr>
        <w:jc w:val="both"/>
        <w:rPr>
          <w:rFonts w:ascii="Calibri" w:eastAsia="Calibri" w:hAnsi="Calibri" w:cs="Times New Roman"/>
        </w:rPr>
      </w:pPr>
      <w:bookmarkStart w:id="114" w:name="_Hlk507366300"/>
      <w:r w:rsidRPr="00EB7946">
        <w:rPr>
          <w:rFonts w:ascii="Calibri" w:eastAsia="Calibri" w:hAnsi="Calibri" w:cs="Times New Roman"/>
        </w:rPr>
        <w:t xml:space="preserve">Kinloch, E. D., &amp; Peyerl, W., 1990, Platinum-group minerals in various rock types of the Merensky Reef; genetic implications: Economic Geology, </w:t>
      </w:r>
      <w:r w:rsidR="00343E19">
        <w:rPr>
          <w:rFonts w:ascii="Calibri" w:eastAsia="Calibri" w:hAnsi="Calibri" w:cs="Times New Roman"/>
        </w:rPr>
        <w:t xml:space="preserve">v. </w:t>
      </w:r>
      <w:r w:rsidRPr="00EB7946">
        <w:rPr>
          <w:rFonts w:ascii="Calibri" w:eastAsia="Calibri" w:hAnsi="Calibri" w:cs="Times New Roman"/>
        </w:rPr>
        <w:t xml:space="preserve">85, </w:t>
      </w:r>
      <w:r w:rsidR="00343E19">
        <w:rPr>
          <w:rFonts w:ascii="Calibri" w:eastAsia="Calibri" w:hAnsi="Calibri" w:cs="Times New Roman"/>
        </w:rPr>
        <w:t xml:space="preserve">p. </w:t>
      </w:r>
      <w:r w:rsidRPr="00EB7946">
        <w:rPr>
          <w:rFonts w:ascii="Calibri" w:eastAsia="Calibri" w:hAnsi="Calibri" w:cs="Times New Roman"/>
        </w:rPr>
        <w:t>537-555.</w:t>
      </w:r>
    </w:p>
    <w:bookmarkEnd w:id="114"/>
    <w:p w14:paraId="70462A52"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Kruger, F.J., 1990, The stratigraphy of the Bushveld Complex: a reappraisal and relocation of the Main Zone boundaries: South African Journal of Geology, v. 93, p. 376-381.</w:t>
      </w:r>
    </w:p>
    <w:p w14:paraId="54D5F36B" w14:textId="01D3EBE4" w:rsidR="006C6777" w:rsidRDefault="006C6777" w:rsidP="00EB7946">
      <w:pPr>
        <w:jc w:val="both"/>
        <w:rPr>
          <w:rFonts w:ascii="Calibri" w:eastAsia="Calibri" w:hAnsi="Calibri" w:cs="Times New Roman"/>
        </w:rPr>
      </w:pPr>
      <w:r w:rsidRPr="006C6777">
        <w:rPr>
          <w:rFonts w:ascii="Calibri" w:eastAsia="Calibri" w:hAnsi="Calibri" w:cs="Times New Roman"/>
        </w:rPr>
        <w:t>Kruger, F.J., 2005</w:t>
      </w:r>
      <w:r w:rsidR="00343E19">
        <w:rPr>
          <w:rFonts w:ascii="Calibri" w:eastAsia="Calibri" w:hAnsi="Calibri" w:cs="Times New Roman"/>
        </w:rPr>
        <w:t>,</w:t>
      </w:r>
      <w:r w:rsidRPr="006C6777">
        <w:rPr>
          <w:rFonts w:ascii="Calibri" w:eastAsia="Calibri" w:hAnsi="Calibri" w:cs="Times New Roman"/>
        </w:rPr>
        <w:t xml:space="preserve"> Filling the Bushveld Complex magma chamber: lateral expansion, roof and floor interaction, magmatic unconformities, and the formation of giant chromitite, PGE and Ti-V-magnetitite deposits</w:t>
      </w:r>
      <w:r w:rsidR="00343E19">
        <w:rPr>
          <w:rFonts w:ascii="Calibri" w:eastAsia="Calibri" w:hAnsi="Calibri" w:cs="Times New Roman"/>
        </w:rPr>
        <w:t>:</w:t>
      </w:r>
      <w:r w:rsidRPr="006C6777">
        <w:rPr>
          <w:rFonts w:ascii="Calibri" w:eastAsia="Calibri" w:hAnsi="Calibri" w:cs="Times New Roman"/>
        </w:rPr>
        <w:t xml:space="preserve"> Mineralium Deposita, </w:t>
      </w:r>
      <w:r w:rsidR="00343E19">
        <w:rPr>
          <w:rFonts w:ascii="Calibri" w:eastAsia="Calibri" w:hAnsi="Calibri" w:cs="Times New Roman"/>
        </w:rPr>
        <w:t xml:space="preserve">v. </w:t>
      </w:r>
      <w:r w:rsidRPr="006C6777">
        <w:rPr>
          <w:rFonts w:ascii="Calibri" w:eastAsia="Calibri" w:hAnsi="Calibri" w:cs="Times New Roman"/>
        </w:rPr>
        <w:t>40</w:t>
      </w:r>
      <w:r w:rsidR="00343E19">
        <w:rPr>
          <w:rFonts w:ascii="Calibri" w:eastAsia="Calibri" w:hAnsi="Calibri" w:cs="Times New Roman"/>
        </w:rPr>
        <w:t xml:space="preserve">, </w:t>
      </w:r>
      <w:r w:rsidRPr="006C6777">
        <w:rPr>
          <w:rFonts w:ascii="Calibri" w:eastAsia="Calibri" w:hAnsi="Calibri" w:cs="Times New Roman"/>
        </w:rPr>
        <w:t>p.</w:t>
      </w:r>
      <w:r w:rsidR="00343E19">
        <w:rPr>
          <w:rFonts w:ascii="Calibri" w:eastAsia="Calibri" w:hAnsi="Calibri" w:cs="Times New Roman"/>
        </w:rPr>
        <w:t xml:space="preserve"> </w:t>
      </w:r>
      <w:r w:rsidRPr="006C6777">
        <w:rPr>
          <w:rFonts w:ascii="Calibri" w:eastAsia="Calibri" w:hAnsi="Calibri" w:cs="Times New Roman"/>
        </w:rPr>
        <w:t>451-472.</w:t>
      </w:r>
    </w:p>
    <w:p w14:paraId="4ED26FAB" w14:textId="78D66B0E" w:rsidR="00EB7946" w:rsidRPr="00EB7946" w:rsidRDefault="00EB7946" w:rsidP="00EB7946">
      <w:pPr>
        <w:jc w:val="both"/>
        <w:rPr>
          <w:rFonts w:ascii="Calibri" w:eastAsia="Calibri" w:hAnsi="Calibri" w:cs="Times New Roman"/>
        </w:rPr>
      </w:pPr>
      <w:r w:rsidRPr="00EB7946">
        <w:rPr>
          <w:rFonts w:ascii="Calibri" w:eastAsia="Calibri" w:hAnsi="Calibri" w:cs="Times New Roman"/>
        </w:rPr>
        <w:t>Lea, S. D., 1996, The geology of the Upper Critical zone, northeastern Bushveld Complex: South African Journal of Geology, v. 99, p. 263-283.</w:t>
      </w:r>
    </w:p>
    <w:p w14:paraId="7A12D1E7"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lastRenderedPageBreak/>
        <w:t>Longridge, L., Gibson, R. L., and Nex, P. A., 2009, Structural controls on melt segregation and migration related to the formation of the diapiric Schwerin Fold in the contact aureole of the Bushveld Complex, South Africa: Earth and Environmental Science Transactions of The Royal Society of Edinburgh, v. 100, p.  61-76.</w:t>
      </w:r>
    </w:p>
    <w:p w14:paraId="3F0B8281"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Martin, L. E., 2011, The attenuation of the main zone at the Phosiri Dome, Bushveld Complex: Unpublished M.Sc. Thesis, Johannesburg, South Africa, University of the Witwatersrand, 209 p.</w:t>
      </w:r>
    </w:p>
    <w:p w14:paraId="379A64CF" w14:textId="77777777" w:rsidR="00EB7946" w:rsidRPr="00EB7946" w:rsidRDefault="00EB7946" w:rsidP="00EB7946">
      <w:pPr>
        <w:jc w:val="both"/>
        <w:rPr>
          <w:rFonts w:ascii="Calibri" w:eastAsia="Calibri" w:hAnsi="Calibri" w:cs="Times New Roman"/>
        </w:rPr>
      </w:pPr>
      <w:bookmarkStart w:id="115" w:name="_Hlk507366505"/>
      <w:r w:rsidRPr="00EB7946">
        <w:rPr>
          <w:rFonts w:ascii="Calibri" w:eastAsia="Calibri" w:hAnsi="Calibri" w:cs="Times New Roman"/>
        </w:rPr>
        <w:t>Mitchell, A. A., &amp; Scoon, R. N. 2007, The Merensky Reef at Winnaarshoek, Eastern Bushveld Complex: a primary magmatic hypothesis based on a wide reef facies: Economic Geology, v. 102, p. 971-1009.</w:t>
      </w:r>
    </w:p>
    <w:bookmarkEnd w:id="115"/>
    <w:p w14:paraId="391A19CA"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Molyneux, T.G., 1974, A geological investigation of the Bushveld Complex in Sekhukhuneland and part of the Steelpoort valley: Geological Society of South Africa Transactions, v. 77, p. 321–328.</w:t>
      </w:r>
    </w:p>
    <w:p w14:paraId="395C23E3"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Molyneux, T.G., 1998, Write-up of Reconnaissance Geological Mapping of Rocks of Main and Upper Zones of the Bushveld Complex North of Latitude 24°30’ (Sheets 2429 BC and BD): Unpublished Internal Company Report. 10 p.</w:t>
      </w:r>
    </w:p>
    <w:p w14:paraId="1ED99C93" w14:textId="77777777" w:rsidR="00EB7946" w:rsidRPr="00EB7946" w:rsidRDefault="00EB7946" w:rsidP="00EB7946">
      <w:pPr>
        <w:jc w:val="both"/>
        <w:rPr>
          <w:rFonts w:ascii="Calibri" w:eastAsia="Calibri" w:hAnsi="Calibri" w:cs="Times New Roman"/>
        </w:rPr>
      </w:pPr>
      <w:bookmarkStart w:id="116" w:name="_Hlk507106515"/>
      <w:r w:rsidRPr="00EB7946">
        <w:rPr>
          <w:rFonts w:ascii="Calibri" w:eastAsia="Calibri" w:hAnsi="Calibri" w:cs="Times New Roman"/>
        </w:rPr>
        <w:t>Molyneux, T.G., and Klinkert, P.S., 1978, A structural interpretation of part of the eastern mafic lobe of the Bushveld Complex and its surrounds: Transactions of the Geological Society of South Africa, v. 81 p. 359-368.</w:t>
      </w:r>
    </w:p>
    <w:bookmarkEnd w:id="116"/>
    <w:p w14:paraId="1D587677" w14:textId="2A693AB2" w:rsidR="00EB7946" w:rsidRPr="00EB7946" w:rsidRDefault="008B5AC2" w:rsidP="00EB7946">
      <w:pPr>
        <w:jc w:val="both"/>
        <w:rPr>
          <w:rFonts w:ascii="Calibri" w:eastAsia="Calibri" w:hAnsi="Calibri" w:cs="Times New Roman"/>
        </w:rPr>
      </w:pPr>
      <w:r>
        <w:rPr>
          <w:rFonts w:ascii="Calibri" w:eastAsia="Calibri" w:hAnsi="Calibri" w:cs="Times New Roman"/>
        </w:rPr>
        <w:t>Mossom, R.</w:t>
      </w:r>
      <w:r w:rsidR="00EB7946" w:rsidRPr="00EB7946">
        <w:rPr>
          <w:rFonts w:ascii="Calibri" w:eastAsia="Calibri" w:hAnsi="Calibri" w:cs="Times New Roman"/>
        </w:rPr>
        <w:t>J., 1986, The Atok platinum mine, in Anhaeusser, C.R., and Maske, S., eds., Mineral deposits of southern Africa, Geological Society of South Africa, Johannesburg, v. 2, p 1127-1139.</w:t>
      </w:r>
    </w:p>
    <w:p w14:paraId="49D0C2D5" w14:textId="41E4AB77" w:rsidR="008B5AC2" w:rsidRDefault="008B5AC2" w:rsidP="00EB7946">
      <w:pPr>
        <w:jc w:val="both"/>
        <w:rPr>
          <w:rFonts w:ascii="Calibri" w:eastAsia="Calibri" w:hAnsi="Calibri" w:cs="Times New Roman"/>
        </w:rPr>
      </w:pPr>
      <w:r>
        <w:rPr>
          <w:rFonts w:ascii="Calibri" w:eastAsia="Calibri" w:hAnsi="Calibri" w:cs="Times New Roman"/>
        </w:rPr>
        <w:t>Naldrett, A.J</w:t>
      </w:r>
      <w:r w:rsidRPr="00EB7946">
        <w:rPr>
          <w:rFonts w:ascii="Calibri" w:eastAsia="Calibri" w:hAnsi="Calibri" w:cs="Times New Roman"/>
        </w:rPr>
        <w:t>.</w:t>
      </w:r>
      <w:r>
        <w:rPr>
          <w:rFonts w:ascii="Calibri" w:eastAsia="Calibri" w:hAnsi="Calibri" w:cs="Times New Roman"/>
        </w:rPr>
        <w:t>, Kinnaird, J.A., Wilson, A., Chunnet, G. and Yudovskaya, M.</w:t>
      </w:r>
      <w:r w:rsidRPr="00EB7946">
        <w:rPr>
          <w:rFonts w:ascii="Calibri" w:eastAsia="Calibri" w:hAnsi="Calibri" w:cs="Times New Roman"/>
        </w:rPr>
        <w:t xml:space="preserve">, 2015, </w:t>
      </w:r>
      <w:r>
        <w:rPr>
          <w:rFonts w:ascii="Calibri" w:eastAsia="Calibri" w:hAnsi="Calibri" w:cs="Times New Roman"/>
        </w:rPr>
        <w:t>Platinum-Group Elements in the Critical Zone of the Bushveld Complex</w:t>
      </w:r>
      <w:r w:rsidRPr="00EB7946">
        <w:rPr>
          <w:rFonts w:ascii="Calibri" w:eastAsia="Calibri" w:hAnsi="Calibri" w:cs="Times New Roman"/>
        </w:rPr>
        <w:t>, in</w:t>
      </w:r>
      <w:r w:rsidRPr="00EB7946">
        <w:rPr>
          <w:rFonts w:ascii="Calibri" w:eastAsia="Calibri" w:hAnsi="Calibri" w:cs="Times New Roman"/>
          <w:i/>
        </w:rPr>
        <w:t xml:space="preserve"> </w:t>
      </w:r>
      <w:r w:rsidRPr="00EB7946">
        <w:rPr>
          <w:rFonts w:ascii="Calibri" w:eastAsia="Calibri" w:hAnsi="Calibri" w:cs="Times New Roman"/>
        </w:rPr>
        <w:t xml:space="preserve">Hammond, N.Q. and Hatton, C.H. ed., Platinum-group element </w:t>
      </w:r>
      <w:r w:rsidR="00AF2AFC">
        <w:rPr>
          <w:rFonts w:ascii="Calibri" w:eastAsia="Calibri" w:hAnsi="Calibri" w:cs="Times New Roman"/>
        </w:rPr>
        <w:t>mineralisation</w:t>
      </w:r>
      <w:r w:rsidRPr="00EB7946">
        <w:rPr>
          <w:rFonts w:ascii="Calibri" w:eastAsia="Calibri" w:hAnsi="Calibri" w:cs="Times New Roman"/>
        </w:rPr>
        <w:t xml:space="preserve"> and resources of the Bushveld Complex, South Africa.: Coun</w:t>
      </w:r>
      <w:r>
        <w:rPr>
          <w:rFonts w:ascii="Calibri" w:eastAsia="Calibri" w:hAnsi="Calibri" w:cs="Times New Roman"/>
        </w:rPr>
        <w:t>cil for Geoscience, p. 17 – 90.</w:t>
      </w:r>
    </w:p>
    <w:p w14:paraId="65C57C82" w14:textId="0F33414E" w:rsidR="00EB7946" w:rsidRPr="00EB7946" w:rsidRDefault="008B5AC2" w:rsidP="00EB7946">
      <w:pPr>
        <w:jc w:val="both"/>
        <w:rPr>
          <w:rFonts w:ascii="Calibri" w:eastAsia="Calibri" w:hAnsi="Calibri" w:cs="Times New Roman"/>
        </w:rPr>
      </w:pPr>
      <w:r>
        <w:rPr>
          <w:rFonts w:ascii="Calibri" w:eastAsia="Calibri" w:hAnsi="Calibri" w:cs="Times New Roman"/>
        </w:rPr>
        <w:t>Njowa, G.</w:t>
      </w:r>
      <w:r w:rsidR="00EB7946" w:rsidRPr="00EB7946">
        <w:rPr>
          <w:rFonts w:ascii="Calibri" w:eastAsia="Calibri" w:hAnsi="Calibri" w:cs="Times New Roman"/>
        </w:rPr>
        <w:t xml:space="preserve"> and Clay, A. N., 2010, Independent competent persons report on the Phosiri Platinum Project, Venmyn Rand Limited: Unpublished Internal Lesego Company Report, 90 p.</w:t>
      </w:r>
    </w:p>
    <w:p w14:paraId="644679CA" w14:textId="77777777" w:rsidR="00EB7946" w:rsidRPr="00EB7946" w:rsidRDefault="00EB7946" w:rsidP="00EB7946">
      <w:pPr>
        <w:jc w:val="both"/>
        <w:rPr>
          <w:rFonts w:ascii="Calibri" w:eastAsia="Calibri" w:hAnsi="Calibri" w:cs="Times New Roman"/>
        </w:rPr>
      </w:pPr>
      <w:bookmarkStart w:id="117" w:name="_Hlk507366593"/>
      <w:r w:rsidRPr="00EB7946">
        <w:rPr>
          <w:rFonts w:ascii="Calibri" w:eastAsia="Calibri" w:hAnsi="Calibri" w:cs="Times New Roman"/>
        </w:rPr>
        <w:t>Price. J., 2015, PGM Distribution and Reef Characterisation of the Merensky Reef at the Phosiri Dome, Bushveld Complex, South Africa: Unpublished M.Sc. Thesis, Cardiff, United Kingdom, Cardiff University, 123 p.</w:t>
      </w:r>
    </w:p>
    <w:p w14:paraId="7EBB302B"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Prichard, H.M., Barnes, S.-J., Maier, W.D. and Fisher, P.C., 2004, Variations in the nature of the platinum-group minerals in a cross section through the Merensky Reef at Impala platinum mines: implications for the mode of formation of the reef: Canadian Mineralogist, v. 42, p. 423-427.</w:t>
      </w:r>
    </w:p>
    <w:p w14:paraId="6E33D023" w14:textId="77777777" w:rsidR="00EB7946" w:rsidRPr="00EB7946" w:rsidRDefault="00EB7946" w:rsidP="00EB7946">
      <w:pPr>
        <w:jc w:val="both"/>
        <w:rPr>
          <w:rFonts w:ascii="Calibri" w:eastAsia="Calibri" w:hAnsi="Calibri" w:cs="Times New Roman"/>
        </w:rPr>
      </w:pPr>
      <w:bookmarkStart w:id="118" w:name="_Hlk507366767"/>
      <w:bookmarkEnd w:id="117"/>
      <w:r w:rsidRPr="00EB7946">
        <w:rPr>
          <w:rFonts w:ascii="Calibri" w:eastAsia="Calibri" w:hAnsi="Calibri" w:cs="Times New Roman"/>
        </w:rPr>
        <w:t>Schürmann, L.W., Grabe, P.J. and Steenkamp, C.J., 1998, Chromium, in Wilson, M.G.C. and Anhaeusser, C.R. eds., The Mineral Resources of South Africa: Handbook, Council for Geoscience, v. 16, p. 90–105.</w:t>
      </w:r>
    </w:p>
    <w:bookmarkEnd w:id="118"/>
    <w:p w14:paraId="2D463319" w14:textId="5816C5AD" w:rsidR="003F5607" w:rsidRDefault="003F5607" w:rsidP="003F5607">
      <w:pPr>
        <w:jc w:val="both"/>
        <w:rPr>
          <w:rFonts w:ascii="Calibri" w:eastAsia="Calibri" w:hAnsi="Calibri" w:cs="Times New Roman"/>
        </w:rPr>
      </w:pPr>
      <w:r w:rsidRPr="003F5607">
        <w:rPr>
          <w:rFonts w:ascii="Calibri" w:eastAsia="Calibri" w:hAnsi="Calibri" w:cs="Times New Roman"/>
        </w:rPr>
        <w:t>Schwellnus, J.S.I., Engelbrecht, L.N.J., Coer</w:t>
      </w:r>
      <w:r>
        <w:rPr>
          <w:rFonts w:ascii="Calibri" w:eastAsia="Calibri" w:hAnsi="Calibri" w:cs="Times New Roman"/>
        </w:rPr>
        <w:t>tze,  F.J.,  Russell, M.D.,  Ma</w:t>
      </w:r>
      <w:r w:rsidRPr="003F5607">
        <w:rPr>
          <w:rFonts w:ascii="Calibri" w:eastAsia="Calibri" w:hAnsi="Calibri" w:cs="Times New Roman"/>
        </w:rPr>
        <w:t>herbe,  S.J., van Rooyen, D.P.,  and Cooke, R., 1962, The geology of the</w:t>
      </w:r>
      <w:r>
        <w:rPr>
          <w:rFonts w:ascii="Calibri" w:eastAsia="Calibri" w:hAnsi="Calibri" w:cs="Times New Roman"/>
        </w:rPr>
        <w:t xml:space="preserve"> </w:t>
      </w:r>
      <w:r w:rsidRPr="003F5607">
        <w:rPr>
          <w:rFonts w:ascii="Calibri" w:eastAsia="Calibri" w:hAnsi="Calibri" w:cs="Times New Roman"/>
        </w:rPr>
        <w:t>Olifants River area, Transvaal: Geological</w:t>
      </w:r>
      <w:r>
        <w:rPr>
          <w:rFonts w:ascii="Calibri" w:eastAsia="Calibri" w:hAnsi="Calibri" w:cs="Times New Roman"/>
        </w:rPr>
        <w:t xml:space="preserve"> Survey of South Africa Explana</w:t>
      </w:r>
      <w:r w:rsidRPr="003F5607">
        <w:rPr>
          <w:rFonts w:ascii="Calibri" w:eastAsia="Calibri" w:hAnsi="Calibri" w:cs="Times New Roman"/>
        </w:rPr>
        <w:t>tion Sheets 2429B and 2430A, 87 p.</w:t>
      </w:r>
    </w:p>
    <w:p w14:paraId="1CCFE44B"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lastRenderedPageBreak/>
        <w:t>Scoon, R. N., 2002, A new occurrence of Merensky Reef on the flanks of the Zaaikloof dome, northeastern Bushveld Complex: Relationship between diapirism and magma replenishment: Economic Geology, v. 97, p. 1037-1049.</w:t>
      </w:r>
    </w:p>
    <w:p w14:paraId="6E75D6A1"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Schwellnus, J.S.I., Engelbrecht, L.N.J., Coertze, F.J., Russell, M.D., Maherbe, S.J., van Rooyen, D.P., and Cooke, R., 1962, The geology of the Olifants River area, Transvaal: Geological Survey of South Africa Explanation Sheets 2429B and 2430A, 87 p.</w:t>
      </w:r>
    </w:p>
    <w:p w14:paraId="39B7BFF9" w14:textId="77777777" w:rsidR="00EB7946" w:rsidRPr="00EB7946" w:rsidRDefault="00EB7946" w:rsidP="00EB7946">
      <w:pPr>
        <w:jc w:val="both"/>
        <w:rPr>
          <w:rFonts w:ascii="Calibri" w:eastAsia="Calibri" w:hAnsi="Calibri" w:cs="Times New Roman"/>
        </w:rPr>
      </w:pPr>
      <w:bookmarkStart w:id="119" w:name="_Hlk507366829"/>
      <w:r w:rsidRPr="00EB7946">
        <w:rPr>
          <w:rFonts w:ascii="Calibri" w:eastAsia="Calibri" w:hAnsi="Calibri" w:cs="Times New Roman"/>
        </w:rPr>
        <w:t>Schwellnus, J. S. I., Hiemstra, S. A., and Gasparrini, E., 1976, The Merensky reef at the Atok platinum mine and its environs: Economic Geology, v. 71, p. 249-260.</w:t>
      </w:r>
    </w:p>
    <w:p w14:paraId="594C7312" w14:textId="77777777" w:rsidR="00EB7946" w:rsidRPr="00EB7946" w:rsidRDefault="00EB7946" w:rsidP="00EB7946">
      <w:pPr>
        <w:jc w:val="both"/>
        <w:rPr>
          <w:rFonts w:ascii="Calibri" w:eastAsia="Calibri" w:hAnsi="Calibri" w:cs="Times New Roman"/>
        </w:rPr>
      </w:pPr>
      <w:bookmarkStart w:id="120" w:name="_Hlk507366859"/>
      <w:bookmarkEnd w:id="119"/>
      <w:r w:rsidRPr="00EB7946">
        <w:rPr>
          <w:rFonts w:ascii="Calibri" w:eastAsia="Calibri" w:hAnsi="Calibri" w:cs="Times New Roman"/>
        </w:rPr>
        <w:t>Sharpe, M. R., 1985, Strontium isotope evidence for preserved density stratification in the main zone of the Bushveld Complex, South Africa: Nature, v. 316, p. 119.</w:t>
      </w:r>
    </w:p>
    <w:bookmarkEnd w:id="120"/>
    <w:p w14:paraId="64E75B8B"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Sharpe, M. R., &amp; Chadwick, B., 1982. Structures in Transvaal sequence rocks within and adjacent to the eastern Bushveld Complex: Geological Society of South Africa Transactions, v. 85.</w:t>
      </w:r>
    </w:p>
    <w:p w14:paraId="1AAFD3D1" w14:textId="77777777" w:rsidR="00EB7946" w:rsidRPr="00EB7946" w:rsidRDefault="00EB7946" w:rsidP="00EB7946">
      <w:pPr>
        <w:jc w:val="both"/>
        <w:rPr>
          <w:rFonts w:ascii="Calibri" w:eastAsia="Calibri" w:hAnsi="Calibri" w:cs="Times New Roman"/>
        </w:rPr>
      </w:pPr>
      <w:bookmarkStart w:id="121" w:name="_Hlk507366894"/>
      <w:r w:rsidRPr="00EB7946">
        <w:rPr>
          <w:rFonts w:ascii="Calibri" w:eastAsia="Calibri" w:hAnsi="Calibri" w:cs="Times New Roman"/>
        </w:rPr>
        <w:t>South African Committee for Stratigraphy, 1980, Stratigraphy of South Africa. Part 1: Lithostratigraphy of the Republic of South Africa, South West Africa/Namibia, and the republics of Bophuthatswana, Transkei and Venda (Compiler L.E. Kent): Geological survey of South Africa Handbook 8, 690 p.</w:t>
      </w:r>
    </w:p>
    <w:p w14:paraId="421C4CE0" w14:textId="6C225979" w:rsidR="00406507" w:rsidRDefault="00406507" w:rsidP="00406507">
      <w:pPr>
        <w:jc w:val="both"/>
      </w:pPr>
      <w:r>
        <w:rPr>
          <w:rFonts w:ascii="Calibri" w:eastAsia="Calibri" w:hAnsi="Calibri" w:cs="Times New Roman"/>
        </w:rPr>
        <w:t>Thatcher, T., 2011.</w:t>
      </w:r>
      <w:r>
        <w:t xml:space="preserve"> Petrographic Description of Thin Section 12</w:t>
      </w:r>
      <w:r w:rsidRPr="00406507">
        <w:rPr>
          <w:vertAlign w:val="superscript"/>
        </w:rPr>
        <w:t>th</w:t>
      </w:r>
      <w:r>
        <w:t xml:space="preserve"> August 2011, Microsearch CC. Unpublished internal Lesego company report, 3 pp.</w:t>
      </w:r>
    </w:p>
    <w:p w14:paraId="665DB71D" w14:textId="458E761F" w:rsidR="00EB7946" w:rsidRPr="00EB7946" w:rsidRDefault="00EB7946" w:rsidP="00EB7946">
      <w:pPr>
        <w:jc w:val="both"/>
        <w:rPr>
          <w:rFonts w:ascii="Calibri" w:eastAsia="Calibri" w:hAnsi="Calibri" w:cs="Times New Roman"/>
        </w:rPr>
      </w:pPr>
      <w:r w:rsidRPr="00EB7946">
        <w:rPr>
          <w:rFonts w:ascii="Calibri" w:eastAsia="Calibri" w:hAnsi="Calibri" w:cs="Times New Roman"/>
        </w:rPr>
        <w:t>Uken, R., 1998, The geology and structure of the Bushveld Complex metamorphic aureole in the Olifants River area: Unpublished Ph.D. thesis, Durban, South Africa, University of Natal, 277 p.</w:t>
      </w:r>
    </w:p>
    <w:bookmarkEnd w:id="121"/>
    <w:p w14:paraId="3446CA99"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Uken, R., and Watkeys, M. K., 1997, Diapirism initiated by the Bushveld complex, South Africa: Geology, v. 25, p. 723-726.</w:t>
      </w:r>
    </w:p>
    <w:p w14:paraId="1AD71B1D" w14:textId="77777777" w:rsidR="00EB7946" w:rsidRPr="00EB7946" w:rsidRDefault="00EB7946" w:rsidP="00EB7946">
      <w:pPr>
        <w:jc w:val="both"/>
        <w:rPr>
          <w:rFonts w:ascii="Calibri" w:eastAsia="Calibri" w:hAnsi="Calibri" w:cs="Times New Roman"/>
        </w:rPr>
      </w:pPr>
      <w:bookmarkStart w:id="122" w:name="_Hlk507367077"/>
      <w:r w:rsidRPr="00EB7946">
        <w:rPr>
          <w:rFonts w:ascii="Calibri" w:eastAsia="Calibri" w:hAnsi="Calibri" w:cs="Times New Roman"/>
        </w:rPr>
        <w:t>Viljoen, M. J. and Scoon, R. N., 1985, The distribution and main geologic features of discordant bodies of iron-rich ultramafic pegmatite in the Bushveld Complex: Economic Geology, v. 80, p. 1109-1128.</w:t>
      </w:r>
    </w:p>
    <w:bookmarkEnd w:id="122"/>
    <w:p w14:paraId="4937DE9B" w14:textId="39EEBB46" w:rsidR="00EB7946" w:rsidRPr="00EB7946" w:rsidRDefault="00672AF4" w:rsidP="00EB7946">
      <w:pPr>
        <w:jc w:val="both"/>
        <w:rPr>
          <w:rFonts w:ascii="Calibri" w:eastAsia="Calibri" w:hAnsi="Calibri" w:cs="Times New Roman"/>
        </w:rPr>
      </w:pPr>
      <w:r>
        <w:rPr>
          <w:rFonts w:ascii="Calibri" w:eastAsia="Calibri" w:hAnsi="Calibri" w:cs="Times New Roman"/>
        </w:rPr>
        <w:t>V</w:t>
      </w:r>
      <w:r w:rsidR="00EB7946" w:rsidRPr="00EB7946">
        <w:rPr>
          <w:rFonts w:ascii="Calibri" w:eastAsia="Calibri" w:hAnsi="Calibri" w:cs="Times New Roman"/>
        </w:rPr>
        <w:t>on Gruenewaldt, G., 1973, The Main and Upper zones of the Bushveld Complex in the Roossenekal area, eastern Transvaal: Geological Society of South Africa Transactions, v. 76, p. 53–61.</w:t>
      </w:r>
    </w:p>
    <w:p w14:paraId="7F63CD8D" w14:textId="27300274" w:rsidR="00EB7946" w:rsidRPr="00EB7946" w:rsidRDefault="00672AF4" w:rsidP="00EB7946">
      <w:pPr>
        <w:jc w:val="both"/>
        <w:rPr>
          <w:rFonts w:ascii="Calibri" w:eastAsia="Calibri" w:hAnsi="Calibri" w:cs="Times New Roman"/>
        </w:rPr>
      </w:pPr>
      <w:r>
        <w:rPr>
          <w:rFonts w:ascii="Calibri" w:eastAsia="Calibri" w:hAnsi="Calibri" w:cs="Times New Roman"/>
        </w:rPr>
        <w:t>V</w:t>
      </w:r>
      <w:r w:rsidR="00EB7946" w:rsidRPr="00EB7946">
        <w:rPr>
          <w:rFonts w:ascii="Calibri" w:eastAsia="Calibri" w:hAnsi="Calibri" w:cs="Times New Roman"/>
        </w:rPr>
        <w:t xml:space="preserve">on Gruenewaldt, G., Horsch, H., Dickst, D., and de Wet, J., 1990, PGE </w:t>
      </w:r>
      <w:r w:rsidR="00AF2AFC">
        <w:rPr>
          <w:rFonts w:ascii="Calibri" w:eastAsia="Calibri" w:hAnsi="Calibri" w:cs="Times New Roman"/>
        </w:rPr>
        <w:t>mineralisation</w:t>
      </w:r>
      <w:r w:rsidR="00EB7946" w:rsidRPr="00EB7946">
        <w:rPr>
          <w:rFonts w:ascii="Calibri" w:eastAsia="Calibri" w:hAnsi="Calibri" w:cs="Times New Roman"/>
        </w:rPr>
        <w:t xml:space="preserve"> in the western sector of the eastern Bushveld Complex: Mineralogy and Petrology, v. 42, 71-95.</w:t>
      </w:r>
    </w:p>
    <w:p w14:paraId="32D193FB"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Walraven, F., Armstrong, R. A., and Kruger, F. J., 1990, A chronostratigraphic framework for the north-central Kaapvaal craton, the Bushveld Complex and the Vredefort structure. Tectonophysics, v. 171, p. 23-48.</w:t>
      </w:r>
    </w:p>
    <w:p w14:paraId="481792BB" w14:textId="77777777" w:rsidR="00EB7946" w:rsidRPr="00EB7946" w:rsidRDefault="00EB7946" w:rsidP="00EB7946">
      <w:pPr>
        <w:jc w:val="both"/>
        <w:rPr>
          <w:rFonts w:ascii="Calibri" w:eastAsia="Calibri" w:hAnsi="Calibri" w:cs="Times New Roman"/>
        </w:rPr>
      </w:pPr>
      <w:r w:rsidRPr="00EB7946">
        <w:rPr>
          <w:rFonts w:ascii="Calibri" w:eastAsia="Calibri" w:hAnsi="Calibri" w:cs="Times New Roman"/>
        </w:rPr>
        <w:t>Zeh, A., Ovtcharova, M., Wilson, A. H., and Schaltegger, U., 2015, The Bushveld Complex was emplaced and cooled in less than one million years – results of zirconology, and geotectonic implications: Earth and Planetary Science Letters, v. 418, p. 103-114.</w:t>
      </w:r>
    </w:p>
    <w:p w14:paraId="04094DA5" w14:textId="77777777" w:rsidR="00EB7946" w:rsidRDefault="00EB7946"/>
    <w:p w14:paraId="025A64ED" w14:textId="77777777" w:rsidR="00EB7946" w:rsidRDefault="00EB7946"/>
    <w:p w14:paraId="28ECEF1F" w14:textId="2D12914B" w:rsidR="00B869D7" w:rsidRDefault="008A3A3C" w:rsidP="00B869D7">
      <w:pPr>
        <w:pStyle w:val="Heading1"/>
        <w:jc w:val="center"/>
        <w:rPr>
          <w:b/>
          <w:color w:val="000000" w:themeColor="text1"/>
        </w:rPr>
      </w:pPr>
      <w:bookmarkStart w:id="123" w:name="_Toc520758800"/>
      <w:r w:rsidRPr="008A3A3C">
        <w:rPr>
          <w:b/>
          <w:color w:val="000000" w:themeColor="text1"/>
        </w:rPr>
        <w:lastRenderedPageBreak/>
        <w:t>Chapter 3</w:t>
      </w:r>
      <w:bookmarkEnd w:id="123"/>
    </w:p>
    <w:p w14:paraId="1EE1F451" w14:textId="33F1DAC7" w:rsidR="00FF3013" w:rsidRDefault="00FF3013" w:rsidP="00FF3013">
      <w:pPr>
        <w:pStyle w:val="Heading2"/>
        <w:jc w:val="center"/>
        <w:rPr>
          <w:color w:val="000000" w:themeColor="text1"/>
        </w:rPr>
      </w:pPr>
      <w:bookmarkStart w:id="124" w:name="_Toc520758801"/>
      <w:r>
        <w:rPr>
          <w:color w:val="000000" w:themeColor="text1"/>
        </w:rPr>
        <w:t>Mining and Processing</w:t>
      </w:r>
    </w:p>
    <w:p w14:paraId="023B26B8" w14:textId="4A99DB0A" w:rsidR="00B869D7" w:rsidRPr="00CE738E" w:rsidRDefault="00B869D7" w:rsidP="00CE738E">
      <w:pPr>
        <w:pStyle w:val="Heading2"/>
        <w:rPr>
          <w:color w:val="000000" w:themeColor="text1"/>
        </w:rPr>
      </w:pPr>
      <w:r w:rsidRPr="00CE738E">
        <w:rPr>
          <w:color w:val="000000" w:themeColor="text1"/>
        </w:rPr>
        <w:t>Overview</w:t>
      </w:r>
      <w:bookmarkEnd w:id="124"/>
    </w:p>
    <w:p w14:paraId="3C5CB33A" w14:textId="77E04C56" w:rsidR="00B869D7" w:rsidRDefault="00B869D7" w:rsidP="00B869D7">
      <w:pPr>
        <w:jc w:val="both"/>
      </w:pPr>
      <w:r>
        <w:t>This chapter briefly focuses on the commissioning, mining, processing, economic aspects and environmental issues of the Lesego Project. The chapter aims to put the Lesego discovery into an economic context and its viability for eventual extraction.</w:t>
      </w:r>
      <w:r w:rsidR="00F82DCA">
        <w:t xml:space="preserve"> </w:t>
      </w:r>
    </w:p>
    <w:p w14:paraId="72DD80F1" w14:textId="315EF485" w:rsidR="00F82DCA" w:rsidRDefault="00F82DCA" w:rsidP="00B869D7">
      <w:pPr>
        <w:jc w:val="both"/>
      </w:pPr>
      <w:r>
        <w:t xml:space="preserve">A scoping study was conducted on the Project in 2011 based on the </w:t>
      </w:r>
      <w:r w:rsidR="00336B80">
        <w:t xml:space="preserve">inferred resource declared from the seismics and </w:t>
      </w:r>
      <w:r>
        <w:t>the 5 initial drill holes</w:t>
      </w:r>
      <w:r w:rsidR="00336B80">
        <w:t xml:space="preserve">. A </w:t>
      </w:r>
      <w:r>
        <w:t>Prefeasibility and Definitive Feasibility stud</w:t>
      </w:r>
      <w:r w:rsidR="00336B80">
        <w:t>y was then completed in 2013 based on the measured and indicated resource presented in Table 3.</w:t>
      </w:r>
    </w:p>
    <w:p w14:paraId="73A1C16D" w14:textId="427F14E7" w:rsidR="00291FB4" w:rsidRPr="00CE738E" w:rsidRDefault="00DC7791" w:rsidP="00CE738E">
      <w:pPr>
        <w:pStyle w:val="Heading2"/>
        <w:rPr>
          <w:color w:val="000000" w:themeColor="text1"/>
        </w:rPr>
      </w:pPr>
      <w:bookmarkStart w:id="125" w:name="_Toc520758802"/>
      <w:r w:rsidRPr="00CE738E">
        <w:rPr>
          <w:color w:val="000000" w:themeColor="text1"/>
        </w:rPr>
        <w:t>Mining and Processing</w:t>
      </w:r>
      <w:bookmarkEnd w:id="125"/>
    </w:p>
    <w:p w14:paraId="6B052F98" w14:textId="070F4D2B" w:rsidR="00DC7791" w:rsidRPr="00CE738E" w:rsidRDefault="00DC7791" w:rsidP="00CE738E">
      <w:pPr>
        <w:pStyle w:val="Heading4"/>
        <w:rPr>
          <w:color w:val="000000" w:themeColor="text1"/>
        </w:rPr>
      </w:pPr>
      <w:bookmarkStart w:id="126" w:name="_Toc520758803"/>
      <w:r w:rsidRPr="00CE738E">
        <w:rPr>
          <w:color w:val="000000" w:themeColor="text1"/>
        </w:rPr>
        <w:t>Mining</w:t>
      </w:r>
      <w:bookmarkEnd w:id="126"/>
    </w:p>
    <w:p w14:paraId="5B9BD80D" w14:textId="713B05C4" w:rsidR="00291FB4" w:rsidRDefault="00291FB4" w:rsidP="00291FB4">
      <w:pPr>
        <w:jc w:val="both"/>
      </w:pPr>
      <w:r>
        <w:t xml:space="preserve">The depth, steep dip and narrow width of the reefs dictate the deposit should be exploited </w:t>
      </w:r>
      <w:r w:rsidR="00460D7E">
        <w:t>by underground mining methods. The preferred method for mining the reefs down to 1,200</w:t>
      </w:r>
      <w:r w:rsidR="00E47AED">
        <w:t xml:space="preserve"> m depth below surface is a sub-</w:t>
      </w:r>
      <w:r w:rsidR="00460D7E">
        <w:t xml:space="preserve">level open stoping mining method using trackless equipment, which is currently being used in places at Lonmin’s Limpopo Section. Access to the reef will be via a decline from surface, with a </w:t>
      </w:r>
      <w:r w:rsidR="00D87310">
        <w:t xml:space="preserve">main </w:t>
      </w:r>
      <w:r w:rsidR="00460D7E">
        <w:t xml:space="preserve">shaft used for hoisting men and material </w:t>
      </w:r>
      <w:r w:rsidR="00D87310">
        <w:t>down to 1,200 m and a raise-bored ventilation shaft (</w:t>
      </w:r>
      <w:r w:rsidR="00CE738E">
        <w:t>Figure</w:t>
      </w:r>
      <w:r w:rsidR="00D87310">
        <w:t xml:space="preserve"> 18) </w:t>
      </w:r>
      <w:r w:rsidR="00460D7E">
        <w:t>(Cox and Montjoie, 2014).</w:t>
      </w:r>
    </w:p>
    <w:p w14:paraId="1D320764" w14:textId="336B59A0" w:rsidR="00B12DA6" w:rsidRDefault="009F2CCD" w:rsidP="00291FB4">
      <w:pPr>
        <w:jc w:val="both"/>
      </w:pPr>
      <w:r w:rsidRPr="009F2CCD">
        <w:rPr>
          <w:noProof/>
        </w:rPr>
        <w:drawing>
          <wp:inline distT="0" distB="0" distL="0" distR="0" wp14:anchorId="6952C3D9" wp14:editId="1369C6DC">
            <wp:extent cx="5943600" cy="3477337"/>
            <wp:effectExtent l="0" t="0" r="0" b="889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3477337"/>
                    </a:xfrm>
                    <a:prstGeom prst="rect">
                      <a:avLst/>
                    </a:prstGeom>
                    <a:noFill/>
                    <a:ln>
                      <a:noFill/>
                    </a:ln>
                  </pic:spPr>
                </pic:pic>
              </a:graphicData>
            </a:graphic>
          </wp:inline>
        </w:drawing>
      </w:r>
    </w:p>
    <w:p w14:paraId="3B4C0782" w14:textId="1AA5523E" w:rsidR="00B12DA6" w:rsidRDefault="00B12DA6" w:rsidP="00374FA6">
      <w:pPr>
        <w:pStyle w:val="Caption"/>
        <w:jc w:val="both"/>
      </w:pPr>
      <w:bookmarkStart w:id="127" w:name="_Toc520757570"/>
      <w:r>
        <w:t xml:space="preserve">Figure </w:t>
      </w:r>
      <w:fldSimple w:instr=" SEQ Figure \* ARABIC ">
        <w:r w:rsidR="002645B6">
          <w:rPr>
            <w:noProof/>
          </w:rPr>
          <w:t>19</w:t>
        </w:r>
      </w:fldSimple>
      <w:r>
        <w:t xml:space="preserve">: </w:t>
      </w:r>
      <w:r w:rsidR="003F69EE">
        <w:t>Oblique</w:t>
      </w:r>
      <w:r>
        <w:t xml:space="preserve"> section looking </w:t>
      </w:r>
      <w:r w:rsidR="003F69EE">
        <w:t>north</w:t>
      </w:r>
      <w:r>
        <w:t xml:space="preserve">west showing the primary development </w:t>
      </w:r>
      <w:r w:rsidR="003F69EE">
        <w:t xml:space="preserve">and secondary development </w:t>
      </w:r>
      <w:r>
        <w:t>required to access the steeply dipping portions of the ore body down to 1,200 m below surface.</w:t>
      </w:r>
      <w:bookmarkEnd w:id="127"/>
    </w:p>
    <w:p w14:paraId="0A5A9F6F" w14:textId="3B5FF85B" w:rsidR="00B12DA6" w:rsidRDefault="00460D7E" w:rsidP="00291FB4">
      <w:pPr>
        <w:jc w:val="both"/>
      </w:pPr>
      <w:r>
        <w:lastRenderedPageBreak/>
        <w:t>Development of the mine will be phase</w:t>
      </w:r>
      <w:r w:rsidR="00D87310">
        <w:t>d</w:t>
      </w:r>
      <w:r>
        <w:t>, with Phase 1 only exploiting the resource from 350 m</w:t>
      </w:r>
      <w:r w:rsidR="00B12DA6">
        <w:t xml:space="preserve"> to 1,200 m depth below surface using a fully </w:t>
      </w:r>
      <w:r w:rsidR="00D87310">
        <w:t>mechanized</w:t>
      </w:r>
      <w:r w:rsidR="00B12DA6">
        <w:t xml:space="preserve"> mining method, whil</w:t>
      </w:r>
      <w:r w:rsidR="00DC7791">
        <w:t>st</w:t>
      </w:r>
      <w:r w:rsidR="00B12DA6">
        <w:t xml:space="preserve"> Phases 2 and 3 </w:t>
      </w:r>
      <w:r w:rsidR="00DC7791">
        <w:t xml:space="preserve">will </w:t>
      </w:r>
      <w:r w:rsidR="00B12DA6">
        <w:t>utilize a conventional breast mining method.</w:t>
      </w:r>
    </w:p>
    <w:p w14:paraId="474737B5" w14:textId="588D291A" w:rsidR="00DC7791" w:rsidRPr="00CE738E" w:rsidRDefault="00DC7791" w:rsidP="00CE738E">
      <w:pPr>
        <w:pStyle w:val="Heading4"/>
        <w:rPr>
          <w:color w:val="000000" w:themeColor="text1"/>
        </w:rPr>
      </w:pPr>
      <w:bookmarkStart w:id="128" w:name="_Toc520758804"/>
      <w:r w:rsidRPr="00CE738E">
        <w:rPr>
          <w:color w:val="000000" w:themeColor="text1"/>
        </w:rPr>
        <w:t>Mineral Processing</w:t>
      </w:r>
      <w:bookmarkEnd w:id="128"/>
    </w:p>
    <w:p w14:paraId="6E2CC58D" w14:textId="444BC256" w:rsidR="00700F9F" w:rsidRDefault="00700F9F" w:rsidP="00291FB4">
      <w:pPr>
        <w:jc w:val="both"/>
      </w:pPr>
      <w:r>
        <w:t>Both the Merensky and UG2 reefs responded well to bench-scale laboratory metallurgical test work, and plant-scale simulations performed by Lesego predict excellent recoveries in the order of 90% Pt a</w:t>
      </w:r>
      <w:r w:rsidR="00DC7791">
        <w:t>nd Pd in a MF2 (mill-float mill-</w:t>
      </w:r>
      <w:r>
        <w:t>float) plant, which is a standard design for Bushveld PGE mines (Hay, 2013).</w:t>
      </w:r>
    </w:p>
    <w:p w14:paraId="5C894AD9" w14:textId="4CCE4CE1" w:rsidR="00DC7791" w:rsidRPr="00CE738E" w:rsidRDefault="008A1473" w:rsidP="00DC7791">
      <w:pPr>
        <w:pStyle w:val="Heading2"/>
        <w:rPr>
          <w:color w:val="000000" w:themeColor="text1"/>
        </w:rPr>
      </w:pPr>
      <w:bookmarkStart w:id="129" w:name="_Toc520758805"/>
      <w:r w:rsidRPr="00CE738E">
        <w:rPr>
          <w:color w:val="000000" w:themeColor="text1"/>
        </w:rPr>
        <w:t>Surface Infrastructure</w:t>
      </w:r>
      <w:bookmarkEnd w:id="129"/>
    </w:p>
    <w:p w14:paraId="364745D1" w14:textId="0809FA1D" w:rsidR="008A1473" w:rsidRDefault="008A1473" w:rsidP="00291FB4">
      <w:pPr>
        <w:jc w:val="both"/>
      </w:pPr>
      <w:r>
        <w:t xml:space="preserve">The current mine design is optimized to extract shallow, higher grade portions of the upper orebody in the early years of mine development in order to improve the economics of the project. This area is located </w:t>
      </w:r>
      <w:r w:rsidR="00CE738E">
        <w:t>on the flat grassland below the eastern flank of the Phosiri Dome, an area ideal for constructing surface infrastructure (Figure 19).</w:t>
      </w:r>
    </w:p>
    <w:p w14:paraId="3B444FAD" w14:textId="112E5C34" w:rsidR="00700F9F" w:rsidRDefault="00553CEA" w:rsidP="00291FB4">
      <w:pPr>
        <w:jc w:val="both"/>
      </w:pPr>
      <w:r>
        <w:t xml:space="preserve">The </w:t>
      </w:r>
      <w:r w:rsidR="00700F9F">
        <w:t xml:space="preserve">core of the </w:t>
      </w:r>
      <w:r>
        <w:t>Phosiri Dome</w:t>
      </w:r>
      <w:r w:rsidR="00700F9F">
        <w:t xml:space="preserve"> has been identified </w:t>
      </w:r>
      <w:r w:rsidR="00DC7791">
        <w:t xml:space="preserve">as a favorable location </w:t>
      </w:r>
      <w:r w:rsidR="00700F9F">
        <w:t xml:space="preserve">for the tailings disposal facility </w:t>
      </w:r>
      <w:r w:rsidR="00794C71">
        <w:t>(TDF)</w:t>
      </w:r>
      <w:r w:rsidR="00F525EB">
        <w:t xml:space="preserve"> (Fig</w:t>
      </w:r>
      <w:r w:rsidR="00CE738E">
        <w:t>ure</w:t>
      </w:r>
      <w:r w:rsidR="00F525EB">
        <w:t xml:space="preserve"> </w:t>
      </w:r>
      <w:r w:rsidR="00DC7791">
        <w:t>19</w:t>
      </w:r>
      <w:r w:rsidR="00F525EB">
        <w:t>)</w:t>
      </w:r>
      <w:r w:rsidR="00794C71">
        <w:t xml:space="preserve"> </w:t>
      </w:r>
      <w:r w:rsidR="00DC7791">
        <w:t>owing to the following</w:t>
      </w:r>
      <w:r w:rsidR="00700F9F">
        <w:t xml:space="preserve"> factors: </w:t>
      </w:r>
    </w:p>
    <w:p w14:paraId="246F8862" w14:textId="3E8BEE7A" w:rsidR="00794C71" w:rsidRDefault="00794C71" w:rsidP="00794C71">
      <w:pPr>
        <w:pStyle w:val="ListParagraph"/>
        <w:numPr>
          <w:ilvl w:val="0"/>
          <w:numId w:val="4"/>
        </w:numPr>
        <w:jc w:val="both"/>
      </w:pPr>
      <w:r>
        <w:t>The eastern and southern limbs of the Phosiri Dome, as well as the</w:t>
      </w:r>
      <w:r w:rsidRPr="00794C71">
        <w:t xml:space="preserve"> Machadodorp Volcanic Member </w:t>
      </w:r>
      <w:r>
        <w:t>forming the hills in the core of the Dome, provide a visual and physical barrier between the TDF and nearby communities and the Olifants River, reducing dust levels;</w:t>
      </w:r>
    </w:p>
    <w:p w14:paraId="77026BD8" w14:textId="6C21F8DA" w:rsidR="00794C71" w:rsidRDefault="00794C71" w:rsidP="00794C71">
      <w:pPr>
        <w:pStyle w:val="ListParagraph"/>
        <w:numPr>
          <w:ilvl w:val="0"/>
          <w:numId w:val="4"/>
        </w:numPr>
        <w:jc w:val="both"/>
      </w:pPr>
      <w:r>
        <w:t>There are no known mineral resources in this area, which contains Transvaal Group metasediments, so no potential resources are sterilised;</w:t>
      </w:r>
    </w:p>
    <w:p w14:paraId="2CB28580" w14:textId="29448824" w:rsidR="00794C71" w:rsidRDefault="00794C71" w:rsidP="00794C71">
      <w:pPr>
        <w:pStyle w:val="ListParagraph"/>
        <w:numPr>
          <w:ilvl w:val="0"/>
          <w:numId w:val="4"/>
        </w:numPr>
        <w:jc w:val="both"/>
      </w:pPr>
      <w:r>
        <w:t>The land is currently not being utili</w:t>
      </w:r>
      <w:r w:rsidR="001708DF">
        <w:t>s</w:t>
      </w:r>
      <w:r>
        <w:t>ed for farming, grazing or homesteads, so impact on the community is minimal;</w:t>
      </w:r>
    </w:p>
    <w:p w14:paraId="448BABFA" w14:textId="1E3D2964" w:rsidR="00794C71" w:rsidRDefault="00794C71" w:rsidP="00794C71">
      <w:pPr>
        <w:pStyle w:val="ListParagraph"/>
        <w:numPr>
          <w:ilvl w:val="0"/>
          <w:numId w:val="4"/>
        </w:numPr>
        <w:jc w:val="both"/>
      </w:pPr>
      <w:r>
        <w:t>The topography allows for the construction of a “</w:t>
      </w:r>
      <w:r w:rsidR="00DC7791">
        <w:t>valley</w:t>
      </w:r>
      <w:r>
        <w:t xml:space="preserve">-fill” style TDF which is more cost-effective than the “paddock” style TDF </w:t>
      </w:r>
      <w:r w:rsidR="00DC7791">
        <w:t xml:space="preserve">more commonly </w:t>
      </w:r>
      <w:r>
        <w:t>found in South Africa;</w:t>
      </w:r>
    </w:p>
    <w:p w14:paraId="172CF772" w14:textId="766F354B" w:rsidR="00F525EB" w:rsidRDefault="00794C71" w:rsidP="00794C71">
      <w:pPr>
        <w:pStyle w:val="ListParagraph"/>
        <w:numPr>
          <w:ilvl w:val="0"/>
          <w:numId w:val="4"/>
        </w:numPr>
        <w:jc w:val="both"/>
      </w:pPr>
      <w:r>
        <w:t xml:space="preserve">The nose of the anticline acts as a funnel for ground water seepage, and water extraction </w:t>
      </w:r>
      <w:r w:rsidR="00F525EB">
        <w:t xml:space="preserve">using </w:t>
      </w:r>
      <w:r>
        <w:t xml:space="preserve">bore holes in this area will allow for the effective recycling of water from the TDF and the effective control </w:t>
      </w:r>
      <w:r w:rsidR="00DC7791">
        <w:t xml:space="preserve">and monitoring </w:t>
      </w:r>
      <w:r>
        <w:t>of any potential ground water pollution</w:t>
      </w:r>
      <w:r w:rsidR="00DC7791">
        <w:t xml:space="preserve"> during operational phase as well as after mine closure.</w:t>
      </w:r>
    </w:p>
    <w:p w14:paraId="25CBF372" w14:textId="0F3B68A5" w:rsidR="00794C71" w:rsidRDefault="00F525EB" w:rsidP="00F525EB">
      <w:r>
        <w:br w:type="page"/>
      </w:r>
    </w:p>
    <w:p w14:paraId="5AEC7413" w14:textId="57318101" w:rsidR="00700F9F" w:rsidRDefault="001A5AAC" w:rsidP="00291FB4">
      <w:pPr>
        <w:jc w:val="both"/>
      </w:pPr>
      <w:r w:rsidRPr="001A5AAC">
        <w:rPr>
          <w:noProof/>
        </w:rPr>
        <w:lastRenderedPageBreak/>
        <w:drawing>
          <wp:inline distT="0" distB="0" distL="0" distR="0" wp14:anchorId="212EE299" wp14:editId="1EB7DC41">
            <wp:extent cx="4392563" cy="6214389"/>
            <wp:effectExtent l="0" t="0" r="8255" b="0"/>
            <wp:docPr id="62" name="Picture 4">
              <a:extLst xmlns:a="http://schemas.openxmlformats.org/drawingml/2006/main">
                <a:ext uri="{FF2B5EF4-FFF2-40B4-BE49-F238E27FC236}">
                  <a16:creationId xmlns:a16="http://schemas.microsoft.com/office/drawing/2014/main" id="{19CF1797-0841-4161-83A5-D3DFD106FF8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19CF1797-0841-4161-83A5-D3DFD106FF89}"/>
                        </a:ext>
                      </a:extLst>
                    </pic:cNvPr>
                    <pic:cNvPicPr>
                      <a:picLocks noChangeAspect="1"/>
                    </pic:cNvPicPr>
                  </pic:nvPicPr>
                  <pic:blipFill>
                    <a:blip r:embed="rId37"/>
                    <a:stretch>
                      <a:fillRect/>
                    </a:stretch>
                  </pic:blipFill>
                  <pic:spPr>
                    <a:xfrm>
                      <a:off x="0" y="0"/>
                      <a:ext cx="4392563" cy="6214389"/>
                    </a:xfrm>
                    <a:prstGeom prst="rect">
                      <a:avLst/>
                    </a:prstGeom>
                  </pic:spPr>
                </pic:pic>
              </a:graphicData>
            </a:graphic>
          </wp:inline>
        </w:drawing>
      </w:r>
    </w:p>
    <w:p w14:paraId="06173FBF" w14:textId="1213774A" w:rsidR="00700F9F" w:rsidRDefault="00700F9F" w:rsidP="00374FA6">
      <w:pPr>
        <w:pStyle w:val="Caption"/>
        <w:jc w:val="both"/>
      </w:pPr>
      <w:bookmarkStart w:id="130" w:name="_Toc520757571"/>
      <w:r>
        <w:t xml:space="preserve">Figure </w:t>
      </w:r>
      <w:fldSimple w:instr=" SEQ Figure \* ARABIC ">
        <w:r w:rsidR="002645B6">
          <w:rPr>
            <w:noProof/>
          </w:rPr>
          <w:t>20</w:t>
        </w:r>
      </w:fldSimple>
      <w:r>
        <w:t xml:space="preserve">: </w:t>
      </w:r>
      <w:r w:rsidR="001A5AAC">
        <w:t xml:space="preserve">GoogleEarth image with </w:t>
      </w:r>
      <w:r>
        <w:t xml:space="preserve">the footprint of the </w:t>
      </w:r>
      <w:r w:rsidR="001A5AAC">
        <w:t>t</w:t>
      </w:r>
      <w:r>
        <w:t xml:space="preserve">ailings disposal facility </w:t>
      </w:r>
      <w:r w:rsidR="001A5AAC">
        <w:t>in the core of the Phosiri Dome and the location of mine surface infrastructure on the eastern side of the eastern flank of the Dome.</w:t>
      </w:r>
      <w:bookmarkEnd w:id="130"/>
    </w:p>
    <w:p w14:paraId="217A7FE2" w14:textId="77777777" w:rsidR="00DC7791" w:rsidRDefault="00DC7791">
      <w:pPr>
        <w:rPr>
          <w:rFonts w:asciiTheme="majorHAnsi" w:eastAsiaTheme="majorEastAsia" w:hAnsiTheme="majorHAnsi" w:cstheme="majorBidi"/>
          <w:b/>
          <w:color w:val="000000" w:themeColor="text1"/>
          <w:sz w:val="32"/>
          <w:szCs w:val="32"/>
        </w:rPr>
      </w:pPr>
      <w:r>
        <w:rPr>
          <w:b/>
          <w:color w:val="000000" w:themeColor="text1"/>
        </w:rPr>
        <w:br w:type="page"/>
      </w:r>
    </w:p>
    <w:p w14:paraId="6338E440" w14:textId="6CDB27F2" w:rsidR="00DC7791" w:rsidRDefault="00DC7791" w:rsidP="00DC7791">
      <w:pPr>
        <w:pStyle w:val="Heading1"/>
        <w:jc w:val="center"/>
        <w:rPr>
          <w:b/>
          <w:color w:val="000000" w:themeColor="text1"/>
        </w:rPr>
      </w:pPr>
      <w:bookmarkStart w:id="131" w:name="_Toc520758806"/>
      <w:r>
        <w:rPr>
          <w:b/>
          <w:color w:val="000000" w:themeColor="text1"/>
        </w:rPr>
        <w:lastRenderedPageBreak/>
        <w:t>Chapter 4</w:t>
      </w:r>
      <w:bookmarkEnd w:id="131"/>
    </w:p>
    <w:p w14:paraId="11AA2D0D" w14:textId="6C793F91" w:rsidR="003A2315" w:rsidRDefault="003A2315" w:rsidP="00FF3013">
      <w:pPr>
        <w:pStyle w:val="Heading2"/>
        <w:jc w:val="center"/>
        <w:rPr>
          <w:color w:val="000000" w:themeColor="text1"/>
        </w:rPr>
      </w:pPr>
      <w:bookmarkStart w:id="132" w:name="_Toc520758807"/>
      <w:r w:rsidRPr="00CE738E">
        <w:rPr>
          <w:color w:val="000000" w:themeColor="text1"/>
        </w:rPr>
        <w:t>Discussion</w:t>
      </w:r>
      <w:bookmarkEnd w:id="132"/>
      <w:r w:rsidR="00FF3013">
        <w:rPr>
          <w:color w:val="000000" w:themeColor="text1"/>
        </w:rPr>
        <w:t xml:space="preserve"> and Conclusions</w:t>
      </w:r>
    </w:p>
    <w:p w14:paraId="55E4433B" w14:textId="288D0DA2" w:rsidR="008F7DBC" w:rsidRPr="00CE738E" w:rsidRDefault="008F7DBC" w:rsidP="008F7DBC">
      <w:pPr>
        <w:pStyle w:val="Heading2"/>
        <w:rPr>
          <w:color w:val="000000" w:themeColor="text1"/>
        </w:rPr>
      </w:pPr>
      <w:bookmarkStart w:id="133" w:name="_Toc520758808"/>
      <w:r w:rsidRPr="00CE738E">
        <w:rPr>
          <w:color w:val="000000" w:themeColor="text1"/>
        </w:rPr>
        <w:t>Outlook for Commissioning</w:t>
      </w:r>
      <w:bookmarkEnd w:id="133"/>
    </w:p>
    <w:p w14:paraId="5C480587" w14:textId="2A41DA3E" w:rsidR="00FF5725" w:rsidRDefault="00FF5725" w:rsidP="00FF5725">
      <w:pPr>
        <w:jc w:val="both"/>
      </w:pPr>
      <w:r>
        <w:t>PGE producers globally are under pressure to cut costs and meet production targets as PGE prices remain suppressed. Major cost drivers for producers are labour and power, both of which have been increasing at above</w:t>
      </w:r>
      <w:r w:rsidR="008F7DBC">
        <w:t>-</w:t>
      </w:r>
      <w:r>
        <w:t xml:space="preserve">inflation rates in recent years. The narrow profile and shallow dip of the Merensky and UG2 reefs do not lend themselves to </w:t>
      </w:r>
      <w:r w:rsidR="00AF2AFC">
        <w:t>mechanisation</w:t>
      </w:r>
      <w:r>
        <w:t xml:space="preserve">, and current mining technology has not yet managed to exploit </w:t>
      </w:r>
      <w:r w:rsidR="008F7DBC">
        <w:t xml:space="preserve">underground </w:t>
      </w:r>
      <w:r>
        <w:t>shallow dipping Merensky and UG2 economically</w:t>
      </w:r>
      <w:r w:rsidR="008F7DBC">
        <w:t xml:space="preserve"> on a fully mechanized basis</w:t>
      </w:r>
      <w:r>
        <w:t xml:space="preserve">, </w:t>
      </w:r>
      <w:r w:rsidR="008F7DBC">
        <w:t>owing</w:t>
      </w:r>
      <w:r>
        <w:t xml:space="preserve"> to excessive dilution because of the increased mining width required to accommodate mining machinery.</w:t>
      </w:r>
    </w:p>
    <w:p w14:paraId="15ECEC45" w14:textId="2D6EBC19" w:rsidR="00337C2C" w:rsidRDefault="00337C2C" w:rsidP="00FF5725">
      <w:pPr>
        <w:jc w:val="both"/>
      </w:pPr>
      <w:r>
        <w:t xml:space="preserve">Unlike the more common shallow-dipping Merensky and UG2 deposits </w:t>
      </w:r>
      <w:r w:rsidR="008F7DBC">
        <w:t>i</w:t>
      </w:r>
      <w:r>
        <w:t>n the Bushveld</w:t>
      </w:r>
      <w:r w:rsidR="00B646B3">
        <w:t xml:space="preserve"> Complex</w:t>
      </w:r>
      <w:r>
        <w:t xml:space="preserve">, the steep </w:t>
      </w:r>
      <w:r w:rsidR="008F7DBC">
        <w:t xml:space="preserve">reef </w:t>
      </w:r>
      <w:r>
        <w:t xml:space="preserve">dips </w:t>
      </w:r>
      <w:r w:rsidR="008F7DBC">
        <w:t xml:space="preserve">along the eastern flank of the Phosiri Dome </w:t>
      </w:r>
      <w:r w:rsidR="00AB0608">
        <w:t xml:space="preserve">allow for </w:t>
      </w:r>
      <w:r w:rsidR="00AF2AFC">
        <w:t>mechanisation</w:t>
      </w:r>
      <w:r w:rsidR="00AB0608">
        <w:t xml:space="preserve"> of a substantial portion of the ore-body using a tried and tested mining method commonly employed on steeply dipping orogenic gold deposits, as well as at Lonmin’s Limpopo Section.</w:t>
      </w:r>
    </w:p>
    <w:p w14:paraId="3114B34D" w14:textId="3C450000" w:rsidR="00B646B3" w:rsidRDefault="00B646B3" w:rsidP="00FF5725">
      <w:pPr>
        <w:jc w:val="both"/>
      </w:pPr>
      <w:r>
        <w:t xml:space="preserve">In the context of the South African mining industry, commissioning a new mine to be </w:t>
      </w:r>
      <w:r w:rsidR="006F47B5">
        <w:t xml:space="preserve">mechanized </w:t>
      </w:r>
      <w:r>
        <w:t xml:space="preserve">from </w:t>
      </w:r>
      <w:r w:rsidR="000B7B2A">
        <w:t>construction phase</w:t>
      </w:r>
      <w:r>
        <w:t xml:space="preserve"> is significantly easier than retrofitting a mine </w:t>
      </w:r>
      <w:r w:rsidR="000B7B2A">
        <w:t xml:space="preserve">to be </w:t>
      </w:r>
      <w:r w:rsidR="006F47B5">
        <w:t xml:space="preserve">mechanized </w:t>
      </w:r>
      <w:r>
        <w:t xml:space="preserve">that was </w:t>
      </w:r>
      <w:r w:rsidR="000B7B2A">
        <w:t>originally established</w:t>
      </w:r>
      <w:r>
        <w:t xml:space="preserve"> </w:t>
      </w:r>
      <w:r w:rsidR="000B7B2A">
        <w:t xml:space="preserve">as </w:t>
      </w:r>
      <w:r>
        <w:t>a labour intensive conventional operation</w:t>
      </w:r>
      <w:r w:rsidR="000B7B2A">
        <w:t xml:space="preserve"> (J. Grobler, pers. commun.</w:t>
      </w:r>
      <w:r w:rsidR="008F7DBC">
        <w:t>, 2017</w:t>
      </w:r>
      <w:r w:rsidR="000B7B2A">
        <w:t xml:space="preserve">). </w:t>
      </w:r>
    </w:p>
    <w:p w14:paraId="31FB2A4F" w14:textId="62B9AB96" w:rsidR="00FF5725" w:rsidRDefault="00FF5725" w:rsidP="00FF5725">
      <w:pPr>
        <w:jc w:val="both"/>
      </w:pPr>
      <w:r>
        <w:t xml:space="preserve">A comparison of </w:t>
      </w:r>
      <w:r w:rsidR="00557939">
        <w:t xml:space="preserve">the grade and tonnage of </w:t>
      </w:r>
      <w:r>
        <w:t xml:space="preserve">PGE projects and mines </w:t>
      </w:r>
      <w:r w:rsidR="00557939">
        <w:t xml:space="preserve">in the Bushveld Complex </w:t>
      </w:r>
      <w:r w:rsidR="00F525EB">
        <w:t>(Fig</w:t>
      </w:r>
      <w:r w:rsidR="00CE738E">
        <w:t>ure</w:t>
      </w:r>
      <w:r w:rsidR="00F525EB">
        <w:t xml:space="preserve"> </w:t>
      </w:r>
      <w:r w:rsidR="008F7DBC">
        <w:t>21</w:t>
      </w:r>
      <w:r w:rsidR="00F525EB">
        <w:t xml:space="preserve">) </w:t>
      </w:r>
      <w:r w:rsidR="00557939">
        <w:t xml:space="preserve">shows that </w:t>
      </w:r>
      <w:r w:rsidR="000B7B2A">
        <w:t xml:space="preserve">the </w:t>
      </w:r>
      <w:r w:rsidR="00557939">
        <w:t xml:space="preserve">Lesego </w:t>
      </w:r>
      <w:r w:rsidR="000B7B2A">
        <w:t xml:space="preserve">Project </w:t>
      </w:r>
      <w:r w:rsidR="00557939">
        <w:t>compares favourably in terms of grade and tonnage and is an attracti</w:t>
      </w:r>
      <w:r w:rsidR="00460D7E">
        <w:t>ve project just on those merits</w:t>
      </w:r>
      <w:r w:rsidR="008F7DBC">
        <w:t>.</w:t>
      </w:r>
      <w:r w:rsidR="00460D7E">
        <w:t xml:space="preserve"> </w:t>
      </w:r>
      <w:r w:rsidR="008F7DBC">
        <w:t>T</w:t>
      </w:r>
      <w:r w:rsidR="00460D7E">
        <w:t xml:space="preserve">he discovery of reef at a depth of </w:t>
      </w:r>
      <w:r w:rsidR="008F7DBC">
        <w:t xml:space="preserve">only </w:t>
      </w:r>
      <w:r w:rsidR="00460D7E">
        <w:t xml:space="preserve">350 m below surface now means that there is a realistic chance of exploitation. </w:t>
      </w:r>
    </w:p>
    <w:p w14:paraId="12291A34" w14:textId="4C2B2AA5" w:rsidR="00EE1A5D" w:rsidRDefault="00EE1A5D">
      <w:r w:rsidRPr="00EE1A5D">
        <w:rPr>
          <w:noProof/>
        </w:rPr>
        <w:drawing>
          <wp:inline distT="0" distB="0" distL="0" distR="0" wp14:anchorId="2E09C0A0" wp14:editId="6776F681">
            <wp:extent cx="5943600" cy="2728968"/>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3600" cy="2728968"/>
                    </a:xfrm>
                    <a:prstGeom prst="rect">
                      <a:avLst/>
                    </a:prstGeom>
                    <a:noFill/>
                    <a:ln>
                      <a:noFill/>
                    </a:ln>
                  </pic:spPr>
                </pic:pic>
              </a:graphicData>
            </a:graphic>
          </wp:inline>
        </w:drawing>
      </w:r>
    </w:p>
    <w:p w14:paraId="2F0FD28F" w14:textId="64D9B5E4" w:rsidR="00F525EB" w:rsidRDefault="00F525EB" w:rsidP="00374FA6">
      <w:pPr>
        <w:pStyle w:val="Caption"/>
        <w:jc w:val="both"/>
      </w:pPr>
      <w:bookmarkStart w:id="134" w:name="_Toc520757572"/>
      <w:r>
        <w:t xml:space="preserve">Figure </w:t>
      </w:r>
      <w:fldSimple w:instr=" SEQ Figure \* ARABIC ">
        <w:r w:rsidR="002645B6">
          <w:rPr>
            <w:noProof/>
          </w:rPr>
          <w:t>21</w:t>
        </w:r>
      </w:fldSimple>
      <w:r>
        <w:t>: A comparison of the grade and tonnage of various mines on the Bushve</w:t>
      </w:r>
      <w:r w:rsidR="008F7DBC">
        <w:t>ld Complex (after Forrest, 2012</w:t>
      </w:r>
      <w:r>
        <w:t>)</w:t>
      </w:r>
      <w:r w:rsidR="000126E7">
        <w:t>.</w:t>
      </w:r>
      <w:bookmarkEnd w:id="134"/>
    </w:p>
    <w:p w14:paraId="31A1D1B4" w14:textId="0B4F4246" w:rsidR="008F7DBC" w:rsidRDefault="008F7DBC" w:rsidP="008F7DBC">
      <w:pPr>
        <w:jc w:val="both"/>
      </w:pPr>
      <w:r>
        <w:t xml:space="preserve">The relatively high base metal content adds to the basket price of the Lesego ore, making it one of the highest value per </w:t>
      </w:r>
      <w:r w:rsidR="006F47B5">
        <w:t>ton</w:t>
      </w:r>
      <w:r>
        <w:t xml:space="preserve"> ores on the Eastern Limb (Fig</w:t>
      </w:r>
      <w:r w:rsidR="00CE738E">
        <w:t>ure</w:t>
      </w:r>
      <w:r>
        <w:t xml:space="preserve"> 22).</w:t>
      </w:r>
      <w:r w:rsidR="006F47B5">
        <w:t xml:space="preserve"> </w:t>
      </w:r>
      <w:r>
        <w:t xml:space="preserve">The </w:t>
      </w:r>
      <w:r w:rsidR="006F47B5">
        <w:t>lower</w:t>
      </w:r>
      <w:r>
        <w:t xml:space="preserve"> </w:t>
      </w:r>
      <w:r w:rsidR="006F47B5">
        <w:t xml:space="preserve">platinum to </w:t>
      </w:r>
      <w:r>
        <w:t xml:space="preserve">palladium </w:t>
      </w:r>
      <w:r w:rsidR="006F47B5">
        <w:t xml:space="preserve">ratio in the UG2 Chromitite relative to that of the Merensky Reef (Table 4) further makes the Merensky Reef a more attractive mining prospect. </w:t>
      </w:r>
      <w:r>
        <w:t>Source data is presented in Appendix 8.</w:t>
      </w:r>
    </w:p>
    <w:p w14:paraId="5EEC947D" w14:textId="77777777" w:rsidR="00B90D73" w:rsidRDefault="00B90D73"/>
    <w:p w14:paraId="5DA0E760" w14:textId="2A9B07AF" w:rsidR="00B90D73" w:rsidRDefault="00B90D73">
      <w:r w:rsidRPr="00B90D73">
        <w:rPr>
          <w:noProof/>
        </w:rPr>
        <w:drawing>
          <wp:inline distT="0" distB="0" distL="0" distR="0" wp14:anchorId="17900E55" wp14:editId="0A46F058">
            <wp:extent cx="6218555" cy="1891826"/>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243578" cy="1899439"/>
                    </a:xfrm>
                    <a:prstGeom prst="rect">
                      <a:avLst/>
                    </a:prstGeom>
                    <a:noFill/>
                    <a:ln>
                      <a:noFill/>
                    </a:ln>
                  </pic:spPr>
                </pic:pic>
              </a:graphicData>
            </a:graphic>
          </wp:inline>
        </w:drawing>
      </w:r>
      <w:r w:rsidRPr="00B90D73">
        <w:t xml:space="preserve"> </w:t>
      </w:r>
    </w:p>
    <w:p w14:paraId="18829A5F" w14:textId="11956893" w:rsidR="00B90D73" w:rsidRDefault="00B90D73">
      <w:r w:rsidRPr="00B90D73">
        <w:rPr>
          <w:noProof/>
        </w:rPr>
        <w:drawing>
          <wp:inline distT="0" distB="0" distL="0" distR="0" wp14:anchorId="68E0FB4E" wp14:editId="35CCEFF8">
            <wp:extent cx="6218555" cy="175288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248612" cy="1761352"/>
                    </a:xfrm>
                    <a:prstGeom prst="rect">
                      <a:avLst/>
                    </a:prstGeom>
                    <a:noFill/>
                    <a:ln>
                      <a:noFill/>
                    </a:ln>
                  </pic:spPr>
                </pic:pic>
              </a:graphicData>
            </a:graphic>
          </wp:inline>
        </w:drawing>
      </w:r>
    </w:p>
    <w:p w14:paraId="4998A690" w14:textId="6477F857" w:rsidR="003A4264" w:rsidRDefault="00B90D73" w:rsidP="00B90D73">
      <w:pPr>
        <w:pStyle w:val="Caption"/>
        <w:jc w:val="both"/>
      </w:pPr>
      <w:bookmarkStart w:id="135" w:name="_Toc520757573"/>
      <w:r>
        <w:t xml:space="preserve">Figure </w:t>
      </w:r>
      <w:fldSimple w:instr=" SEQ Figure \* ARABIC ">
        <w:r w:rsidR="002645B6">
          <w:rPr>
            <w:noProof/>
          </w:rPr>
          <w:t>22</w:t>
        </w:r>
      </w:fldSimple>
      <w:r>
        <w:t xml:space="preserve">: Comparison of the in-situ value per </w:t>
      </w:r>
      <w:r w:rsidR="006F47B5">
        <w:t>ton</w:t>
      </w:r>
      <w:r>
        <w:t xml:space="preserve"> of Merensky </w:t>
      </w:r>
      <w:r w:rsidR="008F7DBC">
        <w:t xml:space="preserve">Reef </w:t>
      </w:r>
      <w:r>
        <w:t xml:space="preserve">and UG2 </w:t>
      </w:r>
      <w:r w:rsidR="008F7DBC">
        <w:t>Chromitite</w:t>
      </w:r>
      <w:r>
        <w:t xml:space="preserve"> in the Eastern Bushveld</w:t>
      </w:r>
      <w:r w:rsidR="008F7DBC">
        <w:t xml:space="preserve"> Complex </w:t>
      </w:r>
      <w:r>
        <w:t xml:space="preserve">for various mines and projects (Source: </w:t>
      </w:r>
      <w:r w:rsidR="00337C2C">
        <w:t>Barker, 2008</w:t>
      </w:r>
      <w:r>
        <w:t>). Metal prices are spot prices on 26</w:t>
      </w:r>
      <w:r w:rsidRPr="00374FA6">
        <w:t>th</w:t>
      </w:r>
      <w:r>
        <w:t xml:space="preserve"> January 2018. Note that for ease of comparison, Mogalakwena, PTM T-Zone, PTM F-Zone and Flatreef are all Northern Limb projects and are not considered Merensky Reef or UG2, but these have been included anyway as these projects are actively advancing and are useful benchmarks.</w:t>
      </w:r>
      <w:bookmarkEnd w:id="135"/>
    </w:p>
    <w:p w14:paraId="0C5D8974" w14:textId="2C19E852" w:rsidR="00E91A65" w:rsidRDefault="003A4264" w:rsidP="003A4264">
      <w:pPr>
        <w:jc w:val="both"/>
      </w:pPr>
      <w:r>
        <w:t xml:space="preserve">The implementation of a </w:t>
      </w:r>
      <w:r w:rsidR="006F47B5">
        <w:t>mechanized</w:t>
      </w:r>
      <w:r>
        <w:t xml:space="preserve"> mining method will allow for a safer mine with a lower operating cost than a conventional underground mining operation. The high grade and lower operating cost will ensure that the Lesego Project is economically more robust and less exposed to metal price fluctuations.</w:t>
      </w:r>
    </w:p>
    <w:p w14:paraId="1DA4766E" w14:textId="77777777" w:rsidR="002500E7" w:rsidRPr="00CE738E" w:rsidRDefault="002500E7" w:rsidP="002500E7">
      <w:pPr>
        <w:pStyle w:val="Heading2"/>
        <w:rPr>
          <w:color w:val="000000" w:themeColor="text1"/>
        </w:rPr>
      </w:pPr>
      <w:bookmarkStart w:id="136" w:name="_Toc520758809"/>
      <w:r w:rsidRPr="00CE738E">
        <w:rPr>
          <w:color w:val="000000" w:themeColor="text1"/>
        </w:rPr>
        <w:t>Conclusions</w:t>
      </w:r>
      <w:bookmarkEnd w:id="136"/>
    </w:p>
    <w:p w14:paraId="5E74CB11" w14:textId="5BDDCC5F" w:rsidR="002500E7" w:rsidRDefault="002500E7" w:rsidP="002500E7">
      <w:pPr>
        <w:jc w:val="both"/>
      </w:pPr>
      <w:r>
        <w:t xml:space="preserve">The Phosiri Dome had a profound effect on the surrounding lithologies of the Rustenburg Layered Suite. </w:t>
      </w:r>
      <w:r w:rsidR="00214357">
        <w:t>The emplacement of the Phosiri Dome has resulted in the Merensky and UG2 reefs being uplifted to economically extractable dept</w:t>
      </w:r>
      <w:r w:rsidR="006F47B5">
        <w:t>hs, as well as resulting in sub-</w:t>
      </w:r>
      <w:r w:rsidR="00214357">
        <w:t xml:space="preserve">vertical dips of the reefs near surface, which lends itself to an arguably safer, lower cost </w:t>
      </w:r>
      <w:r w:rsidR="006F47B5">
        <w:t xml:space="preserve">mechanized </w:t>
      </w:r>
      <w:r w:rsidR="00214357">
        <w:t>mining technique. The resource is relatively high-grade when compared to other Bushveld Complex mines and projects.</w:t>
      </w:r>
    </w:p>
    <w:p w14:paraId="0EF00D67" w14:textId="0F75544E" w:rsidR="00214357" w:rsidRDefault="00214357" w:rsidP="002500E7">
      <w:pPr>
        <w:jc w:val="both"/>
      </w:pPr>
      <w:r>
        <w:t>The discovery of the Lesego Resource at relatively shallow depths has important implications for further exploration on the Bushveld Complex. A careful evaluation of footwall structures within the Bushveld Complex whilst bearing in mind the transgressive and unconformable relationship of the Upper Zone with Main and Critical Zone lithologies, as well as the transgressive relationship of the Main and Critical Zone lithologies with footwall structures, may lead to the generation of fresh exploration targets.</w:t>
      </w:r>
    </w:p>
    <w:p w14:paraId="6F52D9AD" w14:textId="40189100" w:rsidR="00BB29A0" w:rsidRDefault="00214357" w:rsidP="002500E7">
      <w:pPr>
        <w:jc w:val="both"/>
      </w:pPr>
      <w:r>
        <w:t xml:space="preserve">Unusual </w:t>
      </w:r>
      <w:r w:rsidR="00BB29A0">
        <w:t xml:space="preserve">structures and </w:t>
      </w:r>
      <w:r>
        <w:t xml:space="preserve">stratigraphies are frequently encountered in close proximity to domal structures, </w:t>
      </w:r>
      <w:r w:rsidR="006F47B5">
        <w:t xml:space="preserve">and an understanding of the structural history of these domal structures can have important implications </w:t>
      </w:r>
      <w:r w:rsidR="006F47B5">
        <w:lastRenderedPageBreak/>
        <w:t xml:space="preserve">for exploration success. </w:t>
      </w:r>
      <w:r w:rsidR="00BB29A0">
        <w:t xml:space="preserve">A </w:t>
      </w:r>
      <w:r w:rsidR="006F47B5">
        <w:t xml:space="preserve">multifaceted exploration </w:t>
      </w:r>
      <w:r w:rsidR="00BB29A0">
        <w:t>program that strives to understand the relationship between the Rustenburg Layered Suite and the relevant footwall domes prior to commencing with exploration drilling on the flanks of the dome may be useful in assisting with achieving exploration success.</w:t>
      </w:r>
    </w:p>
    <w:p w14:paraId="00C391D6" w14:textId="77D24B99" w:rsidR="00FF5725" w:rsidRPr="002500E7" w:rsidRDefault="00FF5725" w:rsidP="002500E7">
      <w:r w:rsidRPr="002500E7">
        <w:br w:type="page"/>
      </w:r>
    </w:p>
    <w:p w14:paraId="590087BB" w14:textId="3EADDC8F" w:rsidR="008A3A3C" w:rsidRPr="00253DDB" w:rsidRDefault="00253DDB" w:rsidP="00CE738E">
      <w:pPr>
        <w:pStyle w:val="Heading1"/>
        <w:jc w:val="center"/>
        <w:rPr>
          <w:b/>
          <w:color w:val="000000" w:themeColor="text1"/>
        </w:rPr>
      </w:pPr>
      <w:bookmarkStart w:id="137" w:name="_Toc520758810"/>
      <w:r w:rsidRPr="00253DDB">
        <w:rPr>
          <w:b/>
          <w:color w:val="000000" w:themeColor="text1"/>
        </w:rPr>
        <w:lastRenderedPageBreak/>
        <w:t>References</w:t>
      </w:r>
      <w:bookmarkEnd w:id="137"/>
    </w:p>
    <w:p w14:paraId="5A162CB5" w14:textId="7D4C7CF6" w:rsidR="00776511" w:rsidRDefault="00776511" w:rsidP="00B05838"/>
    <w:p w14:paraId="7A62F7CD" w14:textId="21ED3BD3" w:rsidR="00253DDB" w:rsidRPr="00E91A65" w:rsidRDefault="00253DDB" w:rsidP="00B05838">
      <w:pPr>
        <w:rPr>
          <w:i/>
        </w:rPr>
      </w:pPr>
      <w:r w:rsidRPr="00E91A65">
        <w:rPr>
          <w:i/>
        </w:rPr>
        <w:t xml:space="preserve">The following is a complete list </w:t>
      </w:r>
      <w:r w:rsidR="00BB29A0">
        <w:rPr>
          <w:i/>
        </w:rPr>
        <w:t xml:space="preserve">of references for Chapters 1, 2, </w:t>
      </w:r>
      <w:r w:rsidRPr="00E91A65">
        <w:rPr>
          <w:i/>
        </w:rPr>
        <w:t>3</w:t>
      </w:r>
      <w:r w:rsidR="00BB29A0">
        <w:rPr>
          <w:i/>
        </w:rPr>
        <w:t xml:space="preserve"> and 4</w:t>
      </w:r>
      <w:r w:rsidRPr="00E91A65">
        <w:rPr>
          <w:i/>
        </w:rPr>
        <w:t>.</w:t>
      </w:r>
    </w:p>
    <w:p w14:paraId="6639969C" w14:textId="5C374DF0" w:rsidR="00776511" w:rsidRDefault="00965AEB" w:rsidP="00776511">
      <w:pPr>
        <w:jc w:val="both"/>
      </w:pPr>
      <w:r>
        <w:t>Barker, O.,</w:t>
      </w:r>
      <w:r w:rsidR="00776511">
        <w:t xml:space="preserve"> 2008. Barkers Platinum Map of Southern Africa. Banzi Geotechnics CC. Books on the Wall, 1</w:t>
      </w:r>
      <w:r w:rsidR="00EF532A">
        <w:t xml:space="preserve"> </w:t>
      </w:r>
      <w:r w:rsidR="00776511">
        <w:t>pp.</w:t>
      </w:r>
    </w:p>
    <w:p w14:paraId="088334DB" w14:textId="6EFF90F1" w:rsidR="00BB29A0" w:rsidRDefault="00BB29A0" w:rsidP="00776511">
      <w:pPr>
        <w:jc w:val="both"/>
      </w:pPr>
      <w:r w:rsidRPr="00BB29A0">
        <w:t>Button, A., 1976.</w:t>
      </w:r>
      <w:r>
        <w:t>,</w:t>
      </w:r>
      <w:r w:rsidRPr="00BB29A0">
        <w:t xml:space="preserve"> Stratigraphy and relations of the Bushveld floor in the eastern Transvaal. South African Journal of Geology, </w:t>
      </w:r>
      <w:r>
        <w:t xml:space="preserve">Vol. </w:t>
      </w:r>
      <w:r w:rsidRPr="00BB29A0">
        <w:t>79, pp.</w:t>
      </w:r>
      <w:r>
        <w:t xml:space="preserve"> </w:t>
      </w:r>
      <w:r w:rsidRPr="00BB29A0">
        <w:t>3</w:t>
      </w:r>
      <w:r>
        <w:t xml:space="preserve"> – </w:t>
      </w:r>
      <w:r w:rsidRPr="00BB29A0">
        <w:t>12.</w:t>
      </w:r>
    </w:p>
    <w:p w14:paraId="1C0D3A99" w14:textId="41D6088F" w:rsidR="006C28C0" w:rsidRDefault="00DB1B87" w:rsidP="00776511">
      <w:pPr>
        <w:jc w:val="both"/>
      </w:pPr>
      <w:bookmarkStart w:id="138" w:name="_Hlk507141040"/>
      <w:r>
        <w:t>Cameron</w:t>
      </w:r>
      <w:r w:rsidR="00965AEB">
        <w:t>.</w:t>
      </w:r>
      <w:r>
        <w:t xml:space="preserve"> E. N.</w:t>
      </w:r>
      <w:r w:rsidR="00965AEB">
        <w:t>,</w:t>
      </w:r>
      <w:r>
        <w:t xml:space="preserve"> 1980</w:t>
      </w:r>
      <w:r w:rsidR="00965AEB">
        <w:t>.</w:t>
      </w:r>
      <w:r w:rsidR="006C28C0" w:rsidRPr="006C28C0">
        <w:t xml:space="preserve"> Evolution of the lower critical zone, central sector, eastern Bushveld Complex, and its chromite deposits. Economic Geology, </w:t>
      </w:r>
      <w:r w:rsidR="00965AEB">
        <w:t xml:space="preserve">Vol. </w:t>
      </w:r>
      <w:r w:rsidR="006C28C0" w:rsidRPr="006C28C0">
        <w:t xml:space="preserve">75, </w:t>
      </w:r>
      <w:r w:rsidR="00965AEB">
        <w:t xml:space="preserve">pp. </w:t>
      </w:r>
      <w:r w:rsidR="006C28C0" w:rsidRPr="006C28C0">
        <w:t>845-871.</w:t>
      </w:r>
    </w:p>
    <w:p w14:paraId="63FE2E9F" w14:textId="0CFB2788" w:rsidR="006C28C0" w:rsidRDefault="006C28C0" w:rsidP="00776511">
      <w:pPr>
        <w:jc w:val="both"/>
      </w:pPr>
      <w:r w:rsidRPr="006C28C0">
        <w:t>Cameron, E. N.</w:t>
      </w:r>
      <w:r w:rsidR="00965AEB">
        <w:t>,</w:t>
      </w:r>
      <w:r w:rsidRPr="006C28C0">
        <w:t xml:space="preserve"> 1982.</w:t>
      </w:r>
      <w:r w:rsidR="00BB29A0">
        <w:t>,</w:t>
      </w:r>
      <w:r w:rsidRPr="006C28C0">
        <w:t xml:space="preserve"> The upper critical zone of the eastern Bushveld Complex; precursor of the Merens</w:t>
      </w:r>
      <w:r w:rsidR="00965AEB">
        <w:t>ky Reef. Economic Geology, Vol. 77</w:t>
      </w:r>
      <w:r w:rsidRPr="006C28C0">
        <w:t xml:space="preserve">, </w:t>
      </w:r>
      <w:r w:rsidR="00965AEB">
        <w:t xml:space="preserve">pp. </w:t>
      </w:r>
      <w:r w:rsidRPr="006C28C0">
        <w:t>1307-1327.</w:t>
      </w:r>
    </w:p>
    <w:bookmarkEnd w:id="138"/>
    <w:p w14:paraId="47B1DBF4" w14:textId="5B9F6539" w:rsidR="00E91A65" w:rsidRDefault="00E91A65" w:rsidP="00E91A65">
      <w:pPr>
        <w:jc w:val="both"/>
      </w:pPr>
      <w:r>
        <w:t>Campbell, G.</w:t>
      </w:r>
      <w:r w:rsidR="00965AEB">
        <w:t>, 2010</w:t>
      </w:r>
      <w:r>
        <w:t>.</w:t>
      </w:r>
      <w:r w:rsidR="00BB29A0">
        <w:t>,</w:t>
      </w:r>
      <w:r>
        <w:t xml:space="preserve"> Interpretation of high resolution aeromagnetic and radiometric survey data over the Phosiri Project area, Sekhukhune-Land locality, Limpopo Province on behalf of Lesego Platinum Mining (Pty) Ltd, 43</w:t>
      </w:r>
      <w:r w:rsidR="00EF532A">
        <w:t xml:space="preserve"> </w:t>
      </w:r>
      <w:r w:rsidR="00965AEB">
        <w:t>pp</w:t>
      </w:r>
      <w:r>
        <w:t>.</w:t>
      </w:r>
    </w:p>
    <w:p w14:paraId="0C5B8EF2" w14:textId="05E27496" w:rsidR="00F15D77" w:rsidRDefault="00F15D77" w:rsidP="00F15D77">
      <w:pPr>
        <w:jc w:val="both"/>
      </w:pPr>
      <w:r>
        <w:t>Cawthorn, R.G.</w:t>
      </w:r>
      <w:r w:rsidR="00BB29A0">
        <w:t>,</w:t>
      </w:r>
      <w:r>
        <w:t xml:space="preserve"> 1999a. Seventy-fifth anniversary of the discovery of the platiniferous Merensky Reef. Platinum Metals Review, Vol. 43, pp. 146–148.</w:t>
      </w:r>
    </w:p>
    <w:p w14:paraId="4A53C446" w14:textId="7B35EF6C" w:rsidR="00776511" w:rsidRDefault="00776511" w:rsidP="00776511">
      <w:pPr>
        <w:jc w:val="both"/>
      </w:pPr>
      <w:r>
        <w:t xml:space="preserve">Cawthorn, R. G., </w:t>
      </w:r>
      <w:r w:rsidR="00F15D77">
        <w:t>1999b</w:t>
      </w:r>
      <w:r w:rsidRPr="00427DA9">
        <w:t>. The platinum and palladium resources of the Bushveld Complex. South African Journal of Science, 95</w:t>
      </w:r>
      <w:r w:rsidR="00EF532A">
        <w:t xml:space="preserve"> </w:t>
      </w:r>
      <w:r w:rsidR="00965AEB">
        <w:t>pp</w:t>
      </w:r>
      <w:r w:rsidRPr="00427DA9">
        <w:t>.</w:t>
      </w:r>
    </w:p>
    <w:p w14:paraId="0A9D96F6" w14:textId="729D65AF" w:rsidR="00776511" w:rsidRDefault="00776511" w:rsidP="00776511">
      <w:pPr>
        <w:jc w:val="both"/>
      </w:pPr>
      <w:r>
        <w:t xml:space="preserve">Cawthorn, R.G., </w:t>
      </w:r>
      <w:r w:rsidR="00F15D77">
        <w:t>1999c</w:t>
      </w:r>
      <w:r>
        <w:t xml:space="preserve">. Platinum-group element mineralisation in the Bushveld Complex – a critical reassessment of geochemical models. South African Journal </w:t>
      </w:r>
      <w:r w:rsidR="00965AEB">
        <w:t>of Geology, Vol</w:t>
      </w:r>
      <w:r>
        <w:t>. 102, pp. 268-281.</w:t>
      </w:r>
    </w:p>
    <w:p w14:paraId="5AB51390" w14:textId="2FF8D1FD" w:rsidR="00776511" w:rsidRPr="00C525C0" w:rsidRDefault="00776511" w:rsidP="00776511">
      <w:pPr>
        <w:jc w:val="both"/>
      </w:pPr>
      <w:r>
        <w:t xml:space="preserve">Cawthorn, R.G., 2015. A review of the Bushveld complex and its </w:t>
      </w:r>
      <w:r w:rsidR="00AF2AFC">
        <w:t>mineralisation</w:t>
      </w:r>
      <w:r>
        <w:t>. In:</w:t>
      </w:r>
      <w:r>
        <w:rPr>
          <w:i/>
        </w:rPr>
        <w:t xml:space="preserve"> </w:t>
      </w:r>
      <w:r>
        <w:t xml:space="preserve">Hammond, N.Q. and Hatton, C.H. (Editors), Platinum-group element mineralisation and resources of the Bushveld Complex, South Africa. Council for Geoscience, </w:t>
      </w:r>
      <w:r w:rsidR="00965AEB">
        <w:t xml:space="preserve">pp </w:t>
      </w:r>
      <w:r>
        <w:t>17 – 90.</w:t>
      </w:r>
    </w:p>
    <w:p w14:paraId="6FBC5DFE" w14:textId="0E61CB7E" w:rsidR="00776511" w:rsidRDefault="00776511" w:rsidP="00776511">
      <w:pPr>
        <w:jc w:val="both"/>
      </w:pPr>
      <w:r>
        <w:t xml:space="preserve">Cawthorn, R. G., </w:t>
      </w:r>
      <w:r w:rsidR="00965AEB">
        <w:t>and</w:t>
      </w:r>
      <w:r>
        <w:t xml:space="preserve"> Spies, L., </w:t>
      </w:r>
      <w:r w:rsidRPr="008122D5">
        <w:t xml:space="preserve">2003. Plagioclase content of cyclic units in the Bushveld Complex, South Africa. Contributions to Mineralogy and Petrology, </w:t>
      </w:r>
      <w:r w:rsidR="00965AEB">
        <w:t xml:space="preserve">Vol. </w:t>
      </w:r>
      <w:r w:rsidRPr="008122D5">
        <w:t xml:space="preserve">145, </w:t>
      </w:r>
      <w:r w:rsidR="00965AEB">
        <w:t xml:space="preserve">pp. </w:t>
      </w:r>
      <w:r w:rsidRPr="008122D5">
        <w:t>47-60.</w:t>
      </w:r>
    </w:p>
    <w:p w14:paraId="0C08413A" w14:textId="679B2F52" w:rsidR="00F03ED3" w:rsidRDefault="0054142D" w:rsidP="00776511">
      <w:pPr>
        <w:jc w:val="both"/>
      </w:pPr>
      <w:r w:rsidRPr="0054142D">
        <w:t xml:space="preserve">Cawthorn, R. G., </w:t>
      </w:r>
      <w:r>
        <w:t xml:space="preserve">and Walraven, F. </w:t>
      </w:r>
      <w:r w:rsidRPr="0054142D">
        <w:t xml:space="preserve">1998. Emplacement and crystallization time for the Bushveld Complex. Journal of Petrology, </w:t>
      </w:r>
      <w:r>
        <w:t xml:space="preserve">Vol. </w:t>
      </w:r>
      <w:r w:rsidRPr="0054142D">
        <w:t xml:space="preserve">39, </w:t>
      </w:r>
      <w:r>
        <w:t xml:space="preserve">pp. </w:t>
      </w:r>
      <w:r w:rsidRPr="0054142D">
        <w:t>1669-1687.</w:t>
      </w:r>
    </w:p>
    <w:p w14:paraId="739558B8" w14:textId="2D958A9F" w:rsidR="00F15D77" w:rsidRDefault="00F15D77" w:rsidP="00776511">
      <w:pPr>
        <w:jc w:val="both"/>
      </w:pPr>
      <w:r w:rsidRPr="00F15D77">
        <w:t xml:space="preserve">Cawthorn, R.G., </w:t>
      </w:r>
      <w:r>
        <w:t>and Webb, S.J.,</w:t>
      </w:r>
      <w:r w:rsidRPr="00F15D77">
        <w:t xml:space="preserve"> 2001. Connectivity between the western and eastern limbs of the Bushveld Complex. Tectonophysics</w:t>
      </w:r>
      <w:r>
        <w:t xml:space="preserve">, Vol. </w:t>
      </w:r>
      <w:r w:rsidRPr="00F15D77">
        <w:t xml:space="preserve">330, </w:t>
      </w:r>
      <w:r>
        <w:t xml:space="preserve">pp. </w:t>
      </w:r>
      <w:r w:rsidRPr="00F15D77">
        <w:t>195–209.</w:t>
      </w:r>
    </w:p>
    <w:p w14:paraId="286EBB95" w14:textId="711FFF62" w:rsidR="00776511" w:rsidRDefault="00776511" w:rsidP="00776511">
      <w:pPr>
        <w:jc w:val="both"/>
      </w:pPr>
      <w:r w:rsidRPr="008C5023">
        <w:t xml:space="preserve">Clarke, B. M., Uken, R., Watkeys, M. K., </w:t>
      </w:r>
      <w:r w:rsidR="00965AEB">
        <w:t>and</w:t>
      </w:r>
      <w:r w:rsidRPr="008C5023">
        <w:t xml:space="preserve"> Reinhardt, J.</w:t>
      </w:r>
      <w:r>
        <w:t>,</w:t>
      </w:r>
      <w:r w:rsidRPr="008C5023">
        <w:t xml:space="preserve"> </w:t>
      </w:r>
      <w:r>
        <w:t>2005</w:t>
      </w:r>
      <w:r w:rsidRPr="008C5023">
        <w:t xml:space="preserve">. Folding of the Rustenburg layered suite adjacent to the Steelpoort pericline: implications for syn-Bushveld tectonism in the eastern Bushveld Complex. South African Journal of Geology, </w:t>
      </w:r>
      <w:r w:rsidR="00EF532A">
        <w:t xml:space="preserve">Vol. </w:t>
      </w:r>
      <w:r w:rsidRPr="008C5023">
        <w:t xml:space="preserve">108, </w:t>
      </w:r>
      <w:r w:rsidR="00EF532A">
        <w:t xml:space="preserve">pp. </w:t>
      </w:r>
      <w:r w:rsidRPr="008C5023">
        <w:t>397-412.</w:t>
      </w:r>
    </w:p>
    <w:p w14:paraId="304AB8A2" w14:textId="4AD66B5C" w:rsidR="00291FB4" w:rsidRDefault="00291FB4" w:rsidP="00776511">
      <w:pPr>
        <w:jc w:val="both"/>
      </w:pPr>
      <w:r>
        <w:t xml:space="preserve">Cox, G. and Montjoie, R., 2014. </w:t>
      </w:r>
      <w:r w:rsidRPr="00291FB4">
        <w:t xml:space="preserve">Note for the Record -  Lesego Platinum Upper Mine (1,200 </w:t>
      </w:r>
      <w:r w:rsidR="00460D7E">
        <w:t>m</w:t>
      </w:r>
      <w:r w:rsidRPr="00291FB4">
        <w:t>) High Level Scoping Report</w:t>
      </w:r>
      <w:r w:rsidR="00460D7E">
        <w:t>. Unpublished internal Lesego company report, 26pp.</w:t>
      </w:r>
    </w:p>
    <w:p w14:paraId="51607D09" w14:textId="32BCEFA8" w:rsidR="000B562F" w:rsidRDefault="000B562F" w:rsidP="00776511">
      <w:pPr>
        <w:jc w:val="both"/>
      </w:pPr>
      <w:r w:rsidRPr="005A1485">
        <w:lastRenderedPageBreak/>
        <w:t xml:space="preserve">Du Plessis, C. P., </w:t>
      </w:r>
      <w:r w:rsidR="00965AEB">
        <w:t xml:space="preserve">and Walraven, F. </w:t>
      </w:r>
      <w:r w:rsidRPr="005A1485">
        <w:t xml:space="preserve">1990. The tectonic setting of the Bushveld Complex in Southern Africa, Part 1. Structural deformation and distribution. Tectonophysics, </w:t>
      </w:r>
      <w:r w:rsidR="00965AEB">
        <w:t xml:space="preserve">Vol. </w:t>
      </w:r>
      <w:r w:rsidRPr="005A1485">
        <w:t xml:space="preserve">179, </w:t>
      </w:r>
      <w:r w:rsidR="00965AEB">
        <w:t xml:space="preserve">pp. </w:t>
      </w:r>
      <w:r w:rsidRPr="005A1485">
        <w:t>305-319.</w:t>
      </w:r>
    </w:p>
    <w:p w14:paraId="3B1F0298" w14:textId="51F33EE3" w:rsidR="00776511" w:rsidRDefault="00776511" w:rsidP="00776511">
      <w:pPr>
        <w:jc w:val="both"/>
      </w:pPr>
      <w:r w:rsidRPr="00357565">
        <w:t>Eales, H. V., Botha, W. J., Hattingh, P. J., De Klerk, W. J., Ma</w:t>
      </w:r>
      <w:r>
        <w:t xml:space="preserve">ier, W. D., </w:t>
      </w:r>
      <w:r w:rsidR="00965AEB">
        <w:t>and</w:t>
      </w:r>
      <w:r>
        <w:t xml:space="preserve"> Odgers, A. T. R., </w:t>
      </w:r>
      <w:r w:rsidRPr="00357565">
        <w:t xml:space="preserve">1993. The mafic rocks of the Bushveld Complex: a review of emplacement and crystallization history, and </w:t>
      </w:r>
      <w:r w:rsidR="00AF2AFC">
        <w:t>mineralisation</w:t>
      </w:r>
      <w:r w:rsidRPr="00357565">
        <w:t xml:space="preserve">, in the light of recent data. Journal of African Earth Sciences (and the Middle East), </w:t>
      </w:r>
      <w:r w:rsidR="00965AEB">
        <w:t xml:space="preserve">Vol. </w:t>
      </w:r>
      <w:r w:rsidRPr="00357565">
        <w:t>16, 121-142.</w:t>
      </w:r>
    </w:p>
    <w:p w14:paraId="2FB3554A" w14:textId="3A802E61" w:rsidR="00776511" w:rsidRDefault="00776511" w:rsidP="00776511">
      <w:r>
        <w:t xml:space="preserve">Eales, H.V. and Cawthorn, R.G., 1996. The Bushveld Complex. In: Cawthorn, R.G. (Editor) Layered Intrusions. Elsevier, Amsterdam, </w:t>
      </w:r>
      <w:r w:rsidR="00965AEB">
        <w:t xml:space="preserve">pp. </w:t>
      </w:r>
      <w:r>
        <w:t>191-229.</w:t>
      </w:r>
    </w:p>
    <w:p w14:paraId="0DDBCA15" w14:textId="43798BFC" w:rsidR="00776511" w:rsidRDefault="00776511" w:rsidP="00776511">
      <w:pPr>
        <w:jc w:val="both"/>
      </w:pPr>
      <w:r>
        <w:t xml:space="preserve">Finn, C.A., Bedrosian, P.A., Cole, J.C., Khoza, T.D., Webb, S.J., 2015. Mapping the 3-D extent of the Northern Lobe of the Bushveld layered mafic intrusion from geophysical data, Precambrian Research, </w:t>
      </w:r>
      <w:r w:rsidR="00965AEB">
        <w:t xml:space="preserve">Vol. </w:t>
      </w:r>
      <w:r>
        <w:t xml:space="preserve">268, </w:t>
      </w:r>
      <w:r w:rsidR="00965AEB">
        <w:t xml:space="preserve">pp. </w:t>
      </w:r>
      <w:r>
        <w:t>279 - 294.</w:t>
      </w:r>
    </w:p>
    <w:p w14:paraId="43E44512" w14:textId="3C9976FF" w:rsidR="00776511" w:rsidRDefault="00776511" w:rsidP="00776511">
      <w:pPr>
        <w:jc w:val="both"/>
      </w:pPr>
      <w:r>
        <w:t xml:space="preserve">Forrest, S., Clarke, B. and Trickey, S., 2013. </w:t>
      </w:r>
      <w:r w:rsidRPr="0065344D">
        <w:t>Competitiveness, strategic appraisal and valuation of the Lesego Platinum project</w:t>
      </w:r>
      <w:r>
        <w:t>. SFA Oxford Consultant Report. Unpublished internal Lesego company report. 41</w:t>
      </w:r>
      <w:r w:rsidR="00EF532A">
        <w:t xml:space="preserve"> </w:t>
      </w:r>
      <w:r>
        <w:t>pp.</w:t>
      </w:r>
    </w:p>
    <w:p w14:paraId="273A9B48" w14:textId="3B9A5670" w:rsidR="00776511" w:rsidRDefault="00776511" w:rsidP="00776511">
      <w:pPr>
        <w:jc w:val="both"/>
      </w:pPr>
      <w:r w:rsidRPr="00F74409">
        <w:t>Gerya, T. V., Uken, R., Reinhardt, J., Watkeys, M. K., M</w:t>
      </w:r>
      <w:r>
        <w:t xml:space="preserve">aresch, W. V., </w:t>
      </w:r>
      <w:r w:rsidR="00965AEB">
        <w:t>and</w:t>
      </w:r>
      <w:r>
        <w:t xml:space="preserve"> Clarke, B. M., </w:t>
      </w:r>
      <w:r w:rsidRPr="00F74409">
        <w:t xml:space="preserve">2003. Cold fingers in a hot magma: Numerical modeling of country-rock diapirs in the Bushveld Complex, South Africa. Geology, </w:t>
      </w:r>
      <w:r w:rsidR="00965AEB">
        <w:t xml:space="preserve">Vol. </w:t>
      </w:r>
      <w:r w:rsidRPr="00F74409">
        <w:t xml:space="preserve">31, </w:t>
      </w:r>
      <w:r w:rsidR="00965AEB">
        <w:t xml:space="preserve">pp. </w:t>
      </w:r>
      <w:r w:rsidRPr="00F74409">
        <w:t>753-756.</w:t>
      </w:r>
    </w:p>
    <w:p w14:paraId="0E63E789" w14:textId="3B4A0D68" w:rsidR="00776511" w:rsidRDefault="00776511" w:rsidP="00776511">
      <w:pPr>
        <w:jc w:val="both"/>
      </w:pPr>
      <w:r>
        <w:t xml:space="preserve">Hall, M., 2013. Phosiri Project </w:t>
      </w:r>
      <w:r w:rsidRPr="00CE0905">
        <w:t>Mineral Resources Methodology Report</w:t>
      </w:r>
      <w:r>
        <w:t>, MSA Groupservices. Unpublished internal Lesego company report, 33</w:t>
      </w:r>
      <w:r w:rsidR="00EF532A">
        <w:t xml:space="preserve"> </w:t>
      </w:r>
      <w:r>
        <w:t>pp.</w:t>
      </w:r>
    </w:p>
    <w:p w14:paraId="5BD97847" w14:textId="148FEE06" w:rsidR="00FB0807" w:rsidRDefault="0095598E" w:rsidP="00776511">
      <w:pPr>
        <w:jc w:val="both"/>
      </w:pPr>
      <w:bookmarkStart w:id="139" w:name="_Hlk507335867"/>
      <w:r w:rsidRPr="0095598E">
        <w:t xml:space="preserve">Hatton, C. J., </w:t>
      </w:r>
      <w:r w:rsidR="00965AEB">
        <w:t>and</w:t>
      </w:r>
      <w:r w:rsidRPr="0095598E">
        <w:t xml:space="preserve"> </w:t>
      </w:r>
      <w:r w:rsidR="007F30D2">
        <w:t>von</w:t>
      </w:r>
      <w:r w:rsidRPr="0095598E">
        <w:t xml:space="preserve"> Gruenewaldt, G.</w:t>
      </w:r>
      <w:r w:rsidR="00965AEB">
        <w:t>,</w:t>
      </w:r>
      <w:r w:rsidRPr="0095598E">
        <w:t xml:space="preserve"> 198</w:t>
      </w:r>
      <w:r w:rsidR="00700F9F">
        <w:t>7</w:t>
      </w:r>
      <w:r w:rsidRPr="0095598E">
        <w:t>. The geological setting and petrogenesis of the Bushveld chromitite layers (pp. 109-143). Van Nostrand Reinhold Company, New York.</w:t>
      </w:r>
    </w:p>
    <w:bookmarkEnd w:id="139"/>
    <w:p w14:paraId="0BB00D96" w14:textId="4D47CAC3" w:rsidR="00700F9F" w:rsidRDefault="00700F9F" w:rsidP="00700F9F">
      <w:pPr>
        <w:jc w:val="both"/>
      </w:pPr>
      <w:r>
        <w:t>Hay, M. 2013. Analysis of Flotation Test Work and Simulation of Production Plant Flotation Performance for Lesego Platinum Merensky and UG2 Ores. Eurus Mineral Consultants. Unpublished internal Lesego company report LPM2/2013, 143</w:t>
      </w:r>
      <w:r w:rsidR="00EF532A">
        <w:t xml:space="preserve"> </w:t>
      </w:r>
      <w:r>
        <w:t>pp.</w:t>
      </w:r>
    </w:p>
    <w:p w14:paraId="17BE52A7" w14:textId="1E2301C9" w:rsidR="00AA57F7" w:rsidRDefault="00AA57F7" w:rsidP="00AA57F7">
      <w:pPr>
        <w:jc w:val="both"/>
      </w:pPr>
      <w:r>
        <w:t>Ingram, R.H., and Keenan, J.</w:t>
      </w:r>
      <w:r w:rsidR="00965AEB">
        <w:t>,</w:t>
      </w:r>
      <w:r>
        <w:t xml:space="preserve"> 1982</w:t>
      </w:r>
      <w:r w:rsidR="00965AEB">
        <w:t>.</w:t>
      </w:r>
      <w:r>
        <w:t xml:space="preserve"> Final report on the exploration of the farms Eerste Regt 502 KS, Paradys 773 and Government Ground, Sekhukhuneland, Lebowa, and the farms Fortdraai 517, Zwarthoek 501, Crocodilwal 518, Spelonk 478 KS, Koppieskraal 475 KS and Oliphantspoort 479 KS, Thabamoopo District, Lebowa. Report for Anglovaal DGM/RHI/JK/40 dated 5th January 1982 7</w:t>
      </w:r>
      <w:r w:rsidR="00EF532A">
        <w:t xml:space="preserve"> </w:t>
      </w:r>
      <w:r w:rsidR="00965AEB">
        <w:t>pp</w:t>
      </w:r>
      <w:r>
        <w:t>.</w:t>
      </w:r>
    </w:p>
    <w:p w14:paraId="29B62619" w14:textId="094B887A" w:rsidR="00776511" w:rsidRDefault="00776511" w:rsidP="00776511">
      <w:pPr>
        <w:jc w:val="both"/>
      </w:pPr>
      <w:r w:rsidRPr="006523A9">
        <w:t xml:space="preserve">Ireland, R. H., </w:t>
      </w:r>
      <w:r w:rsidR="00965AEB">
        <w:t>and</w:t>
      </w:r>
      <w:r w:rsidRPr="006523A9">
        <w:t xml:space="preserve"> Penniston-Dorland, S</w:t>
      </w:r>
      <w:r>
        <w:t>. C., 2015</w:t>
      </w:r>
      <w:r w:rsidRPr="006523A9">
        <w:t xml:space="preserve">. Chemical interactions between a sedimentary diapir and surrounding magma: Evidence from the Phepane Dome and Bushveld Complex, South Africa. American Mineralogist, </w:t>
      </w:r>
      <w:r w:rsidR="00965AEB">
        <w:t xml:space="preserve">Vol. </w:t>
      </w:r>
      <w:r w:rsidRPr="006523A9">
        <w:t xml:space="preserve">100, </w:t>
      </w:r>
      <w:r w:rsidR="00965AEB">
        <w:t xml:space="preserve">pp. </w:t>
      </w:r>
      <w:r w:rsidRPr="006523A9">
        <w:t>1985-2000.</w:t>
      </w:r>
    </w:p>
    <w:p w14:paraId="4BE050D1" w14:textId="69FFFC33" w:rsidR="00776511" w:rsidRDefault="00776511" w:rsidP="00776511">
      <w:pPr>
        <w:jc w:val="both"/>
      </w:pPr>
      <w:r w:rsidRPr="00F479CD">
        <w:rPr>
          <w:rFonts w:hint="eastAsia"/>
        </w:rPr>
        <w:t xml:space="preserve">Johnson, T., Brown, M., Gibson, R., </w:t>
      </w:r>
      <w:r w:rsidR="00965AEB">
        <w:rPr>
          <w:rFonts w:hint="eastAsia"/>
        </w:rPr>
        <w:t>and</w:t>
      </w:r>
      <w:r w:rsidRPr="00F479CD">
        <w:rPr>
          <w:rFonts w:hint="eastAsia"/>
        </w:rPr>
        <w:t xml:space="preserve"> Wing, B.</w:t>
      </w:r>
      <w:r>
        <w:t>,</w:t>
      </w:r>
      <w:r>
        <w:rPr>
          <w:rFonts w:hint="eastAsia"/>
        </w:rPr>
        <w:t xml:space="preserve"> </w:t>
      </w:r>
      <w:r w:rsidRPr="00F479CD">
        <w:rPr>
          <w:rFonts w:hint="eastAsia"/>
        </w:rPr>
        <w:t>2004. Spinel</w:t>
      </w:r>
      <w:r>
        <w:t xml:space="preserve"> </w:t>
      </w:r>
      <w:r>
        <w:rPr>
          <w:rFonts w:eastAsia="MS Mincho" w:hint="eastAsia"/>
        </w:rPr>
        <w:t xml:space="preserve">- </w:t>
      </w:r>
      <w:r w:rsidRPr="00F479CD">
        <w:rPr>
          <w:rFonts w:hint="eastAsia"/>
        </w:rPr>
        <w:t xml:space="preserve">cordierite symplectites replacing andalusite: evidence for melt‐assisted diapirism in the Bushveld Complex, South Africa. Journal of Metamorphic Geology, </w:t>
      </w:r>
      <w:r w:rsidR="00965AEB">
        <w:t xml:space="preserve">Vol. </w:t>
      </w:r>
      <w:r w:rsidRPr="00F479CD">
        <w:rPr>
          <w:rFonts w:hint="eastAsia"/>
        </w:rPr>
        <w:t xml:space="preserve">22, </w:t>
      </w:r>
      <w:r w:rsidR="00965AEB">
        <w:t xml:space="preserve">pp. </w:t>
      </w:r>
      <w:r w:rsidRPr="00F479CD">
        <w:rPr>
          <w:rFonts w:hint="eastAsia"/>
        </w:rPr>
        <w:t>529-545.</w:t>
      </w:r>
    </w:p>
    <w:p w14:paraId="7789438E" w14:textId="77F7AD0B" w:rsidR="00776511" w:rsidRDefault="00776511" w:rsidP="00776511">
      <w:pPr>
        <w:jc w:val="both"/>
      </w:pPr>
      <w:r>
        <w:t>King, H.L., Petit, P.J., Barends, R., 2011. An Independent National Instrument 43-101 Technical Report on the Mooiplats PGE Project, Limpopo Province, South Africa, On behalf of SAMDC (Pty) Ltd. Unpublished</w:t>
      </w:r>
      <w:r w:rsidR="00965AEB">
        <w:t xml:space="preserve"> report</w:t>
      </w:r>
      <w:r>
        <w:t>, 90</w:t>
      </w:r>
      <w:r w:rsidR="00EF532A">
        <w:t xml:space="preserve"> </w:t>
      </w:r>
      <w:r>
        <w:t>pp.</w:t>
      </w:r>
    </w:p>
    <w:p w14:paraId="47DC888E" w14:textId="47A5EA15" w:rsidR="00E91A65" w:rsidRDefault="00E91A65" w:rsidP="00776511">
      <w:pPr>
        <w:jc w:val="both"/>
      </w:pPr>
      <w:r w:rsidRPr="00134CEB">
        <w:lastRenderedPageBreak/>
        <w:t xml:space="preserve">Kinloch, E. D., </w:t>
      </w:r>
      <w:r w:rsidR="00965AEB">
        <w:t>and</w:t>
      </w:r>
      <w:r w:rsidRPr="00134CEB">
        <w:t xml:space="preserve"> Peyerl, W.</w:t>
      </w:r>
      <w:r>
        <w:t>,</w:t>
      </w:r>
      <w:r w:rsidRPr="00134CEB">
        <w:t xml:space="preserve"> 1990</w:t>
      </w:r>
      <w:r>
        <w:t>.</w:t>
      </w:r>
      <w:r w:rsidRPr="00134CEB">
        <w:t xml:space="preserve"> Platinum-group minerals in various rock types of the Merensky Reef; genetic implications. Economic Geology, </w:t>
      </w:r>
      <w:r w:rsidR="00965AEB">
        <w:t xml:space="preserve">Vol. </w:t>
      </w:r>
      <w:r w:rsidRPr="00134CEB">
        <w:t xml:space="preserve">85, </w:t>
      </w:r>
      <w:r w:rsidR="00965AEB">
        <w:t xml:space="preserve">pp. </w:t>
      </w:r>
      <w:r w:rsidRPr="00134CEB">
        <w:t>537-555</w:t>
      </w:r>
      <w:r w:rsidR="00965AEB">
        <w:t>.</w:t>
      </w:r>
    </w:p>
    <w:p w14:paraId="67F1926C" w14:textId="3FC09380" w:rsidR="00776511" w:rsidRDefault="00776511" w:rsidP="00776511">
      <w:pPr>
        <w:jc w:val="both"/>
      </w:pPr>
      <w:r>
        <w:t xml:space="preserve">Kinnaird, J. A., Kruger, F.J., Nex, P.A. and Cawthorn, R.G., 2002. Chromitites of the Bushveld Complex – processes of formation and PGE enrichment. University of the Witwatersrand Economic Geology Research Institute Information Circular No. 369, </w:t>
      </w:r>
      <w:r w:rsidR="00965AEB">
        <w:t xml:space="preserve">pp. </w:t>
      </w:r>
      <w:r>
        <w:t xml:space="preserve">1 – 22. </w:t>
      </w:r>
    </w:p>
    <w:p w14:paraId="398B328B" w14:textId="3E1B677F" w:rsidR="00776511" w:rsidRDefault="00776511" w:rsidP="00776511">
      <w:pPr>
        <w:jc w:val="both"/>
      </w:pPr>
      <w:r>
        <w:t>Kruger, F.J., 1990. The stratigraphy of the Bushveld Complex: a reappraisal and relocation of the Main Zone boundaries. S</w:t>
      </w:r>
      <w:r w:rsidR="00965AEB">
        <w:t xml:space="preserve">outh African Journal of Geology, Vol. </w:t>
      </w:r>
      <w:r>
        <w:t xml:space="preserve">93, </w:t>
      </w:r>
      <w:r w:rsidR="00965AEB">
        <w:t xml:space="preserve">pp. </w:t>
      </w:r>
      <w:r>
        <w:t>376-381</w:t>
      </w:r>
      <w:r w:rsidR="00965AEB">
        <w:t>.</w:t>
      </w:r>
    </w:p>
    <w:p w14:paraId="7632AC4E" w14:textId="5BBF3DB2" w:rsidR="004110C4" w:rsidRDefault="004110C4" w:rsidP="00776511">
      <w:pPr>
        <w:jc w:val="both"/>
      </w:pPr>
      <w:r w:rsidRPr="004110C4">
        <w:t>Kruger, F. J.</w:t>
      </w:r>
      <w:r w:rsidR="00965AEB">
        <w:t>,</w:t>
      </w:r>
      <w:r w:rsidRPr="004110C4">
        <w:t xml:space="preserve"> 2005. Filling the Bushveld Complex magma chamber: lateral expansion, roof and floor interaction, magmatic unconformities, and the formation of giant chromitite, PGE and Ti-V-magnetitite deposits. Mineralium Deposita, </w:t>
      </w:r>
      <w:r w:rsidR="00965AEB">
        <w:t>Vol. 40</w:t>
      </w:r>
      <w:r w:rsidRPr="004110C4">
        <w:t xml:space="preserve">, </w:t>
      </w:r>
      <w:r w:rsidR="00965AEB">
        <w:t xml:space="preserve">pp. </w:t>
      </w:r>
      <w:r w:rsidRPr="004110C4">
        <w:t>451-472.</w:t>
      </w:r>
    </w:p>
    <w:p w14:paraId="2C1EDB42" w14:textId="33222B8C" w:rsidR="00776511" w:rsidRDefault="00776511" w:rsidP="00776511">
      <w:pPr>
        <w:jc w:val="both"/>
      </w:pPr>
      <w:r w:rsidRPr="00364FCC">
        <w:t>Lea, S. D.</w:t>
      </w:r>
      <w:r>
        <w:t>,</w:t>
      </w:r>
      <w:r w:rsidRPr="00364FCC">
        <w:t xml:space="preserve"> 1996. The geology of the Upper Critical zone, northeastern Bushveld Complex. South African Journal of Geology, </w:t>
      </w:r>
      <w:r w:rsidR="00965AEB">
        <w:t xml:space="preserve">Vol. </w:t>
      </w:r>
      <w:r w:rsidRPr="00364FCC">
        <w:t xml:space="preserve">99, </w:t>
      </w:r>
      <w:r w:rsidR="00965AEB">
        <w:t xml:space="preserve">pp. </w:t>
      </w:r>
      <w:r w:rsidRPr="00364FCC">
        <w:t>263-283.</w:t>
      </w:r>
    </w:p>
    <w:p w14:paraId="6D7D2158" w14:textId="3BB974F2" w:rsidR="00337384" w:rsidRDefault="00337384" w:rsidP="00965AEB">
      <w:pPr>
        <w:jc w:val="both"/>
      </w:pPr>
      <w:r w:rsidRPr="003A2D71">
        <w:t xml:space="preserve">Longridge, L., Gibson, R. L., </w:t>
      </w:r>
      <w:r w:rsidR="00965AEB">
        <w:t xml:space="preserve">and Nex, P. A., </w:t>
      </w:r>
      <w:r w:rsidRPr="003A2D71">
        <w:t xml:space="preserve">2009. Structural controls on melt segregation and migration related to the formation of the diapiric Schwerin Fold in the contact aureole of the Bushveld Complex, South Africa. Earth and Environmental Science Transactions of The Royal Society of Edinburgh, </w:t>
      </w:r>
      <w:r w:rsidR="00965AEB">
        <w:t xml:space="preserve">Vol. </w:t>
      </w:r>
      <w:r w:rsidRPr="003A2D71">
        <w:t>100,</w:t>
      </w:r>
      <w:r w:rsidR="00965AEB">
        <w:t xml:space="preserve"> pp.</w:t>
      </w:r>
      <w:r w:rsidRPr="003A2D71">
        <w:t xml:space="preserve"> 61-76.</w:t>
      </w:r>
    </w:p>
    <w:p w14:paraId="684FCF60" w14:textId="512588D0" w:rsidR="00EF532A" w:rsidRDefault="00EF532A" w:rsidP="00EF532A">
      <w:pPr>
        <w:jc w:val="both"/>
      </w:pPr>
      <w:r w:rsidRPr="00AB45ED">
        <w:t>Martin, L. E.</w:t>
      </w:r>
      <w:r>
        <w:t>,</w:t>
      </w:r>
      <w:r w:rsidRPr="00AB45ED">
        <w:t xml:space="preserve"> 2011</w:t>
      </w:r>
      <w:r>
        <w:t>,</w:t>
      </w:r>
      <w:r w:rsidRPr="00AB45ED">
        <w:t xml:space="preserve"> The attenuation of the main zone at the Phosiri Dome, Bushveld Complex</w:t>
      </w:r>
      <w:r>
        <w:t>:</w:t>
      </w:r>
      <w:r w:rsidRPr="00AB45ED">
        <w:t xml:space="preserve"> </w:t>
      </w:r>
      <w:r>
        <w:t>Unpublished M.Sc. Thesis, Johannesburg, South Africa, University of the Witwatersrand, 209 pp</w:t>
      </w:r>
      <w:r w:rsidRPr="00AB45ED">
        <w:t>.</w:t>
      </w:r>
    </w:p>
    <w:p w14:paraId="39CD6A88" w14:textId="1FE5C7E6" w:rsidR="006E45A0" w:rsidRDefault="006E45A0" w:rsidP="00EF532A">
      <w:pPr>
        <w:jc w:val="both"/>
      </w:pPr>
      <w:r w:rsidRPr="009435C9">
        <w:t xml:space="preserve">Mitchell, A. A., </w:t>
      </w:r>
      <w:r w:rsidR="00965AEB">
        <w:t>and</w:t>
      </w:r>
      <w:r w:rsidRPr="009435C9">
        <w:t xml:space="preserve"> Scoon, R. N.</w:t>
      </w:r>
      <w:r>
        <w:t>,</w:t>
      </w:r>
      <w:r w:rsidRPr="009435C9">
        <w:t xml:space="preserve"> 2007</w:t>
      </w:r>
      <w:r>
        <w:t>.</w:t>
      </w:r>
      <w:r w:rsidRPr="009435C9">
        <w:t xml:space="preserve"> The Merensky Reef at Winnaarshoek, Eastern Bushveld Complex: a primary magmatic hypothesis based on a wide reef facies. Economic Geology, </w:t>
      </w:r>
      <w:r w:rsidR="00EF532A">
        <w:t xml:space="preserve">Vol. </w:t>
      </w:r>
      <w:r w:rsidRPr="009435C9">
        <w:t xml:space="preserve">102, </w:t>
      </w:r>
      <w:r w:rsidR="00EF532A">
        <w:t xml:space="preserve">pp. </w:t>
      </w:r>
      <w:r w:rsidRPr="009435C9">
        <w:t>971-1009.</w:t>
      </w:r>
    </w:p>
    <w:p w14:paraId="3629DB30" w14:textId="2EC85394" w:rsidR="00B90169" w:rsidRDefault="00B90169" w:rsidP="00B90169">
      <w:pPr>
        <w:jc w:val="both"/>
      </w:pPr>
      <w:r>
        <w:t>Molyneux, T.G., 1974. A geological investigation of the Bushveld Complex in Sekhukhuneland and part of the Steelpoort valley: Geological Society</w:t>
      </w:r>
      <w:r w:rsidR="00EF532A">
        <w:t xml:space="preserve"> of South Africa Transactions, Vol.</w:t>
      </w:r>
      <w:r>
        <w:t xml:space="preserve"> 77, </w:t>
      </w:r>
      <w:r w:rsidR="00EF532A">
        <w:t>pp. 321-</w:t>
      </w:r>
      <w:r>
        <w:t>328</w:t>
      </w:r>
      <w:r w:rsidR="00EF532A">
        <w:t>.</w:t>
      </w:r>
    </w:p>
    <w:p w14:paraId="707D7F06" w14:textId="15E49317" w:rsidR="009F2930" w:rsidRDefault="009F2930" w:rsidP="009F2930">
      <w:pPr>
        <w:jc w:val="both"/>
      </w:pPr>
      <w:r>
        <w:t>Molyneux, T.G., and Klinkert, P.S.</w:t>
      </w:r>
      <w:r w:rsidR="006E45A0">
        <w:t>,</w:t>
      </w:r>
      <w:r>
        <w:t xml:space="preserve"> 1978 A structural interpretation of part of the eastern mafic lobe of the Bushveld Complex and its surrounds. Transactions of the Geological Society of South Africa. </w:t>
      </w:r>
      <w:r w:rsidR="00EF532A">
        <w:t xml:space="preserve">Vol. 81, pp. </w:t>
      </w:r>
      <w:r>
        <w:t>359-368.</w:t>
      </w:r>
    </w:p>
    <w:p w14:paraId="12EAA955" w14:textId="5619CEC4" w:rsidR="00EF532A" w:rsidRDefault="00EF532A" w:rsidP="00EF532A">
      <w:pPr>
        <w:jc w:val="both"/>
      </w:pPr>
      <w:r w:rsidRPr="003E7CC4">
        <w:t>Mossom, R. J.</w:t>
      </w:r>
      <w:r>
        <w:t>,</w:t>
      </w:r>
      <w:r w:rsidRPr="003E7CC4">
        <w:t xml:space="preserve"> 1986</w:t>
      </w:r>
      <w:r>
        <w:t>, The Atok platinum mine, in Anhaeusser, C.R., and Maske, S., (Editors),</w:t>
      </w:r>
      <w:r w:rsidRPr="003E7CC4">
        <w:t xml:space="preserve"> Mineral deposits of </w:t>
      </w:r>
      <w:r>
        <w:t>s</w:t>
      </w:r>
      <w:r w:rsidRPr="003E7CC4">
        <w:t>outhern Africa</w:t>
      </w:r>
      <w:r>
        <w:t xml:space="preserve">, </w:t>
      </w:r>
      <w:r w:rsidRPr="003E7CC4">
        <w:t>Geol</w:t>
      </w:r>
      <w:r>
        <w:t>ogical</w:t>
      </w:r>
      <w:r w:rsidRPr="003E7CC4">
        <w:t xml:space="preserve"> Soc</w:t>
      </w:r>
      <w:r>
        <w:t>iety of South Africa</w:t>
      </w:r>
      <w:r w:rsidRPr="003E7CC4">
        <w:t xml:space="preserve">, Johannesburg, </w:t>
      </w:r>
      <w:r>
        <w:t>v. 2, pp.</w:t>
      </w:r>
      <w:r w:rsidRPr="003E7CC4">
        <w:t xml:space="preserve"> </w:t>
      </w:r>
      <w:r>
        <w:t>1127-1139</w:t>
      </w:r>
      <w:r w:rsidRPr="003E7CC4">
        <w:t>.</w:t>
      </w:r>
    </w:p>
    <w:p w14:paraId="234CDD31" w14:textId="423C39C3" w:rsidR="00776511" w:rsidRDefault="00776511" w:rsidP="00776511">
      <w:pPr>
        <w:jc w:val="both"/>
      </w:pPr>
      <w:r>
        <w:t>Njowa, G., and Clay, A. N., 2010. Independent competent persons report on the Phosiri Platinum Project, Venmyn Rand Limited</w:t>
      </w:r>
      <w:r w:rsidR="00EF532A">
        <w:t>.</w:t>
      </w:r>
      <w:r>
        <w:t xml:space="preserve"> Unpublished Internal Lesego Company Report, 90</w:t>
      </w:r>
      <w:r w:rsidR="00EF532A">
        <w:t xml:space="preserve"> </w:t>
      </w:r>
      <w:r>
        <w:t>pp.</w:t>
      </w:r>
    </w:p>
    <w:p w14:paraId="76EA304E" w14:textId="7FB9EB1D" w:rsidR="00DE7A33" w:rsidRDefault="00DE7A33" w:rsidP="00DE7A33">
      <w:pPr>
        <w:jc w:val="both"/>
      </w:pPr>
      <w:r>
        <w:t>Nex, P.A., Kinnaird, J.A., Ingle, L.J., van der Vyver, B.A., and Cawthorn, R.G.</w:t>
      </w:r>
      <w:r w:rsidR="006E45A0">
        <w:t>,</w:t>
      </w:r>
      <w:r>
        <w:t xml:space="preserve"> 1998</w:t>
      </w:r>
      <w:r w:rsidR="006E45A0">
        <w:t>.</w:t>
      </w:r>
      <w:r>
        <w:t xml:space="preserve"> A new stratigraphy for the Main Zone of the Bushveld Complex, in the Rustenburg area. South African Journal of Geology. </w:t>
      </w:r>
      <w:r w:rsidR="00EF532A">
        <w:t xml:space="preserve">Vol. </w:t>
      </w:r>
      <w:r>
        <w:t>101</w:t>
      </w:r>
      <w:r w:rsidR="00EF532A">
        <w:t>, pp.</w:t>
      </w:r>
      <w:r>
        <w:t xml:space="preserve"> 215-223.</w:t>
      </w:r>
    </w:p>
    <w:p w14:paraId="7D4324E7" w14:textId="7192334A" w:rsidR="006E45A0" w:rsidRDefault="006E45A0" w:rsidP="006E45A0">
      <w:pPr>
        <w:jc w:val="both"/>
      </w:pPr>
      <w:r>
        <w:t>Price. J., 2015. PGM Distribution and Reef Characterisation of the Merensky Reef at the Phosiri Dome, Bushveld Complex, South Africa. Unpublished M.Sc. Thesis, Cardiff, United Kingdom, Cardiff University, 123 p</w:t>
      </w:r>
      <w:r w:rsidR="00EF532A">
        <w:t>p</w:t>
      </w:r>
      <w:r>
        <w:t>.</w:t>
      </w:r>
    </w:p>
    <w:p w14:paraId="03DECACB" w14:textId="286B38F5" w:rsidR="006E45A0" w:rsidRDefault="006E45A0" w:rsidP="00DE7A33">
      <w:pPr>
        <w:jc w:val="both"/>
      </w:pPr>
      <w:r>
        <w:lastRenderedPageBreak/>
        <w:t xml:space="preserve">Prichard, H.M., Barnes, S.-J., Maier, W.D. </w:t>
      </w:r>
      <w:r w:rsidR="00965AEB">
        <w:t>and</w:t>
      </w:r>
      <w:r>
        <w:t xml:space="preserve"> Fisher, P.C., 2004. Variations in the nature of the platinum-group minerals in a cross section through the Merensky Reef at Impala platinum mines: implications for the mode of formation of the reef. Canadian Mineralogist, </w:t>
      </w:r>
      <w:r w:rsidR="00EF532A">
        <w:t xml:space="preserve">Vol. </w:t>
      </w:r>
      <w:r>
        <w:t>42. p</w:t>
      </w:r>
      <w:r w:rsidR="00EF532A">
        <w:t>p</w:t>
      </w:r>
      <w:r>
        <w:t>. 423-427.</w:t>
      </w:r>
    </w:p>
    <w:p w14:paraId="56CE564C" w14:textId="31E8E285" w:rsidR="00776511" w:rsidRDefault="00776511" w:rsidP="00776511">
      <w:pPr>
        <w:jc w:val="both"/>
      </w:pPr>
      <w:r>
        <w:t>South Afr</w:t>
      </w:r>
      <w:r w:rsidR="00EF532A">
        <w:t>ican Committee for Stratigraphy</w:t>
      </w:r>
      <w:r>
        <w:t>, 1980. Stratigraphy of South Africa. Part 1: Lithostratigraphy of the Republic of South Africa, South West Africa/Namibia, and the republics of Bophuthatswana, Transkei and Venda (L.E. Kent, Comp</w:t>
      </w:r>
      <w:r w:rsidR="00EF532A">
        <w:t>iler</w:t>
      </w:r>
      <w:r>
        <w:t xml:space="preserve">). Geological survey of South Africa, Pretoria, </w:t>
      </w:r>
      <w:r w:rsidR="00EF532A">
        <w:t xml:space="preserve">Handbook </w:t>
      </w:r>
      <w:r>
        <w:t xml:space="preserve"> 8, 690</w:t>
      </w:r>
      <w:r w:rsidR="00EF532A">
        <w:t xml:space="preserve"> pp</w:t>
      </w:r>
      <w:r>
        <w:t>.</w:t>
      </w:r>
    </w:p>
    <w:p w14:paraId="796723E2" w14:textId="32A54F2F" w:rsidR="006E45A0" w:rsidRDefault="006E45A0" w:rsidP="006E45A0">
      <w:pPr>
        <w:jc w:val="both"/>
      </w:pPr>
      <w:r>
        <w:t>Schürmann, L.W., Grabe, P.-J. and Steenkamp, C.J., 1998, Chromium. In: Wilson, M.G.C. and Anhaeusser, C.R. (Ed</w:t>
      </w:r>
      <w:r w:rsidR="00EF532A">
        <w:t>itor</w:t>
      </w:r>
      <w:r>
        <w:t xml:space="preserve">s), The Mineral Resources of South Africa. Handbook, Council for Geoscience, </w:t>
      </w:r>
      <w:r w:rsidR="00EF532A">
        <w:t xml:space="preserve">Vol. </w:t>
      </w:r>
      <w:r>
        <w:t>16, pp. 90–105.</w:t>
      </w:r>
    </w:p>
    <w:p w14:paraId="44D195F9" w14:textId="09A67C80" w:rsidR="00776511" w:rsidRDefault="00776511" w:rsidP="00776511">
      <w:pPr>
        <w:jc w:val="both"/>
      </w:pPr>
      <w:r w:rsidRPr="003B6FB5">
        <w:t xml:space="preserve">Scoates, J. S., </w:t>
      </w:r>
      <w:r w:rsidR="00965AEB">
        <w:t>and</w:t>
      </w:r>
      <w:r w:rsidRPr="003B6FB5">
        <w:t xml:space="preserve"> Friedman, R. M.</w:t>
      </w:r>
      <w:r>
        <w:t>,</w:t>
      </w:r>
      <w:r w:rsidRPr="003B6FB5">
        <w:t xml:space="preserve"> 2008. Precise age of the platiniferous Merensky Reef, Bushveld Complex, South Africa, by the U-Pb zircon chemical abrasion ID-TIMS technique. Economic Geology, </w:t>
      </w:r>
      <w:r w:rsidR="00EF532A">
        <w:t xml:space="preserve">Vol. </w:t>
      </w:r>
      <w:r w:rsidRPr="003B6FB5">
        <w:t xml:space="preserve">103, </w:t>
      </w:r>
      <w:r w:rsidR="00EF532A">
        <w:t xml:space="preserve">pp. </w:t>
      </w:r>
      <w:r w:rsidRPr="003B6FB5">
        <w:t>465-471.</w:t>
      </w:r>
      <w:r w:rsidRPr="007C380B">
        <w:t xml:space="preserve"> </w:t>
      </w:r>
    </w:p>
    <w:p w14:paraId="37734EAB" w14:textId="1812389C" w:rsidR="00776511" w:rsidRDefault="00776511" w:rsidP="00776511">
      <w:pPr>
        <w:jc w:val="both"/>
      </w:pPr>
      <w:r w:rsidRPr="007C380B">
        <w:t>Scoon, R. N.</w:t>
      </w:r>
      <w:r>
        <w:t>,</w:t>
      </w:r>
      <w:r w:rsidRPr="007C380B">
        <w:t xml:space="preserve"> 2002. A new occurrence of Merensky Reef on the flanks of the Zaaikloof dome, northeastern Bushveld Complex: Relationship between diapirism and magma replenishment. Economic Geology, </w:t>
      </w:r>
      <w:r w:rsidR="00EF532A">
        <w:t xml:space="preserve">Vol. </w:t>
      </w:r>
      <w:r w:rsidRPr="007C380B">
        <w:t xml:space="preserve">97, </w:t>
      </w:r>
      <w:r w:rsidR="00EF532A">
        <w:t xml:space="preserve">pp. </w:t>
      </w:r>
      <w:r w:rsidRPr="007C380B">
        <w:t>1037-1049.</w:t>
      </w:r>
    </w:p>
    <w:p w14:paraId="5D9DCE76" w14:textId="2CB14E22" w:rsidR="00776511" w:rsidRDefault="00776511" w:rsidP="00776511">
      <w:pPr>
        <w:jc w:val="both"/>
      </w:pPr>
      <w:r>
        <w:t>Schwellnus, J.S.I., Engelbrecht, L.N.J., Coertze, F.J., Russell, M.D., Maherbe, S.J., van Rooyen, D.P., and Cooke, R., 1962</w:t>
      </w:r>
      <w:r w:rsidR="006E45A0">
        <w:t>.</w:t>
      </w:r>
      <w:r>
        <w:t xml:space="preserve"> The geology of the Olifants River area, Transvaal: Geological Survey of South Africa Explanation Sheets 2429B and 2430A, 87</w:t>
      </w:r>
      <w:r w:rsidR="00EF532A">
        <w:t xml:space="preserve"> </w:t>
      </w:r>
      <w:r>
        <w:t>pp.</w:t>
      </w:r>
    </w:p>
    <w:p w14:paraId="01738AFE" w14:textId="2A17E215" w:rsidR="006E45A0" w:rsidRDefault="006E45A0" w:rsidP="006E45A0">
      <w:pPr>
        <w:jc w:val="both"/>
      </w:pPr>
      <w:r w:rsidRPr="00134CEB">
        <w:t xml:space="preserve">Schwellnus, J. S. I., Hiemstra, S. A., </w:t>
      </w:r>
      <w:r w:rsidR="00965AEB">
        <w:t>and</w:t>
      </w:r>
      <w:r w:rsidRPr="00134CEB">
        <w:t xml:space="preserve"> Gasparrini, E.</w:t>
      </w:r>
      <w:r w:rsidR="00EF532A">
        <w:t>,</w:t>
      </w:r>
      <w:r w:rsidRPr="00134CEB">
        <w:t xml:space="preserve"> 1976</w:t>
      </w:r>
      <w:r>
        <w:t>.</w:t>
      </w:r>
      <w:r w:rsidRPr="00134CEB">
        <w:t xml:space="preserve"> The Merensky reef at the Atok platinum mine and its environs. Economic Geology, </w:t>
      </w:r>
      <w:r w:rsidR="00EF532A">
        <w:t xml:space="preserve">Vol. </w:t>
      </w:r>
      <w:r w:rsidRPr="00134CEB">
        <w:t xml:space="preserve">71, </w:t>
      </w:r>
      <w:r w:rsidR="00EF532A">
        <w:t xml:space="preserve">pp. </w:t>
      </w:r>
      <w:r w:rsidRPr="00134CEB">
        <w:t>249-260.</w:t>
      </w:r>
    </w:p>
    <w:p w14:paraId="6E8ACC29" w14:textId="60A94F8C" w:rsidR="006E45A0" w:rsidRDefault="006E45A0" w:rsidP="00776511">
      <w:pPr>
        <w:jc w:val="both"/>
      </w:pPr>
      <w:r w:rsidRPr="002B1C5A">
        <w:t>Sharpe, M. R. 1985</w:t>
      </w:r>
      <w:r>
        <w:t>.</w:t>
      </w:r>
      <w:r w:rsidRPr="002B1C5A">
        <w:t xml:space="preserve"> Strontium isotope evidence for preserved density stratification in the main zone of the Bushveld Complex, South Africa. Nature, </w:t>
      </w:r>
      <w:r w:rsidR="00EF532A">
        <w:t xml:space="preserve">Vol. </w:t>
      </w:r>
      <w:r w:rsidRPr="002B1C5A">
        <w:t xml:space="preserve">316, </w:t>
      </w:r>
      <w:r w:rsidR="00EF532A">
        <w:t>pp. 119-126</w:t>
      </w:r>
      <w:r w:rsidRPr="002B1C5A">
        <w:t>.</w:t>
      </w:r>
    </w:p>
    <w:p w14:paraId="0A0664A1" w14:textId="48B4E055" w:rsidR="00776511" w:rsidRDefault="00776511" w:rsidP="00776511">
      <w:pPr>
        <w:jc w:val="both"/>
      </w:pPr>
      <w:r w:rsidRPr="00364FCC">
        <w:t xml:space="preserve">Sharpe, M. R., </w:t>
      </w:r>
      <w:r w:rsidR="00965AEB">
        <w:t>and</w:t>
      </w:r>
      <w:r w:rsidRPr="00364FCC">
        <w:t xml:space="preserve"> Chadwick, B.</w:t>
      </w:r>
      <w:r>
        <w:t>,</w:t>
      </w:r>
      <w:r w:rsidRPr="00364FCC">
        <w:t xml:space="preserve"> 1982. Structures in Transvaal sequence rocks within and adjacent to the eastern Bushveld Complex: Geological Society of South Africa Transactions, </w:t>
      </w:r>
      <w:r w:rsidR="00EF532A">
        <w:t xml:space="preserve">Vol. 85, </w:t>
      </w:r>
      <w:r w:rsidR="005C2B05">
        <w:t>pp. 29-41.</w:t>
      </w:r>
    </w:p>
    <w:p w14:paraId="26451398" w14:textId="77777777" w:rsidR="009C4E23" w:rsidRDefault="009C4E23" w:rsidP="009C4E23">
      <w:pPr>
        <w:jc w:val="both"/>
      </w:pPr>
      <w:r>
        <w:rPr>
          <w:rFonts w:ascii="Calibri" w:eastAsia="Calibri" w:hAnsi="Calibri" w:cs="Times New Roman"/>
        </w:rPr>
        <w:t>Thatcher, T., 2011.</w:t>
      </w:r>
      <w:r>
        <w:t xml:space="preserve"> Petrographic Description of Thin Section 12</w:t>
      </w:r>
      <w:r w:rsidRPr="00406507">
        <w:rPr>
          <w:vertAlign w:val="superscript"/>
        </w:rPr>
        <w:t>th</w:t>
      </w:r>
      <w:r>
        <w:t xml:space="preserve"> August 2011, Microsearch CC. Unpublished internal Lesego company report, 3 pp.</w:t>
      </w:r>
    </w:p>
    <w:p w14:paraId="6AFC24BA" w14:textId="4D586EBC" w:rsidR="006E45A0" w:rsidRDefault="006E45A0" w:rsidP="00776511">
      <w:pPr>
        <w:jc w:val="both"/>
      </w:pPr>
      <w:r w:rsidRPr="008D1BEB">
        <w:t>Uken, R.</w:t>
      </w:r>
      <w:r>
        <w:t>,</w:t>
      </w:r>
      <w:r w:rsidRPr="008D1BEB">
        <w:t xml:space="preserve"> 1998</w:t>
      </w:r>
      <w:r>
        <w:t>.</w:t>
      </w:r>
      <w:r w:rsidRPr="008D1BEB">
        <w:t xml:space="preserve"> The geology and structure of the Bushveld Complex metamorphic aureole in the Olifants River area.</w:t>
      </w:r>
      <w:r>
        <w:t xml:space="preserve"> Unpublished Ph</w:t>
      </w:r>
      <w:r w:rsidR="005C2B05">
        <w:t>.</w:t>
      </w:r>
      <w:r>
        <w:t>D. thesis, Durban, South Africa, University of Natal, 277 p</w:t>
      </w:r>
      <w:r w:rsidR="005C2B05">
        <w:t>p</w:t>
      </w:r>
      <w:r>
        <w:t>.</w:t>
      </w:r>
    </w:p>
    <w:p w14:paraId="324F2D36" w14:textId="0AC2CE18" w:rsidR="00776511" w:rsidRDefault="00776511" w:rsidP="00776511">
      <w:pPr>
        <w:jc w:val="both"/>
      </w:pPr>
      <w:r w:rsidRPr="00E96712">
        <w:t xml:space="preserve">Uken, R., </w:t>
      </w:r>
      <w:r w:rsidR="00965AEB">
        <w:t>and</w:t>
      </w:r>
      <w:r w:rsidRPr="00E96712">
        <w:t xml:space="preserve"> Watkeys, M. K.</w:t>
      </w:r>
      <w:r>
        <w:t>,</w:t>
      </w:r>
      <w:r w:rsidRPr="00E96712">
        <w:t xml:space="preserve"> 1997. Diapirism initiated by the Bushveld complex, South Africa. Geology, </w:t>
      </w:r>
      <w:r w:rsidR="005C2B05">
        <w:t xml:space="preserve">Vol. </w:t>
      </w:r>
      <w:r w:rsidRPr="00E96712">
        <w:t xml:space="preserve">25, </w:t>
      </w:r>
      <w:r w:rsidR="005C2B05">
        <w:t xml:space="preserve">pp. </w:t>
      </w:r>
      <w:r w:rsidRPr="00E96712">
        <w:t>723-726.</w:t>
      </w:r>
    </w:p>
    <w:p w14:paraId="4A749C62" w14:textId="285965CC" w:rsidR="00AE3557" w:rsidRDefault="00AE3557" w:rsidP="00776511">
      <w:pPr>
        <w:jc w:val="both"/>
      </w:pPr>
      <w:bookmarkStart w:id="140" w:name="_Hlk507366920"/>
      <w:r w:rsidRPr="002B6416">
        <w:t xml:space="preserve">Viljoen, M. J., </w:t>
      </w:r>
      <w:r w:rsidR="00965AEB">
        <w:t>and</w:t>
      </w:r>
      <w:r w:rsidRPr="002B6416">
        <w:t xml:space="preserve"> Scoon, R. N. 1985</w:t>
      </w:r>
      <w:r>
        <w:t>,</w:t>
      </w:r>
      <w:r w:rsidRPr="002B6416">
        <w:t xml:space="preserve"> The distribution and main geologic features of discordant bodies of iron-rich ultramafic pegmatite in the Bushveld Complex. Economic Geology, </w:t>
      </w:r>
      <w:r w:rsidR="005C2B05">
        <w:t xml:space="preserve">Vol. </w:t>
      </w:r>
      <w:r w:rsidRPr="002B6416">
        <w:t xml:space="preserve">80, </w:t>
      </w:r>
      <w:r w:rsidR="005C2B05">
        <w:t xml:space="preserve">pp. </w:t>
      </w:r>
      <w:r w:rsidRPr="002B6416">
        <w:t>1109-1128.</w:t>
      </w:r>
    </w:p>
    <w:p w14:paraId="61180820" w14:textId="2F1406D4" w:rsidR="00ED5581" w:rsidRDefault="00672AF4" w:rsidP="00776511">
      <w:pPr>
        <w:jc w:val="both"/>
      </w:pPr>
      <w:r>
        <w:t>V</w:t>
      </w:r>
      <w:r w:rsidR="006E45A0">
        <w:t>on</w:t>
      </w:r>
      <w:r w:rsidR="005C2B05">
        <w:t xml:space="preserve"> Gruenewaldt, G., 1972</w:t>
      </w:r>
      <w:r w:rsidR="00ED5581" w:rsidRPr="00ED5581">
        <w:t>. A petrographical and mineralogical investigation of the rocks of the Bushveld Igneous Complex in the Tauteshoogte-Roossenekal</w:t>
      </w:r>
      <w:r w:rsidR="005C2B05">
        <w:t xml:space="preserve"> area of the Eastern Transvaal. Doctoral dissertation, Pretoria, South Africa, University of Pretoria</w:t>
      </w:r>
      <w:r w:rsidR="00ED5581" w:rsidRPr="00ED5581">
        <w:t>.</w:t>
      </w:r>
      <w:r w:rsidR="005C2B05">
        <w:t xml:space="preserve"> 198 pp.</w:t>
      </w:r>
    </w:p>
    <w:bookmarkEnd w:id="140"/>
    <w:p w14:paraId="65D9B0E1" w14:textId="504EBE23" w:rsidR="00ED5581" w:rsidRDefault="00672AF4" w:rsidP="00776511">
      <w:pPr>
        <w:jc w:val="both"/>
      </w:pPr>
      <w:r>
        <w:t>V</w:t>
      </w:r>
      <w:r w:rsidR="006E45A0">
        <w:t>on</w:t>
      </w:r>
      <w:r w:rsidR="00ED5581" w:rsidRPr="00ED5581">
        <w:t xml:space="preserve"> Gruenewaldt, G., 1973</w:t>
      </w:r>
      <w:r w:rsidR="005C2B05">
        <w:t>.</w:t>
      </w:r>
      <w:r w:rsidR="00ED5581" w:rsidRPr="00ED5581">
        <w:t xml:space="preserve"> The Main and Upper zones of the Bushveld Complex in the Roossenekal area, eastern Transvaal: Geological Society of South Africa Transactions, </w:t>
      </w:r>
      <w:r w:rsidR="005C2B05">
        <w:t>Vol</w:t>
      </w:r>
      <w:r w:rsidR="00ED5581" w:rsidRPr="00ED5581">
        <w:t xml:space="preserve">. 76, </w:t>
      </w:r>
      <w:r w:rsidR="005C2B05">
        <w:t>p</w:t>
      </w:r>
      <w:r w:rsidR="00ED5581" w:rsidRPr="00ED5581">
        <w:t>p. 53–61.</w:t>
      </w:r>
    </w:p>
    <w:p w14:paraId="2286375A" w14:textId="42549960" w:rsidR="00776511" w:rsidRDefault="00672AF4" w:rsidP="00776511">
      <w:pPr>
        <w:jc w:val="both"/>
      </w:pPr>
      <w:r>
        <w:lastRenderedPageBreak/>
        <w:t>Vo</w:t>
      </w:r>
      <w:r w:rsidR="006E45A0">
        <w:t>n</w:t>
      </w:r>
      <w:r w:rsidR="00776511" w:rsidRPr="00105BE5">
        <w:t xml:space="preserve"> Gruenewaldt, G., Horsch, H., Dickst, D., </w:t>
      </w:r>
      <w:r w:rsidR="00965AEB">
        <w:t>and</w:t>
      </w:r>
      <w:r w:rsidR="00776511" w:rsidRPr="00105BE5">
        <w:t xml:space="preserve"> de Wet, J.</w:t>
      </w:r>
      <w:r w:rsidR="00776511">
        <w:t>,</w:t>
      </w:r>
      <w:r w:rsidR="00776511" w:rsidRPr="00105BE5">
        <w:t xml:space="preserve"> 1990. PGE </w:t>
      </w:r>
      <w:r w:rsidR="00AF2AFC">
        <w:t>mineralisation</w:t>
      </w:r>
      <w:r w:rsidR="00776511" w:rsidRPr="00105BE5">
        <w:t xml:space="preserve"> in the western sector of the eastern Bushveld Complex. Mineralogy and Petrology, </w:t>
      </w:r>
      <w:r w:rsidR="005C2B05">
        <w:t xml:space="preserve">Vol. </w:t>
      </w:r>
      <w:r w:rsidR="00776511" w:rsidRPr="00105BE5">
        <w:t xml:space="preserve">42, </w:t>
      </w:r>
      <w:r w:rsidR="005C2B05">
        <w:t xml:space="preserve">pp. </w:t>
      </w:r>
      <w:r w:rsidR="00776511" w:rsidRPr="00105BE5">
        <w:t>71-95.</w:t>
      </w:r>
    </w:p>
    <w:p w14:paraId="12063D28" w14:textId="0A0C4C53" w:rsidR="00776511" w:rsidRDefault="00776511" w:rsidP="00776511">
      <w:pPr>
        <w:jc w:val="both"/>
      </w:pPr>
      <w:r w:rsidRPr="00F20472">
        <w:t>Walraven, F., Arm</w:t>
      </w:r>
      <w:r>
        <w:t xml:space="preserve">strong, R. A., </w:t>
      </w:r>
      <w:r w:rsidR="00965AEB">
        <w:t>and</w:t>
      </w:r>
      <w:r>
        <w:t xml:space="preserve"> Kruger, F. J., </w:t>
      </w:r>
      <w:r w:rsidRPr="00F20472">
        <w:t xml:space="preserve">1990. A chronostratigraphic framework for the north-central Kaapvaal craton, the Bushveld Complex and the Vredefort structure. Tectonophysics, </w:t>
      </w:r>
      <w:r w:rsidR="005C2B05">
        <w:t xml:space="preserve">Vol. </w:t>
      </w:r>
      <w:r w:rsidRPr="00F20472">
        <w:t xml:space="preserve">171, </w:t>
      </w:r>
      <w:r w:rsidR="005C2B05">
        <w:t xml:space="preserve">pp. </w:t>
      </w:r>
      <w:r w:rsidRPr="00F20472">
        <w:t>23-48.</w:t>
      </w:r>
    </w:p>
    <w:p w14:paraId="71CAC439" w14:textId="1401061B" w:rsidR="00435E28" w:rsidRDefault="00776511" w:rsidP="00AE3557">
      <w:pPr>
        <w:jc w:val="both"/>
      </w:pPr>
      <w:r w:rsidRPr="0009608A">
        <w:t xml:space="preserve">Zeh, A., Ovtcharova, M., Wilson, A. H., </w:t>
      </w:r>
      <w:r w:rsidR="00965AEB">
        <w:t>and</w:t>
      </w:r>
      <w:r w:rsidRPr="0009608A">
        <w:t xml:space="preserve"> Schaltegger, U.</w:t>
      </w:r>
      <w:r>
        <w:t>,</w:t>
      </w:r>
      <w:r w:rsidRPr="0009608A">
        <w:t xml:space="preserve"> 2015. The Bushveld Complex was emplaced and cooled in less than one million years–results of zirconology, and geotectonic implications. Earth and Planetary Science Letters, </w:t>
      </w:r>
      <w:r w:rsidR="005C2B05">
        <w:t xml:space="preserve">Vol. </w:t>
      </w:r>
      <w:r w:rsidRPr="0009608A">
        <w:t xml:space="preserve">418, </w:t>
      </w:r>
      <w:r w:rsidR="005C2B05">
        <w:t xml:space="preserve">pp. </w:t>
      </w:r>
      <w:r w:rsidRPr="0009608A">
        <w:t>103-114.</w:t>
      </w:r>
      <w:r w:rsidR="00435E28">
        <w:br w:type="page"/>
      </w:r>
    </w:p>
    <w:p w14:paraId="14C4C63B" w14:textId="31D3B60F" w:rsidR="00776511" w:rsidRPr="00435E28" w:rsidRDefault="00435E28" w:rsidP="00435E28">
      <w:pPr>
        <w:pStyle w:val="Heading1"/>
        <w:jc w:val="center"/>
        <w:rPr>
          <w:b/>
          <w:color w:val="000000" w:themeColor="text1"/>
        </w:rPr>
      </w:pPr>
      <w:bookmarkStart w:id="141" w:name="_Toc520758811"/>
      <w:r w:rsidRPr="00435E28">
        <w:rPr>
          <w:b/>
          <w:color w:val="000000" w:themeColor="text1"/>
        </w:rPr>
        <w:lastRenderedPageBreak/>
        <w:t>Appendices</w:t>
      </w:r>
      <w:bookmarkEnd w:id="141"/>
    </w:p>
    <w:p w14:paraId="628011D9" w14:textId="1C4FF7E0" w:rsidR="00216CD2" w:rsidRDefault="00435E28" w:rsidP="00435E28">
      <w:pPr>
        <w:pStyle w:val="Heading2"/>
        <w:rPr>
          <w:color w:val="000000" w:themeColor="text1"/>
        </w:rPr>
      </w:pPr>
      <w:bookmarkStart w:id="142" w:name="_Toc520758812"/>
      <w:r w:rsidRPr="00435E28">
        <w:rPr>
          <w:color w:val="000000" w:themeColor="text1"/>
        </w:rPr>
        <w:t>Evidence of Gathering of Own Data</w:t>
      </w:r>
      <w:bookmarkEnd w:id="142"/>
    </w:p>
    <w:p w14:paraId="42E51056" w14:textId="750400F2" w:rsidR="00435E28" w:rsidRDefault="00435E28" w:rsidP="00435E28"/>
    <w:p w14:paraId="35A54863" w14:textId="2CDF3499" w:rsidR="00FF6570" w:rsidRDefault="00435E28" w:rsidP="00435E28">
      <w:r>
        <w:t xml:space="preserve">The following pages are examples of work </w:t>
      </w:r>
      <w:r w:rsidR="00FF6570">
        <w:t>done by the author in advancing the Lesego project.</w:t>
      </w:r>
    </w:p>
    <w:p w14:paraId="09F1A821" w14:textId="77777777" w:rsidR="00FF6570" w:rsidRDefault="00FF6570">
      <w:r>
        <w:br w:type="page"/>
      </w:r>
    </w:p>
    <w:p w14:paraId="3BA085AA" w14:textId="6F48D8BD" w:rsidR="00FF6570" w:rsidRDefault="00FF6570" w:rsidP="00FF6570">
      <w:pPr>
        <w:pStyle w:val="Heading2"/>
        <w:rPr>
          <w:color w:val="000000" w:themeColor="text1"/>
        </w:rPr>
      </w:pPr>
      <w:bookmarkStart w:id="143" w:name="_Toc520758813"/>
      <w:r>
        <w:rPr>
          <w:color w:val="000000" w:themeColor="text1"/>
        </w:rPr>
        <w:lastRenderedPageBreak/>
        <w:t xml:space="preserve">Appendix </w:t>
      </w:r>
      <w:r w:rsidR="00253DDB">
        <w:rPr>
          <w:color w:val="000000" w:themeColor="text1"/>
        </w:rPr>
        <w:t>1</w:t>
      </w:r>
      <w:r>
        <w:rPr>
          <w:color w:val="000000" w:themeColor="text1"/>
        </w:rPr>
        <w:t>: Geological Map of the Lesego Area compiled from all available data sources</w:t>
      </w:r>
      <w:bookmarkEnd w:id="143"/>
    </w:p>
    <w:p w14:paraId="79B45F80" w14:textId="77777777" w:rsidR="00D371D8" w:rsidRDefault="00D371D8">
      <w:pPr>
        <w:rPr>
          <w:color w:val="000000" w:themeColor="text1"/>
        </w:rPr>
      </w:pPr>
    </w:p>
    <w:p w14:paraId="477687AF" w14:textId="45F6ABA3" w:rsidR="00FF6570" w:rsidRDefault="00D371D8">
      <w:pPr>
        <w:rPr>
          <w:rFonts w:asciiTheme="majorHAnsi" w:eastAsiaTheme="majorEastAsia" w:hAnsiTheme="majorHAnsi" w:cstheme="majorBidi"/>
          <w:color w:val="000000" w:themeColor="text1"/>
          <w:sz w:val="26"/>
          <w:szCs w:val="26"/>
        </w:rPr>
      </w:pPr>
      <w:r>
        <w:rPr>
          <w:noProof/>
          <w:color w:val="000000" w:themeColor="text1"/>
        </w:rPr>
        <w:drawing>
          <wp:inline distT="0" distB="0" distL="0" distR="0" wp14:anchorId="244F73EF" wp14:editId="1B0E2423">
            <wp:extent cx="5353050" cy="7576683"/>
            <wp:effectExtent l="0" t="0" r="0"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64873" cy="7593417"/>
                    </a:xfrm>
                    <a:prstGeom prst="rect">
                      <a:avLst/>
                    </a:prstGeom>
                    <a:noFill/>
                  </pic:spPr>
                </pic:pic>
              </a:graphicData>
            </a:graphic>
          </wp:inline>
        </w:drawing>
      </w:r>
      <w:r w:rsidR="00FF6570">
        <w:rPr>
          <w:color w:val="000000" w:themeColor="text1"/>
        </w:rPr>
        <w:br w:type="page"/>
      </w:r>
    </w:p>
    <w:p w14:paraId="3D2EC033" w14:textId="0917173E" w:rsidR="00FF6570" w:rsidRDefault="00FF6570" w:rsidP="00FF6570">
      <w:pPr>
        <w:pStyle w:val="Heading2"/>
        <w:rPr>
          <w:color w:val="000000" w:themeColor="text1"/>
        </w:rPr>
      </w:pPr>
      <w:bookmarkStart w:id="144" w:name="_Toc520758814"/>
      <w:r>
        <w:rPr>
          <w:color w:val="000000" w:themeColor="text1"/>
        </w:rPr>
        <w:lastRenderedPageBreak/>
        <w:t xml:space="preserve">Appendix </w:t>
      </w:r>
      <w:r w:rsidR="00253DDB">
        <w:rPr>
          <w:color w:val="000000" w:themeColor="text1"/>
        </w:rPr>
        <w:t>2</w:t>
      </w:r>
      <w:r>
        <w:rPr>
          <w:color w:val="000000" w:themeColor="text1"/>
        </w:rPr>
        <w:t>: Three-dimensional model of the Merensky Reef and UG2 Chromitite compiled in Geosoft Target</w:t>
      </w:r>
      <w:bookmarkEnd w:id="144"/>
    </w:p>
    <w:p w14:paraId="06726EA7" w14:textId="02BC7121" w:rsidR="00FF6570" w:rsidRDefault="00FF6570" w:rsidP="00FF6570"/>
    <w:p w14:paraId="124C9DF0" w14:textId="4BA32EDA" w:rsidR="00FF6570" w:rsidRPr="00FF6570" w:rsidRDefault="00DD6202" w:rsidP="00FF6570">
      <w:r w:rsidRPr="00DD6202">
        <w:rPr>
          <w:noProof/>
        </w:rPr>
        <w:drawing>
          <wp:inline distT="0" distB="0" distL="0" distR="0" wp14:anchorId="4E49508A" wp14:editId="2CCF92F3">
            <wp:extent cx="5943600" cy="36449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3600" cy="3644900"/>
                    </a:xfrm>
                    <a:prstGeom prst="rect">
                      <a:avLst/>
                    </a:prstGeom>
                  </pic:spPr>
                </pic:pic>
              </a:graphicData>
            </a:graphic>
          </wp:inline>
        </w:drawing>
      </w:r>
    </w:p>
    <w:p w14:paraId="434404FF" w14:textId="77777777" w:rsidR="00FF6570" w:rsidRDefault="00FF6570">
      <w:pPr>
        <w:rPr>
          <w:rFonts w:asciiTheme="majorHAnsi" w:eastAsiaTheme="majorEastAsia" w:hAnsiTheme="majorHAnsi" w:cstheme="majorBidi"/>
          <w:color w:val="000000" w:themeColor="text1"/>
          <w:sz w:val="26"/>
          <w:szCs w:val="26"/>
        </w:rPr>
      </w:pPr>
      <w:r>
        <w:rPr>
          <w:color w:val="000000" w:themeColor="text1"/>
        </w:rPr>
        <w:br w:type="page"/>
      </w:r>
    </w:p>
    <w:p w14:paraId="7EAD39F6" w14:textId="19137E14" w:rsidR="00435E28" w:rsidRDefault="00FF6570" w:rsidP="00FF6570">
      <w:pPr>
        <w:pStyle w:val="Heading2"/>
        <w:rPr>
          <w:color w:val="000000" w:themeColor="text1"/>
        </w:rPr>
      </w:pPr>
      <w:bookmarkStart w:id="145" w:name="_Toc520758815"/>
      <w:r>
        <w:rPr>
          <w:color w:val="000000" w:themeColor="text1"/>
        </w:rPr>
        <w:lastRenderedPageBreak/>
        <w:t xml:space="preserve">Appendix </w:t>
      </w:r>
      <w:r w:rsidR="00253DDB">
        <w:rPr>
          <w:color w:val="000000" w:themeColor="text1"/>
        </w:rPr>
        <w:t>3</w:t>
      </w:r>
      <w:r>
        <w:rPr>
          <w:color w:val="000000" w:themeColor="text1"/>
        </w:rPr>
        <w:t>: Depth contour map created in Geosoft Target and imported into ArcMap</w:t>
      </w:r>
      <w:bookmarkEnd w:id="145"/>
    </w:p>
    <w:p w14:paraId="13450F4F" w14:textId="18C2CF50" w:rsidR="00FF6570" w:rsidRDefault="00FF6570" w:rsidP="00FF6570"/>
    <w:p w14:paraId="0497F91F" w14:textId="0637D87E" w:rsidR="00D371D8" w:rsidRDefault="00FF6570" w:rsidP="00FF6570">
      <w:r>
        <w:rPr>
          <w:noProof/>
        </w:rPr>
        <w:drawing>
          <wp:inline distT="0" distB="0" distL="0" distR="0" wp14:anchorId="37BD765C" wp14:editId="31E91FCE">
            <wp:extent cx="5286669" cy="74676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287576" cy="7468881"/>
                    </a:xfrm>
                    <a:prstGeom prst="rect">
                      <a:avLst/>
                    </a:prstGeom>
                  </pic:spPr>
                </pic:pic>
              </a:graphicData>
            </a:graphic>
          </wp:inline>
        </w:drawing>
      </w:r>
    </w:p>
    <w:p w14:paraId="27791D36" w14:textId="542DAA0E" w:rsidR="00D371D8" w:rsidRPr="00D371D8" w:rsidRDefault="00D371D8" w:rsidP="00D371D8">
      <w:pPr>
        <w:pStyle w:val="Heading2"/>
        <w:rPr>
          <w:color w:val="000000" w:themeColor="text1"/>
        </w:rPr>
      </w:pPr>
      <w:bookmarkStart w:id="146" w:name="_Toc520758816"/>
      <w:r w:rsidRPr="00D371D8">
        <w:rPr>
          <w:color w:val="000000" w:themeColor="text1"/>
        </w:rPr>
        <w:lastRenderedPageBreak/>
        <w:t xml:space="preserve">Appendix </w:t>
      </w:r>
      <w:r w:rsidR="00253DDB">
        <w:rPr>
          <w:color w:val="000000" w:themeColor="text1"/>
        </w:rPr>
        <w:t>4</w:t>
      </w:r>
      <w:r w:rsidRPr="00D371D8">
        <w:rPr>
          <w:color w:val="000000" w:themeColor="text1"/>
        </w:rPr>
        <w:t>: Draft drill plan layout to determine Measured Resource based on initial Inferred Resource</w:t>
      </w:r>
      <w:bookmarkEnd w:id="146"/>
    </w:p>
    <w:p w14:paraId="2F8B7044" w14:textId="4BE4E6F3" w:rsidR="00D371D8" w:rsidRDefault="00D371D8" w:rsidP="00D371D8"/>
    <w:p w14:paraId="277CD74A" w14:textId="6896C6AB" w:rsidR="00D371D8" w:rsidRDefault="00D371D8" w:rsidP="00D371D8">
      <w:r>
        <w:rPr>
          <w:noProof/>
        </w:rPr>
        <w:drawing>
          <wp:inline distT="0" distB="0" distL="0" distR="0" wp14:anchorId="018C10E7" wp14:editId="5438708B">
            <wp:extent cx="4867895" cy="6886575"/>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869050" cy="6888209"/>
                    </a:xfrm>
                    <a:prstGeom prst="rect">
                      <a:avLst/>
                    </a:prstGeom>
                  </pic:spPr>
                </pic:pic>
              </a:graphicData>
            </a:graphic>
          </wp:inline>
        </w:drawing>
      </w:r>
    </w:p>
    <w:p w14:paraId="7B508418" w14:textId="77777777" w:rsidR="00D371D8" w:rsidRDefault="00D371D8">
      <w:r>
        <w:br w:type="page"/>
      </w:r>
    </w:p>
    <w:p w14:paraId="47CD1719" w14:textId="348CA0AC" w:rsidR="00D371D8" w:rsidRDefault="00D371D8" w:rsidP="00D371D8">
      <w:pPr>
        <w:pStyle w:val="Heading2"/>
        <w:rPr>
          <w:color w:val="000000" w:themeColor="text1"/>
        </w:rPr>
      </w:pPr>
      <w:bookmarkStart w:id="147" w:name="_Toc520758817"/>
      <w:r>
        <w:rPr>
          <w:color w:val="000000" w:themeColor="text1"/>
        </w:rPr>
        <w:lastRenderedPageBreak/>
        <w:t xml:space="preserve">Appendix </w:t>
      </w:r>
      <w:r w:rsidR="00253DDB">
        <w:rPr>
          <w:color w:val="000000" w:themeColor="text1"/>
        </w:rPr>
        <w:t>5</w:t>
      </w:r>
      <w:r w:rsidRPr="00DA7F4A">
        <w:rPr>
          <w:color w:val="000000" w:themeColor="text1"/>
        </w:rPr>
        <w:t xml:space="preserve">: Typical Cross section </w:t>
      </w:r>
      <w:r>
        <w:rPr>
          <w:color w:val="000000" w:themeColor="text1"/>
        </w:rPr>
        <w:t xml:space="preserve">compiled by the author in Geosoft Target </w:t>
      </w:r>
      <w:r w:rsidR="00253DDB">
        <w:rPr>
          <w:color w:val="000000" w:themeColor="text1"/>
        </w:rPr>
        <w:t>used to plan exploration drill holes to target the shallow resource from 1,200 to surface.</w:t>
      </w:r>
      <w:bookmarkEnd w:id="147"/>
    </w:p>
    <w:p w14:paraId="0AA20F76" w14:textId="4886CCB0" w:rsidR="00D371D8" w:rsidRDefault="00D371D8"/>
    <w:p w14:paraId="59603743" w14:textId="519BB818" w:rsidR="00D371D8" w:rsidRDefault="00DD6202">
      <w:pPr>
        <w:rPr>
          <w:rFonts w:asciiTheme="majorHAnsi" w:eastAsiaTheme="majorEastAsia" w:hAnsiTheme="majorHAnsi" w:cstheme="majorBidi"/>
          <w:color w:val="000000" w:themeColor="text1"/>
          <w:sz w:val="26"/>
          <w:szCs w:val="26"/>
        </w:rPr>
      </w:pPr>
      <w:r w:rsidRPr="00DD6202">
        <w:rPr>
          <w:noProof/>
        </w:rPr>
        <w:drawing>
          <wp:inline distT="0" distB="0" distL="0" distR="0" wp14:anchorId="65FFAC50" wp14:editId="1C82664F">
            <wp:extent cx="5943600" cy="415988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43600" cy="4159885"/>
                    </a:xfrm>
                    <a:prstGeom prst="rect">
                      <a:avLst/>
                    </a:prstGeom>
                  </pic:spPr>
                </pic:pic>
              </a:graphicData>
            </a:graphic>
          </wp:inline>
        </w:drawing>
      </w:r>
      <w:r w:rsidRPr="00DD6202">
        <w:t xml:space="preserve"> </w:t>
      </w:r>
      <w:r w:rsidR="00D371D8">
        <w:rPr>
          <w:color w:val="000000" w:themeColor="text1"/>
        </w:rPr>
        <w:br w:type="page"/>
      </w:r>
    </w:p>
    <w:p w14:paraId="6060B0E0" w14:textId="42F67153" w:rsidR="00253DDB" w:rsidRDefault="00D371D8" w:rsidP="00D371D8">
      <w:pPr>
        <w:pStyle w:val="Heading2"/>
        <w:rPr>
          <w:color w:val="000000" w:themeColor="text1"/>
        </w:rPr>
      </w:pPr>
      <w:bookmarkStart w:id="148" w:name="_Toc520758818"/>
      <w:r>
        <w:rPr>
          <w:color w:val="000000" w:themeColor="text1"/>
        </w:rPr>
        <w:lastRenderedPageBreak/>
        <w:t xml:space="preserve">Appendix </w:t>
      </w:r>
      <w:r w:rsidR="00253DDB">
        <w:rPr>
          <w:color w:val="000000" w:themeColor="text1"/>
        </w:rPr>
        <w:t>6</w:t>
      </w:r>
      <w:r>
        <w:rPr>
          <w:color w:val="000000" w:themeColor="text1"/>
        </w:rPr>
        <w:t>: In field borehole stratigraphic logs (compiled with project geologist)</w:t>
      </w:r>
      <w:bookmarkEnd w:id="148"/>
    </w:p>
    <w:p w14:paraId="03665B1E" w14:textId="77777777" w:rsidR="00253DDB" w:rsidRDefault="00253DDB">
      <w:pPr>
        <w:rPr>
          <w:rFonts w:asciiTheme="majorHAnsi" w:eastAsiaTheme="majorEastAsia" w:hAnsiTheme="majorHAnsi" w:cstheme="majorBidi"/>
          <w:color w:val="000000" w:themeColor="text1"/>
          <w:sz w:val="26"/>
          <w:szCs w:val="26"/>
        </w:rPr>
      </w:pPr>
      <w:r>
        <w:rPr>
          <w:color w:val="000000" w:themeColor="text1"/>
        </w:rPr>
        <w:br w:type="page"/>
      </w:r>
    </w:p>
    <w:p w14:paraId="1C578B8E" w14:textId="2E0AE2D9" w:rsidR="00337C2C" w:rsidRDefault="00253DDB" w:rsidP="00253DDB">
      <w:pPr>
        <w:pStyle w:val="Heading2"/>
        <w:rPr>
          <w:color w:val="000000" w:themeColor="text1"/>
        </w:rPr>
      </w:pPr>
      <w:bookmarkStart w:id="149" w:name="_Toc520758819"/>
      <w:r w:rsidRPr="00FF6570">
        <w:rPr>
          <w:color w:val="000000" w:themeColor="text1"/>
        </w:rPr>
        <w:lastRenderedPageBreak/>
        <w:t xml:space="preserve">Appendix </w:t>
      </w:r>
      <w:r>
        <w:rPr>
          <w:color w:val="000000" w:themeColor="text1"/>
        </w:rPr>
        <w:t>7</w:t>
      </w:r>
      <w:r w:rsidRPr="00FF6570">
        <w:rPr>
          <w:color w:val="000000" w:themeColor="text1"/>
        </w:rPr>
        <w:t>: Selection of Optimised Reef Cuts</w:t>
      </w:r>
      <w:r>
        <w:rPr>
          <w:color w:val="000000" w:themeColor="text1"/>
        </w:rPr>
        <w:t xml:space="preserve"> for Resource Estimation</w:t>
      </w:r>
      <w:bookmarkEnd w:id="149"/>
    </w:p>
    <w:p w14:paraId="72AD77FE" w14:textId="77777777" w:rsidR="00337C2C" w:rsidRDefault="00337C2C">
      <w:pPr>
        <w:rPr>
          <w:rFonts w:asciiTheme="majorHAnsi" w:eastAsiaTheme="majorEastAsia" w:hAnsiTheme="majorHAnsi" w:cstheme="majorBidi"/>
          <w:color w:val="000000" w:themeColor="text1"/>
          <w:sz w:val="26"/>
          <w:szCs w:val="26"/>
        </w:rPr>
      </w:pPr>
      <w:r>
        <w:rPr>
          <w:color w:val="000000" w:themeColor="text1"/>
        </w:rPr>
        <w:br w:type="page"/>
      </w:r>
    </w:p>
    <w:p w14:paraId="48097644" w14:textId="6E696C9B" w:rsidR="00253DDB" w:rsidRDefault="00337C2C" w:rsidP="00253DDB">
      <w:pPr>
        <w:pStyle w:val="Heading2"/>
        <w:rPr>
          <w:color w:val="000000" w:themeColor="text1"/>
        </w:rPr>
      </w:pPr>
      <w:bookmarkStart w:id="150" w:name="_Toc520758820"/>
      <w:r>
        <w:rPr>
          <w:color w:val="000000" w:themeColor="text1"/>
        </w:rPr>
        <w:lastRenderedPageBreak/>
        <w:t xml:space="preserve">Appendix 8: Basket Price per </w:t>
      </w:r>
      <w:r w:rsidR="006F47B5">
        <w:rPr>
          <w:color w:val="000000" w:themeColor="text1"/>
        </w:rPr>
        <w:t>Ton</w:t>
      </w:r>
      <w:r>
        <w:rPr>
          <w:color w:val="000000" w:themeColor="text1"/>
        </w:rPr>
        <w:t xml:space="preserve"> Comparison for Eastern and Northern Limb Mines and Projects</w:t>
      </w:r>
      <w:bookmarkEnd w:id="150"/>
    </w:p>
    <w:p w14:paraId="517CEA26" w14:textId="3334D46E" w:rsidR="00FF6570" w:rsidRPr="00D371D8" w:rsidRDefault="00FF6570" w:rsidP="00FF6570">
      <w:pPr>
        <w:rPr>
          <w:rFonts w:asciiTheme="majorHAnsi" w:eastAsiaTheme="majorEastAsia" w:hAnsiTheme="majorHAnsi" w:cstheme="majorBidi"/>
          <w:color w:val="000000" w:themeColor="text1"/>
          <w:sz w:val="26"/>
          <w:szCs w:val="26"/>
        </w:rPr>
      </w:pPr>
    </w:p>
    <w:sectPr w:rsidR="00FF6570" w:rsidRPr="00D371D8" w:rsidSect="005C2B05">
      <w:footerReference w:type="default" r:id="rId46"/>
      <w:pgSz w:w="12240" w:h="15840" w:code="1"/>
      <w:pgMar w:top="1440" w:right="1440" w:bottom="1440" w:left="1440" w:header="708" w:footer="708" w:gutter="0"/>
      <w:pgNumType w:start="49"/>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033708" w14:textId="77777777" w:rsidR="00CC5E54" w:rsidRDefault="00CC5E54" w:rsidP="008A3A3C">
      <w:pPr>
        <w:spacing w:after="0" w:line="240" w:lineRule="auto"/>
      </w:pPr>
      <w:r>
        <w:separator/>
      </w:r>
    </w:p>
  </w:endnote>
  <w:endnote w:type="continuationSeparator" w:id="0">
    <w:p w14:paraId="57D182BA" w14:textId="77777777" w:rsidR="00CC5E54" w:rsidRDefault="00CC5E54" w:rsidP="008A3A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9858724"/>
      <w:docPartObj>
        <w:docPartGallery w:val="Page Numbers (Bottom of Page)"/>
        <w:docPartUnique/>
      </w:docPartObj>
    </w:sdtPr>
    <w:sdtEndPr>
      <w:rPr>
        <w:noProof/>
      </w:rPr>
    </w:sdtEndPr>
    <w:sdtContent>
      <w:p w14:paraId="7ECA2241" w14:textId="0BE111E2" w:rsidR="002645B6" w:rsidRDefault="002645B6">
        <w:pPr>
          <w:pStyle w:val="Footer"/>
          <w:jc w:val="right"/>
        </w:pPr>
        <w:r>
          <w:fldChar w:fldCharType="begin"/>
        </w:r>
        <w:r>
          <w:instrText xml:space="preserve"> PAGE   \* MERGEFORMAT </w:instrText>
        </w:r>
        <w:r>
          <w:fldChar w:fldCharType="separate"/>
        </w:r>
        <w:r>
          <w:rPr>
            <w:noProof/>
          </w:rPr>
          <w:t>15</w:t>
        </w:r>
        <w:r>
          <w:rPr>
            <w:noProof/>
          </w:rPr>
          <w:fldChar w:fldCharType="end"/>
        </w:r>
      </w:p>
    </w:sdtContent>
  </w:sdt>
  <w:p w14:paraId="4BB21FF9" w14:textId="77777777" w:rsidR="002645B6" w:rsidRDefault="002645B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57623050"/>
      <w:docPartObj>
        <w:docPartGallery w:val="Page Numbers (Bottom of Page)"/>
        <w:docPartUnique/>
      </w:docPartObj>
    </w:sdtPr>
    <w:sdtEndPr>
      <w:rPr>
        <w:noProof/>
      </w:rPr>
    </w:sdtEndPr>
    <w:sdtContent>
      <w:p w14:paraId="0A8AAB9F" w14:textId="6787D852" w:rsidR="002645B6" w:rsidRDefault="002645B6" w:rsidP="00343E19">
        <w:pPr>
          <w:pStyle w:val="Footer"/>
          <w:jc w:val="right"/>
        </w:pPr>
        <w:r>
          <w:fldChar w:fldCharType="begin"/>
        </w:r>
        <w:r>
          <w:instrText xml:space="preserve"> PAGE   \* MERGEFORMAT </w:instrText>
        </w:r>
        <w:r>
          <w:fldChar w:fldCharType="separate"/>
        </w:r>
        <w:r>
          <w:t>22</w:t>
        </w:r>
        <w:r>
          <w:rPr>
            <w:noProof/>
          </w:rPr>
          <w:fldChar w:fldCharType="end"/>
        </w:r>
      </w:p>
    </w:sdtContent>
  </w:sdt>
  <w:p w14:paraId="76F26C2F" w14:textId="68C84EE7" w:rsidR="002645B6" w:rsidRDefault="002645B6" w:rsidP="00343E19">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68708873"/>
      <w:docPartObj>
        <w:docPartGallery w:val="Page Numbers (Bottom of Page)"/>
        <w:docPartUnique/>
      </w:docPartObj>
    </w:sdtPr>
    <w:sdtEndPr>
      <w:rPr>
        <w:noProof/>
      </w:rPr>
    </w:sdtEndPr>
    <w:sdtContent>
      <w:p w14:paraId="63813A76" w14:textId="3DCFC87B" w:rsidR="002645B6" w:rsidRDefault="002645B6">
        <w:pPr>
          <w:pStyle w:val="Footer"/>
          <w:jc w:val="right"/>
        </w:pPr>
        <w:r>
          <w:fldChar w:fldCharType="begin"/>
        </w:r>
        <w:r>
          <w:instrText xml:space="preserve"> PAGE   \* MERGEFORMAT </w:instrText>
        </w:r>
        <w:r>
          <w:fldChar w:fldCharType="separate"/>
        </w:r>
        <w:r>
          <w:rPr>
            <w:noProof/>
          </w:rPr>
          <w:t>50</w:t>
        </w:r>
        <w:r>
          <w:rPr>
            <w:noProof/>
          </w:rPr>
          <w:fldChar w:fldCharType="end"/>
        </w:r>
      </w:p>
    </w:sdtContent>
  </w:sdt>
  <w:p w14:paraId="6FACB634" w14:textId="77777777" w:rsidR="002645B6" w:rsidRDefault="002645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D47F4F" w14:textId="77777777" w:rsidR="00CC5E54" w:rsidRDefault="00CC5E54" w:rsidP="008A3A3C">
      <w:pPr>
        <w:spacing w:after="0" w:line="240" w:lineRule="auto"/>
      </w:pPr>
      <w:r>
        <w:separator/>
      </w:r>
    </w:p>
  </w:footnote>
  <w:footnote w:type="continuationSeparator" w:id="0">
    <w:p w14:paraId="74D1C976" w14:textId="77777777" w:rsidR="00CC5E54" w:rsidRDefault="00CC5E54" w:rsidP="008A3A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F9830A" w14:textId="77777777" w:rsidR="002645B6" w:rsidRPr="00DC3767" w:rsidRDefault="002645B6" w:rsidP="00EB7946">
    <w:pPr>
      <w:tabs>
        <w:tab w:val="left" w:pos="1340"/>
        <w:tab w:val="center" w:pos="4320"/>
        <w:tab w:val="center" w:pos="4890"/>
        <w:tab w:val="center" w:pos="5179"/>
        <w:tab w:val="right" w:pos="9639"/>
      </w:tabs>
      <w:ind w:left="142"/>
      <w:jc w:val="center"/>
      <w:rPr>
        <w:rFonts w:eastAsia="Calibri" w:cs="Arial"/>
        <w:sz w:val="16"/>
        <w:szCs w:val="16"/>
      </w:rPr>
    </w:pPr>
  </w:p>
  <w:p w14:paraId="2E2503E1" w14:textId="77777777" w:rsidR="002645B6" w:rsidRPr="00DC3767" w:rsidRDefault="002645B6" w:rsidP="00EB7946">
    <w:pPr>
      <w:pStyle w:val="Header"/>
    </w:pPr>
  </w:p>
  <w:p w14:paraId="5D12A248" w14:textId="77777777" w:rsidR="002645B6" w:rsidRPr="00315FBD" w:rsidRDefault="002645B6" w:rsidP="00EB79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092C69"/>
    <w:multiLevelType w:val="hybridMultilevel"/>
    <w:tmpl w:val="F184D58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FC07A8"/>
    <w:multiLevelType w:val="hybridMultilevel"/>
    <w:tmpl w:val="BE2630A0"/>
    <w:lvl w:ilvl="0" w:tplc="2F5E81AA">
      <w:start w:val="1"/>
      <w:numFmt w:val="decimal"/>
      <w:lvlText w:val="8.1.%1"/>
      <w:lvlJc w:val="left"/>
      <w:pPr>
        <w:ind w:left="1854" w:hanging="360"/>
      </w:pPr>
      <w:rPr>
        <w:rFonts w:hint="default"/>
      </w:rPr>
    </w:lvl>
    <w:lvl w:ilvl="1" w:tplc="1C090019" w:tentative="1">
      <w:start w:val="1"/>
      <w:numFmt w:val="lowerLetter"/>
      <w:lvlText w:val="%2."/>
      <w:lvlJc w:val="left"/>
      <w:pPr>
        <w:ind w:left="2574" w:hanging="360"/>
      </w:pPr>
    </w:lvl>
    <w:lvl w:ilvl="2" w:tplc="1C09001B" w:tentative="1">
      <w:start w:val="1"/>
      <w:numFmt w:val="lowerRoman"/>
      <w:lvlText w:val="%3."/>
      <w:lvlJc w:val="right"/>
      <w:pPr>
        <w:ind w:left="3294" w:hanging="180"/>
      </w:pPr>
    </w:lvl>
    <w:lvl w:ilvl="3" w:tplc="1C09000F" w:tentative="1">
      <w:start w:val="1"/>
      <w:numFmt w:val="decimal"/>
      <w:lvlText w:val="%4."/>
      <w:lvlJc w:val="left"/>
      <w:pPr>
        <w:ind w:left="4014" w:hanging="360"/>
      </w:pPr>
    </w:lvl>
    <w:lvl w:ilvl="4" w:tplc="1C090019" w:tentative="1">
      <w:start w:val="1"/>
      <w:numFmt w:val="lowerLetter"/>
      <w:lvlText w:val="%5."/>
      <w:lvlJc w:val="left"/>
      <w:pPr>
        <w:ind w:left="4734" w:hanging="360"/>
      </w:pPr>
    </w:lvl>
    <w:lvl w:ilvl="5" w:tplc="1C09001B" w:tentative="1">
      <w:start w:val="1"/>
      <w:numFmt w:val="lowerRoman"/>
      <w:lvlText w:val="%6."/>
      <w:lvlJc w:val="right"/>
      <w:pPr>
        <w:ind w:left="5454" w:hanging="180"/>
      </w:pPr>
    </w:lvl>
    <w:lvl w:ilvl="6" w:tplc="1C09000F" w:tentative="1">
      <w:start w:val="1"/>
      <w:numFmt w:val="decimal"/>
      <w:lvlText w:val="%7."/>
      <w:lvlJc w:val="left"/>
      <w:pPr>
        <w:ind w:left="6174" w:hanging="360"/>
      </w:pPr>
    </w:lvl>
    <w:lvl w:ilvl="7" w:tplc="1C090019" w:tentative="1">
      <w:start w:val="1"/>
      <w:numFmt w:val="lowerLetter"/>
      <w:lvlText w:val="%8."/>
      <w:lvlJc w:val="left"/>
      <w:pPr>
        <w:ind w:left="6894" w:hanging="360"/>
      </w:pPr>
    </w:lvl>
    <w:lvl w:ilvl="8" w:tplc="1C09001B" w:tentative="1">
      <w:start w:val="1"/>
      <w:numFmt w:val="lowerRoman"/>
      <w:lvlText w:val="%9."/>
      <w:lvlJc w:val="right"/>
      <w:pPr>
        <w:ind w:left="7614" w:hanging="180"/>
      </w:pPr>
    </w:lvl>
  </w:abstractNum>
  <w:abstractNum w:abstractNumId="2" w15:restartNumberingAfterBreak="0">
    <w:nsid w:val="0E981A7E"/>
    <w:multiLevelType w:val="hybridMultilevel"/>
    <w:tmpl w:val="1C5A1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D20933"/>
    <w:multiLevelType w:val="multilevel"/>
    <w:tmpl w:val="386E54B4"/>
    <w:lvl w:ilvl="0">
      <w:start w:val="5"/>
      <w:numFmt w:val="decimal"/>
      <w:lvlText w:val="%1"/>
      <w:lvlJc w:val="left"/>
      <w:pPr>
        <w:ind w:left="375" w:hanging="375"/>
      </w:pPr>
      <w:rPr>
        <w:rFonts w:hint="default"/>
      </w:rPr>
    </w:lvl>
    <w:lvl w:ilvl="1">
      <w:start w:val="4"/>
      <w:numFmt w:val="decimal"/>
      <w:lvlText w:val="%1.%2"/>
      <w:lvlJc w:val="left"/>
      <w:pPr>
        <w:ind w:left="6495" w:hanging="375"/>
      </w:pPr>
      <w:rPr>
        <w:rFonts w:hint="default"/>
      </w:rPr>
    </w:lvl>
    <w:lvl w:ilvl="2">
      <w:start w:val="1"/>
      <w:numFmt w:val="decimal"/>
      <w:lvlText w:val="%1.%2.%3"/>
      <w:lvlJc w:val="left"/>
      <w:pPr>
        <w:ind w:left="12960" w:hanging="720"/>
      </w:pPr>
      <w:rPr>
        <w:rFonts w:hint="default"/>
      </w:rPr>
    </w:lvl>
    <w:lvl w:ilvl="3">
      <w:start w:val="1"/>
      <w:numFmt w:val="decimal"/>
      <w:lvlText w:val="%1.%2.%3.%4"/>
      <w:lvlJc w:val="left"/>
      <w:pPr>
        <w:ind w:left="19440" w:hanging="1080"/>
      </w:pPr>
      <w:rPr>
        <w:rFonts w:hint="default"/>
      </w:rPr>
    </w:lvl>
    <w:lvl w:ilvl="4">
      <w:start w:val="1"/>
      <w:numFmt w:val="decimal"/>
      <w:lvlText w:val="%1.%2.%3.%4.%5"/>
      <w:lvlJc w:val="left"/>
      <w:pPr>
        <w:ind w:left="25560" w:hanging="1080"/>
      </w:pPr>
      <w:rPr>
        <w:rFonts w:hint="default"/>
      </w:rPr>
    </w:lvl>
    <w:lvl w:ilvl="5">
      <w:start w:val="1"/>
      <w:numFmt w:val="decimal"/>
      <w:lvlText w:val="%1.%2.%3.%4.%5.%6"/>
      <w:lvlJc w:val="left"/>
      <w:pPr>
        <w:ind w:left="32040" w:hanging="1440"/>
      </w:pPr>
      <w:rPr>
        <w:rFonts w:hint="default"/>
      </w:rPr>
    </w:lvl>
    <w:lvl w:ilvl="6">
      <w:start w:val="1"/>
      <w:numFmt w:val="decimal"/>
      <w:lvlText w:val="%1.%2.%3.%4.%5.%6.%7"/>
      <w:lvlJc w:val="left"/>
      <w:pPr>
        <w:ind w:left="-27376" w:hanging="1440"/>
      </w:pPr>
      <w:rPr>
        <w:rFonts w:hint="default"/>
      </w:rPr>
    </w:lvl>
    <w:lvl w:ilvl="7">
      <w:start w:val="1"/>
      <w:numFmt w:val="decimal"/>
      <w:lvlText w:val="%1.%2.%3.%4.%5.%6.%7.%8"/>
      <w:lvlJc w:val="left"/>
      <w:pPr>
        <w:ind w:left="-20896" w:hanging="1800"/>
      </w:pPr>
      <w:rPr>
        <w:rFonts w:hint="default"/>
      </w:rPr>
    </w:lvl>
    <w:lvl w:ilvl="8">
      <w:start w:val="1"/>
      <w:numFmt w:val="decimal"/>
      <w:lvlText w:val="%1.%2.%3.%4.%5.%6.%7.%8.%9"/>
      <w:lvlJc w:val="left"/>
      <w:pPr>
        <w:ind w:left="-14416" w:hanging="2160"/>
      </w:pPr>
      <w:rPr>
        <w:rFonts w:hint="default"/>
      </w:rPr>
    </w:lvl>
  </w:abstractNum>
  <w:abstractNum w:abstractNumId="4" w15:restartNumberingAfterBreak="0">
    <w:nsid w:val="22043E74"/>
    <w:multiLevelType w:val="hybridMultilevel"/>
    <w:tmpl w:val="95EE727E"/>
    <w:lvl w:ilvl="0" w:tplc="D0027F6A">
      <w:start w:val="4"/>
      <w:numFmt w:val="decimal"/>
      <w:lvlText w:val="%1.1"/>
      <w:lvlJc w:val="left"/>
      <w:pPr>
        <w:ind w:left="1800" w:hanging="360"/>
      </w:pPr>
      <w:rPr>
        <w:rFonts w:hint="default"/>
      </w:rPr>
    </w:lvl>
    <w:lvl w:ilvl="1" w:tplc="1C090019">
      <w:start w:val="1"/>
      <w:numFmt w:val="lowerLetter"/>
      <w:lvlText w:val="%2."/>
      <w:lvlJc w:val="left"/>
      <w:pPr>
        <w:ind w:left="2520" w:hanging="360"/>
      </w:pPr>
    </w:lvl>
    <w:lvl w:ilvl="2" w:tplc="1C09001B">
      <w:start w:val="1"/>
      <w:numFmt w:val="lowerRoman"/>
      <w:lvlText w:val="%3."/>
      <w:lvlJc w:val="right"/>
      <w:pPr>
        <w:ind w:left="3240" w:hanging="180"/>
      </w:pPr>
    </w:lvl>
    <w:lvl w:ilvl="3" w:tplc="D9BA3158">
      <w:start w:val="3"/>
      <w:numFmt w:val="decimal"/>
      <w:lvlText w:val="%4."/>
      <w:lvlJc w:val="left"/>
      <w:pPr>
        <w:ind w:left="3960" w:hanging="360"/>
      </w:pPr>
      <w:rPr>
        <w:rFonts w:hint="default"/>
      </w:rPr>
    </w:lvl>
    <w:lvl w:ilvl="4" w:tplc="1C090019">
      <w:start w:val="1"/>
      <w:numFmt w:val="lowerLetter"/>
      <w:lvlText w:val="%5."/>
      <w:lvlJc w:val="left"/>
      <w:pPr>
        <w:ind w:left="4680" w:hanging="360"/>
      </w:pPr>
    </w:lvl>
    <w:lvl w:ilvl="5" w:tplc="1C09001B">
      <w:start w:val="1"/>
      <w:numFmt w:val="lowerRoman"/>
      <w:lvlText w:val="%6."/>
      <w:lvlJc w:val="right"/>
      <w:pPr>
        <w:ind w:left="5400" w:hanging="180"/>
      </w:pPr>
    </w:lvl>
    <w:lvl w:ilvl="6" w:tplc="1C09000F">
      <w:start w:val="1"/>
      <w:numFmt w:val="decimal"/>
      <w:lvlText w:val="%7."/>
      <w:lvlJc w:val="left"/>
      <w:pPr>
        <w:ind w:left="6120" w:hanging="360"/>
      </w:pPr>
    </w:lvl>
    <w:lvl w:ilvl="7" w:tplc="1C090019">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 w15:restartNumberingAfterBreak="0">
    <w:nsid w:val="22F7235A"/>
    <w:multiLevelType w:val="hybridMultilevel"/>
    <w:tmpl w:val="BC34C1FA"/>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295D12B9"/>
    <w:multiLevelType w:val="hybridMultilevel"/>
    <w:tmpl w:val="1276B7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5F2341"/>
    <w:multiLevelType w:val="hybridMultilevel"/>
    <w:tmpl w:val="673E3B1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3A9B0FDB"/>
    <w:multiLevelType w:val="hybridMultilevel"/>
    <w:tmpl w:val="E714B01C"/>
    <w:lvl w:ilvl="0" w:tplc="70FA946E">
      <w:numFmt w:val="bullet"/>
      <w:lvlText w:val="•"/>
      <w:lvlJc w:val="left"/>
      <w:pPr>
        <w:ind w:left="1065" w:hanging="705"/>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B82F9A"/>
    <w:multiLevelType w:val="hybridMultilevel"/>
    <w:tmpl w:val="2A22A7A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4B7D39C1"/>
    <w:multiLevelType w:val="hybridMultilevel"/>
    <w:tmpl w:val="A7341C10"/>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1" w15:restartNumberingAfterBreak="0">
    <w:nsid w:val="4BE26247"/>
    <w:multiLevelType w:val="hybridMultilevel"/>
    <w:tmpl w:val="0C183C82"/>
    <w:lvl w:ilvl="0" w:tplc="372E4FE8">
      <w:start w:val="1"/>
      <w:numFmt w:val="decimal"/>
      <w:lvlText w:val="2.%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2" w15:restartNumberingAfterBreak="0">
    <w:nsid w:val="55641360"/>
    <w:multiLevelType w:val="hybridMultilevel"/>
    <w:tmpl w:val="0A56E630"/>
    <w:lvl w:ilvl="0" w:tplc="DD48A5D8">
      <w:start w:val="1"/>
      <w:numFmt w:val="decimal"/>
      <w:lvlText w:val="8.%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3" w15:restartNumberingAfterBreak="0">
    <w:nsid w:val="59887010"/>
    <w:multiLevelType w:val="hybridMultilevel"/>
    <w:tmpl w:val="EAAEB38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63B434F6"/>
    <w:multiLevelType w:val="hybridMultilevel"/>
    <w:tmpl w:val="74C04A0A"/>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6E5F7794"/>
    <w:multiLevelType w:val="multilevel"/>
    <w:tmpl w:val="52480410"/>
    <w:lvl w:ilvl="0">
      <w:start w:val="5"/>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702464F3"/>
    <w:multiLevelType w:val="hybridMultilevel"/>
    <w:tmpl w:val="2A9C1C5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15:restartNumberingAfterBreak="0">
    <w:nsid w:val="72520108"/>
    <w:multiLevelType w:val="hybridMultilevel"/>
    <w:tmpl w:val="9626CDCC"/>
    <w:lvl w:ilvl="0" w:tplc="555E876C">
      <w:start w:val="6"/>
      <w:numFmt w:val="decimal"/>
      <w:lvlText w:val="%1."/>
      <w:lvlJc w:val="left"/>
      <w:pPr>
        <w:ind w:left="6174"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15:restartNumberingAfterBreak="0">
    <w:nsid w:val="7F62318D"/>
    <w:multiLevelType w:val="multilevel"/>
    <w:tmpl w:val="752EE9F0"/>
    <w:lvl w:ilvl="0">
      <w:start w:val="5"/>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5"/>
  </w:num>
  <w:num w:numId="2">
    <w:abstractNumId w:val="8"/>
  </w:num>
  <w:num w:numId="3">
    <w:abstractNumId w:val="16"/>
  </w:num>
  <w:num w:numId="4">
    <w:abstractNumId w:val="13"/>
  </w:num>
  <w:num w:numId="5">
    <w:abstractNumId w:val="0"/>
  </w:num>
  <w:num w:numId="6">
    <w:abstractNumId w:val="14"/>
  </w:num>
  <w:num w:numId="7">
    <w:abstractNumId w:val="11"/>
  </w:num>
  <w:num w:numId="8">
    <w:abstractNumId w:val="10"/>
  </w:num>
  <w:num w:numId="9">
    <w:abstractNumId w:val="4"/>
  </w:num>
  <w:num w:numId="10">
    <w:abstractNumId w:val="17"/>
  </w:num>
  <w:num w:numId="11">
    <w:abstractNumId w:val="1"/>
  </w:num>
  <w:num w:numId="12">
    <w:abstractNumId w:val="12"/>
  </w:num>
  <w:num w:numId="13">
    <w:abstractNumId w:val="7"/>
  </w:num>
  <w:num w:numId="14">
    <w:abstractNumId w:val="6"/>
  </w:num>
  <w:num w:numId="15">
    <w:abstractNumId w:val="2"/>
  </w:num>
  <w:num w:numId="16">
    <w:abstractNumId w:val="18"/>
  </w:num>
  <w:num w:numId="17">
    <w:abstractNumId w:val="3"/>
  </w:num>
  <w:num w:numId="18">
    <w:abstractNumId w:val="15"/>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58BA"/>
    <w:rsid w:val="00000998"/>
    <w:rsid w:val="00006175"/>
    <w:rsid w:val="000126E7"/>
    <w:rsid w:val="00013237"/>
    <w:rsid w:val="000525AC"/>
    <w:rsid w:val="00062FC3"/>
    <w:rsid w:val="00074DF4"/>
    <w:rsid w:val="00080B51"/>
    <w:rsid w:val="00084461"/>
    <w:rsid w:val="000924AB"/>
    <w:rsid w:val="00092CAB"/>
    <w:rsid w:val="0009662E"/>
    <w:rsid w:val="000A0B53"/>
    <w:rsid w:val="000A197A"/>
    <w:rsid w:val="000A50A6"/>
    <w:rsid w:val="000B15ED"/>
    <w:rsid w:val="000B562F"/>
    <w:rsid w:val="000B70B1"/>
    <w:rsid w:val="000B7B2A"/>
    <w:rsid w:val="000E2CFA"/>
    <w:rsid w:val="000F1179"/>
    <w:rsid w:val="000F7D40"/>
    <w:rsid w:val="00101217"/>
    <w:rsid w:val="0010178F"/>
    <w:rsid w:val="0011655B"/>
    <w:rsid w:val="001267FD"/>
    <w:rsid w:val="00132913"/>
    <w:rsid w:val="00134322"/>
    <w:rsid w:val="00136877"/>
    <w:rsid w:val="0014666A"/>
    <w:rsid w:val="00147374"/>
    <w:rsid w:val="001533E8"/>
    <w:rsid w:val="00160DFD"/>
    <w:rsid w:val="001653F9"/>
    <w:rsid w:val="001708DF"/>
    <w:rsid w:val="00172692"/>
    <w:rsid w:val="0017427F"/>
    <w:rsid w:val="001811DD"/>
    <w:rsid w:val="00187AAF"/>
    <w:rsid w:val="001947BD"/>
    <w:rsid w:val="001A5AAC"/>
    <w:rsid w:val="001A6F17"/>
    <w:rsid w:val="001A7310"/>
    <w:rsid w:val="001B1F1E"/>
    <w:rsid w:val="001B5272"/>
    <w:rsid w:val="001C09D7"/>
    <w:rsid w:val="001C0F66"/>
    <w:rsid w:val="001C6684"/>
    <w:rsid w:val="001D2110"/>
    <w:rsid w:val="001D265C"/>
    <w:rsid w:val="001D3B39"/>
    <w:rsid w:val="001E1242"/>
    <w:rsid w:val="001E5027"/>
    <w:rsid w:val="002001A3"/>
    <w:rsid w:val="0020322A"/>
    <w:rsid w:val="00214357"/>
    <w:rsid w:val="00216CD2"/>
    <w:rsid w:val="00220669"/>
    <w:rsid w:val="00231F83"/>
    <w:rsid w:val="002500E7"/>
    <w:rsid w:val="00252B0A"/>
    <w:rsid w:val="00253DDB"/>
    <w:rsid w:val="002645B6"/>
    <w:rsid w:val="00266042"/>
    <w:rsid w:val="00281CAB"/>
    <w:rsid w:val="00283D68"/>
    <w:rsid w:val="002849B1"/>
    <w:rsid w:val="00291FB4"/>
    <w:rsid w:val="002B05F3"/>
    <w:rsid w:val="002D123A"/>
    <w:rsid w:val="002D68CB"/>
    <w:rsid w:val="002D7412"/>
    <w:rsid w:val="00322909"/>
    <w:rsid w:val="00336B80"/>
    <w:rsid w:val="00337384"/>
    <w:rsid w:val="00337C2C"/>
    <w:rsid w:val="00341C11"/>
    <w:rsid w:val="00343E19"/>
    <w:rsid w:val="00345EA5"/>
    <w:rsid w:val="00352C44"/>
    <w:rsid w:val="00352CBE"/>
    <w:rsid w:val="00361E41"/>
    <w:rsid w:val="00363FC6"/>
    <w:rsid w:val="0036578D"/>
    <w:rsid w:val="003732BD"/>
    <w:rsid w:val="0037493F"/>
    <w:rsid w:val="00374FA6"/>
    <w:rsid w:val="0038518B"/>
    <w:rsid w:val="00386201"/>
    <w:rsid w:val="00386CA7"/>
    <w:rsid w:val="003973B1"/>
    <w:rsid w:val="003A12C8"/>
    <w:rsid w:val="003A2315"/>
    <w:rsid w:val="003A4264"/>
    <w:rsid w:val="003B61D6"/>
    <w:rsid w:val="003C564E"/>
    <w:rsid w:val="003C58CB"/>
    <w:rsid w:val="003D514F"/>
    <w:rsid w:val="003D5E74"/>
    <w:rsid w:val="003E18F8"/>
    <w:rsid w:val="003E2BC4"/>
    <w:rsid w:val="003F0C48"/>
    <w:rsid w:val="003F18AA"/>
    <w:rsid w:val="003F204E"/>
    <w:rsid w:val="003F5607"/>
    <w:rsid w:val="003F69EE"/>
    <w:rsid w:val="00404AAA"/>
    <w:rsid w:val="00406507"/>
    <w:rsid w:val="004110C4"/>
    <w:rsid w:val="00415C14"/>
    <w:rsid w:val="0041656C"/>
    <w:rsid w:val="00420B5E"/>
    <w:rsid w:val="00426C9A"/>
    <w:rsid w:val="00435BC9"/>
    <w:rsid w:val="00435E28"/>
    <w:rsid w:val="00436BC4"/>
    <w:rsid w:val="0044047C"/>
    <w:rsid w:val="00444506"/>
    <w:rsid w:val="004523BB"/>
    <w:rsid w:val="00457CD4"/>
    <w:rsid w:val="004606CF"/>
    <w:rsid w:val="00460D7E"/>
    <w:rsid w:val="00461065"/>
    <w:rsid w:val="00472414"/>
    <w:rsid w:val="004741A2"/>
    <w:rsid w:val="004845C4"/>
    <w:rsid w:val="004A2CAE"/>
    <w:rsid w:val="004B3712"/>
    <w:rsid w:val="004B4F8A"/>
    <w:rsid w:val="004E254B"/>
    <w:rsid w:val="005006E1"/>
    <w:rsid w:val="005017D6"/>
    <w:rsid w:val="00501BE5"/>
    <w:rsid w:val="005205DE"/>
    <w:rsid w:val="00521844"/>
    <w:rsid w:val="0054142D"/>
    <w:rsid w:val="00551CCE"/>
    <w:rsid w:val="005524A7"/>
    <w:rsid w:val="00553CEA"/>
    <w:rsid w:val="00557939"/>
    <w:rsid w:val="00565E18"/>
    <w:rsid w:val="0057093F"/>
    <w:rsid w:val="00582B8E"/>
    <w:rsid w:val="00582C90"/>
    <w:rsid w:val="005875BC"/>
    <w:rsid w:val="00591A57"/>
    <w:rsid w:val="005A13F8"/>
    <w:rsid w:val="005C2B05"/>
    <w:rsid w:val="005C58BA"/>
    <w:rsid w:val="005D3967"/>
    <w:rsid w:val="005D78EA"/>
    <w:rsid w:val="005E33E9"/>
    <w:rsid w:val="005E3BFD"/>
    <w:rsid w:val="005F282C"/>
    <w:rsid w:val="00607A45"/>
    <w:rsid w:val="006137BE"/>
    <w:rsid w:val="0062077B"/>
    <w:rsid w:val="00622004"/>
    <w:rsid w:val="00646137"/>
    <w:rsid w:val="0065607F"/>
    <w:rsid w:val="00672AF4"/>
    <w:rsid w:val="00691EDC"/>
    <w:rsid w:val="00694F2C"/>
    <w:rsid w:val="00697EC9"/>
    <w:rsid w:val="006A231E"/>
    <w:rsid w:val="006A3ADA"/>
    <w:rsid w:val="006A4F22"/>
    <w:rsid w:val="006B017D"/>
    <w:rsid w:val="006B28D5"/>
    <w:rsid w:val="006B2F0A"/>
    <w:rsid w:val="006B37E9"/>
    <w:rsid w:val="006C0541"/>
    <w:rsid w:val="006C28C0"/>
    <w:rsid w:val="006C40C7"/>
    <w:rsid w:val="006C4780"/>
    <w:rsid w:val="006C4F43"/>
    <w:rsid w:val="006C6777"/>
    <w:rsid w:val="006C6F6E"/>
    <w:rsid w:val="006D5B5B"/>
    <w:rsid w:val="006E3D9C"/>
    <w:rsid w:val="006E45A0"/>
    <w:rsid w:val="006F2112"/>
    <w:rsid w:val="006F2CCC"/>
    <w:rsid w:val="006F47B5"/>
    <w:rsid w:val="00700F9F"/>
    <w:rsid w:val="00701F55"/>
    <w:rsid w:val="007041DB"/>
    <w:rsid w:val="00717D90"/>
    <w:rsid w:val="00726AD2"/>
    <w:rsid w:val="00754070"/>
    <w:rsid w:val="00763B26"/>
    <w:rsid w:val="00764427"/>
    <w:rsid w:val="00766CE2"/>
    <w:rsid w:val="00776511"/>
    <w:rsid w:val="00776D29"/>
    <w:rsid w:val="00777FD2"/>
    <w:rsid w:val="0078256B"/>
    <w:rsid w:val="00783C78"/>
    <w:rsid w:val="00785551"/>
    <w:rsid w:val="00786880"/>
    <w:rsid w:val="00791470"/>
    <w:rsid w:val="00793E9C"/>
    <w:rsid w:val="00794C71"/>
    <w:rsid w:val="007A010C"/>
    <w:rsid w:val="007A3479"/>
    <w:rsid w:val="007B2D60"/>
    <w:rsid w:val="007C2A2F"/>
    <w:rsid w:val="007C45AB"/>
    <w:rsid w:val="007C68E6"/>
    <w:rsid w:val="007D2A06"/>
    <w:rsid w:val="007D38CC"/>
    <w:rsid w:val="007D72B2"/>
    <w:rsid w:val="007E0BB8"/>
    <w:rsid w:val="007E325E"/>
    <w:rsid w:val="007F30D2"/>
    <w:rsid w:val="007F588D"/>
    <w:rsid w:val="007F5D50"/>
    <w:rsid w:val="0080365D"/>
    <w:rsid w:val="00805FC4"/>
    <w:rsid w:val="008178B6"/>
    <w:rsid w:val="00825D50"/>
    <w:rsid w:val="008532B8"/>
    <w:rsid w:val="00853DEC"/>
    <w:rsid w:val="0085534F"/>
    <w:rsid w:val="008702C1"/>
    <w:rsid w:val="008842CC"/>
    <w:rsid w:val="00884BE6"/>
    <w:rsid w:val="00885271"/>
    <w:rsid w:val="008A1473"/>
    <w:rsid w:val="008A3A3C"/>
    <w:rsid w:val="008B05C6"/>
    <w:rsid w:val="008B5AC2"/>
    <w:rsid w:val="008B5CEE"/>
    <w:rsid w:val="008C1940"/>
    <w:rsid w:val="008C5FB6"/>
    <w:rsid w:val="008E720C"/>
    <w:rsid w:val="008F43EE"/>
    <w:rsid w:val="008F6718"/>
    <w:rsid w:val="008F7DBC"/>
    <w:rsid w:val="00900DE6"/>
    <w:rsid w:val="00927EF4"/>
    <w:rsid w:val="00932C9B"/>
    <w:rsid w:val="009331DE"/>
    <w:rsid w:val="00942302"/>
    <w:rsid w:val="00943C96"/>
    <w:rsid w:val="00952A4D"/>
    <w:rsid w:val="0095598E"/>
    <w:rsid w:val="009569B5"/>
    <w:rsid w:val="009578F0"/>
    <w:rsid w:val="00965AEB"/>
    <w:rsid w:val="0096654C"/>
    <w:rsid w:val="0098202E"/>
    <w:rsid w:val="0098347B"/>
    <w:rsid w:val="00994192"/>
    <w:rsid w:val="009971C7"/>
    <w:rsid w:val="009A4EBC"/>
    <w:rsid w:val="009B40EF"/>
    <w:rsid w:val="009C4E23"/>
    <w:rsid w:val="009D15CB"/>
    <w:rsid w:val="009F2930"/>
    <w:rsid w:val="009F2CCD"/>
    <w:rsid w:val="009F2E56"/>
    <w:rsid w:val="00A0031D"/>
    <w:rsid w:val="00A014BE"/>
    <w:rsid w:val="00A06684"/>
    <w:rsid w:val="00A40065"/>
    <w:rsid w:val="00A40634"/>
    <w:rsid w:val="00A42921"/>
    <w:rsid w:val="00A577CF"/>
    <w:rsid w:val="00A6088A"/>
    <w:rsid w:val="00A63CBE"/>
    <w:rsid w:val="00A9526B"/>
    <w:rsid w:val="00AA0667"/>
    <w:rsid w:val="00AA19EF"/>
    <w:rsid w:val="00AA1EE2"/>
    <w:rsid w:val="00AA4A66"/>
    <w:rsid w:val="00AA57F7"/>
    <w:rsid w:val="00AB0608"/>
    <w:rsid w:val="00AB1FD3"/>
    <w:rsid w:val="00AB6502"/>
    <w:rsid w:val="00AB7C09"/>
    <w:rsid w:val="00AE3557"/>
    <w:rsid w:val="00AE465D"/>
    <w:rsid w:val="00AF2AFC"/>
    <w:rsid w:val="00AF76FE"/>
    <w:rsid w:val="00B05838"/>
    <w:rsid w:val="00B0636B"/>
    <w:rsid w:val="00B10136"/>
    <w:rsid w:val="00B12DA6"/>
    <w:rsid w:val="00B25BF6"/>
    <w:rsid w:val="00B435AA"/>
    <w:rsid w:val="00B46C0F"/>
    <w:rsid w:val="00B51EB8"/>
    <w:rsid w:val="00B5387A"/>
    <w:rsid w:val="00B53D99"/>
    <w:rsid w:val="00B54746"/>
    <w:rsid w:val="00B62F80"/>
    <w:rsid w:val="00B6390E"/>
    <w:rsid w:val="00B641EE"/>
    <w:rsid w:val="00B646B3"/>
    <w:rsid w:val="00B766CA"/>
    <w:rsid w:val="00B8549E"/>
    <w:rsid w:val="00B869D7"/>
    <w:rsid w:val="00B90169"/>
    <w:rsid w:val="00B90D73"/>
    <w:rsid w:val="00B9411D"/>
    <w:rsid w:val="00BA1249"/>
    <w:rsid w:val="00BB29A0"/>
    <w:rsid w:val="00BB6FDF"/>
    <w:rsid w:val="00BC051C"/>
    <w:rsid w:val="00BD47DA"/>
    <w:rsid w:val="00BD54E9"/>
    <w:rsid w:val="00BD738C"/>
    <w:rsid w:val="00BE6B64"/>
    <w:rsid w:val="00C04504"/>
    <w:rsid w:val="00C04515"/>
    <w:rsid w:val="00C152D4"/>
    <w:rsid w:val="00C24C2F"/>
    <w:rsid w:val="00C30F56"/>
    <w:rsid w:val="00C57328"/>
    <w:rsid w:val="00C64983"/>
    <w:rsid w:val="00C659AB"/>
    <w:rsid w:val="00C711BE"/>
    <w:rsid w:val="00C8688C"/>
    <w:rsid w:val="00C913AE"/>
    <w:rsid w:val="00CA2611"/>
    <w:rsid w:val="00CA28E3"/>
    <w:rsid w:val="00CA3317"/>
    <w:rsid w:val="00CA4987"/>
    <w:rsid w:val="00CA561F"/>
    <w:rsid w:val="00CA7428"/>
    <w:rsid w:val="00CB5E81"/>
    <w:rsid w:val="00CC013E"/>
    <w:rsid w:val="00CC0C70"/>
    <w:rsid w:val="00CC2F37"/>
    <w:rsid w:val="00CC4457"/>
    <w:rsid w:val="00CC5E54"/>
    <w:rsid w:val="00CD7869"/>
    <w:rsid w:val="00CE367F"/>
    <w:rsid w:val="00CE40E3"/>
    <w:rsid w:val="00CE738E"/>
    <w:rsid w:val="00CF541D"/>
    <w:rsid w:val="00CF5B28"/>
    <w:rsid w:val="00D035E5"/>
    <w:rsid w:val="00D36925"/>
    <w:rsid w:val="00D371D8"/>
    <w:rsid w:val="00D40BAF"/>
    <w:rsid w:val="00D452DD"/>
    <w:rsid w:val="00D465CD"/>
    <w:rsid w:val="00D503CA"/>
    <w:rsid w:val="00D63BDC"/>
    <w:rsid w:val="00D673C5"/>
    <w:rsid w:val="00D72DC8"/>
    <w:rsid w:val="00D77348"/>
    <w:rsid w:val="00D87310"/>
    <w:rsid w:val="00D92AC9"/>
    <w:rsid w:val="00D96689"/>
    <w:rsid w:val="00DA0230"/>
    <w:rsid w:val="00DA2C89"/>
    <w:rsid w:val="00DA3356"/>
    <w:rsid w:val="00DA4F3B"/>
    <w:rsid w:val="00DA5CC6"/>
    <w:rsid w:val="00DA6110"/>
    <w:rsid w:val="00DB1B87"/>
    <w:rsid w:val="00DB4C40"/>
    <w:rsid w:val="00DC2914"/>
    <w:rsid w:val="00DC7791"/>
    <w:rsid w:val="00DD12B5"/>
    <w:rsid w:val="00DD6202"/>
    <w:rsid w:val="00DE7A33"/>
    <w:rsid w:val="00DF74E7"/>
    <w:rsid w:val="00E1379C"/>
    <w:rsid w:val="00E20CE8"/>
    <w:rsid w:val="00E43DD3"/>
    <w:rsid w:val="00E442C8"/>
    <w:rsid w:val="00E47AED"/>
    <w:rsid w:val="00E508BB"/>
    <w:rsid w:val="00E546E7"/>
    <w:rsid w:val="00E55BFB"/>
    <w:rsid w:val="00E63F9B"/>
    <w:rsid w:val="00E64270"/>
    <w:rsid w:val="00E75291"/>
    <w:rsid w:val="00E82553"/>
    <w:rsid w:val="00E830CF"/>
    <w:rsid w:val="00E86661"/>
    <w:rsid w:val="00E91A65"/>
    <w:rsid w:val="00E928C2"/>
    <w:rsid w:val="00E95ABC"/>
    <w:rsid w:val="00EA02AF"/>
    <w:rsid w:val="00EB02B2"/>
    <w:rsid w:val="00EB1583"/>
    <w:rsid w:val="00EB7946"/>
    <w:rsid w:val="00EB7D71"/>
    <w:rsid w:val="00EC1D64"/>
    <w:rsid w:val="00ED5581"/>
    <w:rsid w:val="00EE1A5D"/>
    <w:rsid w:val="00EF39D0"/>
    <w:rsid w:val="00EF532A"/>
    <w:rsid w:val="00F00B2F"/>
    <w:rsid w:val="00F03ED3"/>
    <w:rsid w:val="00F15D77"/>
    <w:rsid w:val="00F228AF"/>
    <w:rsid w:val="00F3287A"/>
    <w:rsid w:val="00F44E7D"/>
    <w:rsid w:val="00F525EB"/>
    <w:rsid w:val="00F60DB9"/>
    <w:rsid w:val="00F65E93"/>
    <w:rsid w:val="00F66602"/>
    <w:rsid w:val="00F82DCA"/>
    <w:rsid w:val="00FB0807"/>
    <w:rsid w:val="00FB4B78"/>
    <w:rsid w:val="00FC18C3"/>
    <w:rsid w:val="00FC566E"/>
    <w:rsid w:val="00FE1356"/>
    <w:rsid w:val="00FE2E37"/>
    <w:rsid w:val="00FF3013"/>
    <w:rsid w:val="00FF5725"/>
    <w:rsid w:val="00FF65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48BDCC"/>
  <w15:chartTrackingRefBased/>
  <w15:docId w15:val="{C8DCE49A-7DA4-4550-93BE-3E83A9629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57328"/>
  </w:style>
  <w:style w:type="paragraph" w:styleId="Heading1">
    <w:name w:val="heading 1"/>
    <w:basedOn w:val="Normal"/>
    <w:next w:val="Normal"/>
    <w:link w:val="Heading1Char"/>
    <w:uiPriority w:val="9"/>
    <w:qFormat/>
    <w:rsid w:val="00591A5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91A5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F74E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DF74E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57328"/>
    <w:rPr>
      <w:sz w:val="16"/>
      <w:szCs w:val="16"/>
    </w:rPr>
  </w:style>
  <w:style w:type="paragraph" w:styleId="CommentText">
    <w:name w:val="annotation text"/>
    <w:basedOn w:val="Normal"/>
    <w:link w:val="CommentTextChar"/>
    <w:uiPriority w:val="99"/>
    <w:semiHidden/>
    <w:unhideWhenUsed/>
    <w:rsid w:val="00C57328"/>
    <w:pPr>
      <w:spacing w:line="240" w:lineRule="auto"/>
    </w:pPr>
    <w:rPr>
      <w:sz w:val="20"/>
      <w:szCs w:val="20"/>
    </w:rPr>
  </w:style>
  <w:style w:type="character" w:customStyle="1" w:styleId="CommentTextChar">
    <w:name w:val="Comment Text Char"/>
    <w:basedOn w:val="DefaultParagraphFont"/>
    <w:link w:val="CommentText"/>
    <w:uiPriority w:val="99"/>
    <w:semiHidden/>
    <w:rsid w:val="00C57328"/>
    <w:rPr>
      <w:sz w:val="20"/>
      <w:szCs w:val="20"/>
    </w:rPr>
  </w:style>
  <w:style w:type="paragraph" w:styleId="BalloonText">
    <w:name w:val="Balloon Text"/>
    <w:basedOn w:val="Normal"/>
    <w:link w:val="BalloonTextChar"/>
    <w:uiPriority w:val="99"/>
    <w:semiHidden/>
    <w:unhideWhenUsed/>
    <w:rsid w:val="00C573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7328"/>
    <w:rPr>
      <w:rFonts w:ascii="Segoe UI" w:hAnsi="Segoe UI" w:cs="Segoe UI"/>
      <w:sz w:val="18"/>
      <w:szCs w:val="18"/>
    </w:rPr>
  </w:style>
  <w:style w:type="paragraph" w:styleId="ListParagraph">
    <w:name w:val="List Paragraph"/>
    <w:basedOn w:val="Normal"/>
    <w:uiPriority w:val="34"/>
    <w:qFormat/>
    <w:rsid w:val="00AB1FD3"/>
    <w:pPr>
      <w:ind w:left="720"/>
      <w:contextualSpacing/>
    </w:pPr>
  </w:style>
  <w:style w:type="paragraph" w:styleId="Caption">
    <w:name w:val="caption"/>
    <w:aliases w:val="Lesego Caption,Table,Caption-Tables,CPR Caption,Caption Char Char Char Char,Caption Char Char,Caption Char Char Char,headings"/>
    <w:basedOn w:val="Normal"/>
    <w:next w:val="Normal"/>
    <w:link w:val="CaptionChar"/>
    <w:unhideWhenUsed/>
    <w:qFormat/>
    <w:rsid w:val="00776511"/>
    <w:pPr>
      <w:spacing w:after="200" w:line="240" w:lineRule="auto"/>
    </w:pPr>
    <w:rPr>
      <w:i/>
      <w:iCs/>
      <w:color w:val="44546A" w:themeColor="text2"/>
      <w:sz w:val="18"/>
      <w:szCs w:val="18"/>
    </w:rPr>
  </w:style>
  <w:style w:type="character" w:customStyle="1" w:styleId="CaptionChar">
    <w:name w:val="Caption Char"/>
    <w:aliases w:val="Lesego Caption Char,Table Char,Caption-Tables Char,CPR Caption Char,Caption Char Char Char Char Char,Caption Char Char Char1,Caption Char Char Char Char1,headings Char"/>
    <w:link w:val="Caption"/>
    <w:uiPriority w:val="35"/>
    <w:locked/>
    <w:rsid w:val="001C0F66"/>
    <w:rPr>
      <w:i/>
      <w:iCs/>
      <w:color w:val="44546A" w:themeColor="text2"/>
      <w:sz w:val="18"/>
      <w:szCs w:val="18"/>
    </w:rPr>
  </w:style>
  <w:style w:type="character" w:customStyle="1" w:styleId="Heading1Char">
    <w:name w:val="Heading 1 Char"/>
    <w:basedOn w:val="DefaultParagraphFont"/>
    <w:link w:val="Heading1"/>
    <w:uiPriority w:val="9"/>
    <w:rsid w:val="00591A5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591A57"/>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DF74E7"/>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DF74E7"/>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8A3A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A3A3C"/>
  </w:style>
  <w:style w:type="paragraph" w:styleId="Footer">
    <w:name w:val="footer"/>
    <w:basedOn w:val="Normal"/>
    <w:link w:val="FooterChar"/>
    <w:uiPriority w:val="99"/>
    <w:unhideWhenUsed/>
    <w:rsid w:val="008A3A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A3A3C"/>
  </w:style>
  <w:style w:type="paragraph" w:styleId="NoSpacing">
    <w:name w:val="No Spacing"/>
    <w:uiPriority w:val="1"/>
    <w:qFormat/>
    <w:rsid w:val="003A2315"/>
    <w:pPr>
      <w:spacing w:after="0" w:line="240" w:lineRule="auto"/>
    </w:pPr>
  </w:style>
  <w:style w:type="paragraph" w:styleId="TOCHeading">
    <w:name w:val="TOC Heading"/>
    <w:basedOn w:val="Heading1"/>
    <w:next w:val="Normal"/>
    <w:uiPriority w:val="39"/>
    <w:unhideWhenUsed/>
    <w:qFormat/>
    <w:rsid w:val="00B53D99"/>
    <w:pPr>
      <w:outlineLvl w:val="9"/>
    </w:pPr>
  </w:style>
  <w:style w:type="paragraph" w:styleId="TOC2">
    <w:name w:val="toc 2"/>
    <w:basedOn w:val="Normal"/>
    <w:next w:val="Normal"/>
    <w:autoRedefine/>
    <w:uiPriority w:val="39"/>
    <w:unhideWhenUsed/>
    <w:rsid w:val="00B53D99"/>
    <w:pPr>
      <w:spacing w:after="100"/>
      <w:ind w:left="220"/>
    </w:pPr>
  </w:style>
  <w:style w:type="paragraph" w:styleId="TOC1">
    <w:name w:val="toc 1"/>
    <w:basedOn w:val="Normal"/>
    <w:next w:val="Normal"/>
    <w:autoRedefine/>
    <w:uiPriority w:val="39"/>
    <w:unhideWhenUsed/>
    <w:rsid w:val="00B53D99"/>
    <w:pPr>
      <w:spacing w:after="100"/>
    </w:pPr>
  </w:style>
  <w:style w:type="paragraph" w:styleId="TOC3">
    <w:name w:val="toc 3"/>
    <w:basedOn w:val="Normal"/>
    <w:next w:val="Normal"/>
    <w:autoRedefine/>
    <w:uiPriority w:val="39"/>
    <w:unhideWhenUsed/>
    <w:rsid w:val="00B53D99"/>
    <w:pPr>
      <w:spacing w:after="100"/>
      <w:ind w:left="440"/>
    </w:pPr>
  </w:style>
  <w:style w:type="character" w:styleId="Hyperlink">
    <w:name w:val="Hyperlink"/>
    <w:basedOn w:val="DefaultParagraphFont"/>
    <w:uiPriority w:val="99"/>
    <w:unhideWhenUsed/>
    <w:rsid w:val="00B53D99"/>
    <w:rPr>
      <w:color w:val="0563C1" w:themeColor="hyperlink"/>
      <w:u w:val="single"/>
    </w:rPr>
  </w:style>
  <w:style w:type="paragraph" w:styleId="TOC4">
    <w:name w:val="toc 4"/>
    <w:basedOn w:val="Normal"/>
    <w:next w:val="Normal"/>
    <w:autoRedefine/>
    <w:uiPriority w:val="39"/>
    <w:unhideWhenUsed/>
    <w:rsid w:val="002D7412"/>
    <w:pPr>
      <w:spacing w:after="100"/>
      <w:ind w:left="660"/>
    </w:pPr>
  </w:style>
  <w:style w:type="character" w:styleId="PlaceholderText">
    <w:name w:val="Placeholder Text"/>
    <w:basedOn w:val="DefaultParagraphFont"/>
    <w:uiPriority w:val="99"/>
    <w:semiHidden/>
    <w:rsid w:val="00444506"/>
    <w:rPr>
      <w:color w:val="808080"/>
    </w:rPr>
  </w:style>
  <w:style w:type="paragraph" w:styleId="TableofFigures">
    <w:name w:val="table of figures"/>
    <w:basedOn w:val="Normal"/>
    <w:next w:val="Normal"/>
    <w:uiPriority w:val="99"/>
    <w:unhideWhenUsed/>
    <w:rsid w:val="004E254B"/>
    <w:pPr>
      <w:spacing w:after="0"/>
    </w:pPr>
  </w:style>
  <w:style w:type="numbering" w:customStyle="1" w:styleId="NoList1">
    <w:name w:val="No List1"/>
    <w:next w:val="NoList"/>
    <w:uiPriority w:val="99"/>
    <w:semiHidden/>
    <w:unhideWhenUsed/>
    <w:rsid w:val="00EB7946"/>
  </w:style>
  <w:style w:type="paragraph" w:customStyle="1" w:styleId="BodyText11">
    <w:name w:val="Body Text 1.1"/>
    <w:basedOn w:val="Normal"/>
    <w:link w:val="BodyText11Char"/>
    <w:rsid w:val="00EB7946"/>
    <w:pPr>
      <w:spacing w:before="60" w:after="60" w:line="240" w:lineRule="auto"/>
      <w:ind w:left="952"/>
      <w:jc w:val="both"/>
    </w:pPr>
    <w:rPr>
      <w:rFonts w:ascii="Arial" w:eastAsia="Times New Roman" w:hAnsi="Arial" w:cs="Times New Roman"/>
      <w:szCs w:val="20"/>
      <w:lang w:val="en-GB"/>
    </w:rPr>
  </w:style>
  <w:style w:type="character" w:customStyle="1" w:styleId="BodyText11Char">
    <w:name w:val="Body Text 1.1 Char"/>
    <w:link w:val="BodyText11"/>
    <w:rsid w:val="00EB7946"/>
    <w:rPr>
      <w:rFonts w:ascii="Arial" w:eastAsia="Times New Roman" w:hAnsi="Arial" w:cs="Times New Roman"/>
      <w:szCs w:val="20"/>
      <w:lang w:val="en-GB"/>
    </w:rPr>
  </w:style>
  <w:style w:type="paragraph" w:customStyle="1" w:styleId="MSABodyText">
    <w:name w:val="MSA Body Text"/>
    <w:basedOn w:val="Normal"/>
    <w:link w:val="MSABodyTextChar"/>
    <w:rsid w:val="00EB7946"/>
    <w:pPr>
      <w:spacing w:before="60" w:after="240" w:line="288" w:lineRule="auto"/>
      <w:ind w:left="851"/>
      <w:jc w:val="both"/>
    </w:pPr>
    <w:rPr>
      <w:rFonts w:ascii="Arial" w:eastAsia="Times New Roman" w:hAnsi="Arial" w:cs="Microsoft Sans Serif"/>
      <w:szCs w:val="20"/>
      <w:lang w:val="en-AU"/>
    </w:rPr>
  </w:style>
  <w:style w:type="character" w:customStyle="1" w:styleId="MSABodyTextChar">
    <w:name w:val="MSA Body Text Char"/>
    <w:link w:val="MSABodyText"/>
    <w:rsid w:val="00EB7946"/>
    <w:rPr>
      <w:rFonts w:ascii="Arial" w:eastAsia="Times New Roman" w:hAnsi="Arial" w:cs="Microsoft Sans Serif"/>
      <w:szCs w:val="20"/>
      <w:lang w:val="en-AU"/>
    </w:rPr>
  </w:style>
  <w:style w:type="paragraph" w:customStyle="1" w:styleId="BodyText111">
    <w:name w:val="Body Text 1.1.1"/>
    <w:basedOn w:val="BodyText11"/>
    <w:link w:val="BodyText111Char"/>
    <w:autoRedefine/>
    <w:rsid w:val="00EB7946"/>
    <w:pPr>
      <w:ind w:left="1707" w:right="-1"/>
    </w:pPr>
  </w:style>
  <w:style w:type="character" w:customStyle="1" w:styleId="BodyText111Char">
    <w:name w:val="Body Text 1.1.1 Char"/>
    <w:basedOn w:val="BodyText11Char"/>
    <w:link w:val="BodyText111"/>
    <w:rsid w:val="00EB7946"/>
    <w:rPr>
      <w:rFonts w:ascii="Arial" w:eastAsia="Times New Roman" w:hAnsi="Arial" w:cs="Times New Roman"/>
      <w:szCs w:val="20"/>
      <w:lang w:val="en-GB"/>
    </w:rPr>
  </w:style>
  <w:style w:type="paragraph" w:styleId="CommentSubject">
    <w:name w:val="annotation subject"/>
    <w:basedOn w:val="CommentText"/>
    <w:next w:val="CommentText"/>
    <w:link w:val="CommentSubjectChar"/>
    <w:uiPriority w:val="99"/>
    <w:semiHidden/>
    <w:unhideWhenUsed/>
    <w:rsid w:val="00EB7946"/>
    <w:rPr>
      <w:b/>
      <w:bCs/>
    </w:rPr>
  </w:style>
  <w:style w:type="character" w:customStyle="1" w:styleId="CommentSubjectChar">
    <w:name w:val="Comment Subject Char"/>
    <w:basedOn w:val="CommentTextChar"/>
    <w:link w:val="CommentSubject"/>
    <w:uiPriority w:val="99"/>
    <w:semiHidden/>
    <w:rsid w:val="00EB7946"/>
    <w:rPr>
      <w:b/>
      <w:bCs/>
      <w:sz w:val="20"/>
      <w:szCs w:val="20"/>
    </w:rPr>
  </w:style>
  <w:style w:type="paragraph" w:styleId="Revision">
    <w:name w:val="Revision"/>
    <w:hidden/>
    <w:uiPriority w:val="99"/>
    <w:semiHidden/>
    <w:rsid w:val="00EB7946"/>
    <w:pPr>
      <w:spacing w:after="0" w:line="240" w:lineRule="auto"/>
    </w:pPr>
  </w:style>
  <w:style w:type="table" w:styleId="TableGrid">
    <w:name w:val="Table Grid"/>
    <w:basedOn w:val="TableNormal"/>
    <w:uiPriority w:val="39"/>
    <w:rsid w:val="00EB79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41">
    <w:name w:val="Plain Table 41"/>
    <w:basedOn w:val="TableNormal"/>
    <w:uiPriority w:val="44"/>
    <w:rsid w:val="00EB7946"/>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5241512">
      <w:bodyDiv w:val="1"/>
      <w:marLeft w:val="0"/>
      <w:marRight w:val="0"/>
      <w:marTop w:val="0"/>
      <w:marBottom w:val="0"/>
      <w:divBdr>
        <w:top w:val="none" w:sz="0" w:space="0" w:color="auto"/>
        <w:left w:val="none" w:sz="0" w:space="0" w:color="auto"/>
        <w:bottom w:val="none" w:sz="0" w:space="0" w:color="auto"/>
        <w:right w:val="none" w:sz="0" w:space="0" w:color="auto"/>
      </w:divBdr>
    </w:div>
    <w:div w:id="1744639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29.emf"/><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eader" Target="header1.xml"/><Relationship Id="rId42" Type="http://schemas.openxmlformats.org/officeDocument/2006/relationships/image" Target="media/image32.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28.emf"/><Relationship Id="rId46"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7.png"/><Relationship Id="rId40" Type="http://schemas.openxmlformats.org/officeDocument/2006/relationships/image" Target="media/image30.emf"/><Relationship Id="rId45" Type="http://schemas.openxmlformats.org/officeDocument/2006/relationships/image" Target="media/image35.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6.emf"/><Relationship Id="rId10" Type="http://schemas.openxmlformats.org/officeDocument/2006/relationships/image" Target="media/image3.emf"/><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4.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footer" Target="footer2.xml"/><Relationship Id="rId43" Type="http://schemas.openxmlformats.org/officeDocument/2006/relationships/image" Target="media/image33.png"/><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C2CE89-64EF-4E0E-9E9D-A9F257886B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1127</TotalTime>
  <Pages>72</Pages>
  <Words>20775</Words>
  <Characters>118422</Characters>
  <Application>Microsoft Office Word</Application>
  <DocSecurity>0</DocSecurity>
  <Lines>986</Lines>
  <Paragraphs>277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rmontjoie montjoie</dc:creator>
  <cp:keywords/>
  <dc:description/>
  <cp:lastModifiedBy>Richard Montjoie</cp:lastModifiedBy>
  <cp:revision>23</cp:revision>
  <cp:lastPrinted>2018-09-06T13:33:00Z</cp:lastPrinted>
  <dcterms:created xsi:type="dcterms:W3CDTF">2018-07-30T22:06:00Z</dcterms:created>
  <dcterms:modified xsi:type="dcterms:W3CDTF">2018-09-07T09:19:00Z</dcterms:modified>
</cp:coreProperties>
</file>