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F34143" w14:textId="77777777" w:rsidR="00D3567B" w:rsidRDefault="0002607A">
      <w:bookmarkStart w:id="0" w:name="_GoBack"/>
      <w:bookmarkEnd w:id="0"/>
      <w:r w:rsidRPr="003C6EF5">
        <w:rPr>
          <w:noProof/>
          <w:lang w:val="en-ZA" w:eastAsia="en-ZA"/>
        </w:rPr>
        <w:drawing>
          <wp:anchor distT="0" distB="0" distL="114300" distR="114300" simplePos="0" relativeHeight="251653120" behindDoc="1" locked="0" layoutInCell="1" allowOverlap="1" wp14:anchorId="36A70634" wp14:editId="40A5D068">
            <wp:simplePos x="0" y="0"/>
            <wp:positionH relativeFrom="margin">
              <wp:align>center</wp:align>
            </wp:positionH>
            <wp:positionV relativeFrom="paragraph">
              <wp:posOffset>-292735</wp:posOffset>
            </wp:positionV>
            <wp:extent cx="2152650" cy="2124075"/>
            <wp:effectExtent l="0" t="0" r="0" b="9525"/>
            <wp:wrapNone/>
            <wp:docPr id="1" name="Picture 1" descr="C:\Users\Nicola van der Merwe\Documents\Masters\Thesi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ola van der Merwe\Documents\Masters\Thesis\images.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2650" cy="2124075"/>
                    </a:xfrm>
                    <a:prstGeom prst="rect">
                      <a:avLst/>
                    </a:prstGeom>
                    <a:noFill/>
                    <a:ln>
                      <a:noFill/>
                    </a:ln>
                  </pic:spPr>
                </pic:pic>
              </a:graphicData>
            </a:graphic>
          </wp:anchor>
        </w:drawing>
      </w:r>
    </w:p>
    <w:sdt>
      <w:sdtPr>
        <w:id w:val="-2019527883"/>
        <w:docPartObj>
          <w:docPartGallery w:val="Cover Pages"/>
          <w:docPartUnique/>
        </w:docPartObj>
      </w:sdtPr>
      <w:sdtEndPr/>
      <w:sdtContent>
        <w:p w14:paraId="2B1B87C6" w14:textId="77777777" w:rsidR="009F6317" w:rsidRDefault="009F6317"/>
        <w:tbl>
          <w:tblPr>
            <w:tblpPr w:leftFromText="187" w:rightFromText="187" w:horzAnchor="margin" w:tblpXSpec="center" w:tblpY="2881"/>
            <w:tblW w:w="3783" w:type="pct"/>
            <w:tblBorders>
              <w:left w:val="single" w:sz="12" w:space="0" w:color="5B9BD5" w:themeColor="accent1"/>
            </w:tblBorders>
            <w:tblCellMar>
              <w:left w:w="144" w:type="dxa"/>
              <w:right w:w="115" w:type="dxa"/>
            </w:tblCellMar>
            <w:tblLook w:val="04A0" w:firstRow="1" w:lastRow="0" w:firstColumn="1" w:lastColumn="0" w:noHBand="0" w:noVBand="1"/>
          </w:tblPr>
          <w:tblGrid>
            <w:gridCol w:w="7003"/>
          </w:tblGrid>
          <w:tr w:rsidR="009F6317" w14:paraId="2C52565F" w14:textId="77777777" w:rsidTr="00307D9E">
            <w:trPr>
              <w:trHeight w:val="266"/>
            </w:trPr>
            <w:sdt>
              <w:sdtPr>
                <w:rPr>
                  <w:rFonts w:cs="Times New Roman"/>
                  <w:sz w:val="24"/>
                  <w:szCs w:val="24"/>
                </w:rPr>
                <w:alias w:val="Company"/>
                <w:id w:val="13406915"/>
                <w:showingPlcHdr/>
                <w:dataBinding w:prefixMappings="xmlns:ns0='http://schemas.openxmlformats.org/officeDocument/2006/extended-properties'" w:xpath="/ns0:Properties[1]/ns0:Company[1]" w:storeItemID="{6668398D-A668-4E3E-A5EB-62B293D839F1}"/>
                <w:text/>
              </w:sdtPr>
              <w:sdtEndPr/>
              <w:sdtContent>
                <w:tc>
                  <w:tcPr>
                    <w:tcW w:w="7004" w:type="dxa"/>
                    <w:tcMar>
                      <w:top w:w="216" w:type="dxa"/>
                      <w:left w:w="115" w:type="dxa"/>
                      <w:bottom w:w="216" w:type="dxa"/>
                      <w:right w:w="115" w:type="dxa"/>
                    </w:tcMar>
                  </w:tcPr>
                  <w:p w14:paraId="5A348800" w14:textId="77777777" w:rsidR="009F6317" w:rsidRPr="00EB6ABC" w:rsidRDefault="003C6EF5" w:rsidP="003C6EF5">
                    <w:pPr>
                      <w:pStyle w:val="NoSpacing"/>
                      <w:jc w:val="center"/>
                      <w:rPr>
                        <w:rFonts w:cs="Times New Roman"/>
                        <w:color w:val="2E74B5" w:themeColor="accent1" w:themeShade="BF"/>
                        <w:sz w:val="24"/>
                      </w:rPr>
                    </w:pPr>
                    <w:r w:rsidRPr="003C6EF5">
                      <w:rPr>
                        <w:color w:val="FFFFFF" w:themeColor="background1"/>
                        <w:sz w:val="24"/>
                        <w:szCs w:val="24"/>
                      </w:rPr>
                      <w:t>[Company name]</w:t>
                    </w:r>
                  </w:p>
                </w:tc>
              </w:sdtContent>
            </w:sdt>
          </w:tr>
          <w:tr w:rsidR="009F6317" w14:paraId="36CC4FBA" w14:textId="77777777" w:rsidTr="00307D9E">
            <w:trPr>
              <w:trHeight w:val="1612"/>
            </w:trPr>
            <w:tc>
              <w:tcPr>
                <w:tcW w:w="7004" w:type="dxa"/>
              </w:tcPr>
              <w:p w14:paraId="6DC84357" w14:textId="77777777" w:rsidR="009F6317" w:rsidRPr="00D87051" w:rsidRDefault="000F44D5" w:rsidP="00D87051">
                <w:pPr>
                  <w:pStyle w:val="NoSpacing"/>
                  <w:spacing w:line="216" w:lineRule="auto"/>
                  <w:jc w:val="center"/>
                  <w:rPr>
                    <w:rFonts w:asciiTheme="majorHAnsi" w:eastAsiaTheme="majorEastAsia" w:hAnsiTheme="majorHAnsi" w:cstheme="majorBidi"/>
                    <w:color w:val="5B9BD5" w:themeColor="accent1"/>
                    <w:sz w:val="80"/>
                    <w:szCs w:val="80"/>
                  </w:rPr>
                </w:pPr>
                <w:sdt>
                  <w:sdtPr>
                    <w:rPr>
                      <w:rFonts w:eastAsiaTheme="majorEastAsia" w:cs="Times New Roman"/>
                      <w:sz w:val="80"/>
                      <w:szCs w:val="80"/>
                    </w:rPr>
                    <w:alias w:val="Title"/>
                    <w:id w:val="13406919"/>
                    <w:dataBinding w:prefixMappings="xmlns:ns0='http://schemas.openxmlformats.org/package/2006/metadata/core-properties' xmlns:ns1='http://purl.org/dc/elements/1.1/'" w:xpath="/ns0:coreProperties[1]/ns1:title[1]" w:storeItemID="{6C3C8BC8-F283-45AE-878A-BAB7291924A1}"/>
                    <w:text/>
                  </w:sdtPr>
                  <w:sdtEndPr/>
                  <w:sdtContent>
                    <w:r w:rsidR="00F708CC">
                      <w:rPr>
                        <w:rFonts w:eastAsiaTheme="majorEastAsia" w:cs="Times New Roman"/>
                        <w:sz w:val="80"/>
                        <w:szCs w:val="80"/>
                        <w:lang w:val="en-US"/>
                      </w:rPr>
                      <w:t>Gambling in the Bophuthatswana</w:t>
                    </w:r>
                  </w:sdtContent>
                </w:sdt>
                <w:r w:rsidR="00D87051" w:rsidRPr="00D87051">
                  <w:rPr>
                    <w:rFonts w:eastAsiaTheme="majorEastAsia" w:cs="Times New Roman"/>
                    <w:sz w:val="80"/>
                    <w:szCs w:val="80"/>
                  </w:rPr>
                  <w:t xml:space="preserve"> Sun</w:t>
                </w:r>
              </w:p>
            </w:tc>
          </w:tr>
          <w:tr w:rsidR="009F6317" w14:paraId="4E82F333" w14:textId="77777777" w:rsidTr="00307D9E">
            <w:trPr>
              <w:trHeight w:val="799"/>
            </w:trPr>
            <w:sdt>
              <w:sdtPr>
                <w:rPr>
                  <w:rFonts w:cs="Times New Roman"/>
                  <w:sz w:val="36"/>
                  <w:szCs w:val="36"/>
                </w:rPr>
                <w:alias w:val="Subtitle"/>
                <w:id w:val="13406923"/>
                <w:dataBinding w:prefixMappings="xmlns:ns0='http://schemas.openxmlformats.org/package/2006/metadata/core-properties' xmlns:ns1='http://purl.org/dc/elements/1.1/'" w:xpath="/ns0:coreProperties[1]/ns1:subject[1]" w:storeItemID="{6C3C8BC8-F283-45AE-878A-BAB7291924A1}"/>
                <w:text/>
              </w:sdtPr>
              <w:sdtEndPr/>
              <w:sdtContent>
                <w:tc>
                  <w:tcPr>
                    <w:tcW w:w="7004" w:type="dxa"/>
                    <w:tcMar>
                      <w:top w:w="216" w:type="dxa"/>
                      <w:left w:w="115" w:type="dxa"/>
                      <w:bottom w:w="216" w:type="dxa"/>
                      <w:right w:w="115" w:type="dxa"/>
                    </w:tcMar>
                  </w:tcPr>
                  <w:p w14:paraId="571B546E" w14:textId="180C811C" w:rsidR="009F6317" w:rsidRDefault="00134B15" w:rsidP="006F3AD9">
                    <w:pPr>
                      <w:pStyle w:val="NoSpacing"/>
                      <w:jc w:val="center"/>
                      <w:rPr>
                        <w:color w:val="2E74B5" w:themeColor="accent1" w:themeShade="BF"/>
                        <w:sz w:val="24"/>
                      </w:rPr>
                    </w:pPr>
                    <w:r>
                      <w:rPr>
                        <w:rFonts w:cs="Times New Roman"/>
                        <w:sz w:val="36"/>
                        <w:szCs w:val="36"/>
                      </w:rPr>
                      <w:t>Sun City and  the political economy of a bantustan casino:</w:t>
                    </w:r>
                    <w:r>
                      <w:rPr>
                        <w:rFonts w:cs="Times New Roman"/>
                        <w:sz w:val="36"/>
                        <w:szCs w:val="36"/>
                        <w:lang w:val="en-US"/>
                      </w:rPr>
                      <w:t>1965-1994</w:t>
                    </w:r>
                  </w:p>
                </w:tc>
              </w:sdtContent>
            </w:sdt>
          </w:tr>
        </w:tbl>
        <w:tbl>
          <w:tblPr>
            <w:tblpPr w:leftFromText="187" w:rightFromText="187" w:horzAnchor="margin" w:tblpXSpec="center" w:tblpYSpec="bottom"/>
            <w:tblW w:w="3857" w:type="pct"/>
            <w:tblLook w:val="04A0" w:firstRow="1" w:lastRow="0" w:firstColumn="1" w:lastColumn="0" w:noHBand="0" w:noVBand="1"/>
          </w:tblPr>
          <w:tblGrid>
            <w:gridCol w:w="7140"/>
          </w:tblGrid>
          <w:tr w:rsidR="009F6317" w14:paraId="7DE6CC26" w14:textId="77777777">
            <w:tc>
              <w:tcPr>
                <w:tcW w:w="7221" w:type="dxa"/>
                <w:tcMar>
                  <w:top w:w="216" w:type="dxa"/>
                  <w:left w:w="115" w:type="dxa"/>
                  <w:bottom w:w="216" w:type="dxa"/>
                  <w:right w:w="115" w:type="dxa"/>
                </w:tcMar>
              </w:tcPr>
              <w:p w14:paraId="10B8D34E" w14:textId="77777777" w:rsidR="009F6317" w:rsidRDefault="009F6317" w:rsidP="00361C3A">
                <w:pPr>
                  <w:pStyle w:val="NoSpacing"/>
                  <w:jc w:val="center"/>
                  <w:rPr>
                    <w:rFonts w:cs="Times New Roman"/>
                    <w:sz w:val="28"/>
                    <w:szCs w:val="28"/>
                    <w:lang w:val="en-US"/>
                  </w:rPr>
                </w:pPr>
              </w:p>
              <w:p w14:paraId="1D8F20C5" w14:textId="77777777" w:rsidR="00361C3A" w:rsidRPr="00EB6ABC" w:rsidRDefault="00361C3A" w:rsidP="00361C3A">
                <w:pPr>
                  <w:pStyle w:val="NoSpacing"/>
                  <w:jc w:val="center"/>
                  <w:rPr>
                    <w:rFonts w:cs="Times New Roman"/>
                    <w:sz w:val="28"/>
                    <w:szCs w:val="28"/>
                  </w:rPr>
                </w:pPr>
              </w:p>
              <w:p w14:paraId="16E8D958" w14:textId="77777777" w:rsidR="009F6317" w:rsidRDefault="009F6317">
                <w:pPr>
                  <w:pStyle w:val="NoSpacing"/>
                  <w:rPr>
                    <w:color w:val="5B9BD5" w:themeColor="accent1"/>
                  </w:rPr>
                </w:pPr>
              </w:p>
            </w:tc>
          </w:tr>
        </w:tbl>
        <w:p w14:paraId="1A32BD13" w14:textId="4CF8F69A" w:rsidR="009F6317" w:rsidRDefault="002E31DA" w:rsidP="00EB6ABC">
          <w:pPr>
            <w:spacing w:line="259" w:lineRule="auto"/>
            <w:jc w:val="center"/>
          </w:pPr>
          <w:r>
            <w:rPr>
              <w:noProof/>
              <w:lang w:val="en-ZA" w:eastAsia="en-ZA"/>
            </w:rPr>
            <mc:AlternateContent>
              <mc:Choice Requires="wps">
                <w:drawing>
                  <wp:anchor distT="45720" distB="45720" distL="114300" distR="114300" simplePos="0" relativeHeight="251636736" behindDoc="1" locked="0" layoutInCell="1" allowOverlap="1" wp14:anchorId="3439059E" wp14:editId="4A76DC94">
                    <wp:simplePos x="0" y="0"/>
                    <wp:positionH relativeFrom="column">
                      <wp:posOffset>609600</wp:posOffset>
                    </wp:positionH>
                    <wp:positionV relativeFrom="paragraph">
                      <wp:posOffset>4226560</wp:posOffset>
                    </wp:positionV>
                    <wp:extent cx="4552950" cy="3629025"/>
                    <wp:effectExtent l="0" t="0" r="0" b="9525"/>
                    <wp:wrapTight wrapText="bothSides">
                      <wp:wrapPolygon edited="0">
                        <wp:start x="0" y="0"/>
                        <wp:lineTo x="0" y="21543"/>
                        <wp:lineTo x="21510" y="21543"/>
                        <wp:lineTo x="21510"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2950" cy="3629025"/>
                            </a:xfrm>
                            <a:prstGeom prst="rect">
                              <a:avLst/>
                            </a:prstGeom>
                            <a:solidFill>
                              <a:srgbClr val="FFFFFF"/>
                            </a:solidFill>
                            <a:ln w="9525">
                              <a:noFill/>
                              <a:miter lim="800000"/>
                              <a:headEnd/>
                              <a:tailEnd/>
                            </a:ln>
                          </wps:spPr>
                          <wps:txbx>
                            <w:txbxContent>
                              <w:sdt>
                                <w:sdtPr>
                                  <w:rPr>
                                    <w:rFonts w:cs="Times New Roman"/>
                                    <w:sz w:val="28"/>
                                    <w:szCs w:val="28"/>
                                  </w:rPr>
                                  <w:alias w:val="Author"/>
                                  <w:id w:val="13406928"/>
                                  <w:dataBinding w:prefixMappings="xmlns:ns0='http://schemas.openxmlformats.org/package/2006/metadata/core-properties' xmlns:ns1='http://purl.org/dc/elements/1.1/'" w:xpath="/ns0:coreProperties[1]/ns1:creator[1]" w:storeItemID="{6C3C8BC8-F283-45AE-878A-BAB7291924A1}"/>
                                  <w:text/>
                                </w:sdtPr>
                                <w:sdtEndPr/>
                                <w:sdtContent>
                                  <w:p w14:paraId="788E2678" w14:textId="77777777" w:rsidR="005E6435" w:rsidRPr="00EB6ABC" w:rsidRDefault="005E6435" w:rsidP="00EB6ABC">
                                    <w:pPr>
                                      <w:pStyle w:val="NoSpacing"/>
                                      <w:jc w:val="center"/>
                                      <w:rPr>
                                        <w:rFonts w:cs="Times New Roman"/>
                                        <w:sz w:val="28"/>
                                        <w:szCs w:val="28"/>
                                      </w:rPr>
                                    </w:pPr>
                                    <w:r w:rsidRPr="00EB6ABC">
                                      <w:rPr>
                                        <w:rFonts w:cs="Times New Roman"/>
                                        <w:sz w:val="28"/>
                                        <w:szCs w:val="28"/>
                                      </w:rPr>
                                      <w:t>Nicola</w:t>
                                    </w:r>
                                    <w:r>
                                      <w:rPr>
                                        <w:rFonts w:cs="Times New Roman"/>
                                        <w:sz w:val="28"/>
                                        <w:szCs w:val="28"/>
                                      </w:rPr>
                                      <w:t xml:space="preserve"> Sarah</w:t>
                                    </w:r>
                                    <w:r w:rsidRPr="00EB6ABC">
                                      <w:rPr>
                                        <w:rFonts w:cs="Times New Roman"/>
                                        <w:sz w:val="28"/>
                                        <w:szCs w:val="28"/>
                                      </w:rPr>
                                      <w:t xml:space="preserve"> van der Merwe</w:t>
                                    </w:r>
                                  </w:p>
                                </w:sdtContent>
                              </w:sdt>
                              <w:p w14:paraId="0066B725" w14:textId="77777777" w:rsidR="005E6435" w:rsidRDefault="005E6435" w:rsidP="00EB6ABC">
                                <w:pPr>
                                  <w:rPr>
                                    <w:sz w:val="28"/>
                                    <w:szCs w:val="28"/>
                                  </w:rPr>
                                </w:pPr>
                              </w:p>
                              <w:p w14:paraId="7F8CA921" w14:textId="77777777" w:rsidR="005E6435" w:rsidRDefault="005E6435" w:rsidP="00EB6ABC">
                                <w:pPr>
                                  <w:rPr>
                                    <w:sz w:val="28"/>
                                    <w:szCs w:val="28"/>
                                  </w:rPr>
                                </w:pPr>
                                <w:r>
                                  <w:rPr>
                                    <w:sz w:val="28"/>
                                    <w:szCs w:val="28"/>
                                  </w:rPr>
                                  <w:t>Thesis presented in fulfilment of requirements for the degree of MA at the University of the Witwatersrand</w:t>
                                </w:r>
                              </w:p>
                              <w:p w14:paraId="52415B03" w14:textId="77777777" w:rsidR="005E6435" w:rsidRDefault="005E6435" w:rsidP="00EB6ABC">
                                <w:pPr>
                                  <w:rPr>
                                    <w:sz w:val="28"/>
                                    <w:szCs w:val="28"/>
                                  </w:rPr>
                                </w:pPr>
                              </w:p>
                              <w:p w14:paraId="304D6C44" w14:textId="77777777" w:rsidR="005E6435" w:rsidRDefault="005E6435" w:rsidP="00EB6ABC">
                                <w:pPr>
                                  <w:rPr>
                                    <w:sz w:val="28"/>
                                    <w:szCs w:val="28"/>
                                  </w:rPr>
                                </w:pPr>
                              </w:p>
                              <w:p w14:paraId="253F2EF1" w14:textId="77777777" w:rsidR="005E6435" w:rsidRDefault="005E6435" w:rsidP="00EB6ABC">
                                <w:pPr>
                                  <w:jc w:val="center"/>
                                  <w:rPr>
                                    <w:sz w:val="28"/>
                                    <w:szCs w:val="28"/>
                                  </w:rPr>
                                </w:pPr>
                                <w:r>
                                  <w:rPr>
                                    <w:sz w:val="28"/>
                                    <w:szCs w:val="28"/>
                                  </w:rPr>
                                  <w:t>Supervisors:</w:t>
                                </w:r>
                              </w:p>
                              <w:p w14:paraId="03F89CE9" w14:textId="77777777" w:rsidR="005E6435" w:rsidRPr="00EB6ABC" w:rsidRDefault="005E6435" w:rsidP="007452B5">
                                <w:pPr>
                                  <w:jc w:val="center"/>
                                  <w:rPr>
                                    <w:sz w:val="28"/>
                                    <w:szCs w:val="28"/>
                                  </w:rPr>
                                </w:pPr>
                                <w:r>
                                  <w:rPr>
                                    <w:sz w:val="28"/>
                                    <w:szCs w:val="28"/>
                                  </w:rPr>
                                  <w:t>Arianna Lissoni</w:t>
                                </w:r>
                              </w:p>
                              <w:p w14:paraId="73A84373" w14:textId="77777777" w:rsidR="005E6435" w:rsidRDefault="005E6435" w:rsidP="00C237D8">
                                <w:pPr>
                                  <w:spacing w:line="240" w:lineRule="auto"/>
                                  <w:jc w:val="center"/>
                                  <w:rPr>
                                    <w:sz w:val="28"/>
                                    <w:szCs w:val="28"/>
                                  </w:rPr>
                                </w:pPr>
                                <w:r>
                                  <w:rPr>
                                    <w:sz w:val="28"/>
                                    <w:szCs w:val="28"/>
                                  </w:rPr>
                                  <w:t>Clive Glaser</w:t>
                                </w:r>
                              </w:p>
                              <w:p w14:paraId="19308472" w14:textId="77777777" w:rsidR="005E6435" w:rsidRDefault="005E643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8pt;margin-top:332.8pt;width:358.5pt;height:285.7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" stroked="f">
                    <v:textbox>
                      <w:txbxContent>
                        <w:sdt>
                          <w:sdtPr>
                            <w:rPr>
                              <w:rFonts w:cs="Times New Roman"/>
                              <w:sz w:val="28"/>
                              <w:szCs w:val="28"/>
                            </w:rPr>
                            <w:alias w:val="Author"/>
                            <w:id w:val="13406928"/>
                            <w:dataBinding w:prefixMappings="xmlns:ns0='http://schemas.openxmlformats.org/package/2006/metadata/core-properties' xmlns:ns1='http://purl.org/dc/elements/1.1/'" w:xpath="/ns0:coreProperties[1]/ns1:creator[1]" w:storeItemID="{6C3C8BC8-F283-45AE-878A-BAB7291924A1}"/>
                            <w:text/>
                          </w:sdtPr>
                          <w:sdtEndPr/>
                          <w:sdtContent>
                            <w:p w14:paraId="788E2678" w14:textId="77777777" w:rsidR="005E6435" w:rsidRPr="00EB6ABC" w:rsidRDefault="005E6435" w:rsidP="00EB6ABC">
                              <w:pPr>
                                <w:pStyle w:val="NoSpacing"/>
                                <w:jc w:val="center"/>
                                <w:rPr>
                                  <w:rFonts w:cs="Times New Roman"/>
                                  <w:sz w:val="28"/>
                                  <w:szCs w:val="28"/>
                                </w:rPr>
                              </w:pPr>
                              <w:r w:rsidRPr="00EB6ABC">
                                <w:rPr>
                                  <w:rFonts w:cs="Times New Roman"/>
                                  <w:sz w:val="28"/>
                                  <w:szCs w:val="28"/>
                                </w:rPr>
                                <w:t>Nicola</w:t>
                              </w:r>
                              <w:r>
                                <w:rPr>
                                  <w:rFonts w:cs="Times New Roman"/>
                                  <w:sz w:val="28"/>
                                  <w:szCs w:val="28"/>
                                </w:rPr>
                                <w:t xml:space="preserve"> Sarah</w:t>
                              </w:r>
                              <w:r w:rsidRPr="00EB6ABC">
                                <w:rPr>
                                  <w:rFonts w:cs="Times New Roman"/>
                                  <w:sz w:val="28"/>
                                  <w:szCs w:val="28"/>
                                </w:rPr>
                                <w:t xml:space="preserve"> van der Merwe</w:t>
                              </w:r>
                            </w:p>
                          </w:sdtContent>
                        </w:sdt>
                        <w:p w14:paraId="0066B725" w14:textId="77777777" w:rsidR="005E6435" w:rsidRDefault="005E6435" w:rsidP="00EB6ABC">
                          <w:pPr>
                            <w:rPr>
                              <w:sz w:val="28"/>
                              <w:szCs w:val="28"/>
                            </w:rPr>
                          </w:pPr>
                        </w:p>
                        <w:p w14:paraId="7F8CA921" w14:textId="77777777" w:rsidR="005E6435" w:rsidRDefault="005E6435" w:rsidP="00EB6ABC">
                          <w:pPr>
                            <w:rPr>
                              <w:sz w:val="28"/>
                              <w:szCs w:val="28"/>
                            </w:rPr>
                          </w:pPr>
                          <w:r>
                            <w:rPr>
                              <w:sz w:val="28"/>
                              <w:szCs w:val="28"/>
                            </w:rPr>
                            <w:t>Thesis presented in fulfilment of requirements for the degree of MA at the University of the Witwatersrand</w:t>
                          </w:r>
                        </w:p>
                        <w:p w14:paraId="52415B03" w14:textId="77777777" w:rsidR="005E6435" w:rsidRDefault="005E6435" w:rsidP="00EB6ABC">
                          <w:pPr>
                            <w:rPr>
                              <w:sz w:val="28"/>
                              <w:szCs w:val="28"/>
                            </w:rPr>
                          </w:pPr>
                        </w:p>
                        <w:p w14:paraId="304D6C44" w14:textId="77777777" w:rsidR="005E6435" w:rsidRDefault="005E6435" w:rsidP="00EB6ABC">
                          <w:pPr>
                            <w:rPr>
                              <w:sz w:val="28"/>
                              <w:szCs w:val="28"/>
                            </w:rPr>
                          </w:pPr>
                        </w:p>
                        <w:p w14:paraId="253F2EF1" w14:textId="77777777" w:rsidR="005E6435" w:rsidRDefault="005E6435" w:rsidP="00EB6ABC">
                          <w:pPr>
                            <w:jc w:val="center"/>
                            <w:rPr>
                              <w:sz w:val="28"/>
                              <w:szCs w:val="28"/>
                            </w:rPr>
                          </w:pPr>
                          <w:r>
                            <w:rPr>
                              <w:sz w:val="28"/>
                              <w:szCs w:val="28"/>
                            </w:rPr>
                            <w:t>Supervisors:</w:t>
                          </w:r>
                        </w:p>
                        <w:p w14:paraId="03F89CE9" w14:textId="77777777" w:rsidR="005E6435" w:rsidRPr="00EB6ABC" w:rsidRDefault="005E6435" w:rsidP="007452B5">
                          <w:pPr>
                            <w:jc w:val="center"/>
                            <w:rPr>
                              <w:sz w:val="28"/>
                              <w:szCs w:val="28"/>
                            </w:rPr>
                          </w:pPr>
                          <w:r>
                            <w:rPr>
                              <w:sz w:val="28"/>
                              <w:szCs w:val="28"/>
                            </w:rPr>
                            <w:t>Arianna Lissoni</w:t>
                          </w:r>
                        </w:p>
                        <w:p w14:paraId="73A84373" w14:textId="77777777" w:rsidR="005E6435" w:rsidRDefault="005E6435" w:rsidP="00C237D8">
                          <w:pPr>
                            <w:spacing w:line="240" w:lineRule="auto"/>
                            <w:jc w:val="center"/>
                            <w:rPr>
                              <w:sz w:val="28"/>
                              <w:szCs w:val="28"/>
                            </w:rPr>
                          </w:pPr>
                          <w:r>
                            <w:rPr>
                              <w:sz w:val="28"/>
                              <w:szCs w:val="28"/>
                            </w:rPr>
                            <w:t>Clive Glaser</w:t>
                          </w:r>
                        </w:p>
                        <w:p w14:paraId="19308472" w14:textId="77777777" w:rsidR="005E6435" w:rsidRDefault="005E6435"/>
                      </w:txbxContent>
                    </v:textbox>
                    <w10:wrap type="tight"/>
                  </v:shape>
                </w:pict>
              </mc:Fallback>
            </mc:AlternateContent>
          </w:r>
          <w:r w:rsidR="009F6317">
            <w:br w:type="page"/>
          </w:r>
        </w:p>
      </w:sdtContent>
    </w:sdt>
    <w:p w14:paraId="278C51B4" w14:textId="77777777" w:rsidR="00DF6463" w:rsidRDefault="00DF6463" w:rsidP="00246DA1">
      <w:pPr>
        <w:pStyle w:val="Heading1"/>
        <w:numPr>
          <w:ilvl w:val="0"/>
          <w:numId w:val="0"/>
        </w:numPr>
        <w:ind w:left="432"/>
        <w:jc w:val="center"/>
        <w:sectPr w:rsidR="00DF6463" w:rsidSect="00DF6463">
          <w:footerReference w:type="default" r:id="rId11"/>
          <w:pgSz w:w="11906" w:h="16838"/>
          <w:pgMar w:top="1440" w:right="1440" w:bottom="1440" w:left="1440" w:header="708" w:footer="708" w:gutter="0"/>
          <w:pgNumType w:fmt="lowerRoman"/>
          <w:cols w:space="708"/>
          <w:titlePg/>
          <w:docGrid w:linePitch="360"/>
        </w:sectPr>
      </w:pPr>
    </w:p>
    <w:p w14:paraId="4D272B06" w14:textId="77777777" w:rsidR="00054295" w:rsidRDefault="00054295" w:rsidP="00054295">
      <w:pPr>
        <w:pStyle w:val="Heading1"/>
        <w:numPr>
          <w:ilvl w:val="0"/>
          <w:numId w:val="0"/>
        </w:numPr>
        <w:ind w:left="432" w:hanging="432"/>
        <w:jc w:val="center"/>
      </w:pPr>
      <w:bookmarkStart w:id="1" w:name="_Toc488481689"/>
      <w:r w:rsidRPr="00054295">
        <w:lastRenderedPageBreak/>
        <w:t>Declaration</w:t>
      </w:r>
      <w:bookmarkEnd w:id="1"/>
    </w:p>
    <w:p w14:paraId="72AA6DB4" w14:textId="77777777" w:rsidR="00054295" w:rsidRDefault="00054295" w:rsidP="00054295"/>
    <w:p w14:paraId="0F3F7B25" w14:textId="77777777" w:rsidR="00054295" w:rsidRDefault="00054295" w:rsidP="00054295">
      <w:r>
        <w:t>I, the undersigned, hereby declare that the work contained in this thesis is my own original work and that I have not previously in its entirety or in part submitted it at any university for a degree.</w:t>
      </w:r>
    </w:p>
    <w:p w14:paraId="1163EB86" w14:textId="77777777" w:rsidR="00054295" w:rsidRDefault="00054295" w:rsidP="00054295"/>
    <w:p w14:paraId="414F262E" w14:textId="77777777" w:rsidR="00054295" w:rsidRDefault="00054295" w:rsidP="00054295">
      <w:r>
        <w:t>___________________________________</w:t>
      </w:r>
      <w:r>
        <w:tab/>
      </w:r>
      <w:r>
        <w:tab/>
      </w:r>
      <w:r>
        <w:tab/>
        <w:t>___________________________</w:t>
      </w:r>
    </w:p>
    <w:p w14:paraId="14789CE3" w14:textId="77777777" w:rsidR="00054295" w:rsidRDefault="00054295" w:rsidP="00054295">
      <w:r>
        <w:t>Signature</w:t>
      </w:r>
      <w:r>
        <w:tab/>
      </w:r>
      <w:r>
        <w:tab/>
      </w:r>
      <w:r>
        <w:tab/>
      </w:r>
      <w:r>
        <w:tab/>
      </w:r>
      <w:r>
        <w:tab/>
      </w:r>
      <w:r>
        <w:tab/>
      </w:r>
      <w:r>
        <w:tab/>
        <w:t>Date</w:t>
      </w:r>
    </w:p>
    <w:p w14:paraId="722772B3" w14:textId="77777777" w:rsidR="00054295" w:rsidRDefault="00054295">
      <w:pPr>
        <w:spacing w:line="259" w:lineRule="auto"/>
        <w:jc w:val="left"/>
      </w:pPr>
      <w:r>
        <w:br w:type="page"/>
      </w:r>
    </w:p>
    <w:p w14:paraId="6E682CBE" w14:textId="77777777" w:rsidR="00054295" w:rsidRDefault="00054295" w:rsidP="00054295">
      <w:pPr>
        <w:pStyle w:val="Heading1"/>
        <w:numPr>
          <w:ilvl w:val="0"/>
          <w:numId w:val="0"/>
        </w:numPr>
        <w:ind w:left="432" w:hanging="432"/>
        <w:jc w:val="center"/>
      </w:pPr>
      <w:bookmarkStart w:id="2" w:name="_Toc488481690"/>
      <w:r>
        <w:lastRenderedPageBreak/>
        <w:t>A</w:t>
      </w:r>
      <w:r w:rsidR="001564F1">
        <w:t>bstract</w:t>
      </w:r>
      <w:bookmarkEnd w:id="2"/>
    </w:p>
    <w:p w14:paraId="2D896EA2" w14:textId="77777777" w:rsidR="00163DA2" w:rsidRDefault="00163DA2" w:rsidP="00163DA2">
      <w:r>
        <w:t>This thesis examines the role of the Sun City casino within the context of apartheid homeland policy. The cas</w:t>
      </w:r>
      <w:r w:rsidR="001E600F">
        <w:t>ino was established in the bantu</w:t>
      </w:r>
      <w:r>
        <w:t xml:space="preserve">stan of Bophuthatswana in 1979, following the abolition of gambling in South Africa, with </w:t>
      </w:r>
      <w:r w:rsidR="00630F9C">
        <w:t xml:space="preserve">introduction of </w:t>
      </w:r>
      <w:r>
        <w:t xml:space="preserve">the 1965 Gambling Act. This study is motivated by two research questions: (1) the </w:t>
      </w:r>
      <w:r w:rsidR="002C70DB">
        <w:t>political and economic effects</w:t>
      </w:r>
      <w:r>
        <w:t xml:space="preserve"> of the casino</w:t>
      </w:r>
      <w:r w:rsidR="002D623D">
        <w:t>’</w:t>
      </w:r>
      <w:r>
        <w:t xml:space="preserve">s operation in Bophuthatswana; and (2) </w:t>
      </w:r>
      <w:r w:rsidR="00630F9C">
        <w:t>Sun City’s</w:t>
      </w:r>
      <w:r>
        <w:t xml:space="preserve"> </w:t>
      </w:r>
      <w:r w:rsidR="00630F9C">
        <w:t>promotion of</w:t>
      </w:r>
      <w:r>
        <w:t xml:space="preserve"> Bophuthatswana’s status as</w:t>
      </w:r>
      <w:r w:rsidR="002C70DB">
        <w:t xml:space="preserve"> an</w:t>
      </w:r>
      <w:r>
        <w:t xml:space="preserve"> independent</w:t>
      </w:r>
      <w:r w:rsidR="002C70DB">
        <w:t xml:space="preserve"> state</w:t>
      </w:r>
      <w:r>
        <w:t xml:space="preserve"> from South Africa</w:t>
      </w:r>
      <w:r w:rsidR="002C70DB">
        <w:t xml:space="preserve">. </w:t>
      </w:r>
      <w:r>
        <w:t xml:space="preserve">The research for this project was obtained through archival and manuscript materials, oral interviews as well as newspapers archives. </w:t>
      </w:r>
    </w:p>
    <w:p w14:paraId="0C660F34" w14:textId="77777777" w:rsidR="00630F9C" w:rsidRDefault="00163DA2" w:rsidP="00163DA2">
      <w:r>
        <w:t xml:space="preserve">The thesis is divided into </w:t>
      </w:r>
      <w:r w:rsidR="00630F9C">
        <w:t>five</w:t>
      </w:r>
      <w:r>
        <w:t xml:space="preserve"> chapters which track the trajectory of </w:t>
      </w:r>
      <w:r w:rsidR="00630F9C">
        <w:t xml:space="preserve">Sun City’s development. </w:t>
      </w:r>
      <w:r>
        <w:t xml:space="preserve">The development and construction of Sun City are explored </w:t>
      </w:r>
      <w:r w:rsidR="00630F9C">
        <w:t>with regards to</w:t>
      </w:r>
      <w:r>
        <w:t xml:space="preserve"> the financial contributions by the Bophuthatswana and South African governments. Secondly, </w:t>
      </w:r>
      <w:r w:rsidR="00630F9C">
        <w:t xml:space="preserve">the role that the governments of Bophuthatswana and South Africa played in the development of the casino and the political impact thereof. </w:t>
      </w:r>
    </w:p>
    <w:p w14:paraId="4261E2E8" w14:textId="77777777" w:rsidR="00163DA2" w:rsidRDefault="00630F9C" w:rsidP="00163DA2">
      <w:r>
        <w:t xml:space="preserve">Further, the employment at the casino is investigated, </w:t>
      </w:r>
      <w:r w:rsidR="00A05960">
        <w:t>regarding</w:t>
      </w:r>
      <w:r>
        <w:t xml:space="preserve"> the economic promises made to the both the governments by Southern Sun. The area surrounding Sun City had a high unemployment rate and the resort was promoted as means to curtail this problem. </w:t>
      </w:r>
      <w:r w:rsidR="00163DA2">
        <w:t xml:space="preserve"> The attractions Sun City offered such as burlesque shows and prostitution are discussed, with specific reference to the casino as a place of racial integration and conspicuous con</w:t>
      </w:r>
      <w:r>
        <w:t>sumption. The sanctions and</w:t>
      </w:r>
      <w:r w:rsidR="00163DA2">
        <w:t xml:space="preserve"> boycott</w:t>
      </w:r>
      <w:r>
        <w:t>s</w:t>
      </w:r>
      <w:r w:rsidR="00163DA2">
        <w:t xml:space="preserve"> </w:t>
      </w:r>
      <w:r>
        <w:t>are</w:t>
      </w:r>
      <w:r w:rsidR="00163DA2">
        <w:t xml:space="preserve"> </w:t>
      </w:r>
      <w:r>
        <w:t>explored</w:t>
      </w:r>
      <w:r w:rsidR="00163DA2">
        <w:t xml:space="preserve"> </w:t>
      </w:r>
      <w:r w:rsidR="001E600F">
        <w:t>regarding</w:t>
      </w:r>
      <w:r w:rsidR="00163DA2">
        <w:t xml:space="preserve"> the cohort of international sporting and musical entertainers hosted at Sun City and the shifts in the boycott following 1990. Lastly, the fall of bantustan policy is outlined, for the reincorporation of bantustan territories into South Africa highlighted questions of gambling legality. </w:t>
      </w:r>
    </w:p>
    <w:p w14:paraId="404AADC8" w14:textId="77777777" w:rsidR="00163DA2" w:rsidRDefault="00163DA2" w:rsidP="00163DA2">
      <w:r>
        <w:t xml:space="preserve">This thesis concludes that Sun City brought exposure and infrastructure to Bophuthatswana, but </w:t>
      </w:r>
      <w:r w:rsidR="001E600F">
        <w:t>most</w:t>
      </w:r>
      <w:r>
        <w:t xml:space="preserve"> </w:t>
      </w:r>
      <w:r w:rsidR="001E600F">
        <w:t xml:space="preserve">of </w:t>
      </w:r>
      <w:r>
        <w:t xml:space="preserve">the motivations employed to build the casino, such as high taxation, increased employment and the development of a heritage for the ‘Tswana’ people never materialised. The Sun City casino scheme aimed to further enrich individuals such as Kerzner and Mangope and the marketed benefits were not realised for the Bophuthatswana </w:t>
      </w:r>
      <w:r w:rsidR="00E86F93">
        <w:t>citizens</w:t>
      </w:r>
      <w:r>
        <w:t xml:space="preserve">. </w:t>
      </w:r>
    </w:p>
    <w:p w14:paraId="0BF9A0C9" w14:textId="77777777" w:rsidR="00163DA2" w:rsidRDefault="00163DA2">
      <w:pPr>
        <w:spacing w:line="259" w:lineRule="auto"/>
        <w:jc w:val="left"/>
      </w:pPr>
      <w:r>
        <w:br w:type="page"/>
      </w:r>
    </w:p>
    <w:p w14:paraId="0299EB4E" w14:textId="77777777" w:rsidR="00163DA2" w:rsidRPr="00054295" w:rsidRDefault="00163DA2" w:rsidP="00163DA2">
      <w:pPr>
        <w:pStyle w:val="Heading1"/>
        <w:numPr>
          <w:ilvl w:val="0"/>
          <w:numId w:val="0"/>
        </w:numPr>
        <w:ind w:left="432" w:hanging="432"/>
        <w:jc w:val="center"/>
      </w:pPr>
      <w:bookmarkStart w:id="3" w:name="_Toc488481691"/>
      <w:r>
        <w:lastRenderedPageBreak/>
        <w:t>Acknowledgements</w:t>
      </w:r>
      <w:bookmarkEnd w:id="3"/>
      <w:r>
        <w:t xml:space="preserve"> </w:t>
      </w:r>
    </w:p>
    <w:p w14:paraId="65E4D039" w14:textId="77777777" w:rsidR="00163DA2" w:rsidRDefault="00163DA2" w:rsidP="00163DA2">
      <w:r>
        <w:t xml:space="preserve">Thank you to my supervisors, Dr Arianna Lissoni and Prof Clive Glaser, for your patience, enthusiasm and excellent advice.  </w:t>
      </w:r>
    </w:p>
    <w:p w14:paraId="16150017" w14:textId="77777777" w:rsidR="00163DA2" w:rsidRDefault="00163DA2" w:rsidP="00163DA2">
      <w:r>
        <w:t xml:space="preserve">My sincerest appreciation to the staff and students of the NRF Chair of ‘Local Histories and Present Realities’, for both funding my research and making this experience a fulfilling and rewarding one. </w:t>
      </w:r>
    </w:p>
    <w:p w14:paraId="3EB1339E" w14:textId="77777777" w:rsidR="00163DA2" w:rsidRDefault="00163DA2" w:rsidP="00163DA2">
      <w:r>
        <w:t xml:space="preserve">My thanks to the Department of History, University of Witwatersrand, for guidance, support and welcoming me with open arms. </w:t>
      </w:r>
    </w:p>
    <w:p w14:paraId="2F161642" w14:textId="77777777" w:rsidR="00163DA2" w:rsidRDefault="00163DA2" w:rsidP="00163DA2">
      <w:r>
        <w:t xml:space="preserve">My deepest thanks to my interview participants and photograph donors – this research project would be very little without you.  </w:t>
      </w:r>
    </w:p>
    <w:p w14:paraId="7D609DFE" w14:textId="77777777" w:rsidR="00163DA2" w:rsidRDefault="00163DA2" w:rsidP="00163DA2">
      <w:r>
        <w:t xml:space="preserve">My sincere gratitude to my parents, for unceasing support, interest and love. </w:t>
      </w:r>
    </w:p>
    <w:p w14:paraId="7E9A0611" w14:textId="77777777" w:rsidR="00163DA2" w:rsidRDefault="00163DA2" w:rsidP="00163DA2">
      <w:r>
        <w:t>Lastly, to</w:t>
      </w:r>
      <w:r w:rsidR="004D0C71">
        <w:t xml:space="preserve"> my husband</w:t>
      </w:r>
      <w:r>
        <w:t xml:space="preserve"> Warren, thank you for your constant encouragement and unstinting good humour.</w:t>
      </w:r>
    </w:p>
    <w:p w14:paraId="75E7B07C" w14:textId="77777777" w:rsidR="00163DA2" w:rsidRPr="00163DA2" w:rsidRDefault="00163DA2" w:rsidP="00163DA2">
      <w:pPr>
        <w:rPr>
          <w:rFonts w:eastAsiaTheme="majorEastAsia" w:cstheme="majorBidi"/>
          <w:color w:val="000000" w:themeColor="text1"/>
          <w:sz w:val="28"/>
          <w:szCs w:val="36"/>
        </w:rPr>
      </w:pPr>
      <w:r>
        <w:br w:type="page"/>
      </w:r>
    </w:p>
    <w:p w14:paraId="546A7E0E" w14:textId="77777777" w:rsidR="00054295" w:rsidRDefault="00054295">
      <w:pPr>
        <w:spacing w:line="259" w:lineRule="auto"/>
        <w:jc w:val="left"/>
      </w:pPr>
    </w:p>
    <w:sdt>
      <w:sdtPr>
        <w:rPr>
          <w:rFonts w:eastAsiaTheme="minorEastAsia" w:cstheme="minorBidi"/>
          <w:b w:val="0"/>
          <w:bCs w:val="0"/>
          <w:smallCaps w:val="0"/>
          <w:color w:val="auto"/>
          <w:sz w:val="24"/>
          <w:szCs w:val="22"/>
        </w:rPr>
        <w:id w:val="294184153"/>
        <w:docPartObj>
          <w:docPartGallery w:val="Table of Contents"/>
          <w:docPartUnique/>
        </w:docPartObj>
      </w:sdtPr>
      <w:sdtEndPr>
        <w:rPr>
          <w:noProof/>
        </w:rPr>
      </w:sdtEndPr>
      <w:sdtContent>
        <w:p w14:paraId="1472C66A" w14:textId="77777777" w:rsidR="00B81870" w:rsidRDefault="00B81870" w:rsidP="00163DA2">
          <w:pPr>
            <w:pStyle w:val="TOCHeading"/>
            <w:numPr>
              <w:ilvl w:val="0"/>
              <w:numId w:val="0"/>
            </w:numPr>
            <w:ind w:left="432" w:hanging="432"/>
            <w:jc w:val="center"/>
          </w:pPr>
          <w:r>
            <w:t>Table of Contents</w:t>
          </w:r>
        </w:p>
        <w:p w14:paraId="244A24FE" w14:textId="77777777" w:rsidR="00411C1A" w:rsidRDefault="005F7A94">
          <w:pPr>
            <w:pStyle w:val="TOC1"/>
            <w:tabs>
              <w:tab w:val="right" w:leader="dot" w:pos="9016"/>
            </w:tabs>
            <w:rPr>
              <w:rFonts w:asciiTheme="minorHAnsi" w:hAnsiTheme="minorHAnsi"/>
              <w:noProof/>
              <w:sz w:val="22"/>
              <w:lang w:val="en-ZA" w:eastAsia="en-ZA"/>
            </w:rPr>
          </w:pPr>
          <w:r>
            <w:fldChar w:fldCharType="begin"/>
          </w:r>
          <w:r w:rsidR="00B81870">
            <w:instrText xml:space="preserve"> TOC \o "1-3" \h \z \u </w:instrText>
          </w:r>
          <w:r>
            <w:fldChar w:fldCharType="separate"/>
          </w:r>
          <w:hyperlink w:anchor="_Toc488481689" w:history="1">
            <w:r w:rsidR="00411C1A" w:rsidRPr="00C80575">
              <w:rPr>
                <w:rStyle w:val="Hyperlink"/>
                <w:noProof/>
              </w:rPr>
              <w:t>Declaration</w:t>
            </w:r>
            <w:r w:rsidR="00411C1A">
              <w:rPr>
                <w:noProof/>
                <w:webHidden/>
              </w:rPr>
              <w:tab/>
            </w:r>
            <w:r w:rsidR="00411C1A">
              <w:rPr>
                <w:noProof/>
                <w:webHidden/>
              </w:rPr>
              <w:fldChar w:fldCharType="begin"/>
            </w:r>
            <w:r w:rsidR="00411C1A">
              <w:rPr>
                <w:noProof/>
                <w:webHidden/>
              </w:rPr>
              <w:instrText xml:space="preserve"> PAGEREF _Toc488481689 \h </w:instrText>
            </w:r>
            <w:r w:rsidR="00411C1A">
              <w:rPr>
                <w:noProof/>
                <w:webHidden/>
              </w:rPr>
            </w:r>
            <w:r w:rsidR="00411C1A">
              <w:rPr>
                <w:noProof/>
                <w:webHidden/>
              </w:rPr>
              <w:fldChar w:fldCharType="separate"/>
            </w:r>
            <w:r w:rsidR="00411C1A">
              <w:rPr>
                <w:noProof/>
                <w:webHidden/>
              </w:rPr>
              <w:t>i</w:t>
            </w:r>
            <w:r w:rsidR="00411C1A">
              <w:rPr>
                <w:noProof/>
                <w:webHidden/>
              </w:rPr>
              <w:fldChar w:fldCharType="end"/>
            </w:r>
          </w:hyperlink>
        </w:p>
        <w:p w14:paraId="4B79DA85" w14:textId="77777777" w:rsidR="00411C1A" w:rsidRDefault="000F44D5">
          <w:pPr>
            <w:pStyle w:val="TOC1"/>
            <w:tabs>
              <w:tab w:val="right" w:leader="dot" w:pos="9016"/>
            </w:tabs>
            <w:rPr>
              <w:rFonts w:asciiTheme="minorHAnsi" w:hAnsiTheme="minorHAnsi"/>
              <w:noProof/>
              <w:sz w:val="22"/>
              <w:lang w:val="en-ZA" w:eastAsia="en-ZA"/>
            </w:rPr>
          </w:pPr>
          <w:hyperlink w:anchor="_Toc488481690" w:history="1">
            <w:r w:rsidR="00411C1A" w:rsidRPr="00C80575">
              <w:rPr>
                <w:rStyle w:val="Hyperlink"/>
                <w:noProof/>
              </w:rPr>
              <w:t>Abstract</w:t>
            </w:r>
            <w:r w:rsidR="00411C1A">
              <w:rPr>
                <w:noProof/>
                <w:webHidden/>
              </w:rPr>
              <w:tab/>
            </w:r>
            <w:r w:rsidR="00411C1A">
              <w:rPr>
                <w:noProof/>
                <w:webHidden/>
              </w:rPr>
              <w:fldChar w:fldCharType="begin"/>
            </w:r>
            <w:r w:rsidR="00411C1A">
              <w:rPr>
                <w:noProof/>
                <w:webHidden/>
              </w:rPr>
              <w:instrText xml:space="preserve"> PAGEREF _Toc488481690 \h </w:instrText>
            </w:r>
            <w:r w:rsidR="00411C1A">
              <w:rPr>
                <w:noProof/>
                <w:webHidden/>
              </w:rPr>
            </w:r>
            <w:r w:rsidR="00411C1A">
              <w:rPr>
                <w:noProof/>
                <w:webHidden/>
              </w:rPr>
              <w:fldChar w:fldCharType="separate"/>
            </w:r>
            <w:r w:rsidR="00411C1A">
              <w:rPr>
                <w:noProof/>
                <w:webHidden/>
              </w:rPr>
              <w:t>ii</w:t>
            </w:r>
            <w:r w:rsidR="00411C1A">
              <w:rPr>
                <w:noProof/>
                <w:webHidden/>
              </w:rPr>
              <w:fldChar w:fldCharType="end"/>
            </w:r>
          </w:hyperlink>
        </w:p>
        <w:p w14:paraId="1CC10DA4" w14:textId="77777777" w:rsidR="00411C1A" w:rsidRDefault="000F44D5">
          <w:pPr>
            <w:pStyle w:val="TOC1"/>
            <w:tabs>
              <w:tab w:val="right" w:leader="dot" w:pos="9016"/>
            </w:tabs>
            <w:rPr>
              <w:rFonts w:asciiTheme="minorHAnsi" w:hAnsiTheme="minorHAnsi"/>
              <w:noProof/>
              <w:sz w:val="22"/>
              <w:lang w:val="en-ZA" w:eastAsia="en-ZA"/>
            </w:rPr>
          </w:pPr>
          <w:hyperlink w:anchor="_Toc488481691" w:history="1">
            <w:r w:rsidR="00411C1A" w:rsidRPr="00C80575">
              <w:rPr>
                <w:rStyle w:val="Hyperlink"/>
                <w:noProof/>
              </w:rPr>
              <w:t>Acknowledgements</w:t>
            </w:r>
            <w:r w:rsidR="00411C1A">
              <w:rPr>
                <w:noProof/>
                <w:webHidden/>
              </w:rPr>
              <w:tab/>
            </w:r>
            <w:r w:rsidR="00411C1A">
              <w:rPr>
                <w:noProof/>
                <w:webHidden/>
              </w:rPr>
              <w:fldChar w:fldCharType="begin"/>
            </w:r>
            <w:r w:rsidR="00411C1A">
              <w:rPr>
                <w:noProof/>
                <w:webHidden/>
              </w:rPr>
              <w:instrText xml:space="preserve"> PAGEREF _Toc488481691 \h </w:instrText>
            </w:r>
            <w:r w:rsidR="00411C1A">
              <w:rPr>
                <w:noProof/>
                <w:webHidden/>
              </w:rPr>
            </w:r>
            <w:r w:rsidR="00411C1A">
              <w:rPr>
                <w:noProof/>
                <w:webHidden/>
              </w:rPr>
              <w:fldChar w:fldCharType="separate"/>
            </w:r>
            <w:r w:rsidR="00411C1A">
              <w:rPr>
                <w:noProof/>
                <w:webHidden/>
              </w:rPr>
              <w:t>iii</w:t>
            </w:r>
            <w:r w:rsidR="00411C1A">
              <w:rPr>
                <w:noProof/>
                <w:webHidden/>
              </w:rPr>
              <w:fldChar w:fldCharType="end"/>
            </w:r>
          </w:hyperlink>
        </w:p>
        <w:p w14:paraId="35350094" w14:textId="77777777" w:rsidR="00411C1A" w:rsidRDefault="000F44D5">
          <w:pPr>
            <w:pStyle w:val="TOC1"/>
            <w:tabs>
              <w:tab w:val="right" w:leader="dot" w:pos="9016"/>
            </w:tabs>
            <w:rPr>
              <w:rFonts w:asciiTheme="minorHAnsi" w:hAnsiTheme="minorHAnsi"/>
              <w:noProof/>
              <w:sz w:val="22"/>
              <w:lang w:val="en-ZA" w:eastAsia="en-ZA"/>
            </w:rPr>
          </w:pPr>
          <w:hyperlink w:anchor="_Toc488481692" w:history="1">
            <w:r w:rsidR="00411C1A" w:rsidRPr="00C80575">
              <w:rPr>
                <w:rStyle w:val="Hyperlink"/>
                <w:noProof/>
              </w:rPr>
              <w:t>List of Abbreviations</w:t>
            </w:r>
            <w:r w:rsidR="00411C1A">
              <w:rPr>
                <w:noProof/>
                <w:webHidden/>
              </w:rPr>
              <w:tab/>
            </w:r>
            <w:r w:rsidR="00411C1A">
              <w:rPr>
                <w:noProof/>
                <w:webHidden/>
              </w:rPr>
              <w:fldChar w:fldCharType="begin"/>
            </w:r>
            <w:r w:rsidR="00411C1A">
              <w:rPr>
                <w:noProof/>
                <w:webHidden/>
              </w:rPr>
              <w:instrText xml:space="preserve"> PAGEREF _Toc488481692 \h </w:instrText>
            </w:r>
            <w:r w:rsidR="00411C1A">
              <w:rPr>
                <w:noProof/>
                <w:webHidden/>
              </w:rPr>
            </w:r>
            <w:r w:rsidR="00411C1A">
              <w:rPr>
                <w:noProof/>
                <w:webHidden/>
              </w:rPr>
              <w:fldChar w:fldCharType="separate"/>
            </w:r>
            <w:r w:rsidR="00411C1A">
              <w:rPr>
                <w:noProof/>
                <w:webHidden/>
              </w:rPr>
              <w:t>vii</w:t>
            </w:r>
            <w:r w:rsidR="00411C1A">
              <w:rPr>
                <w:noProof/>
                <w:webHidden/>
              </w:rPr>
              <w:fldChar w:fldCharType="end"/>
            </w:r>
          </w:hyperlink>
        </w:p>
        <w:p w14:paraId="4D6409DA" w14:textId="77777777" w:rsidR="00411C1A" w:rsidRDefault="000F44D5">
          <w:pPr>
            <w:pStyle w:val="TOC1"/>
            <w:tabs>
              <w:tab w:val="right" w:leader="dot" w:pos="9016"/>
            </w:tabs>
            <w:rPr>
              <w:rFonts w:asciiTheme="minorHAnsi" w:hAnsiTheme="minorHAnsi"/>
              <w:noProof/>
              <w:sz w:val="22"/>
              <w:lang w:val="en-ZA" w:eastAsia="en-ZA"/>
            </w:rPr>
          </w:pPr>
          <w:hyperlink w:anchor="_Toc488481693" w:history="1">
            <w:r w:rsidR="00411C1A" w:rsidRPr="00C80575">
              <w:rPr>
                <w:rStyle w:val="Hyperlink"/>
                <w:noProof/>
              </w:rPr>
              <w:t>List of Tables</w:t>
            </w:r>
            <w:r w:rsidR="00411C1A">
              <w:rPr>
                <w:noProof/>
                <w:webHidden/>
              </w:rPr>
              <w:tab/>
            </w:r>
            <w:r w:rsidR="00411C1A">
              <w:rPr>
                <w:noProof/>
                <w:webHidden/>
              </w:rPr>
              <w:fldChar w:fldCharType="begin"/>
            </w:r>
            <w:r w:rsidR="00411C1A">
              <w:rPr>
                <w:noProof/>
                <w:webHidden/>
              </w:rPr>
              <w:instrText xml:space="preserve"> PAGEREF _Toc488481693 \h </w:instrText>
            </w:r>
            <w:r w:rsidR="00411C1A">
              <w:rPr>
                <w:noProof/>
                <w:webHidden/>
              </w:rPr>
            </w:r>
            <w:r w:rsidR="00411C1A">
              <w:rPr>
                <w:noProof/>
                <w:webHidden/>
              </w:rPr>
              <w:fldChar w:fldCharType="separate"/>
            </w:r>
            <w:r w:rsidR="00411C1A">
              <w:rPr>
                <w:noProof/>
                <w:webHidden/>
              </w:rPr>
              <w:t>viii</w:t>
            </w:r>
            <w:r w:rsidR="00411C1A">
              <w:rPr>
                <w:noProof/>
                <w:webHidden/>
              </w:rPr>
              <w:fldChar w:fldCharType="end"/>
            </w:r>
          </w:hyperlink>
        </w:p>
        <w:p w14:paraId="11DAD31B" w14:textId="77777777" w:rsidR="00411C1A" w:rsidRDefault="000F44D5">
          <w:pPr>
            <w:pStyle w:val="TOC1"/>
            <w:tabs>
              <w:tab w:val="right" w:leader="dot" w:pos="9016"/>
            </w:tabs>
            <w:rPr>
              <w:rFonts w:asciiTheme="minorHAnsi" w:hAnsiTheme="minorHAnsi"/>
              <w:noProof/>
              <w:sz w:val="22"/>
              <w:lang w:val="en-ZA" w:eastAsia="en-ZA"/>
            </w:rPr>
          </w:pPr>
          <w:hyperlink w:anchor="_Toc488481694" w:history="1">
            <w:r w:rsidR="00411C1A" w:rsidRPr="00C80575">
              <w:rPr>
                <w:rStyle w:val="Hyperlink"/>
                <w:noProof/>
              </w:rPr>
              <w:t>List of Figures</w:t>
            </w:r>
            <w:r w:rsidR="00411C1A">
              <w:rPr>
                <w:noProof/>
                <w:webHidden/>
              </w:rPr>
              <w:tab/>
            </w:r>
            <w:r w:rsidR="00411C1A">
              <w:rPr>
                <w:noProof/>
                <w:webHidden/>
              </w:rPr>
              <w:fldChar w:fldCharType="begin"/>
            </w:r>
            <w:r w:rsidR="00411C1A">
              <w:rPr>
                <w:noProof/>
                <w:webHidden/>
              </w:rPr>
              <w:instrText xml:space="preserve"> PAGEREF _Toc488481694 \h </w:instrText>
            </w:r>
            <w:r w:rsidR="00411C1A">
              <w:rPr>
                <w:noProof/>
                <w:webHidden/>
              </w:rPr>
            </w:r>
            <w:r w:rsidR="00411C1A">
              <w:rPr>
                <w:noProof/>
                <w:webHidden/>
              </w:rPr>
              <w:fldChar w:fldCharType="separate"/>
            </w:r>
            <w:r w:rsidR="00411C1A">
              <w:rPr>
                <w:noProof/>
                <w:webHidden/>
              </w:rPr>
              <w:t>ix</w:t>
            </w:r>
            <w:r w:rsidR="00411C1A">
              <w:rPr>
                <w:noProof/>
                <w:webHidden/>
              </w:rPr>
              <w:fldChar w:fldCharType="end"/>
            </w:r>
          </w:hyperlink>
        </w:p>
        <w:p w14:paraId="12E15D4C" w14:textId="77777777" w:rsidR="00411C1A" w:rsidRDefault="000F44D5">
          <w:pPr>
            <w:pStyle w:val="TOC1"/>
            <w:tabs>
              <w:tab w:val="right" w:leader="dot" w:pos="9016"/>
            </w:tabs>
            <w:rPr>
              <w:rFonts w:asciiTheme="minorHAnsi" w:hAnsiTheme="minorHAnsi"/>
              <w:noProof/>
              <w:sz w:val="22"/>
              <w:lang w:val="en-ZA" w:eastAsia="en-ZA"/>
            </w:rPr>
          </w:pPr>
          <w:hyperlink w:anchor="_Toc488481695" w:history="1">
            <w:r w:rsidR="00411C1A" w:rsidRPr="00C80575">
              <w:rPr>
                <w:rStyle w:val="Hyperlink"/>
                <w:noProof/>
              </w:rPr>
              <w:t>Introduction</w:t>
            </w:r>
            <w:r w:rsidR="00411C1A">
              <w:rPr>
                <w:noProof/>
                <w:webHidden/>
              </w:rPr>
              <w:tab/>
            </w:r>
            <w:r w:rsidR="00411C1A">
              <w:rPr>
                <w:noProof/>
                <w:webHidden/>
              </w:rPr>
              <w:fldChar w:fldCharType="begin"/>
            </w:r>
            <w:r w:rsidR="00411C1A">
              <w:rPr>
                <w:noProof/>
                <w:webHidden/>
              </w:rPr>
              <w:instrText xml:space="preserve"> PAGEREF _Toc488481695 \h </w:instrText>
            </w:r>
            <w:r w:rsidR="00411C1A">
              <w:rPr>
                <w:noProof/>
                <w:webHidden/>
              </w:rPr>
            </w:r>
            <w:r w:rsidR="00411C1A">
              <w:rPr>
                <w:noProof/>
                <w:webHidden/>
              </w:rPr>
              <w:fldChar w:fldCharType="separate"/>
            </w:r>
            <w:r w:rsidR="00411C1A">
              <w:rPr>
                <w:noProof/>
                <w:webHidden/>
              </w:rPr>
              <w:t>1</w:t>
            </w:r>
            <w:r w:rsidR="00411C1A">
              <w:rPr>
                <w:noProof/>
                <w:webHidden/>
              </w:rPr>
              <w:fldChar w:fldCharType="end"/>
            </w:r>
          </w:hyperlink>
        </w:p>
        <w:p w14:paraId="6AC4DFB5" w14:textId="77777777" w:rsidR="00411C1A" w:rsidRDefault="000F44D5">
          <w:pPr>
            <w:pStyle w:val="TOC2"/>
            <w:tabs>
              <w:tab w:val="right" w:leader="dot" w:pos="9016"/>
            </w:tabs>
            <w:rPr>
              <w:rFonts w:asciiTheme="minorHAnsi" w:hAnsiTheme="minorHAnsi"/>
              <w:noProof/>
              <w:sz w:val="22"/>
              <w:lang w:val="en-ZA" w:eastAsia="en-ZA"/>
            </w:rPr>
          </w:pPr>
          <w:hyperlink w:anchor="_Toc488481696" w:history="1">
            <w:r w:rsidR="00411C1A" w:rsidRPr="00C80575">
              <w:rPr>
                <w:rStyle w:val="Hyperlink"/>
                <w:noProof/>
              </w:rPr>
              <w:t>Gambling in the Colonies</w:t>
            </w:r>
            <w:r w:rsidR="00411C1A">
              <w:rPr>
                <w:noProof/>
                <w:webHidden/>
              </w:rPr>
              <w:tab/>
            </w:r>
            <w:r w:rsidR="00411C1A">
              <w:rPr>
                <w:noProof/>
                <w:webHidden/>
              </w:rPr>
              <w:fldChar w:fldCharType="begin"/>
            </w:r>
            <w:r w:rsidR="00411C1A">
              <w:rPr>
                <w:noProof/>
                <w:webHidden/>
              </w:rPr>
              <w:instrText xml:space="preserve"> PAGEREF _Toc488481696 \h </w:instrText>
            </w:r>
            <w:r w:rsidR="00411C1A">
              <w:rPr>
                <w:noProof/>
                <w:webHidden/>
              </w:rPr>
            </w:r>
            <w:r w:rsidR="00411C1A">
              <w:rPr>
                <w:noProof/>
                <w:webHidden/>
              </w:rPr>
              <w:fldChar w:fldCharType="separate"/>
            </w:r>
            <w:r w:rsidR="00411C1A">
              <w:rPr>
                <w:noProof/>
                <w:webHidden/>
              </w:rPr>
              <w:t>3</w:t>
            </w:r>
            <w:r w:rsidR="00411C1A">
              <w:rPr>
                <w:noProof/>
                <w:webHidden/>
              </w:rPr>
              <w:fldChar w:fldCharType="end"/>
            </w:r>
          </w:hyperlink>
        </w:p>
        <w:p w14:paraId="1DC71E50" w14:textId="77777777" w:rsidR="00411C1A" w:rsidRDefault="000F44D5">
          <w:pPr>
            <w:pStyle w:val="TOC2"/>
            <w:tabs>
              <w:tab w:val="right" w:leader="dot" w:pos="9016"/>
            </w:tabs>
            <w:rPr>
              <w:rFonts w:asciiTheme="minorHAnsi" w:hAnsiTheme="minorHAnsi"/>
              <w:noProof/>
              <w:sz w:val="22"/>
              <w:lang w:val="en-ZA" w:eastAsia="en-ZA"/>
            </w:rPr>
          </w:pPr>
          <w:hyperlink w:anchor="_Toc488481697" w:history="1">
            <w:r w:rsidR="00411C1A" w:rsidRPr="00C80575">
              <w:rPr>
                <w:rStyle w:val="Hyperlink"/>
                <w:noProof/>
              </w:rPr>
              <w:t>Bophuthatswana: The Birth of a Non-State</w:t>
            </w:r>
            <w:r w:rsidR="00411C1A">
              <w:rPr>
                <w:noProof/>
                <w:webHidden/>
              </w:rPr>
              <w:tab/>
            </w:r>
            <w:r w:rsidR="00411C1A">
              <w:rPr>
                <w:noProof/>
                <w:webHidden/>
              </w:rPr>
              <w:fldChar w:fldCharType="begin"/>
            </w:r>
            <w:r w:rsidR="00411C1A">
              <w:rPr>
                <w:noProof/>
                <w:webHidden/>
              </w:rPr>
              <w:instrText xml:space="preserve"> PAGEREF _Toc488481697 \h </w:instrText>
            </w:r>
            <w:r w:rsidR="00411C1A">
              <w:rPr>
                <w:noProof/>
                <w:webHidden/>
              </w:rPr>
            </w:r>
            <w:r w:rsidR="00411C1A">
              <w:rPr>
                <w:noProof/>
                <w:webHidden/>
              </w:rPr>
              <w:fldChar w:fldCharType="separate"/>
            </w:r>
            <w:r w:rsidR="00411C1A">
              <w:rPr>
                <w:noProof/>
                <w:webHidden/>
              </w:rPr>
              <w:t>6</w:t>
            </w:r>
            <w:r w:rsidR="00411C1A">
              <w:rPr>
                <w:noProof/>
                <w:webHidden/>
              </w:rPr>
              <w:fldChar w:fldCharType="end"/>
            </w:r>
          </w:hyperlink>
        </w:p>
        <w:p w14:paraId="7AE2AAC4" w14:textId="77777777" w:rsidR="00411C1A" w:rsidRDefault="000F44D5">
          <w:pPr>
            <w:pStyle w:val="TOC2"/>
            <w:tabs>
              <w:tab w:val="right" w:leader="dot" w:pos="9016"/>
            </w:tabs>
            <w:rPr>
              <w:rFonts w:asciiTheme="minorHAnsi" w:hAnsiTheme="minorHAnsi"/>
              <w:noProof/>
              <w:sz w:val="22"/>
              <w:lang w:val="en-ZA" w:eastAsia="en-ZA"/>
            </w:rPr>
          </w:pPr>
          <w:hyperlink w:anchor="_Toc488481698" w:history="1">
            <w:r w:rsidR="00411C1A" w:rsidRPr="00C80575">
              <w:rPr>
                <w:rStyle w:val="Hyperlink"/>
                <w:noProof/>
              </w:rPr>
              <w:t>The 1965 Gambling Act</w:t>
            </w:r>
            <w:r w:rsidR="00411C1A">
              <w:rPr>
                <w:noProof/>
                <w:webHidden/>
              </w:rPr>
              <w:tab/>
            </w:r>
            <w:r w:rsidR="00411C1A">
              <w:rPr>
                <w:noProof/>
                <w:webHidden/>
              </w:rPr>
              <w:fldChar w:fldCharType="begin"/>
            </w:r>
            <w:r w:rsidR="00411C1A">
              <w:rPr>
                <w:noProof/>
                <w:webHidden/>
              </w:rPr>
              <w:instrText xml:space="preserve"> PAGEREF _Toc488481698 \h </w:instrText>
            </w:r>
            <w:r w:rsidR="00411C1A">
              <w:rPr>
                <w:noProof/>
                <w:webHidden/>
              </w:rPr>
            </w:r>
            <w:r w:rsidR="00411C1A">
              <w:rPr>
                <w:noProof/>
                <w:webHidden/>
              </w:rPr>
              <w:fldChar w:fldCharType="separate"/>
            </w:r>
            <w:r w:rsidR="00411C1A">
              <w:rPr>
                <w:noProof/>
                <w:webHidden/>
              </w:rPr>
              <w:t>10</w:t>
            </w:r>
            <w:r w:rsidR="00411C1A">
              <w:rPr>
                <w:noProof/>
                <w:webHidden/>
              </w:rPr>
              <w:fldChar w:fldCharType="end"/>
            </w:r>
          </w:hyperlink>
        </w:p>
        <w:p w14:paraId="64BE1AE2" w14:textId="77777777" w:rsidR="00411C1A" w:rsidRDefault="000F44D5">
          <w:pPr>
            <w:pStyle w:val="TOC2"/>
            <w:tabs>
              <w:tab w:val="right" w:leader="dot" w:pos="9016"/>
            </w:tabs>
            <w:rPr>
              <w:rFonts w:asciiTheme="minorHAnsi" w:hAnsiTheme="minorHAnsi"/>
              <w:noProof/>
              <w:sz w:val="22"/>
              <w:lang w:val="en-ZA" w:eastAsia="en-ZA"/>
            </w:rPr>
          </w:pPr>
          <w:hyperlink w:anchor="_Toc488481699" w:history="1">
            <w:r w:rsidR="00411C1A" w:rsidRPr="00C80575">
              <w:rPr>
                <w:rStyle w:val="Hyperlink"/>
                <w:noProof/>
              </w:rPr>
              <w:t>Focus of the Study</w:t>
            </w:r>
            <w:r w:rsidR="00411C1A">
              <w:rPr>
                <w:noProof/>
                <w:webHidden/>
              </w:rPr>
              <w:tab/>
            </w:r>
            <w:r w:rsidR="00411C1A">
              <w:rPr>
                <w:noProof/>
                <w:webHidden/>
              </w:rPr>
              <w:fldChar w:fldCharType="begin"/>
            </w:r>
            <w:r w:rsidR="00411C1A">
              <w:rPr>
                <w:noProof/>
                <w:webHidden/>
              </w:rPr>
              <w:instrText xml:space="preserve"> PAGEREF _Toc488481699 \h </w:instrText>
            </w:r>
            <w:r w:rsidR="00411C1A">
              <w:rPr>
                <w:noProof/>
                <w:webHidden/>
              </w:rPr>
            </w:r>
            <w:r w:rsidR="00411C1A">
              <w:rPr>
                <w:noProof/>
                <w:webHidden/>
              </w:rPr>
              <w:fldChar w:fldCharType="separate"/>
            </w:r>
            <w:r w:rsidR="00411C1A">
              <w:rPr>
                <w:noProof/>
                <w:webHidden/>
              </w:rPr>
              <w:t>12</w:t>
            </w:r>
            <w:r w:rsidR="00411C1A">
              <w:rPr>
                <w:noProof/>
                <w:webHidden/>
              </w:rPr>
              <w:fldChar w:fldCharType="end"/>
            </w:r>
          </w:hyperlink>
        </w:p>
        <w:p w14:paraId="6C1A4FB4" w14:textId="77777777" w:rsidR="00411C1A" w:rsidRDefault="000F44D5">
          <w:pPr>
            <w:pStyle w:val="TOC1"/>
            <w:tabs>
              <w:tab w:val="right" w:leader="dot" w:pos="9016"/>
            </w:tabs>
            <w:rPr>
              <w:rFonts w:asciiTheme="minorHAnsi" w:hAnsiTheme="minorHAnsi"/>
              <w:noProof/>
              <w:sz w:val="22"/>
              <w:lang w:val="en-ZA" w:eastAsia="en-ZA"/>
            </w:rPr>
          </w:pPr>
          <w:hyperlink w:anchor="_Toc488481700" w:history="1">
            <w:r w:rsidR="00411C1A" w:rsidRPr="00C80575">
              <w:rPr>
                <w:rStyle w:val="Hyperlink"/>
                <w:noProof/>
              </w:rPr>
              <w:t xml:space="preserve">CHAPTER ONE: </w:t>
            </w:r>
            <w:r w:rsidR="00411C1A" w:rsidRPr="00C80575">
              <w:rPr>
                <w:rStyle w:val="Hyperlink"/>
                <w:i/>
                <w:noProof/>
              </w:rPr>
              <w:t>Building a Palace in the Sun</w:t>
            </w:r>
            <w:r w:rsidR="00411C1A">
              <w:rPr>
                <w:noProof/>
                <w:webHidden/>
              </w:rPr>
              <w:tab/>
            </w:r>
            <w:r w:rsidR="00411C1A">
              <w:rPr>
                <w:noProof/>
                <w:webHidden/>
              </w:rPr>
              <w:fldChar w:fldCharType="begin"/>
            </w:r>
            <w:r w:rsidR="00411C1A">
              <w:rPr>
                <w:noProof/>
                <w:webHidden/>
              </w:rPr>
              <w:instrText xml:space="preserve"> PAGEREF _Toc488481700 \h </w:instrText>
            </w:r>
            <w:r w:rsidR="00411C1A">
              <w:rPr>
                <w:noProof/>
                <w:webHidden/>
              </w:rPr>
            </w:r>
            <w:r w:rsidR="00411C1A">
              <w:rPr>
                <w:noProof/>
                <w:webHidden/>
              </w:rPr>
              <w:fldChar w:fldCharType="separate"/>
            </w:r>
            <w:r w:rsidR="00411C1A">
              <w:rPr>
                <w:noProof/>
                <w:webHidden/>
              </w:rPr>
              <w:t>17</w:t>
            </w:r>
            <w:r w:rsidR="00411C1A">
              <w:rPr>
                <w:noProof/>
                <w:webHidden/>
              </w:rPr>
              <w:fldChar w:fldCharType="end"/>
            </w:r>
          </w:hyperlink>
        </w:p>
        <w:p w14:paraId="4870930B" w14:textId="77777777" w:rsidR="00411C1A" w:rsidRDefault="000F44D5">
          <w:pPr>
            <w:pStyle w:val="TOC2"/>
            <w:tabs>
              <w:tab w:val="right" w:leader="dot" w:pos="9016"/>
            </w:tabs>
            <w:rPr>
              <w:rFonts w:asciiTheme="minorHAnsi" w:hAnsiTheme="minorHAnsi"/>
              <w:noProof/>
              <w:sz w:val="22"/>
              <w:lang w:val="en-ZA" w:eastAsia="en-ZA"/>
            </w:rPr>
          </w:pPr>
          <w:hyperlink w:anchor="_Toc488481701" w:history="1">
            <w:r w:rsidR="00411C1A" w:rsidRPr="00C80575">
              <w:rPr>
                <w:rStyle w:val="Hyperlink"/>
                <w:noProof/>
              </w:rPr>
              <w:t>Introduction</w:t>
            </w:r>
            <w:r w:rsidR="00411C1A">
              <w:rPr>
                <w:noProof/>
                <w:webHidden/>
              </w:rPr>
              <w:tab/>
            </w:r>
            <w:r w:rsidR="00411C1A">
              <w:rPr>
                <w:noProof/>
                <w:webHidden/>
              </w:rPr>
              <w:fldChar w:fldCharType="begin"/>
            </w:r>
            <w:r w:rsidR="00411C1A">
              <w:rPr>
                <w:noProof/>
                <w:webHidden/>
              </w:rPr>
              <w:instrText xml:space="preserve"> PAGEREF _Toc488481701 \h </w:instrText>
            </w:r>
            <w:r w:rsidR="00411C1A">
              <w:rPr>
                <w:noProof/>
                <w:webHidden/>
              </w:rPr>
            </w:r>
            <w:r w:rsidR="00411C1A">
              <w:rPr>
                <w:noProof/>
                <w:webHidden/>
              </w:rPr>
              <w:fldChar w:fldCharType="separate"/>
            </w:r>
            <w:r w:rsidR="00411C1A">
              <w:rPr>
                <w:noProof/>
                <w:webHidden/>
              </w:rPr>
              <w:t>17</w:t>
            </w:r>
            <w:r w:rsidR="00411C1A">
              <w:rPr>
                <w:noProof/>
                <w:webHidden/>
              </w:rPr>
              <w:fldChar w:fldCharType="end"/>
            </w:r>
          </w:hyperlink>
        </w:p>
        <w:p w14:paraId="21C5E125" w14:textId="77777777" w:rsidR="00411C1A" w:rsidRDefault="000F44D5">
          <w:pPr>
            <w:pStyle w:val="TOC2"/>
            <w:tabs>
              <w:tab w:val="right" w:leader="dot" w:pos="9016"/>
            </w:tabs>
            <w:rPr>
              <w:rFonts w:asciiTheme="minorHAnsi" w:hAnsiTheme="minorHAnsi"/>
              <w:noProof/>
              <w:sz w:val="22"/>
              <w:lang w:val="en-ZA" w:eastAsia="en-ZA"/>
            </w:rPr>
          </w:pPr>
          <w:hyperlink w:anchor="_Toc488481702" w:history="1">
            <w:r w:rsidR="00411C1A" w:rsidRPr="00C80575">
              <w:rPr>
                <w:rStyle w:val="Hyperlink"/>
                <w:noProof/>
              </w:rPr>
              <w:t>Southern Sun meets Sun International</w:t>
            </w:r>
            <w:r w:rsidR="00411C1A">
              <w:rPr>
                <w:noProof/>
                <w:webHidden/>
              </w:rPr>
              <w:tab/>
            </w:r>
            <w:r w:rsidR="00411C1A">
              <w:rPr>
                <w:noProof/>
                <w:webHidden/>
              </w:rPr>
              <w:fldChar w:fldCharType="begin"/>
            </w:r>
            <w:r w:rsidR="00411C1A">
              <w:rPr>
                <w:noProof/>
                <w:webHidden/>
              </w:rPr>
              <w:instrText xml:space="preserve"> PAGEREF _Toc488481702 \h </w:instrText>
            </w:r>
            <w:r w:rsidR="00411C1A">
              <w:rPr>
                <w:noProof/>
                <w:webHidden/>
              </w:rPr>
            </w:r>
            <w:r w:rsidR="00411C1A">
              <w:rPr>
                <w:noProof/>
                <w:webHidden/>
              </w:rPr>
              <w:fldChar w:fldCharType="separate"/>
            </w:r>
            <w:r w:rsidR="00411C1A">
              <w:rPr>
                <w:noProof/>
                <w:webHidden/>
              </w:rPr>
              <w:t>19</w:t>
            </w:r>
            <w:r w:rsidR="00411C1A">
              <w:rPr>
                <w:noProof/>
                <w:webHidden/>
              </w:rPr>
              <w:fldChar w:fldCharType="end"/>
            </w:r>
          </w:hyperlink>
        </w:p>
        <w:p w14:paraId="3F5AFB3E" w14:textId="77777777" w:rsidR="00411C1A" w:rsidRDefault="000F44D5">
          <w:pPr>
            <w:pStyle w:val="TOC2"/>
            <w:tabs>
              <w:tab w:val="right" w:leader="dot" w:pos="9016"/>
            </w:tabs>
            <w:rPr>
              <w:rFonts w:asciiTheme="minorHAnsi" w:hAnsiTheme="minorHAnsi"/>
              <w:noProof/>
              <w:sz w:val="22"/>
              <w:lang w:val="en-ZA" w:eastAsia="en-ZA"/>
            </w:rPr>
          </w:pPr>
          <w:hyperlink w:anchor="_Toc488481703" w:history="1">
            <w:r w:rsidR="00411C1A" w:rsidRPr="00C80575">
              <w:rPr>
                <w:rStyle w:val="Hyperlink"/>
                <w:noProof/>
              </w:rPr>
              <w:t>Diplomacy</w:t>
            </w:r>
            <w:r w:rsidR="00411C1A">
              <w:rPr>
                <w:noProof/>
                <w:webHidden/>
              </w:rPr>
              <w:tab/>
            </w:r>
            <w:r w:rsidR="00411C1A">
              <w:rPr>
                <w:noProof/>
                <w:webHidden/>
              </w:rPr>
              <w:fldChar w:fldCharType="begin"/>
            </w:r>
            <w:r w:rsidR="00411C1A">
              <w:rPr>
                <w:noProof/>
                <w:webHidden/>
              </w:rPr>
              <w:instrText xml:space="preserve"> PAGEREF _Toc488481703 \h </w:instrText>
            </w:r>
            <w:r w:rsidR="00411C1A">
              <w:rPr>
                <w:noProof/>
                <w:webHidden/>
              </w:rPr>
            </w:r>
            <w:r w:rsidR="00411C1A">
              <w:rPr>
                <w:noProof/>
                <w:webHidden/>
              </w:rPr>
              <w:fldChar w:fldCharType="separate"/>
            </w:r>
            <w:r w:rsidR="00411C1A">
              <w:rPr>
                <w:noProof/>
                <w:webHidden/>
              </w:rPr>
              <w:t>23</w:t>
            </w:r>
            <w:r w:rsidR="00411C1A">
              <w:rPr>
                <w:noProof/>
                <w:webHidden/>
              </w:rPr>
              <w:fldChar w:fldCharType="end"/>
            </w:r>
          </w:hyperlink>
        </w:p>
        <w:p w14:paraId="20655936" w14:textId="77777777" w:rsidR="00411C1A" w:rsidRDefault="000F44D5">
          <w:pPr>
            <w:pStyle w:val="TOC2"/>
            <w:tabs>
              <w:tab w:val="right" w:leader="dot" w:pos="9016"/>
            </w:tabs>
            <w:rPr>
              <w:rFonts w:asciiTheme="minorHAnsi" w:hAnsiTheme="minorHAnsi"/>
              <w:noProof/>
              <w:sz w:val="22"/>
              <w:lang w:val="en-ZA" w:eastAsia="en-ZA"/>
            </w:rPr>
          </w:pPr>
          <w:hyperlink w:anchor="_Toc488481704" w:history="1">
            <w:r w:rsidR="00411C1A" w:rsidRPr="00C80575">
              <w:rPr>
                <w:rStyle w:val="Hyperlink"/>
                <w:noProof/>
              </w:rPr>
              <w:t>Tourism and the Ethno-Nationalist Project</w:t>
            </w:r>
            <w:r w:rsidR="00411C1A">
              <w:rPr>
                <w:noProof/>
                <w:webHidden/>
              </w:rPr>
              <w:tab/>
            </w:r>
            <w:r w:rsidR="00411C1A">
              <w:rPr>
                <w:noProof/>
                <w:webHidden/>
              </w:rPr>
              <w:fldChar w:fldCharType="begin"/>
            </w:r>
            <w:r w:rsidR="00411C1A">
              <w:rPr>
                <w:noProof/>
                <w:webHidden/>
              </w:rPr>
              <w:instrText xml:space="preserve"> PAGEREF _Toc488481704 \h </w:instrText>
            </w:r>
            <w:r w:rsidR="00411C1A">
              <w:rPr>
                <w:noProof/>
                <w:webHidden/>
              </w:rPr>
            </w:r>
            <w:r w:rsidR="00411C1A">
              <w:rPr>
                <w:noProof/>
                <w:webHidden/>
              </w:rPr>
              <w:fldChar w:fldCharType="separate"/>
            </w:r>
            <w:r w:rsidR="00411C1A">
              <w:rPr>
                <w:noProof/>
                <w:webHidden/>
              </w:rPr>
              <w:t>27</w:t>
            </w:r>
            <w:r w:rsidR="00411C1A">
              <w:rPr>
                <w:noProof/>
                <w:webHidden/>
              </w:rPr>
              <w:fldChar w:fldCharType="end"/>
            </w:r>
          </w:hyperlink>
        </w:p>
        <w:p w14:paraId="6B1C1E5E" w14:textId="77777777" w:rsidR="00411C1A" w:rsidRDefault="000F44D5">
          <w:pPr>
            <w:pStyle w:val="TOC2"/>
            <w:tabs>
              <w:tab w:val="right" w:leader="dot" w:pos="9016"/>
            </w:tabs>
            <w:rPr>
              <w:rFonts w:asciiTheme="minorHAnsi" w:hAnsiTheme="minorHAnsi"/>
              <w:noProof/>
              <w:sz w:val="22"/>
              <w:lang w:val="en-ZA" w:eastAsia="en-ZA"/>
            </w:rPr>
          </w:pPr>
          <w:hyperlink w:anchor="_Toc488481705" w:history="1">
            <w:r w:rsidR="00411C1A" w:rsidRPr="00C80575">
              <w:rPr>
                <w:rStyle w:val="Hyperlink"/>
                <w:noProof/>
              </w:rPr>
              <w:t>Bantustan’s and Bribery</w:t>
            </w:r>
            <w:r w:rsidR="00411C1A">
              <w:rPr>
                <w:noProof/>
                <w:webHidden/>
              </w:rPr>
              <w:tab/>
            </w:r>
            <w:r w:rsidR="00411C1A">
              <w:rPr>
                <w:noProof/>
                <w:webHidden/>
              </w:rPr>
              <w:fldChar w:fldCharType="begin"/>
            </w:r>
            <w:r w:rsidR="00411C1A">
              <w:rPr>
                <w:noProof/>
                <w:webHidden/>
              </w:rPr>
              <w:instrText xml:space="preserve"> PAGEREF _Toc488481705 \h </w:instrText>
            </w:r>
            <w:r w:rsidR="00411C1A">
              <w:rPr>
                <w:noProof/>
                <w:webHidden/>
              </w:rPr>
            </w:r>
            <w:r w:rsidR="00411C1A">
              <w:rPr>
                <w:noProof/>
                <w:webHidden/>
              </w:rPr>
              <w:fldChar w:fldCharType="separate"/>
            </w:r>
            <w:r w:rsidR="00411C1A">
              <w:rPr>
                <w:noProof/>
                <w:webHidden/>
              </w:rPr>
              <w:t>30</w:t>
            </w:r>
            <w:r w:rsidR="00411C1A">
              <w:rPr>
                <w:noProof/>
                <w:webHidden/>
              </w:rPr>
              <w:fldChar w:fldCharType="end"/>
            </w:r>
          </w:hyperlink>
        </w:p>
        <w:p w14:paraId="30C5ED5E" w14:textId="77777777" w:rsidR="00411C1A" w:rsidRDefault="000F44D5">
          <w:pPr>
            <w:pStyle w:val="TOC2"/>
            <w:tabs>
              <w:tab w:val="right" w:leader="dot" w:pos="9016"/>
            </w:tabs>
            <w:rPr>
              <w:rFonts w:asciiTheme="minorHAnsi" w:hAnsiTheme="minorHAnsi"/>
              <w:noProof/>
              <w:sz w:val="22"/>
              <w:lang w:val="en-ZA" w:eastAsia="en-ZA"/>
            </w:rPr>
          </w:pPr>
          <w:hyperlink w:anchor="_Toc488481706" w:history="1">
            <w:r w:rsidR="00411C1A" w:rsidRPr="00C80575">
              <w:rPr>
                <w:rStyle w:val="Hyperlink"/>
                <w:noProof/>
              </w:rPr>
              <w:t>Creating a Tourist “Mecca”</w:t>
            </w:r>
            <w:r w:rsidR="00411C1A">
              <w:rPr>
                <w:noProof/>
                <w:webHidden/>
              </w:rPr>
              <w:tab/>
            </w:r>
            <w:r w:rsidR="00411C1A">
              <w:rPr>
                <w:noProof/>
                <w:webHidden/>
              </w:rPr>
              <w:fldChar w:fldCharType="begin"/>
            </w:r>
            <w:r w:rsidR="00411C1A">
              <w:rPr>
                <w:noProof/>
                <w:webHidden/>
              </w:rPr>
              <w:instrText xml:space="preserve"> PAGEREF _Toc488481706 \h </w:instrText>
            </w:r>
            <w:r w:rsidR="00411C1A">
              <w:rPr>
                <w:noProof/>
                <w:webHidden/>
              </w:rPr>
            </w:r>
            <w:r w:rsidR="00411C1A">
              <w:rPr>
                <w:noProof/>
                <w:webHidden/>
              </w:rPr>
              <w:fldChar w:fldCharType="separate"/>
            </w:r>
            <w:r w:rsidR="00411C1A">
              <w:rPr>
                <w:noProof/>
                <w:webHidden/>
              </w:rPr>
              <w:t>32</w:t>
            </w:r>
            <w:r w:rsidR="00411C1A">
              <w:rPr>
                <w:noProof/>
                <w:webHidden/>
              </w:rPr>
              <w:fldChar w:fldCharType="end"/>
            </w:r>
          </w:hyperlink>
        </w:p>
        <w:p w14:paraId="342FF44F" w14:textId="77777777" w:rsidR="00411C1A" w:rsidRDefault="000F44D5">
          <w:pPr>
            <w:pStyle w:val="TOC2"/>
            <w:tabs>
              <w:tab w:val="right" w:leader="dot" w:pos="9016"/>
            </w:tabs>
            <w:rPr>
              <w:rFonts w:asciiTheme="minorHAnsi" w:hAnsiTheme="minorHAnsi"/>
              <w:noProof/>
              <w:sz w:val="22"/>
              <w:lang w:val="en-ZA" w:eastAsia="en-ZA"/>
            </w:rPr>
          </w:pPr>
          <w:hyperlink w:anchor="_Toc488481707" w:history="1">
            <w:r w:rsidR="00411C1A" w:rsidRPr="00C80575">
              <w:rPr>
                <w:rStyle w:val="Hyperlink"/>
                <w:noProof/>
              </w:rPr>
              <w:t>Sol Kerzner’s Empire</w:t>
            </w:r>
            <w:r w:rsidR="00411C1A">
              <w:rPr>
                <w:noProof/>
                <w:webHidden/>
              </w:rPr>
              <w:tab/>
            </w:r>
            <w:r w:rsidR="00411C1A">
              <w:rPr>
                <w:noProof/>
                <w:webHidden/>
              </w:rPr>
              <w:fldChar w:fldCharType="begin"/>
            </w:r>
            <w:r w:rsidR="00411C1A">
              <w:rPr>
                <w:noProof/>
                <w:webHidden/>
              </w:rPr>
              <w:instrText xml:space="preserve"> PAGEREF _Toc488481707 \h </w:instrText>
            </w:r>
            <w:r w:rsidR="00411C1A">
              <w:rPr>
                <w:noProof/>
                <w:webHidden/>
              </w:rPr>
            </w:r>
            <w:r w:rsidR="00411C1A">
              <w:rPr>
                <w:noProof/>
                <w:webHidden/>
              </w:rPr>
              <w:fldChar w:fldCharType="separate"/>
            </w:r>
            <w:r w:rsidR="00411C1A">
              <w:rPr>
                <w:noProof/>
                <w:webHidden/>
              </w:rPr>
              <w:t>41</w:t>
            </w:r>
            <w:r w:rsidR="00411C1A">
              <w:rPr>
                <w:noProof/>
                <w:webHidden/>
              </w:rPr>
              <w:fldChar w:fldCharType="end"/>
            </w:r>
          </w:hyperlink>
        </w:p>
        <w:p w14:paraId="2EBC4747" w14:textId="77777777" w:rsidR="00411C1A" w:rsidRDefault="000F44D5">
          <w:pPr>
            <w:pStyle w:val="TOC2"/>
            <w:tabs>
              <w:tab w:val="right" w:leader="dot" w:pos="9016"/>
            </w:tabs>
            <w:rPr>
              <w:rFonts w:asciiTheme="minorHAnsi" w:hAnsiTheme="minorHAnsi"/>
              <w:noProof/>
              <w:sz w:val="22"/>
              <w:lang w:val="en-ZA" w:eastAsia="en-ZA"/>
            </w:rPr>
          </w:pPr>
          <w:hyperlink w:anchor="_Toc488481708" w:history="1">
            <w:r w:rsidR="00411C1A" w:rsidRPr="00C80575">
              <w:rPr>
                <w:rStyle w:val="Hyperlink"/>
                <w:noProof/>
              </w:rPr>
              <w:t>Conclusion</w:t>
            </w:r>
            <w:r w:rsidR="00411C1A">
              <w:rPr>
                <w:noProof/>
                <w:webHidden/>
              </w:rPr>
              <w:tab/>
            </w:r>
            <w:r w:rsidR="00411C1A">
              <w:rPr>
                <w:noProof/>
                <w:webHidden/>
              </w:rPr>
              <w:fldChar w:fldCharType="begin"/>
            </w:r>
            <w:r w:rsidR="00411C1A">
              <w:rPr>
                <w:noProof/>
                <w:webHidden/>
              </w:rPr>
              <w:instrText xml:space="preserve"> PAGEREF _Toc488481708 \h </w:instrText>
            </w:r>
            <w:r w:rsidR="00411C1A">
              <w:rPr>
                <w:noProof/>
                <w:webHidden/>
              </w:rPr>
            </w:r>
            <w:r w:rsidR="00411C1A">
              <w:rPr>
                <w:noProof/>
                <w:webHidden/>
              </w:rPr>
              <w:fldChar w:fldCharType="separate"/>
            </w:r>
            <w:r w:rsidR="00411C1A">
              <w:rPr>
                <w:noProof/>
                <w:webHidden/>
              </w:rPr>
              <w:t>44</w:t>
            </w:r>
            <w:r w:rsidR="00411C1A">
              <w:rPr>
                <w:noProof/>
                <w:webHidden/>
              </w:rPr>
              <w:fldChar w:fldCharType="end"/>
            </w:r>
          </w:hyperlink>
        </w:p>
        <w:p w14:paraId="08073AB3" w14:textId="77777777" w:rsidR="00411C1A" w:rsidRDefault="000F44D5">
          <w:pPr>
            <w:pStyle w:val="TOC1"/>
            <w:tabs>
              <w:tab w:val="right" w:leader="dot" w:pos="9016"/>
            </w:tabs>
            <w:rPr>
              <w:rFonts w:asciiTheme="minorHAnsi" w:hAnsiTheme="minorHAnsi"/>
              <w:noProof/>
              <w:sz w:val="22"/>
              <w:lang w:val="en-ZA" w:eastAsia="en-ZA"/>
            </w:rPr>
          </w:pPr>
          <w:hyperlink w:anchor="_Toc488481709" w:history="1">
            <w:r w:rsidR="00411C1A" w:rsidRPr="00C80575">
              <w:rPr>
                <w:rStyle w:val="Hyperlink"/>
                <w:noProof/>
              </w:rPr>
              <w:t xml:space="preserve">CHAPTER TWO: </w:t>
            </w:r>
            <w:r w:rsidR="00411C1A" w:rsidRPr="00C80575">
              <w:rPr>
                <w:rStyle w:val="Hyperlink"/>
                <w:i/>
                <w:noProof/>
              </w:rPr>
              <w:t>Employment and Labour</w:t>
            </w:r>
            <w:r w:rsidR="00411C1A">
              <w:rPr>
                <w:noProof/>
                <w:webHidden/>
              </w:rPr>
              <w:tab/>
            </w:r>
            <w:r w:rsidR="00411C1A">
              <w:rPr>
                <w:noProof/>
                <w:webHidden/>
              </w:rPr>
              <w:fldChar w:fldCharType="begin"/>
            </w:r>
            <w:r w:rsidR="00411C1A">
              <w:rPr>
                <w:noProof/>
                <w:webHidden/>
              </w:rPr>
              <w:instrText xml:space="preserve"> PAGEREF _Toc488481709 \h </w:instrText>
            </w:r>
            <w:r w:rsidR="00411C1A">
              <w:rPr>
                <w:noProof/>
                <w:webHidden/>
              </w:rPr>
            </w:r>
            <w:r w:rsidR="00411C1A">
              <w:rPr>
                <w:noProof/>
                <w:webHidden/>
              </w:rPr>
              <w:fldChar w:fldCharType="separate"/>
            </w:r>
            <w:r w:rsidR="00411C1A">
              <w:rPr>
                <w:noProof/>
                <w:webHidden/>
              </w:rPr>
              <w:t>45</w:t>
            </w:r>
            <w:r w:rsidR="00411C1A">
              <w:rPr>
                <w:noProof/>
                <w:webHidden/>
              </w:rPr>
              <w:fldChar w:fldCharType="end"/>
            </w:r>
          </w:hyperlink>
        </w:p>
        <w:p w14:paraId="18639895" w14:textId="77777777" w:rsidR="00411C1A" w:rsidRDefault="000F44D5">
          <w:pPr>
            <w:pStyle w:val="TOC2"/>
            <w:tabs>
              <w:tab w:val="right" w:leader="dot" w:pos="9016"/>
            </w:tabs>
            <w:rPr>
              <w:rFonts w:asciiTheme="minorHAnsi" w:hAnsiTheme="minorHAnsi"/>
              <w:noProof/>
              <w:sz w:val="22"/>
              <w:lang w:val="en-ZA" w:eastAsia="en-ZA"/>
            </w:rPr>
          </w:pPr>
          <w:hyperlink w:anchor="_Toc488481710" w:history="1">
            <w:r w:rsidR="00411C1A" w:rsidRPr="00C80575">
              <w:rPr>
                <w:rStyle w:val="Hyperlink"/>
                <w:noProof/>
              </w:rPr>
              <w:t>Introduction</w:t>
            </w:r>
            <w:r w:rsidR="00411C1A">
              <w:rPr>
                <w:noProof/>
                <w:webHidden/>
              </w:rPr>
              <w:tab/>
            </w:r>
            <w:r w:rsidR="00411C1A">
              <w:rPr>
                <w:noProof/>
                <w:webHidden/>
              </w:rPr>
              <w:fldChar w:fldCharType="begin"/>
            </w:r>
            <w:r w:rsidR="00411C1A">
              <w:rPr>
                <w:noProof/>
                <w:webHidden/>
              </w:rPr>
              <w:instrText xml:space="preserve"> PAGEREF _Toc488481710 \h </w:instrText>
            </w:r>
            <w:r w:rsidR="00411C1A">
              <w:rPr>
                <w:noProof/>
                <w:webHidden/>
              </w:rPr>
            </w:r>
            <w:r w:rsidR="00411C1A">
              <w:rPr>
                <w:noProof/>
                <w:webHidden/>
              </w:rPr>
              <w:fldChar w:fldCharType="separate"/>
            </w:r>
            <w:r w:rsidR="00411C1A">
              <w:rPr>
                <w:noProof/>
                <w:webHidden/>
              </w:rPr>
              <w:t>45</w:t>
            </w:r>
            <w:r w:rsidR="00411C1A">
              <w:rPr>
                <w:noProof/>
                <w:webHidden/>
              </w:rPr>
              <w:fldChar w:fldCharType="end"/>
            </w:r>
          </w:hyperlink>
        </w:p>
        <w:p w14:paraId="3FE13E68" w14:textId="77777777" w:rsidR="00411C1A" w:rsidRDefault="000F44D5">
          <w:pPr>
            <w:pStyle w:val="TOC2"/>
            <w:tabs>
              <w:tab w:val="right" w:leader="dot" w:pos="9016"/>
            </w:tabs>
            <w:rPr>
              <w:rFonts w:asciiTheme="minorHAnsi" w:hAnsiTheme="minorHAnsi"/>
              <w:noProof/>
              <w:sz w:val="22"/>
              <w:lang w:val="en-ZA" w:eastAsia="en-ZA"/>
            </w:rPr>
          </w:pPr>
          <w:hyperlink w:anchor="_Toc488481711" w:history="1">
            <w:r w:rsidR="00411C1A" w:rsidRPr="00C80575">
              <w:rPr>
                <w:rStyle w:val="Hyperlink"/>
                <w:noProof/>
              </w:rPr>
              <w:t>Employment and Labour Disputes</w:t>
            </w:r>
            <w:r w:rsidR="00411C1A">
              <w:rPr>
                <w:noProof/>
                <w:webHidden/>
              </w:rPr>
              <w:tab/>
            </w:r>
            <w:r w:rsidR="00411C1A">
              <w:rPr>
                <w:noProof/>
                <w:webHidden/>
              </w:rPr>
              <w:fldChar w:fldCharType="begin"/>
            </w:r>
            <w:r w:rsidR="00411C1A">
              <w:rPr>
                <w:noProof/>
                <w:webHidden/>
              </w:rPr>
              <w:instrText xml:space="preserve"> PAGEREF _Toc488481711 \h </w:instrText>
            </w:r>
            <w:r w:rsidR="00411C1A">
              <w:rPr>
                <w:noProof/>
                <w:webHidden/>
              </w:rPr>
            </w:r>
            <w:r w:rsidR="00411C1A">
              <w:rPr>
                <w:noProof/>
                <w:webHidden/>
              </w:rPr>
              <w:fldChar w:fldCharType="separate"/>
            </w:r>
            <w:r w:rsidR="00411C1A">
              <w:rPr>
                <w:noProof/>
                <w:webHidden/>
              </w:rPr>
              <w:t>45</w:t>
            </w:r>
            <w:r w:rsidR="00411C1A">
              <w:rPr>
                <w:noProof/>
                <w:webHidden/>
              </w:rPr>
              <w:fldChar w:fldCharType="end"/>
            </w:r>
          </w:hyperlink>
        </w:p>
        <w:p w14:paraId="3F23F10D" w14:textId="77777777" w:rsidR="00411C1A" w:rsidRDefault="000F44D5">
          <w:pPr>
            <w:pStyle w:val="TOC2"/>
            <w:tabs>
              <w:tab w:val="right" w:leader="dot" w:pos="9016"/>
            </w:tabs>
            <w:rPr>
              <w:rFonts w:asciiTheme="minorHAnsi" w:hAnsiTheme="minorHAnsi"/>
              <w:noProof/>
              <w:sz w:val="22"/>
              <w:lang w:val="en-ZA" w:eastAsia="en-ZA"/>
            </w:rPr>
          </w:pPr>
          <w:hyperlink w:anchor="_Toc488481712" w:history="1">
            <w:r w:rsidR="00411C1A" w:rsidRPr="00C80575">
              <w:rPr>
                <w:rStyle w:val="Hyperlink"/>
                <w:noProof/>
              </w:rPr>
              <w:t>Employee Analysis</w:t>
            </w:r>
            <w:r w:rsidR="00411C1A">
              <w:rPr>
                <w:noProof/>
                <w:webHidden/>
              </w:rPr>
              <w:tab/>
            </w:r>
            <w:r w:rsidR="00411C1A">
              <w:rPr>
                <w:noProof/>
                <w:webHidden/>
              </w:rPr>
              <w:fldChar w:fldCharType="begin"/>
            </w:r>
            <w:r w:rsidR="00411C1A">
              <w:rPr>
                <w:noProof/>
                <w:webHidden/>
              </w:rPr>
              <w:instrText xml:space="preserve"> PAGEREF _Toc488481712 \h </w:instrText>
            </w:r>
            <w:r w:rsidR="00411C1A">
              <w:rPr>
                <w:noProof/>
                <w:webHidden/>
              </w:rPr>
            </w:r>
            <w:r w:rsidR="00411C1A">
              <w:rPr>
                <w:noProof/>
                <w:webHidden/>
              </w:rPr>
              <w:fldChar w:fldCharType="separate"/>
            </w:r>
            <w:r w:rsidR="00411C1A">
              <w:rPr>
                <w:noProof/>
                <w:webHidden/>
              </w:rPr>
              <w:t>47</w:t>
            </w:r>
            <w:r w:rsidR="00411C1A">
              <w:rPr>
                <w:noProof/>
                <w:webHidden/>
              </w:rPr>
              <w:fldChar w:fldCharType="end"/>
            </w:r>
          </w:hyperlink>
        </w:p>
        <w:p w14:paraId="60E34E52" w14:textId="77777777" w:rsidR="00411C1A" w:rsidRDefault="000F44D5">
          <w:pPr>
            <w:pStyle w:val="TOC2"/>
            <w:tabs>
              <w:tab w:val="right" w:leader="dot" w:pos="9016"/>
            </w:tabs>
            <w:rPr>
              <w:rFonts w:asciiTheme="minorHAnsi" w:hAnsiTheme="minorHAnsi"/>
              <w:noProof/>
              <w:sz w:val="22"/>
              <w:lang w:val="en-ZA" w:eastAsia="en-ZA"/>
            </w:rPr>
          </w:pPr>
          <w:hyperlink w:anchor="_Toc488481713" w:history="1">
            <w:r w:rsidR="00411C1A" w:rsidRPr="00C80575">
              <w:rPr>
                <w:rStyle w:val="Hyperlink"/>
                <w:noProof/>
              </w:rPr>
              <w:t>Working conditions at Sun City</w:t>
            </w:r>
            <w:r w:rsidR="00411C1A">
              <w:rPr>
                <w:noProof/>
                <w:webHidden/>
              </w:rPr>
              <w:tab/>
            </w:r>
            <w:r w:rsidR="00411C1A">
              <w:rPr>
                <w:noProof/>
                <w:webHidden/>
              </w:rPr>
              <w:fldChar w:fldCharType="begin"/>
            </w:r>
            <w:r w:rsidR="00411C1A">
              <w:rPr>
                <w:noProof/>
                <w:webHidden/>
              </w:rPr>
              <w:instrText xml:space="preserve"> PAGEREF _Toc488481713 \h </w:instrText>
            </w:r>
            <w:r w:rsidR="00411C1A">
              <w:rPr>
                <w:noProof/>
                <w:webHidden/>
              </w:rPr>
            </w:r>
            <w:r w:rsidR="00411C1A">
              <w:rPr>
                <w:noProof/>
                <w:webHidden/>
              </w:rPr>
              <w:fldChar w:fldCharType="separate"/>
            </w:r>
            <w:r w:rsidR="00411C1A">
              <w:rPr>
                <w:noProof/>
                <w:webHidden/>
              </w:rPr>
              <w:t>49</w:t>
            </w:r>
            <w:r w:rsidR="00411C1A">
              <w:rPr>
                <w:noProof/>
                <w:webHidden/>
              </w:rPr>
              <w:fldChar w:fldCharType="end"/>
            </w:r>
          </w:hyperlink>
        </w:p>
        <w:p w14:paraId="0B408E63" w14:textId="77777777" w:rsidR="00411C1A" w:rsidRDefault="000F44D5">
          <w:pPr>
            <w:pStyle w:val="TOC2"/>
            <w:tabs>
              <w:tab w:val="right" w:leader="dot" w:pos="9016"/>
            </w:tabs>
            <w:rPr>
              <w:rFonts w:asciiTheme="minorHAnsi" w:hAnsiTheme="minorHAnsi"/>
              <w:noProof/>
              <w:sz w:val="22"/>
              <w:lang w:val="en-ZA" w:eastAsia="en-ZA"/>
            </w:rPr>
          </w:pPr>
          <w:hyperlink w:anchor="_Toc488481714" w:history="1">
            <w:r w:rsidR="00411C1A" w:rsidRPr="00C80575">
              <w:rPr>
                <w:rStyle w:val="Hyperlink"/>
                <w:noProof/>
              </w:rPr>
              <w:t>Employee Training and Advancement</w:t>
            </w:r>
            <w:r w:rsidR="00411C1A">
              <w:rPr>
                <w:noProof/>
                <w:webHidden/>
              </w:rPr>
              <w:tab/>
            </w:r>
            <w:r w:rsidR="00411C1A">
              <w:rPr>
                <w:noProof/>
                <w:webHidden/>
              </w:rPr>
              <w:fldChar w:fldCharType="begin"/>
            </w:r>
            <w:r w:rsidR="00411C1A">
              <w:rPr>
                <w:noProof/>
                <w:webHidden/>
              </w:rPr>
              <w:instrText xml:space="preserve"> PAGEREF _Toc488481714 \h </w:instrText>
            </w:r>
            <w:r w:rsidR="00411C1A">
              <w:rPr>
                <w:noProof/>
                <w:webHidden/>
              </w:rPr>
            </w:r>
            <w:r w:rsidR="00411C1A">
              <w:rPr>
                <w:noProof/>
                <w:webHidden/>
              </w:rPr>
              <w:fldChar w:fldCharType="separate"/>
            </w:r>
            <w:r w:rsidR="00411C1A">
              <w:rPr>
                <w:noProof/>
                <w:webHidden/>
              </w:rPr>
              <w:t>53</w:t>
            </w:r>
            <w:r w:rsidR="00411C1A">
              <w:rPr>
                <w:noProof/>
                <w:webHidden/>
              </w:rPr>
              <w:fldChar w:fldCharType="end"/>
            </w:r>
          </w:hyperlink>
        </w:p>
        <w:p w14:paraId="46A32356" w14:textId="77777777" w:rsidR="00411C1A" w:rsidRDefault="000F44D5">
          <w:pPr>
            <w:pStyle w:val="TOC2"/>
            <w:tabs>
              <w:tab w:val="right" w:leader="dot" w:pos="9016"/>
            </w:tabs>
            <w:rPr>
              <w:rFonts w:asciiTheme="minorHAnsi" w:hAnsiTheme="minorHAnsi"/>
              <w:noProof/>
              <w:sz w:val="22"/>
              <w:lang w:val="en-ZA" w:eastAsia="en-ZA"/>
            </w:rPr>
          </w:pPr>
          <w:hyperlink w:anchor="_Toc488481715" w:history="1">
            <w:r w:rsidR="00411C1A" w:rsidRPr="00C80575">
              <w:rPr>
                <w:rStyle w:val="Hyperlink"/>
                <w:noProof/>
              </w:rPr>
              <w:t>Conclusion</w:t>
            </w:r>
            <w:r w:rsidR="00411C1A">
              <w:rPr>
                <w:noProof/>
                <w:webHidden/>
              </w:rPr>
              <w:tab/>
            </w:r>
            <w:r w:rsidR="00411C1A">
              <w:rPr>
                <w:noProof/>
                <w:webHidden/>
              </w:rPr>
              <w:fldChar w:fldCharType="begin"/>
            </w:r>
            <w:r w:rsidR="00411C1A">
              <w:rPr>
                <w:noProof/>
                <w:webHidden/>
              </w:rPr>
              <w:instrText xml:space="preserve"> PAGEREF _Toc488481715 \h </w:instrText>
            </w:r>
            <w:r w:rsidR="00411C1A">
              <w:rPr>
                <w:noProof/>
                <w:webHidden/>
              </w:rPr>
            </w:r>
            <w:r w:rsidR="00411C1A">
              <w:rPr>
                <w:noProof/>
                <w:webHidden/>
              </w:rPr>
              <w:fldChar w:fldCharType="separate"/>
            </w:r>
            <w:r w:rsidR="00411C1A">
              <w:rPr>
                <w:noProof/>
                <w:webHidden/>
              </w:rPr>
              <w:t>59</w:t>
            </w:r>
            <w:r w:rsidR="00411C1A">
              <w:rPr>
                <w:noProof/>
                <w:webHidden/>
              </w:rPr>
              <w:fldChar w:fldCharType="end"/>
            </w:r>
          </w:hyperlink>
        </w:p>
        <w:p w14:paraId="7B8F7CFF" w14:textId="77777777" w:rsidR="00411C1A" w:rsidRDefault="000F44D5">
          <w:pPr>
            <w:pStyle w:val="TOC1"/>
            <w:tabs>
              <w:tab w:val="right" w:leader="dot" w:pos="9016"/>
            </w:tabs>
            <w:rPr>
              <w:rFonts w:asciiTheme="minorHAnsi" w:hAnsiTheme="minorHAnsi"/>
              <w:noProof/>
              <w:sz w:val="22"/>
              <w:lang w:val="en-ZA" w:eastAsia="en-ZA"/>
            </w:rPr>
          </w:pPr>
          <w:hyperlink w:anchor="_Toc488481716" w:history="1">
            <w:r w:rsidR="00411C1A" w:rsidRPr="00C80575">
              <w:rPr>
                <w:rStyle w:val="Hyperlink"/>
                <w:noProof/>
              </w:rPr>
              <w:t xml:space="preserve">CHAPTER THREE: </w:t>
            </w:r>
            <w:r w:rsidR="00411C1A" w:rsidRPr="00C80575">
              <w:rPr>
                <w:rStyle w:val="Hyperlink"/>
                <w:i/>
                <w:noProof/>
              </w:rPr>
              <w:t>Sin City</w:t>
            </w:r>
            <w:r w:rsidR="00411C1A">
              <w:rPr>
                <w:noProof/>
                <w:webHidden/>
              </w:rPr>
              <w:tab/>
            </w:r>
            <w:r w:rsidR="00411C1A">
              <w:rPr>
                <w:noProof/>
                <w:webHidden/>
              </w:rPr>
              <w:fldChar w:fldCharType="begin"/>
            </w:r>
            <w:r w:rsidR="00411C1A">
              <w:rPr>
                <w:noProof/>
                <w:webHidden/>
              </w:rPr>
              <w:instrText xml:space="preserve"> PAGEREF _Toc488481716 \h </w:instrText>
            </w:r>
            <w:r w:rsidR="00411C1A">
              <w:rPr>
                <w:noProof/>
                <w:webHidden/>
              </w:rPr>
            </w:r>
            <w:r w:rsidR="00411C1A">
              <w:rPr>
                <w:noProof/>
                <w:webHidden/>
              </w:rPr>
              <w:fldChar w:fldCharType="separate"/>
            </w:r>
            <w:r w:rsidR="00411C1A">
              <w:rPr>
                <w:noProof/>
                <w:webHidden/>
              </w:rPr>
              <w:t>60</w:t>
            </w:r>
            <w:r w:rsidR="00411C1A">
              <w:rPr>
                <w:noProof/>
                <w:webHidden/>
              </w:rPr>
              <w:fldChar w:fldCharType="end"/>
            </w:r>
          </w:hyperlink>
        </w:p>
        <w:p w14:paraId="4ABB2BE9" w14:textId="77777777" w:rsidR="00411C1A" w:rsidRDefault="000F44D5">
          <w:pPr>
            <w:pStyle w:val="TOC2"/>
            <w:tabs>
              <w:tab w:val="right" w:leader="dot" w:pos="9016"/>
            </w:tabs>
            <w:rPr>
              <w:rFonts w:asciiTheme="minorHAnsi" w:hAnsiTheme="minorHAnsi"/>
              <w:noProof/>
              <w:sz w:val="22"/>
              <w:lang w:val="en-ZA" w:eastAsia="en-ZA"/>
            </w:rPr>
          </w:pPr>
          <w:hyperlink w:anchor="_Toc488481717" w:history="1">
            <w:r w:rsidR="00411C1A" w:rsidRPr="00C80575">
              <w:rPr>
                <w:rStyle w:val="Hyperlink"/>
                <w:noProof/>
              </w:rPr>
              <w:t>Introduction</w:t>
            </w:r>
            <w:r w:rsidR="00411C1A">
              <w:rPr>
                <w:noProof/>
                <w:webHidden/>
              </w:rPr>
              <w:tab/>
            </w:r>
            <w:r w:rsidR="00411C1A">
              <w:rPr>
                <w:noProof/>
                <w:webHidden/>
              </w:rPr>
              <w:fldChar w:fldCharType="begin"/>
            </w:r>
            <w:r w:rsidR="00411C1A">
              <w:rPr>
                <w:noProof/>
                <w:webHidden/>
              </w:rPr>
              <w:instrText xml:space="preserve"> PAGEREF _Toc488481717 \h </w:instrText>
            </w:r>
            <w:r w:rsidR="00411C1A">
              <w:rPr>
                <w:noProof/>
                <w:webHidden/>
              </w:rPr>
            </w:r>
            <w:r w:rsidR="00411C1A">
              <w:rPr>
                <w:noProof/>
                <w:webHidden/>
              </w:rPr>
              <w:fldChar w:fldCharType="separate"/>
            </w:r>
            <w:r w:rsidR="00411C1A">
              <w:rPr>
                <w:noProof/>
                <w:webHidden/>
              </w:rPr>
              <w:t>60</w:t>
            </w:r>
            <w:r w:rsidR="00411C1A">
              <w:rPr>
                <w:noProof/>
                <w:webHidden/>
              </w:rPr>
              <w:fldChar w:fldCharType="end"/>
            </w:r>
          </w:hyperlink>
        </w:p>
        <w:p w14:paraId="09906B6E" w14:textId="77777777" w:rsidR="00411C1A" w:rsidRDefault="000F44D5">
          <w:pPr>
            <w:pStyle w:val="TOC2"/>
            <w:tabs>
              <w:tab w:val="right" w:leader="dot" w:pos="9016"/>
            </w:tabs>
            <w:rPr>
              <w:rFonts w:asciiTheme="minorHAnsi" w:hAnsiTheme="minorHAnsi"/>
              <w:noProof/>
              <w:sz w:val="22"/>
              <w:lang w:val="en-ZA" w:eastAsia="en-ZA"/>
            </w:rPr>
          </w:pPr>
          <w:hyperlink w:anchor="_Toc488481718" w:history="1">
            <w:r w:rsidR="00411C1A" w:rsidRPr="00C80575">
              <w:rPr>
                <w:rStyle w:val="Hyperlink"/>
                <w:noProof/>
              </w:rPr>
              <w:t>Sin City: The Tourist Experience:</w:t>
            </w:r>
            <w:r w:rsidR="00411C1A">
              <w:rPr>
                <w:noProof/>
                <w:webHidden/>
              </w:rPr>
              <w:tab/>
            </w:r>
            <w:r w:rsidR="00411C1A">
              <w:rPr>
                <w:noProof/>
                <w:webHidden/>
              </w:rPr>
              <w:fldChar w:fldCharType="begin"/>
            </w:r>
            <w:r w:rsidR="00411C1A">
              <w:rPr>
                <w:noProof/>
                <w:webHidden/>
              </w:rPr>
              <w:instrText xml:space="preserve"> PAGEREF _Toc488481718 \h </w:instrText>
            </w:r>
            <w:r w:rsidR="00411C1A">
              <w:rPr>
                <w:noProof/>
                <w:webHidden/>
              </w:rPr>
            </w:r>
            <w:r w:rsidR="00411C1A">
              <w:rPr>
                <w:noProof/>
                <w:webHidden/>
              </w:rPr>
              <w:fldChar w:fldCharType="separate"/>
            </w:r>
            <w:r w:rsidR="00411C1A">
              <w:rPr>
                <w:noProof/>
                <w:webHidden/>
              </w:rPr>
              <w:t>61</w:t>
            </w:r>
            <w:r w:rsidR="00411C1A">
              <w:rPr>
                <w:noProof/>
                <w:webHidden/>
              </w:rPr>
              <w:fldChar w:fldCharType="end"/>
            </w:r>
          </w:hyperlink>
        </w:p>
        <w:p w14:paraId="04761004" w14:textId="77777777" w:rsidR="00411C1A" w:rsidRDefault="000F44D5">
          <w:pPr>
            <w:pStyle w:val="TOC2"/>
            <w:tabs>
              <w:tab w:val="right" w:leader="dot" w:pos="9016"/>
            </w:tabs>
            <w:rPr>
              <w:rFonts w:asciiTheme="minorHAnsi" w:hAnsiTheme="minorHAnsi"/>
              <w:noProof/>
              <w:sz w:val="22"/>
              <w:lang w:val="en-ZA" w:eastAsia="en-ZA"/>
            </w:rPr>
          </w:pPr>
          <w:hyperlink w:anchor="_Toc488481719" w:history="1">
            <w:r w:rsidR="00411C1A" w:rsidRPr="00C80575">
              <w:rPr>
                <w:rStyle w:val="Hyperlink"/>
                <w:noProof/>
              </w:rPr>
              <w:t>Race and Marketing</w:t>
            </w:r>
            <w:r w:rsidR="00411C1A">
              <w:rPr>
                <w:noProof/>
                <w:webHidden/>
              </w:rPr>
              <w:tab/>
            </w:r>
            <w:r w:rsidR="00411C1A">
              <w:rPr>
                <w:noProof/>
                <w:webHidden/>
              </w:rPr>
              <w:fldChar w:fldCharType="begin"/>
            </w:r>
            <w:r w:rsidR="00411C1A">
              <w:rPr>
                <w:noProof/>
                <w:webHidden/>
              </w:rPr>
              <w:instrText xml:space="preserve"> PAGEREF _Toc488481719 \h </w:instrText>
            </w:r>
            <w:r w:rsidR="00411C1A">
              <w:rPr>
                <w:noProof/>
                <w:webHidden/>
              </w:rPr>
            </w:r>
            <w:r w:rsidR="00411C1A">
              <w:rPr>
                <w:noProof/>
                <w:webHidden/>
              </w:rPr>
              <w:fldChar w:fldCharType="separate"/>
            </w:r>
            <w:r w:rsidR="00411C1A">
              <w:rPr>
                <w:noProof/>
                <w:webHidden/>
              </w:rPr>
              <w:t>62</w:t>
            </w:r>
            <w:r w:rsidR="00411C1A">
              <w:rPr>
                <w:noProof/>
                <w:webHidden/>
              </w:rPr>
              <w:fldChar w:fldCharType="end"/>
            </w:r>
          </w:hyperlink>
        </w:p>
        <w:p w14:paraId="40510DA5" w14:textId="77777777" w:rsidR="00411C1A" w:rsidRDefault="000F44D5">
          <w:pPr>
            <w:pStyle w:val="TOC2"/>
            <w:tabs>
              <w:tab w:val="right" w:leader="dot" w:pos="9016"/>
            </w:tabs>
            <w:rPr>
              <w:rFonts w:asciiTheme="minorHAnsi" w:hAnsiTheme="minorHAnsi"/>
              <w:noProof/>
              <w:sz w:val="22"/>
              <w:lang w:val="en-ZA" w:eastAsia="en-ZA"/>
            </w:rPr>
          </w:pPr>
          <w:hyperlink w:anchor="_Toc488481720" w:history="1">
            <w:r w:rsidR="00411C1A" w:rsidRPr="00C80575">
              <w:rPr>
                <w:rStyle w:val="Hyperlink"/>
                <w:noProof/>
              </w:rPr>
              <w:t>Gambling at Sin City</w:t>
            </w:r>
            <w:r w:rsidR="00411C1A">
              <w:rPr>
                <w:noProof/>
                <w:webHidden/>
              </w:rPr>
              <w:tab/>
            </w:r>
            <w:r w:rsidR="00411C1A">
              <w:rPr>
                <w:noProof/>
                <w:webHidden/>
              </w:rPr>
              <w:fldChar w:fldCharType="begin"/>
            </w:r>
            <w:r w:rsidR="00411C1A">
              <w:rPr>
                <w:noProof/>
                <w:webHidden/>
              </w:rPr>
              <w:instrText xml:space="preserve"> PAGEREF _Toc488481720 \h </w:instrText>
            </w:r>
            <w:r w:rsidR="00411C1A">
              <w:rPr>
                <w:noProof/>
                <w:webHidden/>
              </w:rPr>
            </w:r>
            <w:r w:rsidR="00411C1A">
              <w:rPr>
                <w:noProof/>
                <w:webHidden/>
              </w:rPr>
              <w:fldChar w:fldCharType="separate"/>
            </w:r>
            <w:r w:rsidR="00411C1A">
              <w:rPr>
                <w:noProof/>
                <w:webHidden/>
              </w:rPr>
              <w:t>64</w:t>
            </w:r>
            <w:r w:rsidR="00411C1A">
              <w:rPr>
                <w:noProof/>
                <w:webHidden/>
              </w:rPr>
              <w:fldChar w:fldCharType="end"/>
            </w:r>
          </w:hyperlink>
        </w:p>
        <w:p w14:paraId="00854285" w14:textId="77777777" w:rsidR="00411C1A" w:rsidRDefault="000F44D5">
          <w:pPr>
            <w:pStyle w:val="TOC2"/>
            <w:tabs>
              <w:tab w:val="right" w:leader="dot" w:pos="9016"/>
            </w:tabs>
            <w:rPr>
              <w:rFonts w:asciiTheme="minorHAnsi" w:hAnsiTheme="minorHAnsi"/>
              <w:noProof/>
              <w:sz w:val="22"/>
              <w:lang w:val="en-ZA" w:eastAsia="en-ZA"/>
            </w:rPr>
          </w:pPr>
          <w:hyperlink w:anchor="_Toc488481721" w:history="1">
            <w:r w:rsidR="00411C1A" w:rsidRPr="00C80575">
              <w:rPr>
                <w:rStyle w:val="Hyperlink"/>
                <w:noProof/>
              </w:rPr>
              <w:t>Sex Work and Revue Shows</w:t>
            </w:r>
            <w:r w:rsidR="00411C1A">
              <w:rPr>
                <w:noProof/>
                <w:webHidden/>
              </w:rPr>
              <w:tab/>
            </w:r>
            <w:r w:rsidR="00411C1A">
              <w:rPr>
                <w:noProof/>
                <w:webHidden/>
              </w:rPr>
              <w:fldChar w:fldCharType="begin"/>
            </w:r>
            <w:r w:rsidR="00411C1A">
              <w:rPr>
                <w:noProof/>
                <w:webHidden/>
              </w:rPr>
              <w:instrText xml:space="preserve"> PAGEREF _Toc488481721 \h </w:instrText>
            </w:r>
            <w:r w:rsidR="00411C1A">
              <w:rPr>
                <w:noProof/>
                <w:webHidden/>
              </w:rPr>
            </w:r>
            <w:r w:rsidR="00411C1A">
              <w:rPr>
                <w:noProof/>
                <w:webHidden/>
              </w:rPr>
              <w:fldChar w:fldCharType="separate"/>
            </w:r>
            <w:r w:rsidR="00411C1A">
              <w:rPr>
                <w:noProof/>
                <w:webHidden/>
              </w:rPr>
              <w:t>67</w:t>
            </w:r>
            <w:r w:rsidR="00411C1A">
              <w:rPr>
                <w:noProof/>
                <w:webHidden/>
              </w:rPr>
              <w:fldChar w:fldCharType="end"/>
            </w:r>
          </w:hyperlink>
        </w:p>
        <w:p w14:paraId="1355980C" w14:textId="77777777" w:rsidR="00411C1A" w:rsidRDefault="000F44D5">
          <w:pPr>
            <w:pStyle w:val="TOC2"/>
            <w:tabs>
              <w:tab w:val="right" w:leader="dot" w:pos="9016"/>
            </w:tabs>
            <w:rPr>
              <w:rFonts w:asciiTheme="minorHAnsi" w:hAnsiTheme="minorHAnsi"/>
              <w:noProof/>
              <w:sz w:val="22"/>
              <w:lang w:val="en-ZA" w:eastAsia="en-ZA"/>
            </w:rPr>
          </w:pPr>
          <w:hyperlink w:anchor="_Toc488481722" w:history="1">
            <w:r w:rsidR="00411C1A" w:rsidRPr="00C80575">
              <w:rPr>
                <w:rStyle w:val="Hyperlink"/>
                <w:noProof/>
              </w:rPr>
              <w:t>The Pilanesberg</w:t>
            </w:r>
            <w:r w:rsidR="00411C1A">
              <w:rPr>
                <w:noProof/>
                <w:webHidden/>
              </w:rPr>
              <w:tab/>
            </w:r>
            <w:r w:rsidR="00411C1A">
              <w:rPr>
                <w:noProof/>
                <w:webHidden/>
              </w:rPr>
              <w:fldChar w:fldCharType="begin"/>
            </w:r>
            <w:r w:rsidR="00411C1A">
              <w:rPr>
                <w:noProof/>
                <w:webHidden/>
              </w:rPr>
              <w:instrText xml:space="preserve"> PAGEREF _Toc488481722 \h </w:instrText>
            </w:r>
            <w:r w:rsidR="00411C1A">
              <w:rPr>
                <w:noProof/>
                <w:webHidden/>
              </w:rPr>
            </w:r>
            <w:r w:rsidR="00411C1A">
              <w:rPr>
                <w:noProof/>
                <w:webHidden/>
              </w:rPr>
              <w:fldChar w:fldCharType="separate"/>
            </w:r>
            <w:r w:rsidR="00411C1A">
              <w:rPr>
                <w:noProof/>
                <w:webHidden/>
              </w:rPr>
              <w:t>70</w:t>
            </w:r>
            <w:r w:rsidR="00411C1A">
              <w:rPr>
                <w:noProof/>
                <w:webHidden/>
              </w:rPr>
              <w:fldChar w:fldCharType="end"/>
            </w:r>
          </w:hyperlink>
        </w:p>
        <w:p w14:paraId="55B6D2E2" w14:textId="77777777" w:rsidR="00411C1A" w:rsidRDefault="000F44D5">
          <w:pPr>
            <w:pStyle w:val="TOC2"/>
            <w:tabs>
              <w:tab w:val="right" w:leader="dot" w:pos="9016"/>
            </w:tabs>
            <w:rPr>
              <w:rFonts w:asciiTheme="minorHAnsi" w:hAnsiTheme="minorHAnsi"/>
              <w:noProof/>
              <w:sz w:val="22"/>
              <w:lang w:val="en-ZA" w:eastAsia="en-ZA"/>
            </w:rPr>
          </w:pPr>
          <w:hyperlink w:anchor="_Toc488481723" w:history="1">
            <w:r w:rsidR="00411C1A" w:rsidRPr="00C80575">
              <w:rPr>
                <w:rStyle w:val="Hyperlink"/>
                <w:noProof/>
              </w:rPr>
              <w:t>Conclusion</w:t>
            </w:r>
            <w:r w:rsidR="00411C1A">
              <w:rPr>
                <w:noProof/>
                <w:webHidden/>
              </w:rPr>
              <w:tab/>
            </w:r>
            <w:r w:rsidR="00411C1A">
              <w:rPr>
                <w:noProof/>
                <w:webHidden/>
              </w:rPr>
              <w:fldChar w:fldCharType="begin"/>
            </w:r>
            <w:r w:rsidR="00411C1A">
              <w:rPr>
                <w:noProof/>
                <w:webHidden/>
              </w:rPr>
              <w:instrText xml:space="preserve"> PAGEREF _Toc488481723 \h </w:instrText>
            </w:r>
            <w:r w:rsidR="00411C1A">
              <w:rPr>
                <w:noProof/>
                <w:webHidden/>
              </w:rPr>
            </w:r>
            <w:r w:rsidR="00411C1A">
              <w:rPr>
                <w:noProof/>
                <w:webHidden/>
              </w:rPr>
              <w:fldChar w:fldCharType="separate"/>
            </w:r>
            <w:r w:rsidR="00411C1A">
              <w:rPr>
                <w:noProof/>
                <w:webHidden/>
              </w:rPr>
              <w:t>73</w:t>
            </w:r>
            <w:r w:rsidR="00411C1A">
              <w:rPr>
                <w:noProof/>
                <w:webHidden/>
              </w:rPr>
              <w:fldChar w:fldCharType="end"/>
            </w:r>
          </w:hyperlink>
        </w:p>
        <w:p w14:paraId="61C51B3A" w14:textId="77777777" w:rsidR="00411C1A" w:rsidRDefault="000F44D5">
          <w:pPr>
            <w:pStyle w:val="TOC1"/>
            <w:tabs>
              <w:tab w:val="right" w:leader="dot" w:pos="9016"/>
            </w:tabs>
            <w:rPr>
              <w:rFonts w:asciiTheme="minorHAnsi" w:hAnsiTheme="minorHAnsi"/>
              <w:noProof/>
              <w:sz w:val="22"/>
              <w:lang w:val="en-ZA" w:eastAsia="en-ZA"/>
            </w:rPr>
          </w:pPr>
          <w:hyperlink w:anchor="_Toc488481724" w:history="1">
            <w:r w:rsidR="00411C1A" w:rsidRPr="00C80575">
              <w:rPr>
                <w:rStyle w:val="Hyperlink"/>
                <w:noProof/>
              </w:rPr>
              <w:t xml:space="preserve">CHAPTER FOUR: </w:t>
            </w:r>
            <w:r w:rsidR="00411C1A" w:rsidRPr="00C80575">
              <w:rPr>
                <w:rStyle w:val="Hyperlink"/>
                <w:i/>
                <w:noProof/>
              </w:rPr>
              <w:t>Boycotting Sin City</w:t>
            </w:r>
            <w:r w:rsidR="00411C1A">
              <w:rPr>
                <w:noProof/>
                <w:webHidden/>
              </w:rPr>
              <w:tab/>
            </w:r>
            <w:r w:rsidR="00411C1A">
              <w:rPr>
                <w:noProof/>
                <w:webHidden/>
              </w:rPr>
              <w:fldChar w:fldCharType="begin"/>
            </w:r>
            <w:r w:rsidR="00411C1A">
              <w:rPr>
                <w:noProof/>
                <w:webHidden/>
              </w:rPr>
              <w:instrText xml:space="preserve"> PAGEREF _Toc488481724 \h </w:instrText>
            </w:r>
            <w:r w:rsidR="00411C1A">
              <w:rPr>
                <w:noProof/>
                <w:webHidden/>
              </w:rPr>
            </w:r>
            <w:r w:rsidR="00411C1A">
              <w:rPr>
                <w:noProof/>
                <w:webHidden/>
              </w:rPr>
              <w:fldChar w:fldCharType="separate"/>
            </w:r>
            <w:r w:rsidR="00411C1A">
              <w:rPr>
                <w:noProof/>
                <w:webHidden/>
              </w:rPr>
              <w:t>74</w:t>
            </w:r>
            <w:r w:rsidR="00411C1A">
              <w:rPr>
                <w:noProof/>
                <w:webHidden/>
              </w:rPr>
              <w:fldChar w:fldCharType="end"/>
            </w:r>
          </w:hyperlink>
        </w:p>
        <w:p w14:paraId="61B2709C" w14:textId="77777777" w:rsidR="00411C1A" w:rsidRDefault="000F44D5">
          <w:pPr>
            <w:pStyle w:val="TOC2"/>
            <w:tabs>
              <w:tab w:val="right" w:leader="dot" w:pos="9016"/>
            </w:tabs>
            <w:rPr>
              <w:rFonts w:asciiTheme="minorHAnsi" w:hAnsiTheme="minorHAnsi"/>
              <w:noProof/>
              <w:sz w:val="22"/>
              <w:lang w:val="en-ZA" w:eastAsia="en-ZA"/>
            </w:rPr>
          </w:pPr>
          <w:hyperlink w:anchor="_Toc488481725" w:history="1">
            <w:r w:rsidR="00411C1A" w:rsidRPr="00C80575">
              <w:rPr>
                <w:rStyle w:val="Hyperlink"/>
                <w:noProof/>
              </w:rPr>
              <w:t>Introduction</w:t>
            </w:r>
            <w:r w:rsidR="00411C1A">
              <w:rPr>
                <w:noProof/>
                <w:webHidden/>
              </w:rPr>
              <w:tab/>
            </w:r>
            <w:r w:rsidR="00411C1A">
              <w:rPr>
                <w:noProof/>
                <w:webHidden/>
              </w:rPr>
              <w:fldChar w:fldCharType="begin"/>
            </w:r>
            <w:r w:rsidR="00411C1A">
              <w:rPr>
                <w:noProof/>
                <w:webHidden/>
              </w:rPr>
              <w:instrText xml:space="preserve"> PAGEREF _Toc488481725 \h </w:instrText>
            </w:r>
            <w:r w:rsidR="00411C1A">
              <w:rPr>
                <w:noProof/>
                <w:webHidden/>
              </w:rPr>
            </w:r>
            <w:r w:rsidR="00411C1A">
              <w:rPr>
                <w:noProof/>
                <w:webHidden/>
              </w:rPr>
              <w:fldChar w:fldCharType="separate"/>
            </w:r>
            <w:r w:rsidR="00411C1A">
              <w:rPr>
                <w:noProof/>
                <w:webHidden/>
              </w:rPr>
              <w:t>74</w:t>
            </w:r>
            <w:r w:rsidR="00411C1A">
              <w:rPr>
                <w:noProof/>
                <w:webHidden/>
              </w:rPr>
              <w:fldChar w:fldCharType="end"/>
            </w:r>
          </w:hyperlink>
        </w:p>
        <w:p w14:paraId="15970A22" w14:textId="77777777" w:rsidR="00411C1A" w:rsidRDefault="000F44D5">
          <w:pPr>
            <w:pStyle w:val="TOC2"/>
            <w:tabs>
              <w:tab w:val="right" w:leader="dot" w:pos="9016"/>
            </w:tabs>
            <w:rPr>
              <w:rFonts w:asciiTheme="minorHAnsi" w:hAnsiTheme="minorHAnsi"/>
              <w:noProof/>
              <w:sz w:val="22"/>
              <w:lang w:val="en-ZA" w:eastAsia="en-ZA"/>
            </w:rPr>
          </w:pPr>
          <w:hyperlink w:anchor="_Toc488481726" w:history="1">
            <w:r w:rsidR="00411C1A" w:rsidRPr="00C80575">
              <w:rPr>
                <w:rStyle w:val="Hyperlink"/>
                <w:noProof/>
              </w:rPr>
              <w:t>Performing at the Superbowl</w:t>
            </w:r>
            <w:r w:rsidR="00411C1A">
              <w:rPr>
                <w:noProof/>
                <w:webHidden/>
              </w:rPr>
              <w:tab/>
            </w:r>
            <w:r w:rsidR="00411C1A">
              <w:rPr>
                <w:noProof/>
                <w:webHidden/>
              </w:rPr>
              <w:fldChar w:fldCharType="begin"/>
            </w:r>
            <w:r w:rsidR="00411C1A">
              <w:rPr>
                <w:noProof/>
                <w:webHidden/>
              </w:rPr>
              <w:instrText xml:space="preserve"> PAGEREF _Toc488481726 \h </w:instrText>
            </w:r>
            <w:r w:rsidR="00411C1A">
              <w:rPr>
                <w:noProof/>
                <w:webHidden/>
              </w:rPr>
            </w:r>
            <w:r w:rsidR="00411C1A">
              <w:rPr>
                <w:noProof/>
                <w:webHidden/>
              </w:rPr>
              <w:fldChar w:fldCharType="separate"/>
            </w:r>
            <w:r w:rsidR="00411C1A">
              <w:rPr>
                <w:noProof/>
                <w:webHidden/>
              </w:rPr>
              <w:t>75</w:t>
            </w:r>
            <w:r w:rsidR="00411C1A">
              <w:rPr>
                <w:noProof/>
                <w:webHidden/>
              </w:rPr>
              <w:fldChar w:fldCharType="end"/>
            </w:r>
          </w:hyperlink>
        </w:p>
        <w:p w14:paraId="5E6C7EAF" w14:textId="77777777" w:rsidR="00411C1A" w:rsidRDefault="000F44D5">
          <w:pPr>
            <w:pStyle w:val="TOC2"/>
            <w:tabs>
              <w:tab w:val="right" w:leader="dot" w:pos="9016"/>
            </w:tabs>
            <w:rPr>
              <w:rFonts w:asciiTheme="minorHAnsi" w:hAnsiTheme="minorHAnsi"/>
              <w:noProof/>
              <w:sz w:val="22"/>
              <w:lang w:val="en-ZA" w:eastAsia="en-ZA"/>
            </w:rPr>
          </w:pPr>
          <w:hyperlink w:anchor="_Toc488481727" w:history="1">
            <w:r w:rsidR="00411C1A" w:rsidRPr="00C80575">
              <w:rPr>
                <w:rStyle w:val="Hyperlink"/>
                <w:noProof/>
              </w:rPr>
              <w:t>Protest Music: ‘Sun City’</w:t>
            </w:r>
            <w:r w:rsidR="00411C1A">
              <w:rPr>
                <w:noProof/>
                <w:webHidden/>
              </w:rPr>
              <w:tab/>
            </w:r>
            <w:r w:rsidR="00411C1A">
              <w:rPr>
                <w:noProof/>
                <w:webHidden/>
              </w:rPr>
              <w:fldChar w:fldCharType="begin"/>
            </w:r>
            <w:r w:rsidR="00411C1A">
              <w:rPr>
                <w:noProof/>
                <w:webHidden/>
              </w:rPr>
              <w:instrText xml:space="preserve"> PAGEREF _Toc488481727 \h </w:instrText>
            </w:r>
            <w:r w:rsidR="00411C1A">
              <w:rPr>
                <w:noProof/>
                <w:webHidden/>
              </w:rPr>
            </w:r>
            <w:r w:rsidR="00411C1A">
              <w:rPr>
                <w:noProof/>
                <w:webHidden/>
              </w:rPr>
              <w:fldChar w:fldCharType="separate"/>
            </w:r>
            <w:r w:rsidR="00411C1A">
              <w:rPr>
                <w:noProof/>
                <w:webHidden/>
              </w:rPr>
              <w:t>79</w:t>
            </w:r>
            <w:r w:rsidR="00411C1A">
              <w:rPr>
                <w:noProof/>
                <w:webHidden/>
              </w:rPr>
              <w:fldChar w:fldCharType="end"/>
            </w:r>
          </w:hyperlink>
        </w:p>
        <w:p w14:paraId="0344F298" w14:textId="77777777" w:rsidR="00411C1A" w:rsidRDefault="000F44D5">
          <w:pPr>
            <w:pStyle w:val="TOC2"/>
            <w:tabs>
              <w:tab w:val="right" w:leader="dot" w:pos="9016"/>
            </w:tabs>
            <w:rPr>
              <w:rFonts w:asciiTheme="minorHAnsi" w:hAnsiTheme="minorHAnsi"/>
              <w:noProof/>
              <w:sz w:val="22"/>
              <w:lang w:val="en-ZA" w:eastAsia="en-ZA"/>
            </w:rPr>
          </w:pPr>
          <w:hyperlink w:anchor="_Toc488481728" w:history="1">
            <w:r w:rsidR="00411C1A" w:rsidRPr="00C80575">
              <w:rPr>
                <w:rStyle w:val="Hyperlink"/>
                <w:noProof/>
              </w:rPr>
              <w:t>Legitimising the State through Sport</w:t>
            </w:r>
            <w:r w:rsidR="00411C1A">
              <w:rPr>
                <w:noProof/>
                <w:webHidden/>
              </w:rPr>
              <w:tab/>
            </w:r>
            <w:r w:rsidR="00411C1A">
              <w:rPr>
                <w:noProof/>
                <w:webHidden/>
              </w:rPr>
              <w:fldChar w:fldCharType="begin"/>
            </w:r>
            <w:r w:rsidR="00411C1A">
              <w:rPr>
                <w:noProof/>
                <w:webHidden/>
              </w:rPr>
              <w:instrText xml:space="preserve"> PAGEREF _Toc488481728 \h </w:instrText>
            </w:r>
            <w:r w:rsidR="00411C1A">
              <w:rPr>
                <w:noProof/>
                <w:webHidden/>
              </w:rPr>
            </w:r>
            <w:r w:rsidR="00411C1A">
              <w:rPr>
                <w:noProof/>
                <w:webHidden/>
              </w:rPr>
              <w:fldChar w:fldCharType="separate"/>
            </w:r>
            <w:r w:rsidR="00411C1A">
              <w:rPr>
                <w:noProof/>
                <w:webHidden/>
              </w:rPr>
              <w:t>82</w:t>
            </w:r>
            <w:r w:rsidR="00411C1A">
              <w:rPr>
                <w:noProof/>
                <w:webHidden/>
              </w:rPr>
              <w:fldChar w:fldCharType="end"/>
            </w:r>
          </w:hyperlink>
        </w:p>
        <w:p w14:paraId="071B5DBB" w14:textId="77777777" w:rsidR="00411C1A" w:rsidRDefault="000F44D5">
          <w:pPr>
            <w:pStyle w:val="TOC2"/>
            <w:tabs>
              <w:tab w:val="right" w:leader="dot" w:pos="9016"/>
            </w:tabs>
            <w:rPr>
              <w:rFonts w:asciiTheme="minorHAnsi" w:hAnsiTheme="minorHAnsi"/>
              <w:noProof/>
              <w:sz w:val="22"/>
              <w:lang w:val="en-ZA" w:eastAsia="en-ZA"/>
            </w:rPr>
          </w:pPr>
          <w:hyperlink w:anchor="_Toc488481729" w:history="1">
            <w:r w:rsidR="00411C1A" w:rsidRPr="00C80575">
              <w:rPr>
                <w:rStyle w:val="Hyperlink"/>
                <w:noProof/>
              </w:rPr>
              <w:t>Conclusion</w:t>
            </w:r>
            <w:r w:rsidR="00411C1A">
              <w:rPr>
                <w:noProof/>
                <w:webHidden/>
              </w:rPr>
              <w:tab/>
            </w:r>
            <w:r w:rsidR="00411C1A">
              <w:rPr>
                <w:noProof/>
                <w:webHidden/>
              </w:rPr>
              <w:fldChar w:fldCharType="begin"/>
            </w:r>
            <w:r w:rsidR="00411C1A">
              <w:rPr>
                <w:noProof/>
                <w:webHidden/>
              </w:rPr>
              <w:instrText xml:space="preserve"> PAGEREF _Toc488481729 \h </w:instrText>
            </w:r>
            <w:r w:rsidR="00411C1A">
              <w:rPr>
                <w:noProof/>
                <w:webHidden/>
              </w:rPr>
            </w:r>
            <w:r w:rsidR="00411C1A">
              <w:rPr>
                <w:noProof/>
                <w:webHidden/>
              </w:rPr>
              <w:fldChar w:fldCharType="separate"/>
            </w:r>
            <w:r w:rsidR="00411C1A">
              <w:rPr>
                <w:noProof/>
                <w:webHidden/>
              </w:rPr>
              <w:t>87</w:t>
            </w:r>
            <w:r w:rsidR="00411C1A">
              <w:rPr>
                <w:noProof/>
                <w:webHidden/>
              </w:rPr>
              <w:fldChar w:fldCharType="end"/>
            </w:r>
          </w:hyperlink>
        </w:p>
        <w:p w14:paraId="3FE77E5E" w14:textId="77777777" w:rsidR="00411C1A" w:rsidRDefault="000F44D5">
          <w:pPr>
            <w:pStyle w:val="TOC1"/>
            <w:tabs>
              <w:tab w:val="right" w:leader="dot" w:pos="9016"/>
            </w:tabs>
            <w:rPr>
              <w:rFonts w:asciiTheme="minorHAnsi" w:hAnsiTheme="minorHAnsi"/>
              <w:noProof/>
              <w:sz w:val="22"/>
              <w:lang w:val="en-ZA" w:eastAsia="en-ZA"/>
            </w:rPr>
          </w:pPr>
          <w:hyperlink w:anchor="_Toc488481730" w:history="1">
            <w:r w:rsidR="00411C1A" w:rsidRPr="00C80575">
              <w:rPr>
                <w:rStyle w:val="Hyperlink"/>
                <w:noProof/>
              </w:rPr>
              <w:t>CHAPTER FIVE: A Transition Period - 1990 onwards</w:t>
            </w:r>
            <w:r w:rsidR="00411C1A">
              <w:rPr>
                <w:noProof/>
                <w:webHidden/>
              </w:rPr>
              <w:tab/>
            </w:r>
            <w:r w:rsidR="00411C1A">
              <w:rPr>
                <w:noProof/>
                <w:webHidden/>
              </w:rPr>
              <w:fldChar w:fldCharType="begin"/>
            </w:r>
            <w:r w:rsidR="00411C1A">
              <w:rPr>
                <w:noProof/>
                <w:webHidden/>
              </w:rPr>
              <w:instrText xml:space="preserve"> PAGEREF _Toc488481730 \h </w:instrText>
            </w:r>
            <w:r w:rsidR="00411C1A">
              <w:rPr>
                <w:noProof/>
                <w:webHidden/>
              </w:rPr>
            </w:r>
            <w:r w:rsidR="00411C1A">
              <w:rPr>
                <w:noProof/>
                <w:webHidden/>
              </w:rPr>
              <w:fldChar w:fldCharType="separate"/>
            </w:r>
            <w:r w:rsidR="00411C1A">
              <w:rPr>
                <w:noProof/>
                <w:webHidden/>
              </w:rPr>
              <w:t>88</w:t>
            </w:r>
            <w:r w:rsidR="00411C1A">
              <w:rPr>
                <w:noProof/>
                <w:webHidden/>
              </w:rPr>
              <w:fldChar w:fldCharType="end"/>
            </w:r>
          </w:hyperlink>
        </w:p>
        <w:p w14:paraId="2EE7A5CC" w14:textId="77777777" w:rsidR="00411C1A" w:rsidRDefault="000F44D5">
          <w:pPr>
            <w:pStyle w:val="TOC2"/>
            <w:tabs>
              <w:tab w:val="right" w:leader="dot" w:pos="9016"/>
            </w:tabs>
            <w:rPr>
              <w:rFonts w:asciiTheme="minorHAnsi" w:hAnsiTheme="minorHAnsi"/>
              <w:noProof/>
              <w:sz w:val="22"/>
              <w:lang w:val="en-ZA" w:eastAsia="en-ZA"/>
            </w:rPr>
          </w:pPr>
          <w:hyperlink w:anchor="_Toc488481731" w:history="1">
            <w:r w:rsidR="00411C1A" w:rsidRPr="00C80575">
              <w:rPr>
                <w:rStyle w:val="Hyperlink"/>
                <w:noProof/>
              </w:rPr>
              <w:t>Introduction</w:t>
            </w:r>
            <w:r w:rsidR="00411C1A">
              <w:rPr>
                <w:noProof/>
                <w:webHidden/>
              </w:rPr>
              <w:tab/>
            </w:r>
            <w:r w:rsidR="00411C1A">
              <w:rPr>
                <w:noProof/>
                <w:webHidden/>
              </w:rPr>
              <w:fldChar w:fldCharType="begin"/>
            </w:r>
            <w:r w:rsidR="00411C1A">
              <w:rPr>
                <w:noProof/>
                <w:webHidden/>
              </w:rPr>
              <w:instrText xml:space="preserve"> PAGEREF _Toc488481731 \h </w:instrText>
            </w:r>
            <w:r w:rsidR="00411C1A">
              <w:rPr>
                <w:noProof/>
                <w:webHidden/>
              </w:rPr>
            </w:r>
            <w:r w:rsidR="00411C1A">
              <w:rPr>
                <w:noProof/>
                <w:webHidden/>
              </w:rPr>
              <w:fldChar w:fldCharType="separate"/>
            </w:r>
            <w:r w:rsidR="00411C1A">
              <w:rPr>
                <w:noProof/>
                <w:webHidden/>
              </w:rPr>
              <w:t>88</w:t>
            </w:r>
            <w:r w:rsidR="00411C1A">
              <w:rPr>
                <w:noProof/>
                <w:webHidden/>
              </w:rPr>
              <w:fldChar w:fldCharType="end"/>
            </w:r>
          </w:hyperlink>
        </w:p>
        <w:p w14:paraId="07D03C82" w14:textId="77777777" w:rsidR="00411C1A" w:rsidRDefault="000F44D5">
          <w:pPr>
            <w:pStyle w:val="TOC2"/>
            <w:tabs>
              <w:tab w:val="right" w:leader="dot" w:pos="9016"/>
            </w:tabs>
            <w:rPr>
              <w:rFonts w:asciiTheme="minorHAnsi" w:hAnsiTheme="minorHAnsi"/>
              <w:noProof/>
              <w:sz w:val="22"/>
              <w:lang w:val="en-ZA" w:eastAsia="en-ZA"/>
            </w:rPr>
          </w:pPr>
          <w:hyperlink w:anchor="_Toc488481732" w:history="1">
            <w:r w:rsidR="00411C1A" w:rsidRPr="00C80575">
              <w:rPr>
                <w:rStyle w:val="Hyperlink"/>
                <w:noProof/>
              </w:rPr>
              <w:t>Political context: 1990-1994</w:t>
            </w:r>
            <w:r w:rsidR="00411C1A">
              <w:rPr>
                <w:noProof/>
                <w:webHidden/>
              </w:rPr>
              <w:tab/>
            </w:r>
            <w:r w:rsidR="00411C1A">
              <w:rPr>
                <w:noProof/>
                <w:webHidden/>
              </w:rPr>
              <w:fldChar w:fldCharType="begin"/>
            </w:r>
            <w:r w:rsidR="00411C1A">
              <w:rPr>
                <w:noProof/>
                <w:webHidden/>
              </w:rPr>
              <w:instrText xml:space="preserve"> PAGEREF _Toc488481732 \h </w:instrText>
            </w:r>
            <w:r w:rsidR="00411C1A">
              <w:rPr>
                <w:noProof/>
                <w:webHidden/>
              </w:rPr>
            </w:r>
            <w:r w:rsidR="00411C1A">
              <w:rPr>
                <w:noProof/>
                <w:webHidden/>
              </w:rPr>
              <w:fldChar w:fldCharType="separate"/>
            </w:r>
            <w:r w:rsidR="00411C1A">
              <w:rPr>
                <w:noProof/>
                <w:webHidden/>
              </w:rPr>
              <w:t>88</w:t>
            </w:r>
            <w:r w:rsidR="00411C1A">
              <w:rPr>
                <w:noProof/>
                <w:webHidden/>
              </w:rPr>
              <w:fldChar w:fldCharType="end"/>
            </w:r>
          </w:hyperlink>
        </w:p>
        <w:p w14:paraId="5AADFFF2" w14:textId="77777777" w:rsidR="00411C1A" w:rsidRDefault="000F44D5">
          <w:pPr>
            <w:pStyle w:val="TOC2"/>
            <w:tabs>
              <w:tab w:val="right" w:leader="dot" w:pos="9016"/>
            </w:tabs>
            <w:rPr>
              <w:rFonts w:asciiTheme="minorHAnsi" w:hAnsiTheme="minorHAnsi"/>
              <w:noProof/>
              <w:sz w:val="22"/>
              <w:lang w:val="en-ZA" w:eastAsia="en-ZA"/>
            </w:rPr>
          </w:pPr>
          <w:hyperlink w:anchor="_Toc488481733" w:history="1">
            <w:r w:rsidR="00411C1A" w:rsidRPr="00C80575">
              <w:rPr>
                <w:rStyle w:val="Hyperlink"/>
                <w:noProof/>
              </w:rPr>
              <w:t>Sun City and Beauty Pageants</w:t>
            </w:r>
            <w:r w:rsidR="00411C1A">
              <w:rPr>
                <w:noProof/>
                <w:webHidden/>
              </w:rPr>
              <w:tab/>
            </w:r>
            <w:r w:rsidR="00411C1A">
              <w:rPr>
                <w:noProof/>
                <w:webHidden/>
              </w:rPr>
              <w:fldChar w:fldCharType="begin"/>
            </w:r>
            <w:r w:rsidR="00411C1A">
              <w:rPr>
                <w:noProof/>
                <w:webHidden/>
              </w:rPr>
              <w:instrText xml:space="preserve"> PAGEREF _Toc488481733 \h </w:instrText>
            </w:r>
            <w:r w:rsidR="00411C1A">
              <w:rPr>
                <w:noProof/>
                <w:webHidden/>
              </w:rPr>
            </w:r>
            <w:r w:rsidR="00411C1A">
              <w:rPr>
                <w:noProof/>
                <w:webHidden/>
              </w:rPr>
              <w:fldChar w:fldCharType="separate"/>
            </w:r>
            <w:r w:rsidR="00411C1A">
              <w:rPr>
                <w:noProof/>
                <w:webHidden/>
              </w:rPr>
              <w:t>89</w:t>
            </w:r>
            <w:r w:rsidR="00411C1A">
              <w:rPr>
                <w:noProof/>
                <w:webHidden/>
              </w:rPr>
              <w:fldChar w:fldCharType="end"/>
            </w:r>
          </w:hyperlink>
        </w:p>
        <w:p w14:paraId="6040D402" w14:textId="77777777" w:rsidR="00411C1A" w:rsidRDefault="000F44D5">
          <w:pPr>
            <w:pStyle w:val="TOC2"/>
            <w:tabs>
              <w:tab w:val="right" w:leader="dot" w:pos="9016"/>
            </w:tabs>
            <w:rPr>
              <w:rFonts w:asciiTheme="minorHAnsi" w:hAnsiTheme="minorHAnsi"/>
              <w:noProof/>
              <w:sz w:val="22"/>
              <w:lang w:val="en-ZA" w:eastAsia="en-ZA"/>
            </w:rPr>
          </w:pPr>
          <w:hyperlink w:anchor="_Toc488481734" w:history="1">
            <w:r w:rsidR="00411C1A" w:rsidRPr="00C80575">
              <w:rPr>
                <w:rStyle w:val="Hyperlink"/>
                <w:noProof/>
              </w:rPr>
              <w:t>Sun International - Post 1994</w:t>
            </w:r>
            <w:r w:rsidR="00411C1A">
              <w:rPr>
                <w:noProof/>
                <w:webHidden/>
              </w:rPr>
              <w:tab/>
            </w:r>
            <w:r w:rsidR="00411C1A">
              <w:rPr>
                <w:noProof/>
                <w:webHidden/>
              </w:rPr>
              <w:fldChar w:fldCharType="begin"/>
            </w:r>
            <w:r w:rsidR="00411C1A">
              <w:rPr>
                <w:noProof/>
                <w:webHidden/>
              </w:rPr>
              <w:instrText xml:space="preserve"> PAGEREF _Toc488481734 \h </w:instrText>
            </w:r>
            <w:r w:rsidR="00411C1A">
              <w:rPr>
                <w:noProof/>
                <w:webHidden/>
              </w:rPr>
            </w:r>
            <w:r w:rsidR="00411C1A">
              <w:rPr>
                <w:noProof/>
                <w:webHidden/>
              </w:rPr>
              <w:fldChar w:fldCharType="separate"/>
            </w:r>
            <w:r w:rsidR="00411C1A">
              <w:rPr>
                <w:noProof/>
                <w:webHidden/>
              </w:rPr>
              <w:t>99</w:t>
            </w:r>
            <w:r w:rsidR="00411C1A">
              <w:rPr>
                <w:noProof/>
                <w:webHidden/>
              </w:rPr>
              <w:fldChar w:fldCharType="end"/>
            </w:r>
          </w:hyperlink>
        </w:p>
        <w:p w14:paraId="32123C8D" w14:textId="77777777" w:rsidR="00411C1A" w:rsidRDefault="000F44D5">
          <w:pPr>
            <w:pStyle w:val="TOC2"/>
            <w:tabs>
              <w:tab w:val="right" w:leader="dot" w:pos="9016"/>
            </w:tabs>
            <w:rPr>
              <w:rFonts w:asciiTheme="minorHAnsi" w:hAnsiTheme="minorHAnsi"/>
              <w:noProof/>
              <w:sz w:val="22"/>
              <w:lang w:val="en-ZA" w:eastAsia="en-ZA"/>
            </w:rPr>
          </w:pPr>
          <w:hyperlink w:anchor="_Toc488481735" w:history="1">
            <w:r w:rsidR="00411C1A" w:rsidRPr="00C80575">
              <w:rPr>
                <w:rStyle w:val="Hyperlink"/>
                <w:noProof/>
              </w:rPr>
              <w:t>Conclusion</w:t>
            </w:r>
            <w:r w:rsidR="00411C1A">
              <w:rPr>
                <w:noProof/>
                <w:webHidden/>
              </w:rPr>
              <w:tab/>
            </w:r>
            <w:r w:rsidR="00411C1A">
              <w:rPr>
                <w:noProof/>
                <w:webHidden/>
              </w:rPr>
              <w:fldChar w:fldCharType="begin"/>
            </w:r>
            <w:r w:rsidR="00411C1A">
              <w:rPr>
                <w:noProof/>
                <w:webHidden/>
              </w:rPr>
              <w:instrText xml:space="preserve"> PAGEREF _Toc488481735 \h </w:instrText>
            </w:r>
            <w:r w:rsidR="00411C1A">
              <w:rPr>
                <w:noProof/>
                <w:webHidden/>
              </w:rPr>
            </w:r>
            <w:r w:rsidR="00411C1A">
              <w:rPr>
                <w:noProof/>
                <w:webHidden/>
              </w:rPr>
              <w:fldChar w:fldCharType="separate"/>
            </w:r>
            <w:r w:rsidR="00411C1A">
              <w:rPr>
                <w:noProof/>
                <w:webHidden/>
              </w:rPr>
              <w:t>104</w:t>
            </w:r>
            <w:r w:rsidR="00411C1A">
              <w:rPr>
                <w:noProof/>
                <w:webHidden/>
              </w:rPr>
              <w:fldChar w:fldCharType="end"/>
            </w:r>
          </w:hyperlink>
        </w:p>
        <w:p w14:paraId="00A9AF50" w14:textId="77777777" w:rsidR="00411C1A" w:rsidRDefault="000F44D5">
          <w:pPr>
            <w:pStyle w:val="TOC1"/>
            <w:tabs>
              <w:tab w:val="right" w:leader="dot" w:pos="9016"/>
            </w:tabs>
            <w:rPr>
              <w:rFonts w:asciiTheme="minorHAnsi" w:hAnsiTheme="minorHAnsi"/>
              <w:noProof/>
              <w:sz w:val="22"/>
              <w:lang w:val="en-ZA" w:eastAsia="en-ZA"/>
            </w:rPr>
          </w:pPr>
          <w:hyperlink w:anchor="_Toc488481736" w:history="1">
            <w:r w:rsidR="00411C1A" w:rsidRPr="00C80575">
              <w:rPr>
                <w:rStyle w:val="Hyperlink"/>
                <w:noProof/>
              </w:rPr>
              <w:t>CONCLUSION</w:t>
            </w:r>
            <w:r w:rsidR="00411C1A">
              <w:rPr>
                <w:noProof/>
                <w:webHidden/>
              </w:rPr>
              <w:tab/>
            </w:r>
            <w:r w:rsidR="00411C1A">
              <w:rPr>
                <w:noProof/>
                <w:webHidden/>
              </w:rPr>
              <w:fldChar w:fldCharType="begin"/>
            </w:r>
            <w:r w:rsidR="00411C1A">
              <w:rPr>
                <w:noProof/>
                <w:webHidden/>
              </w:rPr>
              <w:instrText xml:space="preserve"> PAGEREF _Toc488481736 \h </w:instrText>
            </w:r>
            <w:r w:rsidR="00411C1A">
              <w:rPr>
                <w:noProof/>
                <w:webHidden/>
              </w:rPr>
            </w:r>
            <w:r w:rsidR="00411C1A">
              <w:rPr>
                <w:noProof/>
                <w:webHidden/>
              </w:rPr>
              <w:fldChar w:fldCharType="separate"/>
            </w:r>
            <w:r w:rsidR="00411C1A">
              <w:rPr>
                <w:noProof/>
                <w:webHidden/>
              </w:rPr>
              <w:t>105</w:t>
            </w:r>
            <w:r w:rsidR="00411C1A">
              <w:rPr>
                <w:noProof/>
                <w:webHidden/>
              </w:rPr>
              <w:fldChar w:fldCharType="end"/>
            </w:r>
          </w:hyperlink>
        </w:p>
        <w:p w14:paraId="08B74B7C" w14:textId="77777777" w:rsidR="00411C1A" w:rsidRDefault="000F44D5">
          <w:pPr>
            <w:pStyle w:val="TOC1"/>
            <w:tabs>
              <w:tab w:val="right" w:leader="dot" w:pos="9016"/>
            </w:tabs>
            <w:rPr>
              <w:rFonts w:asciiTheme="minorHAnsi" w:hAnsiTheme="minorHAnsi"/>
              <w:noProof/>
              <w:sz w:val="22"/>
              <w:lang w:val="en-ZA" w:eastAsia="en-ZA"/>
            </w:rPr>
          </w:pPr>
          <w:hyperlink w:anchor="_Toc488481737" w:history="1">
            <w:r w:rsidR="00411C1A" w:rsidRPr="00C80575">
              <w:rPr>
                <w:rStyle w:val="Hyperlink"/>
                <w:noProof/>
              </w:rPr>
              <w:t>SELECT BIBLIOGRAPHY</w:t>
            </w:r>
            <w:r w:rsidR="00411C1A">
              <w:rPr>
                <w:noProof/>
                <w:webHidden/>
              </w:rPr>
              <w:tab/>
            </w:r>
            <w:r w:rsidR="00411C1A">
              <w:rPr>
                <w:noProof/>
                <w:webHidden/>
              </w:rPr>
              <w:fldChar w:fldCharType="begin"/>
            </w:r>
            <w:r w:rsidR="00411C1A">
              <w:rPr>
                <w:noProof/>
                <w:webHidden/>
              </w:rPr>
              <w:instrText xml:space="preserve"> PAGEREF _Toc488481737 \h </w:instrText>
            </w:r>
            <w:r w:rsidR="00411C1A">
              <w:rPr>
                <w:noProof/>
                <w:webHidden/>
              </w:rPr>
            </w:r>
            <w:r w:rsidR="00411C1A">
              <w:rPr>
                <w:noProof/>
                <w:webHidden/>
              </w:rPr>
              <w:fldChar w:fldCharType="separate"/>
            </w:r>
            <w:r w:rsidR="00411C1A">
              <w:rPr>
                <w:noProof/>
                <w:webHidden/>
              </w:rPr>
              <w:t>108</w:t>
            </w:r>
            <w:r w:rsidR="00411C1A">
              <w:rPr>
                <w:noProof/>
                <w:webHidden/>
              </w:rPr>
              <w:fldChar w:fldCharType="end"/>
            </w:r>
          </w:hyperlink>
        </w:p>
        <w:p w14:paraId="7AD78918" w14:textId="77777777" w:rsidR="00411C1A" w:rsidRDefault="000F44D5">
          <w:pPr>
            <w:pStyle w:val="TOC2"/>
            <w:tabs>
              <w:tab w:val="left" w:pos="660"/>
              <w:tab w:val="right" w:leader="dot" w:pos="9016"/>
            </w:tabs>
            <w:rPr>
              <w:rFonts w:asciiTheme="minorHAnsi" w:hAnsiTheme="minorHAnsi"/>
              <w:noProof/>
              <w:sz w:val="22"/>
              <w:lang w:val="en-ZA" w:eastAsia="en-ZA"/>
            </w:rPr>
          </w:pPr>
          <w:hyperlink w:anchor="_Toc488481738" w:history="1">
            <w:r w:rsidR="00411C1A" w:rsidRPr="00C80575">
              <w:rPr>
                <w:rStyle w:val="Hyperlink"/>
                <w:noProof/>
              </w:rPr>
              <w:t>I.</w:t>
            </w:r>
            <w:r w:rsidR="00411C1A">
              <w:rPr>
                <w:rFonts w:asciiTheme="minorHAnsi" w:hAnsiTheme="minorHAnsi"/>
                <w:noProof/>
                <w:sz w:val="22"/>
                <w:lang w:val="en-ZA" w:eastAsia="en-ZA"/>
              </w:rPr>
              <w:tab/>
            </w:r>
            <w:r w:rsidR="00411C1A" w:rsidRPr="00C80575">
              <w:rPr>
                <w:rStyle w:val="Hyperlink"/>
                <w:noProof/>
              </w:rPr>
              <w:t>Primary Sources</w:t>
            </w:r>
            <w:r w:rsidR="00411C1A">
              <w:rPr>
                <w:noProof/>
                <w:webHidden/>
              </w:rPr>
              <w:tab/>
            </w:r>
            <w:r w:rsidR="00411C1A">
              <w:rPr>
                <w:noProof/>
                <w:webHidden/>
              </w:rPr>
              <w:fldChar w:fldCharType="begin"/>
            </w:r>
            <w:r w:rsidR="00411C1A">
              <w:rPr>
                <w:noProof/>
                <w:webHidden/>
              </w:rPr>
              <w:instrText xml:space="preserve"> PAGEREF _Toc488481738 \h </w:instrText>
            </w:r>
            <w:r w:rsidR="00411C1A">
              <w:rPr>
                <w:noProof/>
                <w:webHidden/>
              </w:rPr>
            </w:r>
            <w:r w:rsidR="00411C1A">
              <w:rPr>
                <w:noProof/>
                <w:webHidden/>
              </w:rPr>
              <w:fldChar w:fldCharType="separate"/>
            </w:r>
            <w:r w:rsidR="00411C1A">
              <w:rPr>
                <w:noProof/>
                <w:webHidden/>
              </w:rPr>
              <w:t>108</w:t>
            </w:r>
            <w:r w:rsidR="00411C1A">
              <w:rPr>
                <w:noProof/>
                <w:webHidden/>
              </w:rPr>
              <w:fldChar w:fldCharType="end"/>
            </w:r>
          </w:hyperlink>
        </w:p>
        <w:p w14:paraId="39B35A23" w14:textId="77777777" w:rsidR="00411C1A" w:rsidRDefault="000F44D5">
          <w:pPr>
            <w:pStyle w:val="TOC3"/>
            <w:tabs>
              <w:tab w:val="right" w:leader="dot" w:pos="9016"/>
            </w:tabs>
            <w:rPr>
              <w:rFonts w:asciiTheme="minorHAnsi" w:hAnsiTheme="minorHAnsi"/>
              <w:noProof/>
              <w:sz w:val="22"/>
              <w:lang w:val="en-ZA" w:eastAsia="en-ZA"/>
            </w:rPr>
          </w:pPr>
          <w:hyperlink w:anchor="_Toc488481739" w:history="1">
            <w:r w:rsidR="00411C1A" w:rsidRPr="00C80575">
              <w:rPr>
                <w:rStyle w:val="Hyperlink"/>
                <w:noProof/>
              </w:rPr>
              <w:t>Michigan State University - African Activist Archive</w:t>
            </w:r>
            <w:r w:rsidR="00411C1A">
              <w:rPr>
                <w:noProof/>
                <w:webHidden/>
              </w:rPr>
              <w:tab/>
            </w:r>
            <w:r w:rsidR="00411C1A">
              <w:rPr>
                <w:noProof/>
                <w:webHidden/>
              </w:rPr>
              <w:fldChar w:fldCharType="begin"/>
            </w:r>
            <w:r w:rsidR="00411C1A">
              <w:rPr>
                <w:noProof/>
                <w:webHidden/>
              </w:rPr>
              <w:instrText xml:space="preserve"> PAGEREF _Toc488481739 \h </w:instrText>
            </w:r>
            <w:r w:rsidR="00411C1A">
              <w:rPr>
                <w:noProof/>
                <w:webHidden/>
              </w:rPr>
            </w:r>
            <w:r w:rsidR="00411C1A">
              <w:rPr>
                <w:noProof/>
                <w:webHidden/>
              </w:rPr>
              <w:fldChar w:fldCharType="separate"/>
            </w:r>
            <w:r w:rsidR="00411C1A">
              <w:rPr>
                <w:noProof/>
                <w:webHidden/>
              </w:rPr>
              <w:t>108</w:t>
            </w:r>
            <w:r w:rsidR="00411C1A">
              <w:rPr>
                <w:noProof/>
                <w:webHidden/>
              </w:rPr>
              <w:fldChar w:fldCharType="end"/>
            </w:r>
          </w:hyperlink>
        </w:p>
        <w:p w14:paraId="3095CF0D" w14:textId="77777777" w:rsidR="00411C1A" w:rsidRDefault="000F44D5">
          <w:pPr>
            <w:pStyle w:val="TOC3"/>
            <w:tabs>
              <w:tab w:val="right" w:leader="dot" w:pos="9016"/>
            </w:tabs>
            <w:rPr>
              <w:rFonts w:asciiTheme="minorHAnsi" w:hAnsiTheme="minorHAnsi"/>
              <w:noProof/>
              <w:sz w:val="22"/>
              <w:lang w:val="en-ZA" w:eastAsia="en-ZA"/>
            </w:rPr>
          </w:pPr>
          <w:hyperlink w:anchor="_Toc488481740" w:history="1">
            <w:r w:rsidR="00411C1A" w:rsidRPr="00C80575">
              <w:rPr>
                <w:rStyle w:val="Hyperlink"/>
                <w:noProof/>
              </w:rPr>
              <w:t>National Archives of South Africa – Pretoria</w:t>
            </w:r>
            <w:r w:rsidR="00411C1A">
              <w:rPr>
                <w:noProof/>
                <w:webHidden/>
              </w:rPr>
              <w:tab/>
            </w:r>
            <w:r w:rsidR="00411C1A">
              <w:rPr>
                <w:noProof/>
                <w:webHidden/>
              </w:rPr>
              <w:fldChar w:fldCharType="begin"/>
            </w:r>
            <w:r w:rsidR="00411C1A">
              <w:rPr>
                <w:noProof/>
                <w:webHidden/>
              </w:rPr>
              <w:instrText xml:space="preserve"> PAGEREF _Toc488481740 \h </w:instrText>
            </w:r>
            <w:r w:rsidR="00411C1A">
              <w:rPr>
                <w:noProof/>
                <w:webHidden/>
              </w:rPr>
            </w:r>
            <w:r w:rsidR="00411C1A">
              <w:rPr>
                <w:noProof/>
                <w:webHidden/>
              </w:rPr>
              <w:fldChar w:fldCharType="separate"/>
            </w:r>
            <w:r w:rsidR="00411C1A">
              <w:rPr>
                <w:noProof/>
                <w:webHidden/>
              </w:rPr>
              <w:t>108</w:t>
            </w:r>
            <w:r w:rsidR="00411C1A">
              <w:rPr>
                <w:noProof/>
                <w:webHidden/>
              </w:rPr>
              <w:fldChar w:fldCharType="end"/>
            </w:r>
          </w:hyperlink>
        </w:p>
        <w:p w14:paraId="7E34F37F" w14:textId="77777777" w:rsidR="00411C1A" w:rsidRDefault="000F44D5">
          <w:pPr>
            <w:pStyle w:val="TOC3"/>
            <w:tabs>
              <w:tab w:val="right" w:leader="dot" w:pos="9016"/>
            </w:tabs>
            <w:rPr>
              <w:rFonts w:asciiTheme="minorHAnsi" w:hAnsiTheme="minorHAnsi"/>
              <w:noProof/>
              <w:sz w:val="22"/>
              <w:lang w:val="en-ZA" w:eastAsia="en-ZA"/>
            </w:rPr>
          </w:pPr>
          <w:hyperlink w:anchor="_Toc488481741" w:history="1">
            <w:r w:rsidR="00411C1A" w:rsidRPr="00C80575">
              <w:rPr>
                <w:rStyle w:val="Hyperlink"/>
                <w:noProof/>
              </w:rPr>
              <w:t>North-West Provincial Archives, Mafikeng</w:t>
            </w:r>
            <w:r w:rsidR="00411C1A">
              <w:rPr>
                <w:noProof/>
                <w:webHidden/>
              </w:rPr>
              <w:tab/>
            </w:r>
            <w:r w:rsidR="00411C1A">
              <w:rPr>
                <w:noProof/>
                <w:webHidden/>
              </w:rPr>
              <w:fldChar w:fldCharType="begin"/>
            </w:r>
            <w:r w:rsidR="00411C1A">
              <w:rPr>
                <w:noProof/>
                <w:webHidden/>
              </w:rPr>
              <w:instrText xml:space="preserve"> PAGEREF _Toc488481741 \h </w:instrText>
            </w:r>
            <w:r w:rsidR="00411C1A">
              <w:rPr>
                <w:noProof/>
                <w:webHidden/>
              </w:rPr>
            </w:r>
            <w:r w:rsidR="00411C1A">
              <w:rPr>
                <w:noProof/>
                <w:webHidden/>
              </w:rPr>
              <w:fldChar w:fldCharType="separate"/>
            </w:r>
            <w:r w:rsidR="00411C1A">
              <w:rPr>
                <w:noProof/>
                <w:webHidden/>
              </w:rPr>
              <w:t>108</w:t>
            </w:r>
            <w:r w:rsidR="00411C1A">
              <w:rPr>
                <w:noProof/>
                <w:webHidden/>
              </w:rPr>
              <w:fldChar w:fldCharType="end"/>
            </w:r>
          </w:hyperlink>
        </w:p>
        <w:p w14:paraId="506E3DCE" w14:textId="77777777" w:rsidR="00411C1A" w:rsidRDefault="000F44D5">
          <w:pPr>
            <w:pStyle w:val="TOC3"/>
            <w:tabs>
              <w:tab w:val="right" w:leader="dot" w:pos="9016"/>
            </w:tabs>
            <w:rPr>
              <w:rFonts w:asciiTheme="minorHAnsi" w:hAnsiTheme="minorHAnsi"/>
              <w:noProof/>
              <w:sz w:val="22"/>
              <w:lang w:val="en-ZA" w:eastAsia="en-ZA"/>
            </w:rPr>
          </w:pPr>
          <w:hyperlink w:anchor="_Toc488481742" w:history="1">
            <w:r w:rsidR="00411C1A" w:rsidRPr="00C80575">
              <w:rPr>
                <w:rStyle w:val="Hyperlink"/>
                <w:noProof/>
              </w:rPr>
              <w:t>North-Western University Library and Online Archives</w:t>
            </w:r>
            <w:r w:rsidR="00411C1A">
              <w:rPr>
                <w:noProof/>
                <w:webHidden/>
              </w:rPr>
              <w:tab/>
            </w:r>
            <w:r w:rsidR="00411C1A">
              <w:rPr>
                <w:noProof/>
                <w:webHidden/>
              </w:rPr>
              <w:fldChar w:fldCharType="begin"/>
            </w:r>
            <w:r w:rsidR="00411C1A">
              <w:rPr>
                <w:noProof/>
                <w:webHidden/>
              </w:rPr>
              <w:instrText xml:space="preserve"> PAGEREF _Toc488481742 \h </w:instrText>
            </w:r>
            <w:r w:rsidR="00411C1A">
              <w:rPr>
                <w:noProof/>
                <w:webHidden/>
              </w:rPr>
            </w:r>
            <w:r w:rsidR="00411C1A">
              <w:rPr>
                <w:noProof/>
                <w:webHidden/>
              </w:rPr>
              <w:fldChar w:fldCharType="separate"/>
            </w:r>
            <w:r w:rsidR="00411C1A">
              <w:rPr>
                <w:noProof/>
                <w:webHidden/>
              </w:rPr>
              <w:t>108</w:t>
            </w:r>
            <w:r w:rsidR="00411C1A">
              <w:rPr>
                <w:noProof/>
                <w:webHidden/>
              </w:rPr>
              <w:fldChar w:fldCharType="end"/>
            </w:r>
          </w:hyperlink>
        </w:p>
        <w:p w14:paraId="3045EC9E" w14:textId="77777777" w:rsidR="00411C1A" w:rsidRDefault="000F44D5">
          <w:pPr>
            <w:pStyle w:val="TOC3"/>
            <w:tabs>
              <w:tab w:val="right" w:leader="dot" w:pos="9016"/>
            </w:tabs>
            <w:rPr>
              <w:rFonts w:asciiTheme="minorHAnsi" w:hAnsiTheme="minorHAnsi"/>
              <w:noProof/>
              <w:sz w:val="22"/>
              <w:lang w:val="en-ZA" w:eastAsia="en-ZA"/>
            </w:rPr>
          </w:pPr>
          <w:hyperlink w:anchor="_Toc488481743" w:history="1">
            <w:r w:rsidR="00411C1A" w:rsidRPr="00C80575">
              <w:rPr>
                <w:rStyle w:val="Hyperlink"/>
                <w:rFonts w:cs="Times New Roman"/>
                <w:noProof/>
              </w:rPr>
              <w:t>Interviews</w:t>
            </w:r>
            <w:r w:rsidR="00411C1A">
              <w:rPr>
                <w:noProof/>
                <w:webHidden/>
              </w:rPr>
              <w:tab/>
            </w:r>
            <w:r w:rsidR="00411C1A">
              <w:rPr>
                <w:noProof/>
                <w:webHidden/>
              </w:rPr>
              <w:fldChar w:fldCharType="begin"/>
            </w:r>
            <w:r w:rsidR="00411C1A">
              <w:rPr>
                <w:noProof/>
                <w:webHidden/>
              </w:rPr>
              <w:instrText xml:space="preserve"> PAGEREF _Toc488481743 \h </w:instrText>
            </w:r>
            <w:r w:rsidR="00411C1A">
              <w:rPr>
                <w:noProof/>
                <w:webHidden/>
              </w:rPr>
            </w:r>
            <w:r w:rsidR="00411C1A">
              <w:rPr>
                <w:noProof/>
                <w:webHidden/>
              </w:rPr>
              <w:fldChar w:fldCharType="separate"/>
            </w:r>
            <w:r w:rsidR="00411C1A">
              <w:rPr>
                <w:noProof/>
                <w:webHidden/>
              </w:rPr>
              <w:t>108</w:t>
            </w:r>
            <w:r w:rsidR="00411C1A">
              <w:rPr>
                <w:noProof/>
                <w:webHidden/>
              </w:rPr>
              <w:fldChar w:fldCharType="end"/>
            </w:r>
          </w:hyperlink>
        </w:p>
        <w:p w14:paraId="059328A4" w14:textId="77777777" w:rsidR="00411C1A" w:rsidRDefault="000F44D5">
          <w:pPr>
            <w:pStyle w:val="TOC3"/>
            <w:tabs>
              <w:tab w:val="right" w:leader="dot" w:pos="9016"/>
            </w:tabs>
            <w:rPr>
              <w:rFonts w:asciiTheme="minorHAnsi" w:hAnsiTheme="minorHAnsi"/>
              <w:noProof/>
              <w:sz w:val="22"/>
              <w:lang w:val="en-ZA" w:eastAsia="en-ZA"/>
            </w:rPr>
          </w:pPr>
          <w:hyperlink w:anchor="_Toc488481744" w:history="1">
            <w:r w:rsidR="00411C1A" w:rsidRPr="00C80575">
              <w:rPr>
                <w:rStyle w:val="Hyperlink"/>
                <w:noProof/>
              </w:rPr>
              <w:t>Newspapers</w:t>
            </w:r>
            <w:r w:rsidR="00411C1A">
              <w:rPr>
                <w:noProof/>
                <w:webHidden/>
              </w:rPr>
              <w:tab/>
            </w:r>
            <w:r w:rsidR="00411C1A">
              <w:rPr>
                <w:noProof/>
                <w:webHidden/>
              </w:rPr>
              <w:fldChar w:fldCharType="begin"/>
            </w:r>
            <w:r w:rsidR="00411C1A">
              <w:rPr>
                <w:noProof/>
                <w:webHidden/>
              </w:rPr>
              <w:instrText xml:space="preserve"> PAGEREF _Toc488481744 \h </w:instrText>
            </w:r>
            <w:r w:rsidR="00411C1A">
              <w:rPr>
                <w:noProof/>
                <w:webHidden/>
              </w:rPr>
            </w:r>
            <w:r w:rsidR="00411C1A">
              <w:rPr>
                <w:noProof/>
                <w:webHidden/>
              </w:rPr>
              <w:fldChar w:fldCharType="separate"/>
            </w:r>
            <w:r w:rsidR="00411C1A">
              <w:rPr>
                <w:noProof/>
                <w:webHidden/>
              </w:rPr>
              <w:t>109</w:t>
            </w:r>
            <w:r w:rsidR="00411C1A">
              <w:rPr>
                <w:noProof/>
                <w:webHidden/>
              </w:rPr>
              <w:fldChar w:fldCharType="end"/>
            </w:r>
          </w:hyperlink>
        </w:p>
        <w:p w14:paraId="798ADABD" w14:textId="77777777" w:rsidR="00411C1A" w:rsidRDefault="000F44D5">
          <w:pPr>
            <w:pStyle w:val="TOC2"/>
            <w:tabs>
              <w:tab w:val="left" w:pos="880"/>
              <w:tab w:val="right" w:leader="dot" w:pos="9016"/>
            </w:tabs>
            <w:rPr>
              <w:rFonts w:asciiTheme="minorHAnsi" w:hAnsiTheme="minorHAnsi"/>
              <w:noProof/>
              <w:sz w:val="22"/>
              <w:lang w:val="en-ZA" w:eastAsia="en-ZA"/>
            </w:rPr>
          </w:pPr>
          <w:hyperlink w:anchor="_Toc488481745" w:history="1">
            <w:r w:rsidR="00411C1A" w:rsidRPr="00C80575">
              <w:rPr>
                <w:rStyle w:val="Hyperlink"/>
                <w:noProof/>
              </w:rPr>
              <w:t>II.</w:t>
            </w:r>
            <w:r w:rsidR="00411C1A">
              <w:rPr>
                <w:rFonts w:asciiTheme="minorHAnsi" w:hAnsiTheme="minorHAnsi"/>
                <w:noProof/>
                <w:sz w:val="22"/>
                <w:lang w:val="en-ZA" w:eastAsia="en-ZA"/>
              </w:rPr>
              <w:tab/>
            </w:r>
            <w:r w:rsidR="00411C1A" w:rsidRPr="00C80575">
              <w:rPr>
                <w:rStyle w:val="Hyperlink"/>
                <w:noProof/>
              </w:rPr>
              <w:t>Secondary Sources</w:t>
            </w:r>
            <w:r w:rsidR="00411C1A">
              <w:rPr>
                <w:noProof/>
                <w:webHidden/>
              </w:rPr>
              <w:tab/>
            </w:r>
            <w:r w:rsidR="00411C1A">
              <w:rPr>
                <w:noProof/>
                <w:webHidden/>
              </w:rPr>
              <w:fldChar w:fldCharType="begin"/>
            </w:r>
            <w:r w:rsidR="00411C1A">
              <w:rPr>
                <w:noProof/>
                <w:webHidden/>
              </w:rPr>
              <w:instrText xml:space="preserve"> PAGEREF _Toc488481745 \h </w:instrText>
            </w:r>
            <w:r w:rsidR="00411C1A">
              <w:rPr>
                <w:noProof/>
                <w:webHidden/>
              </w:rPr>
            </w:r>
            <w:r w:rsidR="00411C1A">
              <w:rPr>
                <w:noProof/>
                <w:webHidden/>
              </w:rPr>
              <w:fldChar w:fldCharType="separate"/>
            </w:r>
            <w:r w:rsidR="00411C1A">
              <w:rPr>
                <w:noProof/>
                <w:webHidden/>
              </w:rPr>
              <w:t>110</w:t>
            </w:r>
            <w:r w:rsidR="00411C1A">
              <w:rPr>
                <w:noProof/>
                <w:webHidden/>
              </w:rPr>
              <w:fldChar w:fldCharType="end"/>
            </w:r>
          </w:hyperlink>
        </w:p>
        <w:p w14:paraId="5EF68995" w14:textId="77777777" w:rsidR="00411C1A" w:rsidRDefault="000F44D5">
          <w:pPr>
            <w:pStyle w:val="TOC3"/>
            <w:tabs>
              <w:tab w:val="right" w:leader="dot" w:pos="9016"/>
            </w:tabs>
            <w:rPr>
              <w:rFonts w:asciiTheme="minorHAnsi" w:hAnsiTheme="minorHAnsi"/>
              <w:noProof/>
              <w:sz w:val="22"/>
              <w:lang w:val="en-ZA" w:eastAsia="en-ZA"/>
            </w:rPr>
          </w:pPr>
          <w:hyperlink w:anchor="_Toc488481746" w:history="1">
            <w:r w:rsidR="00411C1A" w:rsidRPr="00C80575">
              <w:rPr>
                <w:rStyle w:val="Hyperlink"/>
                <w:noProof/>
              </w:rPr>
              <w:t>Books</w:t>
            </w:r>
            <w:r w:rsidR="00411C1A">
              <w:rPr>
                <w:noProof/>
                <w:webHidden/>
              </w:rPr>
              <w:tab/>
            </w:r>
            <w:r w:rsidR="00411C1A">
              <w:rPr>
                <w:noProof/>
                <w:webHidden/>
              </w:rPr>
              <w:fldChar w:fldCharType="begin"/>
            </w:r>
            <w:r w:rsidR="00411C1A">
              <w:rPr>
                <w:noProof/>
                <w:webHidden/>
              </w:rPr>
              <w:instrText xml:space="preserve"> PAGEREF _Toc488481746 \h </w:instrText>
            </w:r>
            <w:r w:rsidR="00411C1A">
              <w:rPr>
                <w:noProof/>
                <w:webHidden/>
              </w:rPr>
            </w:r>
            <w:r w:rsidR="00411C1A">
              <w:rPr>
                <w:noProof/>
                <w:webHidden/>
              </w:rPr>
              <w:fldChar w:fldCharType="separate"/>
            </w:r>
            <w:r w:rsidR="00411C1A">
              <w:rPr>
                <w:noProof/>
                <w:webHidden/>
              </w:rPr>
              <w:t>110</w:t>
            </w:r>
            <w:r w:rsidR="00411C1A">
              <w:rPr>
                <w:noProof/>
                <w:webHidden/>
              </w:rPr>
              <w:fldChar w:fldCharType="end"/>
            </w:r>
          </w:hyperlink>
        </w:p>
        <w:p w14:paraId="3308FBF6" w14:textId="77777777" w:rsidR="00411C1A" w:rsidRDefault="000F44D5">
          <w:pPr>
            <w:pStyle w:val="TOC3"/>
            <w:tabs>
              <w:tab w:val="right" w:leader="dot" w:pos="9016"/>
            </w:tabs>
            <w:rPr>
              <w:rFonts w:asciiTheme="minorHAnsi" w:hAnsiTheme="minorHAnsi"/>
              <w:noProof/>
              <w:sz w:val="22"/>
              <w:lang w:val="en-ZA" w:eastAsia="en-ZA"/>
            </w:rPr>
          </w:pPr>
          <w:hyperlink w:anchor="_Toc488481747" w:history="1">
            <w:r w:rsidR="00411C1A" w:rsidRPr="00C80575">
              <w:rPr>
                <w:rStyle w:val="Hyperlink"/>
                <w:noProof/>
              </w:rPr>
              <w:t>Journal articles</w:t>
            </w:r>
            <w:r w:rsidR="00411C1A">
              <w:rPr>
                <w:noProof/>
                <w:webHidden/>
              </w:rPr>
              <w:tab/>
            </w:r>
            <w:r w:rsidR="00411C1A">
              <w:rPr>
                <w:noProof/>
                <w:webHidden/>
              </w:rPr>
              <w:fldChar w:fldCharType="begin"/>
            </w:r>
            <w:r w:rsidR="00411C1A">
              <w:rPr>
                <w:noProof/>
                <w:webHidden/>
              </w:rPr>
              <w:instrText xml:space="preserve"> PAGEREF _Toc488481747 \h </w:instrText>
            </w:r>
            <w:r w:rsidR="00411C1A">
              <w:rPr>
                <w:noProof/>
                <w:webHidden/>
              </w:rPr>
            </w:r>
            <w:r w:rsidR="00411C1A">
              <w:rPr>
                <w:noProof/>
                <w:webHidden/>
              </w:rPr>
              <w:fldChar w:fldCharType="separate"/>
            </w:r>
            <w:r w:rsidR="00411C1A">
              <w:rPr>
                <w:noProof/>
                <w:webHidden/>
              </w:rPr>
              <w:t>111</w:t>
            </w:r>
            <w:r w:rsidR="00411C1A">
              <w:rPr>
                <w:noProof/>
                <w:webHidden/>
              </w:rPr>
              <w:fldChar w:fldCharType="end"/>
            </w:r>
          </w:hyperlink>
        </w:p>
        <w:p w14:paraId="7AB6D63E" w14:textId="77777777" w:rsidR="00411C1A" w:rsidRDefault="000F44D5">
          <w:pPr>
            <w:pStyle w:val="TOC3"/>
            <w:tabs>
              <w:tab w:val="right" w:leader="dot" w:pos="9016"/>
            </w:tabs>
            <w:rPr>
              <w:rFonts w:asciiTheme="minorHAnsi" w:hAnsiTheme="minorHAnsi"/>
              <w:noProof/>
              <w:sz w:val="22"/>
              <w:lang w:val="en-ZA" w:eastAsia="en-ZA"/>
            </w:rPr>
          </w:pPr>
          <w:hyperlink w:anchor="_Toc488481748" w:history="1">
            <w:r w:rsidR="00411C1A" w:rsidRPr="00C80575">
              <w:rPr>
                <w:rStyle w:val="Hyperlink"/>
                <w:noProof/>
              </w:rPr>
              <w:t>Unpublished Papers and Dissertations</w:t>
            </w:r>
            <w:r w:rsidR="00411C1A">
              <w:rPr>
                <w:noProof/>
                <w:webHidden/>
              </w:rPr>
              <w:tab/>
            </w:r>
            <w:r w:rsidR="00411C1A">
              <w:rPr>
                <w:noProof/>
                <w:webHidden/>
              </w:rPr>
              <w:fldChar w:fldCharType="begin"/>
            </w:r>
            <w:r w:rsidR="00411C1A">
              <w:rPr>
                <w:noProof/>
                <w:webHidden/>
              </w:rPr>
              <w:instrText xml:space="preserve"> PAGEREF _Toc488481748 \h </w:instrText>
            </w:r>
            <w:r w:rsidR="00411C1A">
              <w:rPr>
                <w:noProof/>
                <w:webHidden/>
              </w:rPr>
            </w:r>
            <w:r w:rsidR="00411C1A">
              <w:rPr>
                <w:noProof/>
                <w:webHidden/>
              </w:rPr>
              <w:fldChar w:fldCharType="separate"/>
            </w:r>
            <w:r w:rsidR="00411C1A">
              <w:rPr>
                <w:noProof/>
                <w:webHidden/>
              </w:rPr>
              <w:t>112</w:t>
            </w:r>
            <w:r w:rsidR="00411C1A">
              <w:rPr>
                <w:noProof/>
                <w:webHidden/>
              </w:rPr>
              <w:fldChar w:fldCharType="end"/>
            </w:r>
          </w:hyperlink>
        </w:p>
        <w:p w14:paraId="53460C79" w14:textId="77777777" w:rsidR="00411C1A" w:rsidRDefault="000F44D5">
          <w:pPr>
            <w:pStyle w:val="TOC3"/>
            <w:tabs>
              <w:tab w:val="right" w:leader="dot" w:pos="9016"/>
            </w:tabs>
            <w:rPr>
              <w:rFonts w:asciiTheme="minorHAnsi" w:hAnsiTheme="minorHAnsi"/>
              <w:noProof/>
              <w:sz w:val="22"/>
              <w:lang w:val="en-ZA" w:eastAsia="en-ZA"/>
            </w:rPr>
          </w:pPr>
          <w:hyperlink w:anchor="_Toc488481749" w:history="1">
            <w:r w:rsidR="00411C1A" w:rsidRPr="00C80575">
              <w:rPr>
                <w:rStyle w:val="Hyperlink"/>
                <w:rFonts w:cs="Times New Roman"/>
                <w:noProof/>
              </w:rPr>
              <w:t>Online Sources</w:t>
            </w:r>
            <w:r w:rsidR="00411C1A">
              <w:rPr>
                <w:noProof/>
                <w:webHidden/>
              </w:rPr>
              <w:tab/>
            </w:r>
            <w:r w:rsidR="00411C1A">
              <w:rPr>
                <w:noProof/>
                <w:webHidden/>
              </w:rPr>
              <w:fldChar w:fldCharType="begin"/>
            </w:r>
            <w:r w:rsidR="00411C1A">
              <w:rPr>
                <w:noProof/>
                <w:webHidden/>
              </w:rPr>
              <w:instrText xml:space="preserve"> PAGEREF _Toc488481749 \h </w:instrText>
            </w:r>
            <w:r w:rsidR="00411C1A">
              <w:rPr>
                <w:noProof/>
                <w:webHidden/>
              </w:rPr>
            </w:r>
            <w:r w:rsidR="00411C1A">
              <w:rPr>
                <w:noProof/>
                <w:webHidden/>
              </w:rPr>
              <w:fldChar w:fldCharType="separate"/>
            </w:r>
            <w:r w:rsidR="00411C1A">
              <w:rPr>
                <w:noProof/>
                <w:webHidden/>
              </w:rPr>
              <w:t>113</w:t>
            </w:r>
            <w:r w:rsidR="00411C1A">
              <w:rPr>
                <w:noProof/>
                <w:webHidden/>
              </w:rPr>
              <w:fldChar w:fldCharType="end"/>
            </w:r>
          </w:hyperlink>
        </w:p>
        <w:p w14:paraId="415952DA" w14:textId="77777777" w:rsidR="00411C1A" w:rsidRDefault="000F44D5">
          <w:pPr>
            <w:pStyle w:val="TOC3"/>
            <w:tabs>
              <w:tab w:val="right" w:leader="dot" w:pos="9016"/>
            </w:tabs>
            <w:rPr>
              <w:rFonts w:asciiTheme="minorHAnsi" w:hAnsiTheme="minorHAnsi"/>
              <w:noProof/>
              <w:sz w:val="22"/>
              <w:lang w:val="en-ZA" w:eastAsia="en-ZA"/>
            </w:rPr>
          </w:pPr>
          <w:hyperlink w:anchor="_Toc488481750" w:history="1">
            <w:r w:rsidR="00411C1A" w:rsidRPr="00C80575">
              <w:rPr>
                <w:rStyle w:val="Hyperlink"/>
                <w:noProof/>
              </w:rPr>
              <w:t>Magazines, Pamphlets and Brochures</w:t>
            </w:r>
            <w:r w:rsidR="00411C1A">
              <w:rPr>
                <w:noProof/>
                <w:webHidden/>
              </w:rPr>
              <w:tab/>
            </w:r>
            <w:r w:rsidR="00411C1A">
              <w:rPr>
                <w:noProof/>
                <w:webHidden/>
              </w:rPr>
              <w:fldChar w:fldCharType="begin"/>
            </w:r>
            <w:r w:rsidR="00411C1A">
              <w:rPr>
                <w:noProof/>
                <w:webHidden/>
              </w:rPr>
              <w:instrText xml:space="preserve"> PAGEREF _Toc488481750 \h </w:instrText>
            </w:r>
            <w:r w:rsidR="00411C1A">
              <w:rPr>
                <w:noProof/>
                <w:webHidden/>
              </w:rPr>
            </w:r>
            <w:r w:rsidR="00411C1A">
              <w:rPr>
                <w:noProof/>
                <w:webHidden/>
              </w:rPr>
              <w:fldChar w:fldCharType="separate"/>
            </w:r>
            <w:r w:rsidR="00411C1A">
              <w:rPr>
                <w:noProof/>
                <w:webHidden/>
              </w:rPr>
              <w:t>113</w:t>
            </w:r>
            <w:r w:rsidR="00411C1A">
              <w:rPr>
                <w:noProof/>
                <w:webHidden/>
              </w:rPr>
              <w:fldChar w:fldCharType="end"/>
            </w:r>
          </w:hyperlink>
        </w:p>
        <w:p w14:paraId="1ACC4752" w14:textId="77777777" w:rsidR="00411C1A" w:rsidRDefault="000F44D5">
          <w:pPr>
            <w:pStyle w:val="TOC3"/>
            <w:tabs>
              <w:tab w:val="right" w:leader="dot" w:pos="9016"/>
            </w:tabs>
            <w:rPr>
              <w:rFonts w:asciiTheme="minorHAnsi" w:hAnsiTheme="minorHAnsi"/>
              <w:noProof/>
              <w:sz w:val="22"/>
              <w:lang w:val="en-ZA" w:eastAsia="en-ZA"/>
            </w:rPr>
          </w:pPr>
          <w:hyperlink w:anchor="_Toc488481751" w:history="1">
            <w:r w:rsidR="00411C1A" w:rsidRPr="00C80575">
              <w:rPr>
                <w:rStyle w:val="Hyperlink"/>
                <w:noProof/>
              </w:rPr>
              <w:t>Documentaries</w:t>
            </w:r>
            <w:r w:rsidR="00411C1A">
              <w:rPr>
                <w:noProof/>
                <w:webHidden/>
              </w:rPr>
              <w:tab/>
            </w:r>
            <w:r w:rsidR="00411C1A">
              <w:rPr>
                <w:noProof/>
                <w:webHidden/>
              </w:rPr>
              <w:fldChar w:fldCharType="begin"/>
            </w:r>
            <w:r w:rsidR="00411C1A">
              <w:rPr>
                <w:noProof/>
                <w:webHidden/>
              </w:rPr>
              <w:instrText xml:space="preserve"> PAGEREF _Toc488481751 \h </w:instrText>
            </w:r>
            <w:r w:rsidR="00411C1A">
              <w:rPr>
                <w:noProof/>
                <w:webHidden/>
              </w:rPr>
            </w:r>
            <w:r w:rsidR="00411C1A">
              <w:rPr>
                <w:noProof/>
                <w:webHidden/>
              </w:rPr>
              <w:fldChar w:fldCharType="separate"/>
            </w:r>
            <w:r w:rsidR="00411C1A">
              <w:rPr>
                <w:noProof/>
                <w:webHidden/>
              </w:rPr>
              <w:t>113</w:t>
            </w:r>
            <w:r w:rsidR="00411C1A">
              <w:rPr>
                <w:noProof/>
                <w:webHidden/>
              </w:rPr>
              <w:fldChar w:fldCharType="end"/>
            </w:r>
          </w:hyperlink>
        </w:p>
        <w:p w14:paraId="29D8CB43" w14:textId="77777777" w:rsidR="00411C1A" w:rsidRDefault="000F44D5">
          <w:pPr>
            <w:pStyle w:val="TOC1"/>
            <w:tabs>
              <w:tab w:val="right" w:leader="dot" w:pos="9016"/>
            </w:tabs>
            <w:rPr>
              <w:rFonts w:asciiTheme="minorHAnsi" w:hAnsiTheme="minorHAnsi"/>
              <w:noProof/>
              <w:sz w:val="22"/>
              <w:lang w:val="en-ZA" w:eastAsia="en-ZA"/>
            </w:rPr>
          </w:pPr>
          <w:hyperlink w:anchor="_Toc488481752" w:history="1">
            <w:r w:rsidR="00411C1A" w:rsidRPr="00C80575">
              <w:rPr>
                <w:rStyle w:val="Hyperlink"/>
                <w:noProof/>
              </w:rPr>
              <w:t>APPENDIX</w:t>
            </w:r>
            <w:r w:rsidR="00411C1A">
              <w:rPr>
                <w:noProof/>
                <w:webHidden/>
              </w:rPr>
              <w:tab/>
            </w:r>
            <w:r w:rsidR="00411C1A">
              <w:rPr>
                <w:noProof/>
                <w:webHidden/>
              </w:rPr>
              <w:fldChar w:fldCharType="begin"/>
            </w:r>
            <w:r w:rsidR="00411C1A">
              <w:rPr>
                <w:noProof/>
                <w:webHidden/>
              </w:rPr>
              <w:instrText xml:space="preserve"> PAGEREF _Toc488481752 \h </w:instrText>
            </w:r>
            <w:r w:rsidR="00411C1A">
              <w:rPr>
                <w:noProof/>
                <w:webHidden/>
              </w:rPr>
            </w:r>
            <w:r w:rsidR="00411C1A">
              <w:rPr>
                <w:noProof/>
                <w:webHidden/>
              </w:rPr>
              <w:fldChar w:fldCharType="separate"/>
            </w:r>
            <w:r w:rsidR="00411C1A">
              <w:rPr>
                <w:noProof/>
                <w:webHidden/>
              </w:rPr>
              <w:t>114</w:t>
            </w:r>
            <w:r w:rsidR="00411C1A">
              <w:rPr>
                <w:noProof/>
                <w:webHidden/>
              </w:rPr>
              <w:fldChar w:fldCharType="end"/>
            </w:r>
          </w:hyperlink>
        </w:p>
        <w:p w14:paraId="20DE2E44" w14:textId="77777777" w:rsidR="00B81870" w:rsidRDefault="005F7A94">
          <w:r>
            <w:rPr>
              <w:b/>
              <w:bCs/>
              <w:noProof/>
            </w:rPr>
            <w:fldChar w:fldCharType="end"/>
          </w:r>
        </w:p>
      </w:sdtContent>
    </w:sdt>
    <w:p w14:paraId="06A1AC64" w14:textId="77777777" w:rsidR="00B81870" w:rsidRDefault="00B81870">
      <w:pPr>
        <w:spacing w:line="259" w:lineRule="auto"/>
        <w:jc w:val="left"/>
        <w:rPr>
          <w:rFonts w:eastAsiaTheme="majorEastAsia" w:cstheme="majorBidi"/>
          <w:b/>
          <w:bCs/>
          <w:smallCaps/>
          <w:color w:val="000000" w:themeColor="text1"/>
          <w:sz w:val="28"/>
          <w:szCs w:val="36"/>
        </w:rPr>
      </w:pPr>
      <w:r>
        <w:br w:type="page"/>
      </w:r>
    </w:p>
    <w:p w14:paraId="035F28F6" w14:textId="77777777" w:rsidR="00782482" w:rsidRDefault="00782482" w:rsidP="00246DA1">
      <w:pPr>
        <w:pStyle w:val="Heading1"/>
        <w:numPr>
          <w:ilvl w:val="0"/>
          <w:numId w:val="0"/>
        </w:numPr>
        <w:ind w:left="432"/>
        <w:jc w:val="center"/>
      </w:pPr>
      <w:bookmarkStart w:id="4" w:name="_Toc488481692"/>
      <w:r>
        <w:lastRenderedPageBreak/>
        <w:t>List of Abbreviations</w:t>
      </w:r>
      <w:bookmarkEnd w:id="4"/>
    </w:p>
    <w:p w14:paraId="74B3146B" w14:textId="77777777" w:rsidR="00614232" w:rsidRDefault="00614232" w:rsidP="00782482">
      <w:r>
        <w:t>AAM</w:t>
      </w:r>
      <w:r>
        <w:tab/>
      </w:r>
      <w:r>
        <w:tab/>
        <w:t xml:space="preserve">Anti-Apartheid Movement </w:t>
      </w:r>
    </w:p>
    <w:p w14:paraId="15234FC6" w14:textId="77777777" w:rsidR="009B2F06" w:rsidRDefault="009B2F06" w:rsidP="00782482">
      <w:r>
        <w:t>ANC</w:t>
      </w:r>
      <w:r>
        <w:tab/>
      </w:r>
      <w:r>
        <w:tab/>
        <w:t>African National Congress</w:t>
      </w:r>
    </w:p>
    <w:p w14:paraId="06B81EFF" w14:textId="77777777" w:rsidR="00277221" w:rsidRDefault="00277221" w:rsidP="00782482">
      <w:r>
        <w:t>AWB</w:t>
      </w:r>
      <w:r>
        <w:tab/>
      </w:r>
      <w:r>
        <w:tab/>
      </w:r>
      <w:r w:rsidRPr="00277221">
        <w:t>Afrikaner Weerstands Beweging</w:t>
      </w:r>
      <w:r>
        <w:rPr>
          <w:i/>
        </w:rPr>
        <w:t xml:space="preserve"> </w:t>
      </w:r>
    </w:p>
    <w:p w14:paraId="6089DBBA" w14:textId="77777777" w:rsidR="00712119" w:rsidRDefault="00712119" w:rsidP="00782482">
      <w:r>
        <w:t xml:space="preserve">BEE </w:t>
      </w:r>
      <w:r>
        <w:tab/>
      </w:r>
      <w:r>
        <w:tab/>
        <w:t>Black Economic Empowerment</w:t>
      </w:r>
    </w:p>
    <w:p w14:paraId="23BF462A" w14:textId="77777777" w:rsidR="00190150" w:rsidRDefault="00D112D3" w:rsidP="00782482">
      <w:r>
        <w:t xml:space="preserve">BNDC </w:t>
      </w:r>
      <w:r>
        <w:tab/>
      </w:r>
      <w:r w:rsidR="000A67CB">
        <w:t>Bophuthatswana National</w:t>
      </w:r>
      <w:r w:rsidR="00190150">
        <w:t xml:space="preserve"> Development Corporation</w:t>
      </w:r>
    </w:p>
    <w:p w14:paraId="7BF379B1" w14:textId="77777777" w:rsidR="009B2F06" w:rsidRDefault="009B2F06" w:rsidP="00782482">
      <w:r>
        <w:t>CASA</w:t>
      </w:r>
      <w:r>
        <w:tab/>
      </w:r>
      <w:r>
        <w:tab/>
        <w:t>Casino Association of South Africa</w:t>
      </w:r>
    </w:p>
    <w:p w14:paraId="46908398" w14:textId="77777777" w:rsidR="006A1DD5" w:rsidRDefault="006A1DD5" w:rsidP="00782482">
      <w:r>
        <w:rPr>
          <w:rFonts w:cs="Times New Roman"/>
          <w:szCs w:val="24"/>
        </w:rPr>
        <w:t>CED</w:t>
      </w:r>
      <w:r>
        <w:rPr>
          <w:rFonts w:cs="Times New Roman"/>
          <w:szCs w:val="24"/>
        </w:rPr>
        <w:tab/>
      </w:r>
      <w:r>
        <w:rPr>
          <w:rFonts w:cs="Times New Roman"/>
          <w:szCs w:val="24"/>
        </w:rPr>
        <w:tab/>
        <w:t xml:space="preserve">Corporation for Economic Development </w:t>
      </w:r>
    </w:p>
    <w:p w14:paraId="311547A5" w14:textId="77777777" w:rsidR="00FC1B0B" w:rsidRDefault="00FC1B0B" w:rsidP="00782482">
      <w:r>
        <w:t>COSATU</w:t>
      </w:r>
      <w:r>
        <w:tab/>
      </w:r>
      <w:r w:rsidRPr="00FC1B0B">
        <w:t>Congress of South African Trade Unions</w:t>
      </w:r>
      <w:r>
        <w:t xml:space="preserve"> </w:t>
      </w:r>
    </w:p>
    <w:p w14:paraId="186A4E39" w14:textId="77777777" w:rsidR="00A717FA" w:rsidRDefault="00A717FA" w:rsidP="00782482">
      <w:r>
        <w:t xml:space="preserve">CRLR </w:t>
      </w:r>
      <w:r>
        <w:tab/>
      </w:r>
      <w:r>
        <w:tab/>
        <w:t>Commission for the Restitution of Land Rights</w:t>
      </w:r>
    </w:p>
    <w:p w14:paraId="4147ACE9" w14:textId="77777777" w:rsidR="002339EC" w:rsidRDefault="002339EC" w:rsidP="00782482">
      <w:r>
        <w:t xml:space="preserve">CSI </w:t>
      </w:r>
      <w:r>
        <w:tab/>
      </w:r>
      <w:r>
        <w:tab/>
        <w:t>Corporate Social Investment</w:t>
      </w:r>
    </w:p>
    <w:p w14:paraId="75C13611" w14:textId="77777777" w:rsidR="009B2F06" w:rsidRDefault="009B2F06" w:rsidP="00782482">
      <w:r>
        <w:t>DA</w:t>
      </w:r>
      <w:r>
        <w:tab/>
      </w:r>
      <w:r>
        <w:tab/>
        <w:t>Democratic Alliance</w:t>
      </w:r>
    </w:p>
    <w:p w14:paraId="104418B3" w14:textId="77777777" w:rsidR="00190150" w:rsidRDefault="00782482" w:rsidP="00782482">
      <w:r>
        <w:t xml:space="preserve">GDP </w:t>
      </w:r>
      <w:r w:rsidR="00712119">
        <w:tab/>
      </w:r>
      <w:r w:rsidR="00712119">
        <w:tab/>
      </w:r>
      <w:r w:rsidR="009658F3">
        <w:t>Gross Domestic Profit</w:t>
      </w:r>
    </w:p>
    <w:p w14:paraId="1F743B82" w14:textId="77777777" w:rsidR="00190150" w:rsidRDefault="00712119" w:rsidP="00782482">
      <w:r>
        <w:t>IDC</w:t>
      </w:r>
      <w:r w:rsidR="00190150">
        <w:t xml:space="preserve"> </w:t>
      </w:r>
      <w:r>
        <w:tab/>
      </w:r>
      <w:r>
        <w:tab/>
      </w:r>
      <w:r w:rsidR="00190150">
        <w:t>Industrial Development Corporation of South Africa Limited</w:t>
      </w:r>
    </w:p>
    <w:p w14:paraId="491BB1B5" w14:textId="77777777" w:rsidR="006D3E89" w:rsidRDefault="006D3E89" w:rsidP="00782482">
      <w:r>
        <w:t>JSE</w:t>
      </w:r>
      <w:r>
        <w:tab/>
      </w:r>
      <w:r>
        <w:tab/>
        <w:t>Johannesburg Stock Exchange</w:t>
      </w:r>
    </w:p>
    <w:p w14:paraId="467D5188" w14:textId="77777777" w:rsidR="006D0B95" w:rsidRDefault="006D0B95" w:rsidP="00782482">
      <w:r w:rsidRPr="006D0B95">
        <w:t>NASA</w:t>
      </w:r>
      <w:r>
        <w:tab/>
      </w:r>
      <w:r>
        <w:tab/>
        <w:t>National Archives of South Africa</w:t>
      </w:r>
    </w:p>
    <w:p w14:paraId="50ADB402" w14:textId="77777777" w:rsidR="00755F86" w:rsidRDefault="00712119" w:rsidP="00782482">
      <w:r>
        <w:t xml:space="preserve">NG </w:t>
      </w:r>
      <w:r>
        <w:tab/>
      </w:r>
      <w:r>
        <w:tab/>
      </w:r>
      <w:r w:rsidR="00755F86" w:rsidRPr="00755F86">
        <w:t>Nederduitse Gereformeerde</w:t>
      </w:r>
    </w:p>
    <w:p w14:paraId="32DF9641" w14:textId="77777777" w:rsidR="00F2133C" w:rsidRDefault="00F2133C" w:rsidP="00782482">
      <w:r>
        <w:t>NGB</w:t>
      </w:r>
      <w:r>
        <w:tab/>
      </w:r>
      <w:r>
        <w:tab/>
        <w:t>National Gambling Board</w:t>
      </w:r>
    </w:p>
    <w:p w14:paraId="46941A2C" w14:textId="77777777" w:rsidR="00A62C7B" w:rsidRDefault="00A62C7B" w:rsidP="00782482">
      <w:pPr>
        <w:rPr>
          <w:rFonts w:cs="Times New Roman"/>
        </w:rPr>
      </w:pPr>
      <w:r>
        <w:rPr>
          <w:rFonts w:cs="Times New Roman"/>
        </w:rPr>
        <w:t xml:space="preserve">NRGP </w:t>
      </w:r>
      <w:r>
        <w:rPr>
          <w:rFonts w:cs="Times New Roman"/>
        </w:rPr>
        <w:tab/>
      </w:r>
      <w:r>
        <w:rPr>
          <w:rFonts w:cs="Times New Roman"/>
        </w:rPr>
        <w:tab/>
        <w:t xml:space="preserve">National Responsible Gambling Programme </w:t>
      </w:r>
    </w:p>
    <w:p w14:paraId="3ABCECAA" w14:textId="77777777" w:rsidR="00C95977" w:rsidRDefault="00C95977" w:rsidP="00782482">
      <w:pPr>
        <w:rPr>
          <w:rFonts w:cs="Times New Roman"/>
        </w:rPr>
      </w:pPr>
      <w:r>
        <w:rPr>
          <w:rFonts w:cs="Times New Roman"/>
        </w:rPr>
        <w:t>NP</w:t>
      </w:r>
      <w:r>
        <w:rPr>
          <w:rFonts w:cs="Times New Roman"/>
        </w:rPr>
        <w:tab/>
      </w:r>
      <w:r>
        <w:rPr>
          <w:rFonts w:cs="Times New Roman"/>
        </w:rPr>
        <w:tab/>
      </w:r>
      <w:r w:rsidR="00756A84">
        <w:rPr>
          <w:rFonts w:cs="Times New Roman"/>
        </w:rPr>
        <w:t>National Party</w:t>
      </w:r>
    </w:p>
    <w:p w14:paraId="7CD0180F" w14:textId="77777777" w:rsidR="00984964" w:rsidRDefault="00984964" w:rsidP="00782482">
      <w:pPr>
        <w:rPr>
          <w:rFonts w:cs="Times New Roman"/>
        </w:rPr>
      </w:pPr>
      <w:r>
        <w:rPr>
          <w:rFonts w:cs="Times New Roman"/>
        </w:rPr>
        <w:t>PAC</w:t>
      </w:r>
      <w:r>
        <w:rPr>
          <w:rFonts w:cs="Times New Roman"/>
        </w:rPr>
        <w:tab/>
      </w:r>
      <w:r>
        <w:rPr>
          <w:rFonts w:cs="Times New Roman"/>
        </w:rPr>
        <w:tab/>
      </w:r>
      <w:r w:rsidRPr="00984964">
        <w:t>Pan Africanist Congress</w:t>
      </w:r>
    </w:p>
    <w:p w14:paraId="563803A4" w14:textId="77777777" w:rsidR="008314ED" w:rsidRDefault="008314ED" w:rsidP="00782482">
      <w:r>
        <w:t>PLC</w:t>
      </w:r>
      <w:r>
        <w:tab/>
      </w:r>
      <w:r>
        <w:tab/>
        <w:t>Patrice Lumumba Coalition</w:t>
      </w:r>
    </w:p>
    <w:p w14:paraId="3DF07EB9" w14:textId="77777777" w:rsidR="00614232" w:rsidRDefault="006D3E89" w:rsidP="00782482">
      <w:r>
        <w:t>SAB</w:t>
      </w:r>
      <w:r>
        <w:tab/>
      </w:r>
      <w:r>
        <w:tab/>
        <w:t>South African Breweries</w:t>
      </w:r>
    </w:p>
    <w:p w14:paraId="4E3A585F" w14:textId="77777777" w:rsidR="00B2685E" w:rsidRDefault="00712119" w:rsidP="00782482">
      <w:r>
        <w:t>VOC</w:t>
      </w:r>
      <w:r w:rsidR="00755F86">
        <w:t xml:space="preserve"> </w:t>
      </w:r>
      <w:r>
        <w:tab/>
      </w:r>
      <w:r>
        <w:tab/>
      </w:r>
      <w:r w:rsidR="00755F86" w:rsidRPr="00755F86">
        <w:t>Vereenigde Oost-Indische Compagnie (Dutch East India Company)</w:t>
      </w:r>
    </w:p>
    <w:p w14:paraId="2F5D1432" w14:textId="77777777" w:rsidR="00FA1D9C" w:rsidRPr="00556F63" w:rsidRDefault="00FA1D9C">
      <w:pPr>
        <w:spacing w:line="259" w:lineRule="auto"/>
        <w:jc w:val="left"/>
      </w:pPr>
    </w:p>
    <w:p w14:paraId="20DC9A48" w14:textId="77777777" w:rsidR="00FA1D9C" w:rsidRDefault="00FA1D9C" w:rsidP="00FA1D9C">
      <w:pPr>
        <w:pStyle w:val="Heading1"/>
        <w:numPr>
          <w:ilvl w:val="0"/>
          <w:numId w:val="0"/>
        </w:numPr>
        <w:ind w:left="432" w:hanging="432"/>
        <w:jc w:val="center"/>
      </w:pPr>
      <w:bookmarkStart w:id="5" w:name="_Toc488481693"/>
      <w:r>
        <w:t>List of Tables</w:t>
      </w:r>
      <w:bookmarkEnd w:id="5"/>
    </w:p>
    <w:p w14:paraId="4A178702" w14:textId="77777777" w:rsidR="005B6DEE" w:rsidRPr="005B702A" w:rsidRDefault="00FA1D9C" w:rsidP="00FA1D9C">
      <w:pPr>
        <w:spacing w:after="120" w:line="240" w:lineRule="auto"/>
      </w:pPr>
      <w:r w:rsidRPr="005B702A">
        <w:t>Table 1</w:t>
      </w:r>
      <w:r w:rsidRPr="005B702A">
        <w:tab/>
      </w:r>
      <w:r w:rsidRPr="005B702A">
        <w:tab/>
      </w:r>
      <w:r w:rsidR="00887204" w:rsidRPr="005B702A">
        <w:t>Ownership of Sun International and Sun City</w:t>
      </w:r>
      <w:r w:rsidRPr="005B702A">
        <w:tab/>
        <w:t xml:space="preserve">Page </w:t>
      </w:r>
      <w:r w:rsidR="005B702A">
        <w:t>21</w:t>
      </w:r>
    </w:p>
    <w:p w14:paraId="03A3432E" w14:textId="77777777" w:rsidR="00FF6FCC" w:rsidRPr="005B702A" w:rsidRDefault="005B6DEE" w:rsidP="00FA1D9C">
      <w:pPr>
        <w:spacing w:after="120" w:line="240" w:lineRule="auto"/>
      </w:pPr>
      <w:r w:rsidRPr="005B702A">
        <w:t>Table 2</w:t>
      </w:r>
      <w:r w:rsidR="00FF6FCC" w:rsidRPr="005B702A">
        <w:tab/>
      </w:r>
      <w:r w:rsidR="00FF6FCC" w:rsidRPr="005B702A">
        <w:tab/>
      </w:r>
      <w:r w:rsidR="00A05960" w:rsidRPr="005B702A">
        <w:t>Restaurant k</w:t>
      </w:r>
      <w:r w:rsidR="00FF6FCC" w:rsidRPr="005B702A">
        <w:t>itchen staff</w:t>
      </w:r>
      <w:r w:rsidR="00FF6FCC" w:rsidRPr="005B702A">
        <w:tab/>
      </w:r>
      <w:r w:rsidR="00FF6FCC" w:rsidRPr="005B702A">
        <w:tab/>
      </w:r>
      <w:r w:rsidR="00FF6FCC" w:rsidRPr="005B702A">
        <w:tab/>
      </w:r>
      <w:r w:rsidR="00FF6FCC" w:rsidRPr="005B702A">
        <w:tab/>
      </w:r>
      <w:r w:rsidR="005B702A" w:rsidRPr="005B702A">
        <w:t>Page 115</w:t>
      </w:r>
    </w:p>
    <w:p w14:paraId="2954DAF5" w14:textId="77777777" w:rsidR="00FF6FCC" w:rsidRPr="005B702A" w:rsidRDefault="00FF6FCC" w:rsidP="00FA1D9C">
      <w:pPr>
        <w:spacing w:after="120" w:line="240" w:lineRule="auto"/>
      </w:pPr>
      <w:r w:rsidRPr="005B702A">
        <w:t>Table 3</w:t>
      </w:r>
      <w:r w:rsidRPr="005B702A">
        <w:tab/>
      </w:r>
      <w:r w:rsidRPr="005B702A">
        <w:tab/>
      </w:r>
      <w:r w:rsidR="00A05960" w:rsidRPr="005B702A">
        <w:t>Hotel s</w:t>
      </w:r>
      <w:r w:rsidRPr="005B702A">
        <w:t xml:space="preserve">upervisors </w:t>
      </w:r>
      <w:r w:rsidRPr="005B702A">
        <w:tab/>
      </w:r>
      <w:r w:rsidRPr="005B702A">
        <w:tab/>
      </w:r>
      <w:r w:rsidRPr="005B702A">
        <w:tab/>
      </w:r>
      <w:r w:rsidRPr="005B702A">
        <w:tab/>
      </w:r>
      <w:r w:rsidRPr="005B702A">
        <w:tab/>
      </w:r>
      <w:r w:rsidR="005B702A" w:rsidRPr="005B702A">
        <w:t>Page 116</w:t>
      </w:r>
    </w:p>
    <w:p w14:paraId="3760B907" w14:textId="77777777" w:rsidR="00FF6FCC" w:rsidRPr="005B702A" w:rsidRDefault="00A05960" w:rsidP="00FA1D9C">
      <w:pPr>
        <w:spacing w:after="120" w:line="240" w:lineRule="auto"/>
      </w:pPr>
      <w:r w:rsidRPr="005B702A">
        <w:t>Table 4</w:t>
      </w:r>
      <w:r w:rsidRPr="005B702A">
        <w:tab/>
        <w:t xml:space="preserve"> </w:t>
      </w:r>
      <w:r w:rsidRPr="005B702A">
        <w:tab/>
        <w:t>Restaurant w</w:t>
      </w:r>
      <w:r w:rsidR="00FF6FCC" w:rsidRPr="005B702A">
        <w:t>aitstaff</w:t>
      </w:r>
      <w:r w:rsidR="00FF6FCC" w:rsidRPr="005B702A">
        <w:tab/>
      </w:r>
      <w:r w:rsidR="00FF6FCC" w:rsidRPr="005B702A">
        <w:tab/>
      </w:r>
      <w:r w:rsidR="00FF6FCC" w:rsidRPr="005B702A">
        <w:tab/>
      </w:r>
      <w:r w:rsidR="00FF6FCC" w:rsidRPr="005B702A">
        <w:tab/>
      </w:r>
      <w:r w:rsidR="00FF6FCC" w:rsidRPr="005B702A">
        <w:tab/>
      </w:r>
      <w:r w:rsidR="005B702A" w:rsidRPr="005B702A">
        <w:t>Page 119</w:t>
      </w:r>
    </w:p>
    <w:p w14:paraId="14A71B16" w14:textId="77777777" w:rsidR="00556F63" w:rsidRPr="005B702A" w:rsidRDefault="00A05960" w:rsidP="00FA1D9C">
      <w:pPr>
        <w:spacing w:after="120" w:line="240" w:lineRule="auto"/>
      </w:pPr>
      <w:r w:rsidRPr="005B702A">
        <w:t>Table 5</w:t>
      </w:r>
      <w:r w:rsidRPr="005B702A">
        <w:tab/>
      </w:r>
      <w:r w:rsidRPr="005B702A">
        <w:tab/>
        <w:t>Hotel c</w:t>
      </w:r>
      <w:r w:rsidR="00FF6FCC" w:rsidRPr="005B702A">
        <w:t>leaning staff</w:t>
      </w:r>
      <w:r w:rsidR="00FF6FCC" w:rsidRPr="005B702A">
        <w:tab/>
      </w:r>
      <w:r w:rsidR="00FF6FCC" w:rsidRPr="005B702A">
        <w:tab/>
      </w:r>
      <w:r w:rsidR="00FF6FCC" w:rsidRPr="005B702A">
        <w:tab/>
      </w:r>
      <w:r w:rsidR="00FF6FCC" w:rsidRPr="005B702A">
        <w:tab/>
      </w:r>
      <w:r w:rsidR="00FF6FCC" w:rsidRPr="005B702A">
        <w:tab/>
      </w:r>
      <w:r w:rsidR="005B702A" w:rsidRPr="005B702A">
        <w:t>Page 120</w:t>
      </w:r>
      <w:r w:rsidR="00FA1D9C" w:rsidRPr="005B702A">
        <w:tab/>
      </w:r>
    </w:p>
    <w:p w14:paraId="69C6D0CA" w14:textId="77777777" w:rsidR="00556F63" w:rsidRPr="005B702A" w:rsidRDefault="00556F63">
      <w:pPr>
        <w:spacing w:line="259" w:lineRule="auto"/>
        <w:jc w:val="left"/>
      </w:pPr>
      <w:r w:rsidRPr="005B702A">
        <w:br w:type="page"/>
      </w:r>
    </w:p>
    <w:p w14:paraId="0B44BF43" w14:textId="77777777" w:rsidR="00556F63" w:rsidRDefault="00FA1D9C" w:rsidP="00556F63">
      <w:pPr>
        <w:pStyle w:val="Heading1"/>
        <w:numPr>
          <w:ilvl w:val="0"/>
          <w:numId w:val="0"/>
        </w:numPr>
        <w:ind w:left="432" w:hanging="432"/>
        <w:jc w:val="center"/>
      </w:pPr>
      <w:r>
        <w:lastRenderedPageBreak/>
        <w:tab/>
      </w:r>
      <w:bookmarkStart w:id="6" w:name="_Toc488481694"/>
      <w:r w:rsidR="00556F63">
        <w:t>List of Figures</w:t>
      </w:r>
      <w:bookmarkEnd w:id="6"/>
    </w:p>
    <w:p w14:paraId="676A13B3" w14:textId="77777777" w:rsidR="00556F63" w:rsidRDefault="00556F63" w:rsidP="00556F63">
      <w:pPr>
        <w:spacing w:after="120" w:line="240" w:lineRule="auto"/>
      </w:pPr>
      <w:r>
        <w:t>Figure 1</w:t>
      </w:r>
      <w:r>
        <w:tab/>
      </w:r>
      <w:r>
        <w:tab/>
        <w:t xml:space="preserve">Homelands of South Africa </w:t>
      </w:r>
      <w:r>
        <w:tab/>
      </w:r>
      <w:r>
        <w:tab/>
      </w:r>
      <w:r>
        <w:tab/>
      </w:r>
      <w:r>
        <w:tab/>
        <w:t>Page 7</w:t>
      </w:r>
    </w:p>
    <w:p w14:paraId="6B82BA3A" w14:textId="77777777" w:rsidR="00672413" w:rsidRDefault="00B8198E" w:rsidP="00556F63">
      <w:pPr>
        <w:spacing w:after="120" w:line="240" w:lineRule="auto"/>
        <w:jc w:val="left"/>
      </w:pPr>
      <w:r>
        <w:t>Figure 2</w:t>
      </w:r>
      <w:r w:rsidR="00672413">
        <w:tab/>
      </w:r>
      <w:r w:rsidR="00672413">
        <w:tab/>
        <w:t>Sun City security guards graduate training</w:t>
      </w:r>
      <w:r w:rsidR="00672413">
        <w:tab/>
      </w:r>
      <w:r w:rsidR="00672413">
        <w:tab/>
        <w:t>Page 55</w:t>
      </w:r>
    </w:p>
    <w:p w14:paraId="112F3B1C" w14:textId="77777777" w:rsidR="002F536C" w:rsidRDefault="00B8198E" w:rsidP="00556F63">
      <w:pPr>
        <w:spacing w:after="120" w:line="240" w:lineRule="auto"/>
        <w:jc w:val="left"/>
      </w:pPr>
      <w:r>
        <w:t>Figure 3</w:t>
      </w:r>
      <w:r w:rsidR="002F536C">
        <w:t xml:space="preserve"> </w:t>
      </w:r>
      <w:r w:rsidR="002F536C">
        <w:tab/>
      </w:r>
      <w:r w:rsidR="002F536C">
        <w:tab/>
        <w:t xml:space="preserve">Ray Morgan’s </w:t>
      </w:r>
      <w:r w:rsidR="002F536C" w:rsidRPr="00FF6FCC">
        <w:rPr>
          <w:i/>
        </w:rPr>
        <w:t>Sun City</w:t>
      </w:r>
      <w:r w:rsidR="00FF6FCC">
        <w:tab/>
      </w:r>
      <w:r w:rsidR="00FF6FCC">
        <w:tab/>
      </w:r>
      <w:r w:rsidR="00FF6FCC">
        <w:tab/>
      </w:r>
      <w:r w:rsidR="00FF6FCC">
        <w:tab/>
      </w:r>
      <w:r w:rsidR="000C462B">
        <w:t>Page 62</w:t>
      </w:r>
    </w:p>
    <w:p w14:paraId="5BFB5459" w14:textId="77777777" w:rsidR="002F536C" w:rsidRDefault="00B8198E" w:rsidP="00556F63">
      <w:pPr>
        <w:spacing w:after="120" w:line="240" w:lineRule="auto"/>
        <w:jc w:val="left"/>
      </w:pPr>
      <w:r>
        <w:t>Figure 4</w:t>
      </w:r>
      <w:r w:rsidR="00FF6FCC">
        <w:tab/>
      </w:r>
      <w:r w:rsidR="00FF6FCC">
        <w:tab/>
        <w:t xml:space="preserve">Advertisement </w:t>
      </w:r>
      <w:r w:rsidR="000C462B">
        <w:t xml:space="preserve">from Sun City </w:t>
      </w:r>
      <w:r w:rsidR="000C462B">
        <w:tab/>
      </w:r>
      <w:r w:rsidR="000C462B">
        <w:tab/>
      </w:r>
      <w:r w:rsidR="000C462B">
        <w:tab/>
        <w:t>Page 63</w:t>
      </w:r>
    </w:p>
    <w:p w14:paraId="53DFB67E" w14:textId="77777777" w:rsidR="002F536C" w:rsidRDefault="00B8198E" w:rsidP="00556F63">
      <w:pPr>
        <w:spacing w:after="120" w:line="240" w:lineRule="auto"/>
        <w:jc w:val="left"/>
      </w:pPr>
      <w:r>
        <w:t>Figure 5</w:t>
      </w:r>
      <w:r w:rsidR="000C462B">
        <w:tab/>
      </w:r>
      <w:r w:rsidR="000C462B">
        <w:tab/>
        <w:t>Sun City train</w:t>
      </w:r>
      <w:r w:rsidR="000C462B">
        <w:tab/>
      </w:r>
      <w:r w:rsidR="000C462B">
        <w:tab/>
      </w:r>
      <w:r w:rsidR="000C462B">
        <w:tab/>
      </w:r>
      <w:r w:rsidR="000C462B">
        <w:tab/>
      </w:r>
      <w:r w:rsidR="000C462B">
        <w:tab/>
      </w:r>
      <w:r w:rsidR="000C462B">
        <w:tab/>
        <w:t>Page 65</w:t>
      </w:r>
    </w:p>
    <w:p w14:paraId="4868E9A6" w14:textId="77777777" w:rsidR="002F536C" w:rsidRDefault="00B8198E" w:rsidP="00556F63">
      <w:pPr>
        <w:spacing w:after="120" w:line="240" w:lineRule="auto"/>
        <w:jc w:val="left"/>
      </w:pPr>
      <w:r>
        <w:t>Figure 6</w:t>
      </w:r>
      <w:r w:rsidR="002F536C">
        <w:tab/>
      </w:r>
      <w:r w:rsidR="002F536C">
        <w:tab/>
        <w:t>Revue dancer perf</w:t>
      </w:r>
      <w:r w:rsidR="000C462B">
        <w:t>orming at Sun City 1982</w:t>
      </w:r>
      <w:r w:rsidR="000C462B">
        <w:tab/>
      </w:r>
      <w:r w:rsidR="000C462B">
        <w:tab/>
        <w:t>Page 69</w:t>
      </w:r>
    </w:p>
    <w:p w14:paraId="7BD85207" w14:textId="77777777" w:rsidR="002F536C" w:rsidRPr="007E45C8" w:rsidRDefault="00B8198E" w:rsidP="00556F63">
      <w:pPr>
        <w:spacing w:after="120" w:line="240" w:lineRule="auto"/>
        <w:jc w:val="left"/>
      </w:pPr>
      <w:r>
        <w:t>Figure 7</w:t>
      </w:r>
      <w:r w:rsidR="002F536C" w:rsidRPr="007E45C8">
        <w:tab/>
      </w:r>
      <w:r w:rsidR="002F536C" w:rsidRPr="007E45C8">
        <w:tab/>
      </w:r>
      <w:r w:rsidR="00FF6FCC" w:rsidRPr="007E45C8">
        <w:t>Boxing fight</w:t>
      </w:r>
      <w:r w:rsidR="002F536C" w:rsidRPr="007E45C8">
        <w:t xml:space="preserve"> Sun City 1984</w:t>
      </w:r>
      <w:r w:rsidR="00FF6FCC" w:rsidRPr="007E45C8">
        <w:tab/>
      </w:r>
      <w:r w:rsidR="00FF6FCC" w:rsidRPr="007E45C8">
        <w:tab/>
      </w:r>
      <w:r w:rsidR="00FF6FCC" w:rsidRPr="007E45C8">
        <w:tab/>
      </w:r>
      <w:r w:rsidR="00FF6FCC" w:rsidRPr="007E45C8">
        <w:tab/>
      </w:r>
      <w:r w:rsidR="007E45C8" w:rsidRPr="007E45C8">
        <w:t>Page 84</w:t>
      </w:r>
    </w:p>
    <w:p w14:paraId="34CFD6BF" w14:textId="77777777" w:rsidR="002F536C" w:rsidRPr="00FD64F3" w:rsidRDefault="00B8198E" w:rsidP="00556F63">
      <w:pPr>
        <w:spacing w:after="120" w:line="240" w:lineRule="auto"/>
        <w:jc w:val="left"/>
      </w:pPr>
      <w:r>
        <w:t>Figure 8</w:t>
      </w:r>
      <w:r w:rsidR="002F536C" w:rsidRPr="00FD64F3">
        <w:tab/>
      </w:r>
      <w:r w:rsidR="002F536C" w:rsidRPr="00FD64F3">
        <w:tab/>
        <w:t xml:space="preserve">Amy Kleinhans at </w:t>
      </w:r>
      <w:r w:rsidR="00FD64F3" w:rsidRPr="00FD64F3">
        <w:t>Miss World 1992 Sun City</w:t>
      </w:r>
      <w:r w:rsidR="00FD64F3" w:rsidRPr="00FD64F3">
        <w:tab/>
        <w:t>Page 95</w:t>
      </w:r>
    </w:p>
    <w:p w14:paraId="246E2F23" w14:textId="77777777" w:rsidR="002F536C" w:rsidRPr="00FD64F3" w:rsidRDefault="00B8198E" w:rsidP="00556F63">
      <w:pPr>
        <w:spacing w:after="120" w:line="240" w:lineRule="auto"/>
        <w:jc w:val="left"/>
        <w:sectPr w:rsidR="002F536C" w:rsidRPr="00FD64F3" w:rsidSect="008259E9">
          <w:pgSz w:w="11906" w:h="16838"/>
          <w:pgMar w:top="1440" w:right="1440" w:bottom="1440" w:left="1440" w:header="708" w:footer="708" w:gutter="0"/>
          <w:pgNumType w:fmt="lowerRoman" w:start="1"/>
          <w:cols w:space="708"/>
          <w:titlePg/>
          <w:docGrid w:linePitch="360"/>
        </w:sectPr>
      </w:pPr>
      <w:r>
        <w:t>Figure 9</w:t>
      </w:r>
      <w:r w:rsidR="002F536C" w:rsidRPr="00FD64F3">
        <w:tab/>
      </w:r>
      <w:r w:rsidR="002F536C" w:rsidRPr="00FD64F3">
        <w:tab/>
        <w:t>O</w:t>
      </w:r>
      <w:r w:rsidR="005B702A">
        <w:t>ld South African flag</w:t>
      </w:r>
      <w:r w:rsidR="005B702A">
        <w:tab/>
      </w:r>
      <w:r w:rsidR="005B702A">
        <w:tab/>
      </w:r>
      <w:r w:rsidR="005B702A">
        <w:tab/>
      </w:r>
      <w:r w:rsidR="005B702A">
        <w:tab/>
        <w:t>Page 9</w:t>
      </w:r>
      <w:r w:rsidR="00F756D6">
        <w:t>6</w:t>
      </w:r>
    </w:p>
    <w:p w14:paraId="32130BB6" w14:textId="77777777" w:rsidR="00DF6463" w:rsidRDefault="00DF6463" w:rsidP="00EB6ABC">
      <w:pPr>
        <w:sectPr w:rsidR="00DF6463" w:rsidSect="00DF6463">
          <w:pgSz w:w="11906" w:h="16838"/>
          <w:pgMar w:top="1440" w:right="1440" w:bottom="1440" w:left="1440" w:header="708" w:footer="708" w:gutter="0"/>
          <w:pgNumType w:start="1"/>
          <w:cols w:space="708"/>
          <w:titlePg/>
          <w:docGrid w:linePitch="360"/>
        </w:sectPr>
      </w:pPr>
    </w:p>
    <w:p w14:paraId="1FB50F39" w14:textId="77777777" w:rsidR="005740F5" w:rsidRPr="00315A2B" w:rsidRDefault="00FB1927" w:rsidP="005B702A">
      <w:pPr>
        <w:pStyle w:val="Heading1"/>
        <w:numPr>
          <w:ilvl w:val="0"/>
          <w:numId w:val="0"/>
        </w:numPr>
        <w:jc w:val="center"/>
      </w:pPr>
      <w:bookmarkStart w:id="7" w:name="_Toc488481695"/>
      <w:r w:rsidRPr="00315A2B">
        <w:lastRenderedPageBreak/>
        <w:t>I</w:t>
      </w:r>
      <w:r w:rsidR="00826ABC" w:rsidRPr="00315A2B">
        <w:t>ntroduction</w:t>
      </w:r>
      <w:bookmarkEnd w:id="7"/>
    </w:p>
    <w:p w14:paraId="0015C9D7" w14:textId="77777777" w:rsidR="00D83ADE" w:rsidRDefault="00D83ADE" w:rsidP="00246DA1"/>
    <w:p w14:paraId="5EECDF32" w14:textId="77777777" w:rsidR="005E4065" w:rsidRDefault="00D83ADE" w:rsidP="00246DA1">
      <w:r>
        <w:t xml:space="preserve">Gambling was declared a morally repugnant vice by the </w:t>
      </w:r>
      <w:r w:rsidR="00E65C7D">
        <w:t>South African apartheid</w:t>
      </w:r>
      <w:r w:rsidR="00202C82">
        <w:t xml:space="preserve"> government</w:t>
      </w:r>
      <w:r>
        <w:t xml:space="preserve"> in 1965</w:t>
      </w:r>
      <w:r w:rsidR="004E528C">
        <w:t>, forcing</w:t>
      </w:r>
      <w:r>
        <w:t xml:space="preserve"> casinos into the </w:t>
      </w:r>
      <w:r w:rsidR="0081332D">
        <w:t xml:space="preserve">peripheries </w:t>
      </w:r>
      <w:r>
        <w:t xml:space="preserve">of southern Africa. Sun City was established in the </w:t>
      </w:r>
      <w:r w:rsidR="004E528C">
        <w:t>nominally independent bantustan of</w:t>
      </w:r>
      <w:r>
        <w:t xml:space="preserve"> Bophuthatswana</w:t>
      </w:r>
      <w:r w:rsidR="004E528C">
        <w:t xml:space="preserve"> by hotel mogul</w:t>
      </w:r>
      <w:r>
        <w:t xml:space="preserve"> Sol Kerzner</w:t>
      </w:r>
      <w:r w:rsidR="004E528C">
        <w:t xml:space="preserve"> in 1979</w:t>
      </w:r>
      <w:r>
        <w:t>. Designed in the lavish Las Vegas Strip style, Sun City became</w:t>
      </w:r>
      <w:r w:rsidR="00E65C7D">
        <w:t xml:space="preserve"> </w:t>
      </w:r>
      <w:r w:rsidR="0010724B">
        <w:t>perhaps the</w:t>
      </w:r>
      <w:r w:rsidR="00B52142">
        <w:t xml:space="preserve"> </w:t>
      </w:r>
      <w:r>
        <w:t>most notorious</w:t>
      </w:r>
      <w:r w:rsidR="0010724B">
        <w:t xml:space="preserve"> of the</w:t>
      </w:r>
      <w:r>
        <w:t xml:space="preserve"> bantustan casinos. Roulette, slot machines, poker, black musicians, pornography, multi-racial sequined show girls and Gary Player designed golf courses were </w:t>
      </w:r>
      <w:r w:rsidR="006F3AD9">
        <w:t>laid out</w:t>
      </w:r>
      <w:r w:rsidR="0010724B">
        <w:t xml:space="preserve"> for customers</w:t>
      </w:r>
      <w:r>
        <w:t>.</w:t>
      </w:r>
      <w:r>
        <w:rPr>
          <w:rStyle w:val="FootnoteReference"/>
        </w:rPr>
        <w:footnoteReference w:id="1"/>
      </w:r>
      <w:r>
        <w:t xml:space="preserve"> The </w:t>
      </w:r>
      <w:r w:rsidR="0010724B">
        <w:t>development</w:t>
      </w:r>
      <w:r>
        <w:t xml:space="preserve"> of casinos and resorts in the bantustans satisfied the cravings of white South Africans for vices that they could not find at home</w:t>
      </w:r>
      <w:r w:rsidR="009A52A2">
        <w:t>.</w:t>
      </w:r>
    </w:p>
    <w:p w14:paraId="403B73CE" w14:textId="77777777" w:rsidR="00E77763" w:rsidRDefault="00E77763" w:rsidP="00246DA1">
      <w:r>
        <w:t xml:space="preserve">Gambling was first controlled </w:t>
      </w:r>
      <w:r w:rsidR="006F3AD9">
        <w:t>as early as</w:t>
      </w:r>
      <w:r>
        <w:t xml:space="preserve"> 1673 by the Dutch East India Company (VOC) and later outlawed in 1889 by the British colonial government </w:t>
      </w:r>
      <w:r w:rsidR="006F3AD9">
        <w:t>at</w:t>
      </w:r>
      <w:r>
        <w:t xml:space="preserve"> the Cape, despite already being prohibited in the Boer Republics. This ban continued into the Union of South Africa.</w:t>
      </w:r>
      <w:r>
        <w:rPr>
          <w:rStyle w:val="FootnoteReference"/>
        </w:rPr>
        <w:footnoteReference w:id="2"/>
      </w:r>
      <w:r>
        <w:t xml:space="preserve"> After the discovery of gold on the Witwatersrand and the massive </w:t>
      </w:r>
      <w:r w:rsidR="00C95977">
        <w:t xml:space="preserve">industrial and urban </w:t>
      </w:r>
      <w:r>
        <w:t>expansion of the area, dog racing grew in popularity</w:t>
      </w:r>
      <w:r w:rsidR="00C95977">
        <w:t>,</w:t>
      </w:r>
      <w:r>
        <w:t xml:space="preserve"> bec</w:t>
      </w:r>
      <w:r w:rsidR="00C95977">
        <w:t>oming</w:t>
      </w:r>
      <w:r>
        <w:t xml:space="preserve"> a common feature of </w:t>
      </w:r>
      <w:r w:rsidR="00C95977">
        <w:t xml:space="preserve">the Rand’s </w:t>
      </w:r>
      <w:r>
        <w:t xml:space="preserve">gambling culture. However, </w:t>
      </w:r>
      <w:r w:rsidR="006F3AD9">
        <w:t xml:space="preserve">the </w:t>
      </w:r>
      <w:r>
        <w:t>p</w:t>
      </w:r>
      <w:r w:rsidR="005E4065">
        <w:t xml:space="preserve">uritan </w:t>
      </w:r>
      <w:r w:rsidR="00E65C7D">
        <w:t xml:space="preserve">National Party (NP) </w:t>
      </w:r>
      <w:r>
        <w:t xml:space="preserve">were opposed to the pastime on moral and religious </w:t>
      </w:r>
      <w:r w:rsidR="00025FCB">
        <w:t xml:space="preserve">grounds </w:t>
      </w:r>
      <w:r>
        <w:t>and the dog races were prohibited in 1949.</w:t>
      </w:r>
      <w:r>
        <w:rPr>
          <w:rStyle w:val="FootnoteReference"/>
        </w:rPr>
        <w:footnoteReference w:id="3"/>
      </w:r>
      <w:r>
        <w:t xml:space="preserve"> In 1965 the</w:t>
      </w:r>
      <w:r w:rsidR="00E65C7D" w:rsidRPr="00E65C7D">
        <w:t xml:space="preserve"> </w:t>
      </w:r>
      <w:r w:rsidR="00E65C7D">
        <w:t>NP</w:t>
      </w:r>
      <w:r>
        <w:t>, which had come to power in 1948 on a platform of apartheid, implemented a comprehensive Gambling Act</w:t>
      </w:r>
      <w:r w:rsidR="00025FCB">
        <w:t>,</w:t>
      </w:r>
      <w:r>
        <w:t xml:space="preserve"> which </w:t>
      </w:r>
      <w:r w:rsidR="00E65C7D">
        <w:t>banned</w:t>
      </w:r>
      <w:r>
        <w:t xml:space="preserve"> the pastime officially.</w:t>
      </w:r>
      <w:r w:rsidR="005E4065">
        <w:t xml:space="preserve"> </w:t>
      </w:r>
      <w:r>
        <w:t xml:space="preserve">The </w:t>
      </w:r>
      <w:r w:rsidR="009A7947">
        <w:t xml:space="preserve">NP’s ideology of </w:t>
      </w:r>
      <w:r>
        <w:t>Afrika</w:t>
      </w:r>
      <w:r w:rsidR="009A7947">
        <w:t>ner</w:t>
      </w:r>
      <w:r>
        <w:t xml:space="preserve"> </w:t>
      </w:r>
      <w:r w:rsidR="009A7947">
        <w:t>n</w:t>
      </w:r>
      <w:r>
        <w:t xml:space="preserve">ationalism promoted </w:t>
      </w:r>
      <w:r w:rsidR="009A7947">
        <w:t>the ideal</w:t>
      </w:r>
      <w:r>
        <w:t xml:space="preserve"> of a morally and racially purified South Africa. An integral part of </w:t>
      </w:r>
      <w:r w:rsidR="00025FCB">
        <w:t xml:space="preserve">its Calvinistic </w:t>
      </w:r>
      <w:r>
        <w:t xml:space="preserve">mission was banning a multitude of vices amongst the white </w:t>
      </w:r>
      <w:r w:rsidR="00E65C7D">
        <w:t>citizen</w:t>
      </w:r>
      <w:r>
        <w:t>ry to ensure a morally pure</w:t>
      </w:r>
      <w:r w:rsidR="00025FCB">
        <w:t xml:space="preserve"> white</w:t>
      </w:r>
      <w:r>
        <w:t xml:space="preserve"> nation. These vices extended from miscegenation </w:t>
      </w:r>
      <w:r w:rsidR="00C95977">
        <w:t xml:space="preserve">to </w:t>
      </w:r>
      <w:r>
        <w:t xml:space="preserve">pornography </w:t>
      </w:r>
      <w:r w:rsidR="00C95977">
        <w:t xml:space="preserve">and </w:t>
      </w:r>
      <w:r>
        <w:t xml:space="preserve">gambling. The prohibition of gambling within South Africa’s borders was </w:t>
      </w:r>
      <w:r w:rsidR="00025FCB">
        <w:t xml:space="preserve">finalised </w:t>
      </w:r>
      <w:r>
        <w:t>with the 1965 South African Gambling Act</w:t>
      </w:r>
      <w:r w:rsidR="00025FCB">
        <w:t>, which</w:t>
      </w:r>
      <w:r>
        <w:t xml:space="preserve"> outlawed all </w:t>
      </w:r>
      <w:r w:rsidR="00025FCB">
        <w:t xml:space="preserve">forms of </w:t>
      </w:r>
      <w:r>
        <w:t>gambling excluding the placement of bets on horseracing.</w:t>
      </w:r>
    </w:p>
    <w:p w14:paraId="43D689DE" w14:textId="77777777" w:rsidR="004E528C" w:rsidRDefault="00E77763" w:rsidP="004E528C">
      <w:r>
        <w:lastRenderedPageBreak/>
        <w:t xml:space="preserve">Despite this prohibition, casinos began to operate in </w:t>
      </w:r>
      <w:r w:rsidR="002728C9">
        <w:t xml:space="preserve">South Africa’s apartheid-era bantustans </w:t>
      </w:r>
      <w:r>
        <w:t>towards to the late 1970s.</w:t>
      </w:r>
      <w:r w:rsidR="006F3AD9">
        <w:t xml:space="preserve"> </w:t>
      </w:r>
      <w:r>
        <w:t>Sun International established Sun City in Bophuthatswana in 1979, the Wild Coast Sun in the Transkei and the Fish River Sun i</w:t>
      </w:r>
      <w:r w:rsidR="00D83ADE">
        <w:t xml:space="preserve">n the Ciskei in </w:t>
      </w:r>
      <w:r>
        <w:t xml:space="preserve">1989. </w:t>
      </w:r>
      <w:r w:rsidR="00EC1AFF">
        <w:t>The b</w:t>
      </w:r>
      <w:r>
        <w:t xml:space="preserve">antustans were </w:t>
      </w:r>
      <w:r w:rsidR="002728C9">
        <w:t xml:space="preserve">ethnically-defined </w:t>
      </w:r>
      <w:r>
        <w:t>territories specifically designated for South Africa</w:t>
      </w:r>
      <w:r w:rsidR="002728C9">
        <w:t>’s black population</w:t>
      </w:r>
      <w:r>
        <w:t xml:space="preserve"> under apartheid. Ten bantustans </w:t>
      </w:r>
      <w:r w:rsidR="00F77E2D">
        <w:t xml:space="preserve">or ‘homelands’, as they were also known, </w:t>
      </w:r>
      <w:r>
        <w:t>were established throughout the interior of South Africa</w:t>
      </w:r>
      <w:r w:rsidR="006F4D9F">
        <w:t>.</w:t>
      </w:r>
      <w:r w:rsidR="006F3AD9">
        <w:rPr>
          <w:rStyle w:val="FootnoteReference"/>
        </w:rPr>
        <w:footnoteReference w:id="4"/>
      </w:r>
      <w:r>
        <w:t xml:space="preserve"> </w:t>
      </w:r>
      <w:r w:rsidR="002728C9">
        <w:t>African people</w:t>
      </w:r>
      <w:r>
        <w:t xml:space="preserve"> were separated into these areas according to their language and </w:t>
      </w:r>
      <w:r w:rsidR="00C31F89">
        <w:t>culture</w:t>
      </w:r>
      <w:r>
        <w:t xml:space="preserve">, dividing ethnicities into perceived homogenous groups. </w:t>
      </w:r>
      <w:r w:rsidR="004E528C">
        <w:t>Connie Mulder, the South African Information and Interior Minister stated in 1970</w:t>
      </w:r>
      <w:r w:rsidR="006F4D9F">
        <w:t>:</w:t>
      </w:r>
    </w:p>
    <w:p w14:paraId="1873CFEF" w14:textId="77777777" w:rsidR="004E528C" w:rsidRPr="00ED2653" w:rsidRDefault="004E528C" w:rsidP="009E72CB">
      <w:pPr>
        <w:pStyle w:val="Subtitle"/>
        <w:spacing w:after="360"/>
      </w:pPr>
      <w:r>
        <w:t>N</w:t>
      </w:r>
      <w:r>
        <w:rPr>
          <w:bdr w:val="none" w:sz="0" w:space="0" w:color="auto" w:frame="1"/>
        </w:rPr>
        <w:t xml:space="preserve">o black person will eventually qualify [for South African nationality and the right to work or live in South Africa] because they will all be aliens, and as such, will only be able to occupy the houses bequeathed to them by their fathers, in </w:t>
      </w:r>
      <w:r w:rsidRPr="004F14D4">
        <w:rPr>
          <w:bdr w:val="none" w:sz="0" w:space="0" w:color="auto" w:frame="1"/>
        </w:rPr>
        <w:t>the urban areas, by special permission of the Minister.</w:t>
      </w:r>
      <w:r w:rsidRPr="004F14D4">
        <w:rPr>
          <w:rStyle w:val="FootnoteReference"/>
        </w:rPr>
        <w:footnoteReference w:id="5"/>
      </w:r>
      <w:r w:rsidRPr="004F14D4">
        <w:t xml:space="preserve"> </w:t>
      </w:r>
    </w:p>
    <w:p w14:paraId="2DFCC5D6" w14:textId="77777777" w:rsidR="00440470" w:rsidRDefault="00E77763" w:rsidP="00440470">
      <w:r>
        <w:t xml:space="preserve">Bophuthatswana, mainly home to Tswana speaking people, was granted nominal self-rule in 1972 before gaining nominal independence in 1977. The bantustans were </w:t>
      </w:r>
      <w:r w:rsidR="00D83ADE">
        <w:t>non-viable economic</w:t>
      </w:r>
      <w:r>
        <w:t xml:space="preserve"> states rather than independent countries</w:t>
      </w:r>
      <w:r w:rsidR="006F4D9F">
        <w:t>;</w:t>
      </w:r>
      <w:r w:rsidR="009E72CB">
        <w:t xml:space="preserve"> the territories </w:t>
      </w:r>
      <w:r>
        <w:t xml:space="preserve">struggled to achieve financial independence and survived through large subsidies provided by the South African government. Despite this, Bophuthatswana </w:t>
      </w:r>
      <w:r w:rsidR="00F77E2D">
        <w:t>has often been portrayed</w:t>
      </w:r>
      <w:r>
        <w:t xml:space="preserve"> as one of the more economically successful bantustans</w:t>
      </w:r>
      <w:r w:rsidR="009E72CB">
        <w:t>,</w:t>
      </w:r>
      <w:r w:rsidR="007E613D">
        <w:t xml:space="preserve"> depende</w:t>
      </w:r>
      <w:r w:rsidR="00D83ADE">
        <w:t>nt</w:t>
      </w:r>
      <w:r w:rsidR="00F77E2D">
        <w:t xml:space="preserve"> </w:t>
      </w:r>
      <w:r w:rsidR="009E72CB">
        <w:t xml:space="preserve">on </w:t>
      </w:r>
      <w:r w:rsidR="00F77E2D">
        <w:t>the m</w:t>
      </w:r>
      <w:r>
        <w:t>ining of platinum and various other</w:t>
      </w:r>
      <w:r w:rsidR="00F77E2D">
        <w:t xml:space="preserve"> </w:t>
      </w:r>
      <w:r w:rsidR="009E72CB">
        <w:t xml:space="preserve">natural </w:t>
      </w:r>
      <w:r w:rsidR="009E72CB" w:rsidRPr="00E65C7D">
        <w:t>resources</w:t>
      </w:r>
      <w:r w:rsidRPr="00E65C7D">
        <w:t>.</w:t>
      </w:r>
      <w:r w:rsidR="007E613D" w:rsidRPr="00E65C7D">
        <w:t xml:space="preserve"> Sun City was</w:t>
      </w:r>
      <w:r w:rsidR="00E65C7D" w:rsidRPr="00E65C7D">
        <w:t xml:space="preserve"> further</w:t>
      </w:r>
      <w:r w:rsidR="007E613D" w:rsidRPr="00E65C7D">
        <w:t xml:space="preserve"> used to promote this narrative. </w:t>
      </w:r>
      <w:r>
        <w:rPr>
          <w:rStyle w:val="FootnoteReference"/>
        </w:rPr>
        <w:footnoteReference w:id="6"/>
      </w:r>
      <w:r w:rsidR="004E528C">
        <w:t xml:space="preserve"> </w:t>
      </w:r>
      <w:r w:rsidR="001E600F">
        <w:t>Bophuthatswana’s</w:t>
      </w:r>
      <w:r w:rsidR="00926912">
        <w:t xml:space="preserve"> president</w:t>
      </w:r>
      <w:r w:rsidR="00E65C7D">
        <w:t>,</w:t>
      </w:r>
      <w:r w:rsidR="00926912">
        <w:t xml:space="preserve"> Lucas Mangope</w:t>
      </w:r>
      <w:r w:rsidR="00E65C7D">
        <w:t>,</w:t>
      </w:r>
      <w:r w:rsidR="00926912">
        <w:t xml:space="preserve"> and Southern Sun hotel group founder</w:t>
      </w:r>
      <w:r w:rsidR="00E65C7D">
        <w:t>,</w:t>
      </w:r>
      <w:r w:rsidR="00926912">
        <w:t xml:space="preserve"> Sol Kerzner</w:t>
      </w:r>
      <w:r w:rsidR="00E65C7D">
        <w:t>,</w:t>
      </w:r>
      <w:r w:rsidR="00926912">
        <w:t xml:space="preserve"> established a mutually beneficial relationship to create casinos within the </w:t>
      </w:r>
      <w:r w:rsidR="00F074B9">
        <w:t xml:space="preserve">borders </w:t>
      </w:r>
      <w:r w:rsidR="00926912">
        <w:t xml:space="preserve">of the bantustan. </w:t>
      </w:r>
    </w:p>
    <w:p w14:paraId="553E7D8E" w14:textId="77777777" w:rsidR="00D112D3" w:rsidRDefault="00D83ADE" w:rsidP="00757572">
      <w:r>
        <w:t xml:space="preserve">This thesis </w:t>
      </w:r>
      <w:r w:rsidR="004E528C">
        <w:t>will</w:t>
      </w:r>
      <w:r>
        <w:t xml:space="preserve"> explore the establishment of the casino and resort</w:t>
      </w:r>
      <w:r w:rsidR="007E613D">
        <w:t xml:space="preserve"> Sun City</w:t>
      </w:r>
      <w:r>
        <w:t xml:space="preserve"> within the borders of the Bophuthatswana homeland. </w:t>
      </w:r>
      <w:r w:rsidR="00E61E9B">
        <w:t>The political impact</w:t>
      </w:r>
      <w:r w:rsidR="004E528C">
        <w:t xml:space="preserve"> </w:t>
      </w:r>
      <w:r w:rsidR="00E61E9B">
        <w:t xml:space="preserve">of Sun City on Bophuthatswana and the </w:t>
      </w:r>
      <w:r w:rsidR="00A05960">
        <w:t>way</w:t>
      </w:r>
      <w:r w:rsidR="00E61E9B">
        <w:t xml:space="preserve"> Sun City was utilised for the promotion of the homeland project will be analysed. This will be done through the exploration of the construction of Sun City, the funding and investment of the project, tourism to the resort and lastly the variety of events hosted by </w:t>
      </w:r>
      <w:r w:rsidR="004E528C">
        <w:t xml:space="preserve">Sol </w:t>
      </w:r>
      <w:r w:rsidR="00E61E9B">
        <w:t xml:space="preserve">Kerzner at the casino resort. </w:t>
      </w:r>
      <w:r w:rsidR="00133020">
        <w:t xml:space="preserve">The central argument of the paper </w:t>
      </w:r>
      <w:r w:rsidR="002D623D">
        <w:t>investigates the</w:t>
      </w:r>
      <w:r w:rsidR="00133020">
        <w:t xml:space="preserve"> economic viability of the homeland policy, and how the casino project impacted </w:t>
      </w:r>
      <w:r w:rsidR="006F4D9F">
        <w:t xml:space="preserve">on </w:t>
      </w:r>
      <w:r w:rsidR="00133020">
        <w:t>this. The</w:t>
      </w:r>
      <w:r w:rsidR="00E61E9B">
        <w:t xml:space="preserve"> research </w:t>
      </w:r>
      <w:r w:rsidR="00E61E9B">
        <w:lastRenderedPageBreak/>
        <w:t xml:space="preserve">will focus on </w:t>
      </w:r>
      <w:r w:rsidR="006F4D9F">
        <w:t>the period</w:t>
      </w:r>
      <w:r w:rsidR="00E61E9B">
        <w:t xml:space="preserve"> spanning 1965-1995</w:t>
      </w:r>
      <w:r w:rsidR="007E613D">
        <w:t xml:space="preserve"> and was chosen to include an analysis on the anti-gambling legislation passed by the NP government, the construction and development of the Sun City complex in the Bophuthatswana bantustan and the election of South African democratic government in 1994. The </w:t>
      </w:r>
      <w:r w:rsidR="00CE4FAE" w:rsidRPr="00CE4FAE">
        <w:t xml:space="preserve">period under examination </w:t>
      </w:r>
      <w:r w:rsidR="007E613D">
        <w:t xml:space="preserve">allowed for </w:t>
      </w:r>
      <w:r w:rsidR="00E65C7D">
        <w:t xml:space="preserve">the account of </w:t>
      </w:r>
      <w:r w:rsidR="007E613D">
        <w:t>a comprehensive historical narrative</w:t>
      </w:r>
      <w:r w:rsidR="00E65C7D">
        <w:t>.</w:t>
      </w:r>
    </w:p>
    <w:p w14:paraId="5963901E" w14:textId="77777777" w:rsidR="00B52142" w:rsidRPr="00C7587E" w:rsidRDefault="00B52142" w:rsidP="00DB2AA1">
      <w:pPr>
        <w:pStyle w:val="Heading2"/>
        <w:numPr>
          <w:ilvl w:val="0"/>
          <w:numId w:val="0"/>
        </w:numPr>
        <w:ind w:left="578" w:hanging="578"/>
      </w:pPr>
      <w:bookmarkStart w:id="8" w:name="_Toc488481696"/>
      <w:r w:rsidRPr="00C7587E">
        <w:t>Gambling in the C</w:t>
      </w:r>
      <w:r w:rsidR="00E65C7D">
        <w:t>olonies</w:t>
      </w:r>
      <w:bookmarkEnd w:id="8"/>
      <w:r w:rsidRPr="00C7587E">
        <w:t xml:space="preserve"> </w:t>
      </w:r>
    </w:p>
    <w:p w14:paraId="5B9CBF70" w14:textId="77777777" w:rsidR="00B52142" w:rsidRDefault="00B52142" w:rsidP="00B52142">
      <w:r>
        <w:t xml:space="preserve">Gambling, betting and wagering have a long history of restriction in South Africa.  This section will provide an overview of the historiography on gambling from the time of the Cape Colony until the beginning of the apartheid period. This will serve as an introduction to the literature on gambling and casinos in the bantustans and on Sun City </w:t>
      </w:r>
      <w:r w:rsidR="001E600F">
        <w:t>itself</w:t>
      </w:r>
      <w:r>
        <w:t>.</w:t>
      </w:r>
    </w:p>
    <w:p w14:paraId="27692526" w14:textId="77777777" w:rsidR="00B52142" w:rsidRDefault="00B52142" w:rsidP="00B52142">
      <w:r>
        <w:t xml:space="preserve">Betting fever infected higher class social elites, children and the enslaved from the time of the Dutch occupation of the Cape. In his </w:t>
      </w:r>
      <w:r w:rsidRPr="00246DA1">
        <w:t>biography of a Balinese slave from Stellenbosch</w:t>
      </w:r>
      <w:r>
        <w:t>, Robert Shell clearly outlines the impact of gambling on residents of the Cape Colony. He tells the story of Rangton,</w:t>
      </w:r>
      <w:r w:rsidRPr="00246DA1">
        <w:t xml:space="preserve"> </w:t>
      </w:r>
      <w:r>
        <w:t xml:space="preserve">who </w:t>
      </w:r>
      <w:r w:rsidRPr="00246DA1">
        <w:t xml:space="preserve">was forced into slavery in Bali </w:t>
      </w:r>
      <w:r>
        <w:t>because of</w:t>
      </w:r>
      <w:r w:rsidRPr="00246DA1">
        <w:t xml:space="preserve"> </w:t>
      </w:r>
      <w:r>
        <w:t>gambling</w:t>
      </w:r>
      <w:r w:rsidRPr="00246DA1">
        <w:t xml:space="preserve"> debts. He was then sold to a Dutch slave trader in Jakarta and arrived in the Cape Colony on 10 January 1698. </w:t>
      </w:r>
      <w:r>
        <w:t>I</w:t>
      </w:r>
      <w:r w:rsidRPr="00246DA1">
        <w:t>n the Cape, slaves were forbid</w:t>
      </w:r>
      <w:r w:rsidR="007E613D">
        <w:t>den</w:t>
      </w:r>
      <w:r w:rsidRPr="00246DA1">
        <w:t xml:space="preserve"> from playing cards and gambling, but Rangton continued to bet and wager</w:t>
      </w:r>
      <w:r>
        <w:t xml:space="preserve"> illegally</w:t>
      </w:r>
      <w:r w:rsidRPr="00246DA1">
        <w:t xml:space="preserve">. Cockfights </w:t>
      </w:r>
      <w:r>
        <w:t>were also a popular activity</w:t>
      </w:r>
      <w:r w:rsidRPr="00246DA1">
        <w:t xml:space="preserve"> amongst the slaves in the Cape and part of the Sunday routine was to bet on the outcomes, sometimes as much as 50 Rixdollars. It is thought that Balinese slaves brought this pastime over with them as it was common in the </w:t>
      </w:r>
      <w:r>
        <w:t xml:space="preserve">seventeenth </w:t>
      </w:r>
      <w:r w:rsidRPr="00246DA1">
        <w:t xml:space="preserve">century for Balinese kings to hold cockfights and gamble </w:t>
      </w:r>
      <w:r w:rsidR="00A05960" w:rsidRPr="00246DA1">
        <w:t>to</w:t>
      </w:r>
      <w:r w:rsidRPr="00246DA1">
        <w:t xml:space="preserve"> win slaves. Rangton became an emancipated slave and after his death, the inventory of his possessions shows no money, suggesting that gambling was a life-long problem for him.</w:t>
      </w:r>
      <w:r w:rsidRPr="00246DA1">
        <w:rPr>
          <w:rStyle w:val="FootnoteReference"/>
          <w:rFonts w:cs="Times New Roman"/>
          <w:szCs w:val="24"/>
        </w:rPr>
        <w:footnoteReference w:id="7"/>
      </w:r>
    </w:p>
    <w:p w14:paraId="07C2E725" w14:textId="77777777" w:rsidR="002D6C4A" w:rsidRDefault="002D6C4A">
      <w:pPr>
        <w:spacing w:line="259" w:lineRule="auto"/>
        <w:jc w:val="left"/>
      </w:pPr>
      <w:r>
        <w:br w:type="page"/>
      </w:r>
    </w:p>
    <w:p w14:paraId="5B2A1CBA" w14:textId="77777777" w:rsidR="00B52142" w:rsidRDefault="00B52142" w:rsidP="00B52142">
      <w:r>
        <w:lastRenderedPageBreak/>
        <w:t xml:space="preserve">Slave gambling had become a growing problem by the end of the </w:t>
      </w:r>
      <w:r w:rsidR="007E613D">
        <w:t>18th</w:t>
      </w:r>
      <w:r>
        <w:t xml:space="preserve"> century, especially after Fra</w:t>
      </w:r>
      <w:r>
        <w:rPr>
          <w:rFonts w:cs="Times New Roman"/>
        </w:rPr>
        <w:t>ç</w:t>
      </w:r>
      <w:r>
        <w:t xml:space="preserve">ois Duminy, a VOC ship captain and Cape Town resident, complained that slaves were wagering with dice and organising cockfights in his garden. When the slaves were dispersed by officers, they ran through his property. This prompted the VOC to issue a decree that prohibited slaves from gambling in 1794. It read: </w:t>
      </w:r>
    </w:p>
    <w:p w14:paraId="799D04CD" w14:textId="77777777" w:rsidR="00B52142" w:rsidRPr="00246DA1" w:rsidRDefault="00B52142" w:rsidP="00E2285B">
      <w:pPr>
        <w:pStyle w:val="Subtitle"/>
      </w:pPr>
      <w:r>
        <w:t>No slave is allowed to join gamblers either in the houses or in the streets or in any secret places, on pain of being flogged, and if found gambling near the public water pump he will be immediately tied to a pole erected there for the purpose, and flogged by the constables.</w:t>
      </w:r>
      <w:r>
        <w:rPr>
          <w:rStyle w:val="FootnoteReference"/>
        </w:rPr>
        <w:footnoteReference w:id="8"/>
      </w:r>
    </w:p>
    <w:p w14:paraId="17CE28A2" w14:textId="77777777" w:rsidR="00B52142" w:rsidRPr="00246DA1" w:rsidRDefault="00B52142" w:rsidP="00B52142">
      <w:r w:rsidRPr="00246DA1">
        <w:t xml:space="preserve">The British acquired possession of the Cape Colony from the </w:t>
      </w:r>
      <w:r>
        <w:t>VOC</w:t>
      </w:r>
      <w:r w:rsidRPr="00246DA1">
        <w:t xml:space="preserve">, for the second and final time, in 1806. By the middle of the century, a British governor had successfully introduced and secured the popularity of horse racing. Attached to the sport was gambling and the placement of bets. </w:t>
      </w:r>
      <w:r>
        <w:t>Horse racing</w:t>
      </w:r>
      <w:r w:rsidRPr="00246DA1">
        <w:t xml:space="preserve"> took place at the Green Point common and attracted the elite and wealthy </w:t>
      </w:r>
      <w:r w:rsidR="007E613D" w:rsidRPr="00246DA1">
        <w:t>cit</w:t>
      </w:r>
      <w:r w:rsidR="007E613D">
        <w:t>ize</w:t>
      </w:r>
      <w:r w:rsidR="007E613D" w:rsidRPr="00246DA1">
        <w:t>nry</w:t>
      </w:r>
      <w:r w:rsidRPr="00246DA1">
        <w:t xml:space="preserve"> of </w:t>
      </w:r>
      <w:r w:rsidR="007E613D">
        <w:t xml:space="preserve">the </w:t>
      </w:r>
      <w:r w:rsidRPr="00246DA1">
        <w:t>C</w:t>
      </w:r>
      <w:r>
        <w:t>olony</w:t>
      </w:r>
      <w:r w:rsidRPr="00246DA1">
        <w:t>. The presence of nomadic musicians created a jovial ambiance at the races.</w:t>
      </w:r>
      <w:r>
        <w:t xml:space="preserve"> </w:t>
      </w:r>
      <w:r w:rsidRPr="00246DA1">
        <w:t>Other gambling initiatives could be found</w:t>
      </w:r>
      <w:r>
        <w:t xml:space="preserve"> throughout the territory</w:t>
      </w:r>
      <w:r w:rsidRPr="00246DA1">
        <w:t>, with games such as the Wheel of Fortune and ‘pea and thimble’.</w:t>
      </w:r>
      <w:r w:rsidRPr="00246DA1">
        <w:rPr>
          <w:rStyle w:val="FootnoteReference"/>
          <w:rFonts w:cs="Times New Roman"/>
          <w:szCs w:val="24"/>
        </w:rPr>
        <w:footnoteReference w:id="9"/>
      </w:r>
    </w:p>
    <w:p w14:paraId="5AF98194" w14:textId="77777777" w:rsidR="00B52142" w:rsidRDefault="00B52142" w:rsidP="00B52142">
      <w:r w:rsidRPr="00246DA1">
        <w:t xml:space="preserve">Gambling </w:t>
      </w:r>
      <w:r>
        <w:t>also took place</w:t>
      </w:r>
      <w:r w:rsidRPr="00246DA1">
        <w:t xml:space="preserve"> at many of Cape Town’s bars or canteens. In 1834 it was estimated that there were 100 licenced and 300 unlicensed bars in the city, with drinking an evident part of the local culture that long preceded the arrival of the British. Men proved to be </w:t>
      </w:r>
      <w:r w:rsidR="00A05960">
        <w:t>most</w:t>
      </w:r>
      <w:r w:rsidRPr="00246DA1">
        <w:t xml:space="preserve"> </w:t>
      </w:r>
      <w:r w:rsidR="0081332D">
        <w:t xml:space="preserve">of </w:t>
      </w:r>
      <w:r w:rsidRPr="00246DA1">
        <w:t xml:space="preserve">the clientele and </w:t>
      </w:r>
      <w:r>
        <w:t>g</w:t>
      </w:r>
      <w:r w:rsidRPr="00246DA1">
        <w:t>ambling, music</w:t>
      </w:r>
      <w:r w:rsidR="0081332D">
        <w:t>,</w:t>
      </w:r>
      <w:r w:rsidRPr="00246DA1">
        <w:t xml:space="preserve"> and dancing were an integral part of the drinking culture. The streets also provided </w:t>
      </w:r>
      <w:r>
        <w:t>a space</w:t>
      </w:r>
      <w:r w:rsidRPr="00246DA1">
        <w:t xml:space="preserve"> </w:t>
      </w:r>
      <w:r>
        <w:t xml:space="preserve">for </w:t>
      </w:r>
      <w:r w:rsidRPr="00246DA1">
        <w:t>children and young adults</w:t>
      </w:r>
      <w:r>
        <w:t xml:space="preserve"> to gamble</w:t>
      </w:r>
      <w:r w:rsidRPr="00246DA1">
        <w:t>. Male and female youth</w:t>
      </w:r>
      <w:r>
        <w:t>s</w:t>
      </w:r>
      <w:r w:rsidRPr="00246DA1">
        <w:t xml:space="preserve"> took part in the illegal activity, play</w:t>
      </w:r>
      <w:r w:rsidR="00370D23">
        <w:t xml:space="preserve">ing variants of hop-scotch and “pitch and toss” </w:t>
      </w:r>
      <w:r w:rsidRPr="00246DA1">
        <w:t xml:space="preserve">for money. One such game involved the throwing of coins into a hole, the player with the most accurate aim won the pile. In 1862, John Johannes was one of </w:t>
      </w:r>
      <w:r>
        <w:t xml:space="preserve">a </w:t>
      </w:r>
      <w:r w:rsidRPr="00246DA1">
        <w:t xml:space="preserve">group of boys who played cards for 1/2d stakes. </w:t>
      </w:r>
      <w:r w:rsidR="007E613D">
        <w:t>By</w:t>
      </w:r>
      <w:r w:rsidRPr="00246DA1">
        <w:t xml:space="preserve"> the turn of the century</w:t>
      </w:r>
      <w:r w:rsidR="002D6C4A">
        <w:t>,</w:t>
      </w:r>
      <w:r w:rsidRPr="00246DA1">
        <w:t xml:space="preserve"> Cape Town had a reputation for gangs. These men went on to dominate the illegal gambling and drug industries.</w:t>
      </w:r>
      <w:r w:rsidRPr="00246DA1">
        <w:rPr>
          <w:rStyle w:val="FootnoteReference"/>
          <w:rFonts w:cs="Times New Roman"/>
          <w:szCs w:val="24"/>
        </w:rPr>
        <w:footnoteReference w:id="10"/>
      </w:r>
    </w:p>
    <w:p w14:paraId="30ECE37B" w14:textId="77777777" w:rsidR="00B52142" w:rsidRPr="00246DA1" w:rsidRDefault="00B52142" w:rsidP="00B52142">
      <w:r w:rsidRPr="00246DA1">
        <w:t>Gambling in various form</w:t>
      </w:r>
      <w:r>
        <w:t>s</w:t>
      </w:r>
      <w:r w:rsidRPr="00246DA1">
        <w:t xml:space="preserve"> spread to the Witwatersrand </w:t>
      </w:r>
      <w:r>
        <w:t>along with the many</w:t>
      </w:r>
      <w:r w:rsidRPr="00246DA1">
        <w:t xml:space="preserve"> opportunity seekers following the discovery of gold in 1886. However, it was dog racing that beca</w:t>
      </w:r>
      <w:r w:rsidR="007E613D">
        <w:t xml:space="preserve">me especially popular from 1932 to </w:t>
      </w:r>
      <w:r w:rsidRPr="00246DA1">
        <w:t xml:space="preserve">1949. Its popularity grew due to its close location </w:t>
      </w:r>
      <w:r>
        <w:t>to</w:t>
      </w:r>
      <w:r w:rsidRPr="00246DA1">
        <w:t xml:space="preserve"> the city, the relaxed code of dress and </w:t>
      </w:r>
      <w:r w:rsidR="007E613D">
        <w:t xml:space="preserve">the </w:t>
      </w:r>
      <w:r w:rsidRPr="00246DA1">
        <w:t xml:space="preserve">allotment of smaller bets in comparison to horse racing. This was the </w:t>
      </w:r>
      <w:r>
        <w:t>pastime</w:t>
      </w:r>
      <w:r w:rsidRPr="00246DA1">
        <w:t xml:space="preserve"> </w:t>
      </w:r>
      <w:r>
        <w:t>of the working class</w:t>
      </w:r>
      <w:r w:rsidR="002D6C4A">
        <w:t>,</w:t>
      </w:r>
      <w:r>
        <w:t xml:space="preserve"> </w:t>
      </w:r>
      <w:r w:rsidRPr="00246DA1">
        <w:t xml:space="preserve">and the people living on the Witwatersrand </w:t>
      </w:r>
      <w:r w:rsidRPr="00246DA1">
        <w:lastRenderedPageBreak/>
        <w:t>enthusiastically gambled on the results of the races.</w:t>
      </w:r>
      <w:r>
        <w:t xml:space="preserve"> The dog racing space was not frequented by women, with the bets predominantly placed by men.</w:t>
      </w:r>
      <w:r w:rsidRPr="00246DA1">
        <w:t xml:space="preserve"> Tracks were built at Wan</w:t>
      </w:r>
      <w:r w:rsidR="002D6C4A">
        <w:t xml:space="preserve">derers, Wembley and Dunswart, </w:t>
      </w:r>
      <w:r w:rsidRPr="00246DA1">
        <w:t xml:space="preserve">and the style of racing closely resembled that of the original British model developed in north-western England. </w:t>
      </w:r>
      <w:r>
        <w:t xml:space="preserve"> The pastime developed a reputation as tactless and rowdy</w:t>
      </w:r>
      <w:r w:rsidRPr="00246DA1">
        <w:t xml:space="preserve">. Races were held on Friday evenings, carefully planned to coincide with the payment of the men’s weekly wages. Dog racing and </w:t>
      </w:r>
      <w:r>
        <w:t>betting</w:t>
      </w:r>
      <w:r w:rsidRPr="00246DA1">
        <w:t xml:space="preserve"> remained legal </w:t>
      </w:r>
      <w:r w:rsidR="002D6C4A" w:rsidRPr="00246DA1">
        <w:t>if</w:t>
      </w:r>
      <w:r w:rsidRPr="00246DA1">
        <w:t xml:space="preserve"> it took place on the course. However, the popularity of the sport and the vast amounts of money it involved resulted in the introd</w:t>
      </w:r>
      <w:r w:rsidR="000A67CB">
        <w:t>uction of approximately 14 000 “bucket shops”</w:t>
      </w:r>
      <w:r w:rsidRPr="00246DA1">
        <w:t xml:space="preserve"> </w:t>
      </w:r>
      <w:r w:rsidR="007E613D">
        <w:t>in</w:t>
      </w:r>
      <w:r w:rsidRPr="00246DA1">
        <w:t xml:space="preserve"> the Witwatersrand. The shops</w:t>
      </w:r>
      <w:r>
        <w:t xml:space="preserve"> </w:t>
      </w:r>
      <w:r w:rsidRPr="00246DA1">
        <w:t xml:space="preserve">took the illegal bets placed off the course and allowed the poorer punters, who could not attend the races in person, the opportunity to partake in the gambling. Those who gambled on the Witwatersrand race tracks included </w:t>
      </w:r>
      <w:r w:rsidR="007E613D">
        <w:t>‘</w:t>
      </w:r>
      <w:r w:rsidRPr="00246DA1">
        <w:t>the professional</w:t>
      </w:r>
      <w:r w:rsidR="007E613D">
        <w:t>’</w:t>
      </w:r>
      <w:r>
        <w:t>,</w:t>
      </w:r>
      <w:r w:rsidRPr="00246DA1">
        <w:t xml:space="preserve"> who made rigorous calculations before </w:t>
      </w:r>
      <w:r>
        <w:t>placing his bet</w:t>
      </w:r>
      <w:r w:rsidRPr="00246DA1">
        <w:t xml:space="preserve">, </w:t>
      </w:r>
      <w:r w:rsidR="007E613D">
        <w:t>‘</w:t>
      </w:r>
      <w:r w:rsidRPr="00246DA1">
        <w:t>the hobbyist</w:t>
      </w:r>
      <w:r w:rsidR="007E613D">
        <w:t>’</w:t>
      </w:r>
      <w:r>
        <w:t>,</w:t>
      </w:r>
      <w:r w:rsidRPr="00246DA1">
        <w:t xml:space="preserve"> who enjoyed the tracks but did not bet regularly, and </w:t>
      </w:r>
      <w:r w:rsidR="007E613D">
        <w:t>‘</w:t>
      </w:r>
      <w:r w:rsidRPr="00246DA1">
        <w:t>the proletarian</w:t>
      </w:r>
      <w:r w:rsidR="007E613D">
        <w:t>’</w:t>
      </w:r>
      <w:r w:rsidRPr="00246DA1">
        <w:t xml:space="preserve"> gambler</w:t>
      </w:r>
      <w:r>
        <w:t>,</w:t>
      </w:r>
      <w:r w:rsidRPr="00246DA1">
        <w:t xml:space="preserve"> who</w:t>
      </w:r>
      <w:r>
        <w:t>se</w:t>
      </w:r>
      <w:r w:rsidRPr="00246DA1">
        <w:t xml:space="preserve"> income depended on the outcome of the next race.</w:t>
      </w:r>
      <w:r w:rsidRPr="00246DA1">
        <w:rPr>
          <w:rStyle w:val="FootnoteReference"/>
          <w:rFonts w:cs="Times New Roman"/>
          <w:szCs w:val="24"/>
        </w:rPr>
        <w:footnoteReference w:id="11"/>
      </w:r>
    </w:p>
    <w:p w14:paraId="0ADFC1ED" w14:textId="77777777" w:rsidR="00B52142" w:rsidRPr="00246DA1" w:rsidRDefault="00B52142" w:rsidP="00B52142">
      <w:r w:rsidRPr="00246DA1">
        <w:t xml:space="preserve">The lifespan of </w:t>
      </w:r>
      <w:r>
        <w:t>dog racing</w:t>
      </w:r>
      <w:r w:rsidR="002D6C4A">
        <w:t xml:space="preserve"> was not a lengthy one as</w:t>
      </w:r>
      <w:r w:rsidRPr="00246DA1">
        <w:t xml:space="preserve"> by 1949 it was outlawed. </w:t>
      </w:r>
      <w:r w:rsidR="002D6C4A">
        <w:t>T</w:t>
      </w:r>
      <w:r w:rsidRPr="00246DA1">
        <w:t xml:space="preserve">he </w:t>
      </w:r>
      <w:r>
        <w:t>Dutch Reformed</w:t>
      </w:r>
      <w:r w:rsidRPr="00246DA1">
        <w:t xml:space="preserve"> </w:t>
      </w:r>
      <w:r>
        <w:t xml:space="preserve">Church </w:t>
      </w:r>
      <w:r w:rsidRPr="00246DA1">
        <w:t>clergy opposed the</w:t>
      </w:r>
      <w:r>
        <w:t xml:space="preserve"> pastime</w:t>
      </w:r>
      <w:r w:rsidRPr="00246DA1">
        <w:t xml:space="preserve"> </w:t>
      </w:r>
      <w:r>
        <w:t>because of</w:t>
      </w:r>
      <w:r w:rsidRPr="00246DA1">
        <w:t xml:space="preserve"> the purported moral and spiritual degradation of the Afrikaner people. Gambling was not a pastime to be enjoyed by the Calvinistic pious nation. The English Protestant churches joined the Dutch Reformed </w:t>
      </w:r>
      <w:r>
        <w:t>C</w:t>
      </w:r>
      <w:r w:rsidRPr="00246DA1">
        <w:t>hurch</w:t>
      </w:r>
      <w:r>
        <w:t>’s</w:t>
      </w:r>
      <w:r w:rsidRPr="00246DA1">
        <w:t xml:space="preserve"> call for the abolishment of dog racing.</w:t>
      </w:r>
      <w:r w:rsidRPr="00246DA1">
        <w:rPr>
          <w:rStyle w:val="FootnoteReference"/>
          <w:rFonts w:cs="Times New Roman"/>
          <w:szCs w:val="24"/>
        </w:rPr>
        <w:footnoteReference w:id="12"/>
      </w:r>
      <w:r w:rsidRPr="00246DA1">
        <w:t xml:space="preserve"> On 5 June 1947, the United Party caucus decided to </w:t>
      </w:r>
      <w:r>
        <w:t xml:space="preserve">nationally </w:t>
      </w:r>
      <w:r w:rsidRPr="00246DA1">
        <w:t>ban the spo</w:t>
      </w:r>
      <w:r>
        <w:t>rt.</w:t>
      </w:r>
      <w:r w:rsidRPr="00246DA1">
        <w:t xml:space="preserve"> A two</w:t>
      </w:r>
      <w:r>
        <w:t>-</w:t>
      </w:r>
      <w:r w:rsidRPr="00246DA1">
        <w:t xml:space="preserve">year grace period was instituted for companies to make alternate plans and the official prohibition </w:t>
      </w:r>
      <w:r>
        <w:t>came into effect</w:t>
      </w:r>
      <w:r w:rsidRPr="00246DA1">
        <w:t xml:space="preserve"> in 1949.</w:t>
      </w:r>
      <w:r w:rsidRPr="00246DA1">
        <w:rPr>
          <w:rStyle w:val="FootnoteReference"/>
          <w:rFonts w:cs="Times New Roman"/>
          <w:szCs w:val="24"/>
        </w:rPr>
        <w:footnoteReference w:id="13"/>
      </w:r>
    </w:p>
    <w:p w14:paraId="451F4537" w14:textId="77777777" w:rsidR="00B52142" w:rsidRDefault="002D6C4A" w:rsidP="00DB2AA1">
      <w:r>
        <w:t>Further, t</w:t>
      </w:r>
      <w:r w:rsidR="00B52142" w:rsidRPr="00246DA1">
        <w:t xml:space="preserve">he Chinese immigrant population living on the Witwatersrand were known to be involved in illicit activities such as gambling, opium dens and fierce brawls. Gambling was a popular pastime in the clubs which also housed libraries containing Chinese literature. Some </w:t>
      </w:r>
      <w:r w:rsidR="00B52142">
        <w:t xml:space="preserve">Chinese </w:t>
      </w:r>
      <w:r w:rsidR="000A67CB">
        <w:t>migrants made money running fahfee</w:t>
      </w:r>
      <w:r w:rsidR="00B52142" w:rsidRPr="00246DA1">
        <w:t xml:space="preserve"> games. This illegal, informal game of chance involves placing bets on a series of numbers, similar to the lottery. It was brought to South Africa by the Chinese and continues </w:t>
      </w:r>
      <w:r w:rsidR="00B52142">
        <w:t>to be popular in Chinese communities and South African townships</w:t>
      </w:r>
      <w:r w:rsidR="00B52142" w:rsidRPr="00246DA1">
        <w:t>.</w:t>
      </w:r>
      <w:r w:rsidR="00B52142" w:rsidRPr="00246DA1">
        <w:rPr>
          <w:rStyle w:val="FootnoteReference"/>
          <w:rFonts w:cs="Times New Roman"/>
          <w:szCs w:val="24"/>
        </w:rPr>
        <w:footnoteReference w:id="14"/>
      </w:r>
    </w:p>
    <w:p w14:paraId="5BAF1796" w14:textId="77777777" w:rsidR="00FB1927" w:rsidRDefault="006A1DD5" w:rsidP="00B52142">
      <w:pPr>
        <w:pStyle w:val="Heading2"/>
        <w:numPr>
          <w:ilvl w:val="0"/>
          <w:numId w:val="0"/>
        </w:numPr>
        <w:ind w:left="578" w:hanging="578"/>
      </w:pPr>
      <w:bookmarkStart w:id="9" w:name="_Toc488481697"/>
      <w:r w:rsidRPr="00B52142">
        <w:lastRenderedPageBreak/>
        <w:t>Bophuthatswana</w:t>
      </w:r>
      <w:r w:rsidR="00826ABC">
        <w:t>: The Birth of a Non-State</w:t>
      </w:r>
      <w:bookmarkEnd w:id="9"/>
    </w:p>
    <w:p w14:paraId="6728AFB4" w14:textId="77777777" w:rsidR="00226731" w:rsidRDefault="004E528C" w:rsidP="00226731">
      <w:r>
        <w:t>The</w:t>
      </w:r>
      <w:r w:rsidR="00ED2653">
        <w:t xml:space="preserve"> policies of </w:t>
      </w:r>
      <w:r>
        <w:t xml:space="preserve">African </w:t>
      </w:r>
      <w:r w:rsidR="00ED2653">
        <w:t>disenfranchisement were</w:t>
      </w:r>
      <w:r w:rsidR="00D112D3">
        <w:t xml:space="preserve"> first</w:t>
      </w:r>
      <w:r w:rsidR="00ED2653">
        <w:t xml:space="preserve"> established during the</w:t>
      </w:r>
      <w:r w:rsidR="00E61E9B">
        <w:t xml:space="preserve"> colonisation of southern Africa </w:t>
      </w:r>
      <w:r w:rsidR="00514882">
        <w:t>in</w:t>
      </w:r>
      <w:r w:rsidR="00E61E9B">
        <w:t xml:space="preserve"> the 19</w:t>
      </w:r>
      <w:r w:rsidR="00E61E9B" w:rsidRPr="00E61E9B">
        <w:rPr>
          <w:vertAlign w:val="superscript"/>
        </w:rPr>
        <w:t>th</w:t>
      </w:r>
      <w:r w:rsidR="00E61E9B">
        <w:t xml:space="preserve"> and</w:t>
      </w:r>
      <w:r w:rsidR="00514882">
        <w:t xml:space="preserve"> early</w:t>
      </w:r>
      <w:r w:rsidR="00E61E9B">
        <w:t xml:space="preserve"> 20</w:t>
      </w:r>
      <w:r w:rsidR="00E61E9B" w:rsidRPr="00E61E9B">
        <w:rPr>
          <w:vertAlign w:val="superscript"/>
        </w:rPr>
        <w:t>th</w:t>
      </w:r>
      <w:r w:rsidR="00E61E9B">
        <w:t xml:space="preserve"> century</w:t>
      </w:r>
      <w:r w:rsidR="00ED2653">
        <w:t xml:space="preserve">. </w:t>
      </w:r>
      <w:r w:rsidR="00EB7199">
        <w:t>T</w:t>
      </w:r>
      <w:r w:rsidR="00AE7B94">
        <w:t>he Native Land Act No. 27 of 1913</w:t>
      </w:r>
      <w:r w:rsidR="00EB7199">
        <w:t xml:space="preserve"> determined that</w:t>
      </w:r>
      <w:r w:rsidR="00AE7B94">
        <w:t xml:space="preserve"> Africans were unable to own or rent la</w:t>
      </w:r>
      <w:r w:rsidR="002C72BC">
        <w:t>nd that was not located inside</w:t>
      </w:r>
      <w:r w:rsidR="00AE7B94">
        <w:t xml:space="preserve"> designated reserves. These </w:t>
      </w:r>
      <w:r w:rsidR="00EB7199">
        <w:t xml:space="preserve">areas accounted </w:t>
      </w:r>
      <w:r w:rsidR="00514882">
        <w:t xml:space="preserve">for </w:t>
      </w:r>
      <w:r w:rsidR="00EB7199">
        <w:t xml:space="preserve">approximately </w:t>
      </w:r>
      <w:r w:rsidR="00B52142">
        <w:t>7.5</w:t>
      </w:r>
      <w:r w:rsidR="00EB7199">
        <w:t>%</w:t>
      </w:r>
      <w:r w:rsidR="00AE7B94">
        <w:t xml:space="preserve"> of South Africa’s land</w:t>
      </w:r>
      <w:r w:rsidR="00675872">
        <w:t xml:space="preserve">, reserving </w:t>
      </w:r>
      <w:r w:rsidR="00A54F0E">
        <w:t>most</w:t>
      </w:r>
      <w:r w:rsidR="00675872">
        <w:t xml:space="preserve"> of </w:t>
      </w:r>
      <w:r w:rsidR="001B523E">
        <w:t>the land for the white minority</w:t>
      </w:r>
      <w:r w:rsidR="00EB7199">
        <w:t xml:space="preserve">. </w:t>
      </w:r>
      <w:r w:rsidR="001B523E">
        <w:t>The crucial significance of land in determining South Africa’s insistent, race-inscribed</w:t>
      </w:r>
      <w:r w:rsidR="00514882">
        <w:t>,</w:t>
      </w:r>
      <w:r w:rsidR="001B523E">
        <w:t xml:space="preserve"> spatial disparities with landlessness as a burning modern community issue has its roots in the 1913 Land Act</w:t>
      </w:r>
      <w:r w:rsidR="00614232">
        <w:t>. This act</w:t>
      </w:r>
      <w:r w:rsidR="001B523E">
        <w:t xml:space="preserve"> </w:t>
      </w:r>
      <w:r w:rsidR="00514882">
        <w:t xml:space="preserve">confirmed the </w:t>
      </w:r>
      <w:r w:rsidR="001B523E">
        <w:t>landlessness, dispossession and marginality for people of colour in t</w:t>
      </w:r>
      <w:r w:rsidR="00E61E9B">
        <w:t>his country for almost a century. The designated tribal reserves served as building blocks for the demarcation and establishment of the bantustan territories</w:t>
      </w:r>
      <w:r w:rsidR="001B523E">
        <w:t>.</w:t>
      </w:r>
      <w:r w:rsidR="00F074B9" w:rsidRPr="00F074B9">
        <w:rPr>
          <w:rStyle w:val="FootnoteReference"/>
        </w:rPr>
        <w:t xml:space="preserve"> </w:t>
      </w:r>
      <w:r w:rsidR="00F074B9">
        <w:rPr>
          <w:rStyle w:val="FootnoteReference"/>
        </w:rPr>
        <w:footnoteReference w:id="15"/>
      </w:r>
      <w:r w:rsidR="001B523E">
        <w:t xml:space="preserve"> </w:t>
      </w:r>
      <w:r w:rsidR="00226731">
        <w:t xml:space="preserve">Sol Plaatjie, a </w:t>
      </w:r>
      <w:r w:rsidR="00EB7199">
        <w:t xml:space="preserve">black </w:t>
      </w:r>
      <w:r w:rsidR="00226731">
        <w:t xml:space="preserve">South African journalist and intellectual, </w:t>
      </w:r>
      <w:r w:rsidR="00F074B9">
        <w:t xml:space="preserve">famously </w:t>
      </w:r>
      <w:r w:rsidR="00226731">
        <w:t xml:space="preserve">wrote that to be black </w:t>
      </w:r>
      <w:r w:rsidR="00F074B9">
        <w:t xml:space="preserve">in South Africa </w:t>
      </w:r>
      <w:r w:rsidR="00226731">
        <w:t xml:space="preserve">was “not actually </w:t>
      </w:r>
      <w:r w:rsidR="00F074B9">
        <w:t xml:space="preserve">to </w:t>
      </w:r>
      <w:r w:rsidR="00226731">
        <w:t>be a slave, but a pariah in the land of his birth”. The entrenchment of legal separatism based on race had officially begun in South Africa.</w:t>
      </w:r>
      <w:r w:rsidR="00226731">
        <w:rPr>
          <w:rStyle w:val="FootnoteReference"/>
        </w:rPr>
        <w:footnoteReference w:id="16"/>
      </w:r>
    </w:p>
    <w:p w14:paraId="1EE980E8" w14:textId="77777777" w:rsidR="004411B3" w:rsidRDefault="009E191F" w:rsidP="00226731">
      <w:r>
        <w:t>The 1927 Native Administration A</w:t>
      </w:r>
      <w:r w:rsidR="004411B3">
        <w:t>ct and the 1936 Native Trust and Land Act furthered the disenfranchisement of African</w:t>
      </w:r>
      <w:r w:rsidR="007E613D">
        <w:t xml:space="preserve">s </w:t>
      </w:r>
      <w:r w:rsidR="004411B3">
        <w:t>and increased racial segregation. The 1927 Native Administration Act provided tribal leaders with increased power, whilst the 1936 Native Trust and Land Act</w:t>
      </w:r>
      <w:r>
        <w:t xml:space="preserve"> provided the reserves with increased land </w:t>
      </w:r>
      <w:r w:rsidR="00A54F0E">
        <w:t>to</w:t>
      </w:r>
      <w:r>
        <w:t xml:space="preserve"> promote economic and agricultural viability, whilst simultaneously reducing black </w:t>
      </w:r>
      <w:r w:rsidR="00FF2DCE">
        <w:t>individual</w:t>
      </w:r>
      <w:r>
        <w:t xml:space="preserve"> rights outside of the tribal reserves.</w:t>
      </w:r>
      <w:r>
        <w:rPr>
          <w:rStyle w:val="FootnoteReference"/>
        </w:rPr>
        <w:footnoteReference w:id="17"/>
      </w:r>
    </w:p>
    <w:p w14:paraId="7F030910" w14:textId="77777777" w:rsidR="00ED2653" w:rsidRDefault="002C72BC" w:rsidP="00DD31BD">
      <w:r>
        <w:t xml:space="preserve">The year </w:t>
      </w:r>
      <w:r w:rsidR="009350E0">
        <w:t xml:space="preserve">1948 </w:t>
      </w:r>
      <w:r w:rsidR="007E613D">
        <w:t>saw</w:t>
      </w:r>
      <w:r w:rsidR="009350E0">
        <w:t xml:space="preserve"> the </w:t>
      </w:r>
      <w:r w:rsidR="00F95719">
        <w:t>election of the NP</w:t>
      </w:r>
      <w:r w:rsidR="00A65B51">
        <w:t xml:space="preserve"> into</w:t>
      </w:r>
      <w:r w:rsidR="009350E0">
        <w:t xml:space="preserve"> </w:t>
      </w:r>
      <w:r w:rsidR="00CE36D9">
        <w:t xml:space="preserve">power. </w:t>
      </w:r>
      <w:r w:rsidR="007E613D">
        <w:t>T</w:t>
      </w:r>
      <w:r w:rsidR="009350E0">
        <w:t xml:space="preserve">he rapid promulgation of </w:t>
      </w:r>
      <w:r w:rsidR="00A65B51">
        <w:t xml:space="preserve">racist laws and acts entrenched the </w:t>
      </w:r>
      <w:r w:rsidR="00F95719">
        <w:t xml:space="preserve">policy of racial segregation </w:t>
      </w:r>
      <w:r w:rsidR="00A65B51">
        <w:t xml:space="preserve">which </w:t>
      </w:r>
      <w:r w:rsidR="00F248E2">
        <w:t>became</w:t>
      </w:r>
      <w:r w:rsidR="00564A7C">
        <w:t xml:space="preserve"> known as apartheid.</w:t>
      </w:r>
      <w:r w:rsidR="00DD31BD" w:rsidRPr="00DD31BD">
        <w:t xml:space="preserve"> </w:t>
      </w:r>
      <w:r w:rsidR="00ED2653">
        <w:t xml:space="preserve">Three key laws were passed in 1950 which sought to create a segregationist state. The Population Registration Act assigned </w:t>
      </w:r>
      <w:r w:rsidR="00E86F93">
        <w:t>citizens</w:t>
      </w:r>
      <w:r w:rsidR="00ED2653">
        <w:t xml:space="preserve"> to one of four races: white, Indian, Coloured and African</w:t>
      </w:r>
      <w:r w:rsidR="007637B4">
        <w:t>. African populations</w:t>
      </w:r>
      <w:r w:rsidR="00ED2653">
        <w:t xml:space="preserve"> were fur</w:t>
      </w:r>
      <w:r w:rsidR="007637B4">
        <w:t>ther divided along tribal lines</w:t>
      </w:r>
      <w:r w:rsidR="00ED2653">
        <w:t xml:space="preserve">.  The Immorality Act prohibited </w:t>
      </w:r>
      <w:r w:rsidR="00BF028B">
        <w:lastRenderedPageBreak/>
        <w:t>sex</w:t>
      </w:r>
      <w:r w:rsidR="00ED2653">
        <w:t xml:space="preserve"> between the races and the Group Areas Act consigned South Africans </w:t>
      </w:r>
      <w:r w:rsidR="001A523E">
        <w:t>to</w:t>
      </w:r>
      <w:r w:rsidR="00ED2653">
        <w:t xml:space="preserve"> designated residential areas based on their racial grouping.</w:t>
      </w:r>
      <w:r w:rsidR="00ED2653">
        <w:rPr>
          <w:rStyle w:val="FootnoteReference"/>
        </w:rPr>
        <w:footnoteReference w:id="18"/>
      </w:r>
      <w:r w:rsidR="00ED2653">
        <w:t xml:space="preserve"> </w:t>
      </w:r>
    </w:p>
    <w:p w14:paraId="327FA146" w14:textId="77777777" w:rsidR="00DF2F01" w:rsidRPr="0093162D" w:rsidRDefault="0002167D" w:rsidP="00DF2F01">
      <w:r>
        <w:t xml:space="preserve">The process of implementing the policies of </w:t>
      </w:r>
      <w:r w:rsidR="000A67CB">
        <w:t>“</w:t>
      </w:r>
      <w:r w:rsidR="007637B4">
        <w:t>grand a</w:t>
      </w:r>
      <w:r>
        <w:t>partheid</w:t>
      </w:r>
      <w:r w:rsidR="000A67CB">
        <w:t>”</w:t>
      </w:r>
      <w:r>
        <w:t xml:space="preserve"> was developed slowly, with a variety of </w:t>
      </w:r>
      <w:r w:rsidR="00C313B3">
        <w:t xml:space="preserve">fragmented </w:t>
      </w:r>
      <w:r>
        <w:t>laws passed over time to implement racial segregation</w:t>
      </w:r>
      <w:r w:rsidR="007637B4">
        <w:t xml:space="preserve">. </w:t>
      </w:r>
      <w:r>
        <w:t xml:space="preserve">This was done by first </w:t>
      </w:r>
      <w:r w:rsidR="007637B4">
        <w:t>consolidating</w:t>
      </w:r>
      <w:r>
        <w:t xml:space="preserve"> the tribal reserves and then later providing the imagined territories with self-governance. </w:t>
      </w:r>
      <w:r w:rsidR="002764E5">
        <w:t xml:space="preserve">The Bantu Authorities Act of 1951 </w:t>
      </w:r>
      <w:r>
        <w:t>provided traditional tribal authorities with power within the tribal reserves of South Africa</w:t>
      </w:r>
      <w:r w:rsidR="007637B4">
        <w:t xml:space="preserve"> and made them salaried employees of the NP government</w:t>
      </w:r>
      <w:r w:rsidRPr="0054085A">
        <w:t>. It was the original piece of l</w:t>
      </w:r>
      <w:r w:rsidR="007637B4">
        <w:t>egislation that provided legal basis</w:t>
      </w:r>
      <w:r w:rsidRPr="0054085A">
        <w:t xml:space="preserve"> for the establishment of the bantustans</w:t>
      </w:r>
      <w:r>
        <w:t xml:space="preserve"> and allowed the NP to start the process for the designation of ten bantustans</w:t>
      </w:r>
      <w:r w:rsidR="00286A38">
        <w:t xml:space="preserve"> through a series of further policy changes. </w:t>
      </w:r>
      <w:r>
        <w:t xml:space="preserve">The act </w:t>
      </w:r>
      <w:r w:rsidR="002764E5">
        <w:t>was implemented under the leaders</w:t>
      </w:r>
      <w:r>
        <w:t xml:space="preserve">hip of </w:t>
      </w:r>
      <w:r w:rsidR="007637B4">
        <w:t xml:space="preserve">the then </w:t>
      </w:r>
      <w:r>
        <w:t>Native Affairs Minister,</w:t>
      </w:r>
      <w:r w:rsidR="007A66F2">
        <w:t xml:space="preserve"> </w:t>
      </w:r>
      <w:r w:rsidR="002764E5">
        <w:t xml:space="preserve">Dr H.F. Verwoed. </w:t>
      </w:r>
      <w:r>
        <w:t xml:space="preserve">It </w:t>
      </w:r>
      <w:r w:rsidR="007637B4">
        <w:t>deprived</w:t>
      </w:r>
      <w:r>
        <w:t xml:space="preserve"> black individuals of South African </w:t>
      </w:r>
      <w:r w:rsidR="00A54F0E">
        <w:t>citizenship</w:t>
      </w:r>
      <w:r>
        <w:t xml:space="preserve"> and separa</w:t>
      </w:r>
      <w:r w:rsidR="007637B4">
        <w:t>ted</w:t>
      </w:r>
      <w:r>
        <w:t xml:space="preserve"> them </w:t>
      </w:r>
      <w:r w:rsidR="002764E5">
        <w:t>into false nationalities that consisted of fragmented pieces of land</w:t>
      </w:r>
      <w:r w:rsidR="002764E5">
        <w:rPr>
          <w:rFonts w:ascii="Arial" w:hAnsi="Arial" w:cs="Arial"/>
          <w:color w:val="333333"/>
          <w:sz w:val="21"/>
          <w:szCs w:val="21"/>
          <w:shd w:val="clear" w:color="auto" w:fill="FFFFFF"/>
        </w:rPr>
        <w:t>.</w:t>
      </w:r>
      <w:r w:rsidR="002764E5">
        <w:rPr>
          <w:rStyle w:val="FootnoteReference"/>
        </w:rPr>
        <w:footnoteReference w:id="19"/>
      </w:r>
      <w:r w:rsidR="00DF2F01">
        <w:rPr>
          <w:rFonts w:ascii="Arial" w:hAnsi="Arial" w:cs="Arial"/>
          <w:color w:val="333333"/>
          <w:sz w:val="21"/>
          <w:szCs w:val="21"/>
          <w:shd w:val="clear" w:color="auto" w:fill="FFFFFF"/>
        </w:rPr>
        <w:t xml:space="preserve"> </w:t>
      </w:r>
      <w:r w:rsidR="007637B4">
        <w:t xml:space="preserve">Bophuthatswana </w:t>
      </w:r>
      <w:r w:rsidR="00A54F0E">
        <w:t xml:space="preserve">specifically </w:t>
      </w:r>
      <w:r w:rsidR="007637B4">
        <w:t>consisted of</w:t>
      </w:r>
      <w:r w:rsidR="00DF2F01">
        <w:t xml:space="preserve"> twelve districts in seven separate blocks of</w:t>
      </w:r>
      <w:r w:rsidR="00F203AF">
        <w:t xml:space="preserve"> land, split up by</w:t>
      </w:r>
      <w:r w:rsidR="007637B4">
        <w:t xml:space="preserve"> white</w:t>
      </w:r>
      <w:r w:rsidR="00F203AF">
        <w:t xml:space="preserve"> </w:t>
      </w:r>
      <w:r w:rsidR="000A67CB">
        <w:t>“</w:t>
      </w:r>
      <w:r w:rsidR="00F203AF">
        <w:t>South Africa</w:t>
      </w:r>
      <w:r w:rsidR="000A67CB">
        <w:t>”</w:t>
      </w:r>
      <w:r w:rsidR="007637B4">
        <w:t>. Its territories</w:t>
      </w:r>
      <w:r w:rsidR="00F203AF">
        <w:t xml:space="preserve"> could neve</w:t>
      </w:r>
      <w:r w:rsidR="000A67CB">
        <w:t>r constitute a unified “nation”</w:t>
      </w:r>
      <w:r w:rsidR="00FD64F3">
        <w:t xml:space="preserve"> (refer to Figure 1).</w:t>
      </w:r>
    </w:p>
    <w:p w14:paraId="655ADB03" w14:textId="77777777" w:rsidR="002764E5" w:rsidRDefault="00DB2AA1" w:rsidP="00DF2F01">
      <w:pPr>
        <w:rPr>
          <w:rFonts w:ascii="Arial" w:hAnsi="Arial" w:cs="Arial"/>
          <w:color w:val="333333"/>
          <w:sz w:val="21"/>
          <w:szCs w:val="21"/>
          <w:shd w:val="clear" w:color="auto" w:fill="FFFFFF"/>
        </w:rPr>
      </w:pPr>
      <w:r w:rsidRPr="008A35A7">
        <w:rPr>
          <w:noProof/>
          <w:color w:val="FF0000"/>
          <w:lang w:val="en-ZA" w:eastAsia="en-ZA"/>
        </w:rPr>
        <w:drawing>
          <wp:anchor distT="0" distB="0" distL="114300" distR="114300" simplePos="0" relativeHeight="251650048" behindDoc="1" locked="0" layoutInCell="1" allowOverlap="1" wp14:anchorId="0A993E17" wp14:editId="33EFBAF8">
            <wp:simplePos x="0" y="0"/>
            <wp:positionH relativeFrom="margin">
              <wp:posOffset>1339215</wp:posOffset>
            </wp:positionH>
            <wp:positionV relativeFrom="paragraph">
              <wp:posOffset>36830</wp:posOffset>
            </wp:positionV>
            <wp:extent cx="3413760" cy="2781300"/>
            <wp:effectExtent l="0" t="0" r="0" b="0"/>
            <wp:wrapTight wrapText="bothSides">
              <wp:wrapPolygon edited="0">
                <wp:start x="0" y="0"/>
                <wp:lineTo x="0" y="21452"/>
                <wp:lineTo x="21455" y="21452"/>
                <wp:lineTo x="21455" y="0"/>
                <wp:lineTo x="0" y="0"/>
              </wp:wrapPolygon>
            </wp:wrapTight>
            <wp:docPr id="3" name="Picture 3" descr="C:\Users\Nicola van der Merwe\Documents\Masters\Articles\129967-050-7590836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ola van der Merwe\Documents\Masters\Articles\129967-050-75908369.g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13760" cy="2781300"/>
                    </a:xfrm>
                    <a:prstGeom prst="rect">
                      <a:avLst/>
                    </a:prstGeom>
                    <a:noFill/>
                    <a:ln>
                      <a:noFill/>
                    </a:ln>
                  </pic:spPr>
                </pic:pic>
              </a:graphicData>
            </a:graphic>
          </wp:anchor>
        </w:drawing>
      </w:r>
    </w:p>
    <w:p w14:paraId="6990E119" w14:textId="77777777" w:rsidR="002764E5" w:rsidRDefault="002764E5" w:rsidP="002764E5">
      <w:r>
        <w:t xml:space="preserve"> </w:t>
      </w:r>
    </w:p>
    <w:p w14:paraId="76186235" w14:textId="77777777" w:rsidR="002764E5" w:rsidRDefault="002764E5" w:rsidP="002764E5"/>
    <w:p w14:paraId="207C7B33" w14:textId="77777777" w:rsidR="002764E5" w:rsidRDefault="002764E5" w:rsidP="002764E5"/>
    <w:p w14:paraId="628F1563" w14:textId="77777777" w:rsidR="002764E5" w:rsidRDefault="002764E5" w:rsidP="002764E5"/>
    <w:p w14:paraId="26346A35" w14:textId="77777777" w:rsidR="002764E5" w:rsidRDefault="002764E5" w:rsidP="002764E5"/>
    <w:p w14:paraId="43DB34AB" w14:textId="77777777" w:rsidR="002764E5" w:rsidRDefault="002764E5" w:rsidP="002764E5"/>
    <w:p w14:paraId="4B804D8D" w14:textId="77777777" w:rsidR="002764E5" w:rsidRDefault="002764E5" w:rsidP="002764E5"/>
    <w:p w14:paraId="142BF45D" w14:textId="77777777" w:rsidR="00DB2AA1" w:rsidRDefault="00DB2AA1" w:rsidP="002764E5">
      <w:pPr>
        <w:pStyle w:val="NoSpacing"/>
        <w:jc w:val="center"/>
        <w:rPr>
          <w:sz w:val="24"/>
        </w:rPr>
      </w:pPr>
    </w:p>
    <w:p w14:paraId="754A5AF7" w14:textId="77777777" w:rsidR="001E600F" w:rsidRDefault="001E600F" w:rsidP="001E600F">
      <w:pPr>
        <w:pStyle w:val="NoSpacing"/>
        <w:jc w:val="center"/>
        <w:rPr>
          <w:i/>
          <w:iCs/>
          <w:shd w:val="clear" w:color="auto" w:fill="FFFFFF"/>
        </w:rPr>
      </w:pPr>
      <w:r>
        <w:rPr>
          <w:iCs/>
          <w:shd w:val="clear" w:color="auto" w:fill="FFFFFF"/>
        </w:rPr>
        <w:t xml:space="preserve">Figure 1: </w:t>
      </w:r>
      <w:r w:rsidR="002764E5">
        <w:rPr>
          <w:i/>
          <w:iCs/>
          <w:shd w:val="clear" w:color="auto" w:fill="FFFFFF"/>
        </w:rPr>
        <w:t>South Africa: homeland</w:t>
      </w:r>
      <w:r>
        <w:rPr>
          <w:i/>
          <w:iCs/>
          <w:shd w:val="clear" w:color="auto" w:fill="FFFFFF"/>
        </w:rPr>
        <w:t>s</w:t>
      </w:r>
    </w:p>
    <w:p w14:paraId="4090A500" w14:textId="77777777" w:rsidR="002764E5" w:rsidRPr="001E600F" w:rsidRDefault="001E600F" w:rsidP="001E600F">
      <w:pPr>
        <w:pStyle w:val="NoSpacing"/>
        <w:spacing w:after="120"/>
        <w:jc w:val="center"/>
        <w:rPr>
          <w:i/>
          <w:iCs/>
          <w:shd w:val="clear" w:color="auto" w:fill="FFFFFF"/>
        </w:rPr>
      </w:pPr>
      <w:r>
        <w:rPr>
          <w:iCs/>
          <w:shd w:val="clear" w:color="auto" w:fill="FFFFFF"/>
        </w:rPr>
        <w:t>[Source:</w:t>
      </w:r>
      <w:r w:rsidR="002764E5">
        <w:rPr>
          <w:shd w:val="clear" w:color="auto" w:fill="FFFFFF"/>
        </w:rPr>
        <w:t xml:space="preserve"> </w:t>
      </w:r>
      <w:r w:rsidR="002764E5">
        <w:rPr>
          <w:i/>
          <w:iCs/>
          <w:shd w:val="clear" w:color="auto" w:fill="FFFFFF"/>
        </w:rPr>
        <w:t>Britannica Online</w:t>
      </w:r>
      <w:r>
        <w:rPr>
          <w:shd w:val="clear" w:color="auto" w:fill="FFFFFF"/>
        </w:rPr>
        <w:t xml:space="preserve"> </w:t>
      </w:r>
      <w:hyperlink r:id="rId13" w:history="1">
        <w:r w:rsidR="002764E5" w:rsidRPr="001E600F">
          <w:t>http://kids.britannica.com/elementary/art-179878</w:t>
        </w:r>
      </w:hyperlink>
      <w:r w:rsidRPr="001E600F">
        <w:t>]</w:t>
      </w:r>
    </w:p>
    <w:p w14:paraId="0816C0CD" w14:textId="77777777" w:rsidR="00A54F0E" w:rsidRDefault="00A54F0E" w:rsidP="002764E5"/>
    <w:p w14:paraId="6BEF3D1B" w14:textId="77777777" w:rsidR="002764E5" w:rsidRDefault="00A54F0E" w:rsidP="002764E5">
      <w:r>
        <w:lastRenderedPageBreak/>
        <w:t>Per</w:t>
      </w:r>
      <w:r w:rsidR="002764E5">
        <w:t xml:space="preserve"> Davenport</w:t>
      </w:r>
      <w:r w:rsidR="00EF4FAF">
        <w:t>,</w:t>
      </w:r>
      <w:r w:rsidR="002764E5">
        <w:t xml:space="preserve"> the creation of the bantustans</w:t>
      </w:r>
    </w:p>
    <w:p w14:paraId="54081D55" w14:textId="77777777" w:rsidR="00286A38" w:rsidRPr="00286A38" w:rsidRDefault="007637B4" w:rsidP="00286A38">
      <w:pPr>
        <w:pStyle w:val="Subtitle"/>
      </w:pPr>
      <w:r>
        <w:t>[was</w:t>
      </w:r>
      <w:r w:rsidR="002764E5">
        <w:t>]</w:t>
      </w:r>
      <w:r w:rsidR="002764E5" w:rsidRPr="0054085A">
        <w:t xml:space="preserve"> an attempt to restructure the government of the reserves on more traditional lines, but in practice came to mean the establishment of a system of indirect rule through the medium of subservient and sometimes well-rewarded chiefs, chosen for their preparedness to enforce government policy at the </w:t>
      </w:r>
      <w:r w:rsidR="002764E5">
        <w:t>expense of their own popularity.</w:t>
      </w:r>
      <w:r w:rsidR="002764E5">
        <w:rPr>
          <w:rStyle w:val="FootnoteReference"/>
        </w:rPr>
        <w:footnoteReference w:id="20"/>
      </w:r>
    </w:p>
    <w:p w14:paraId="565A2EB4" w14:textId="77777777" w:rsidR="00F96822" w:rsidRDefault="0054085A" w:rsidP="00F96822">
      <w:r>
        <w:t>T</w:t>
      </w:r>
      <w:r w:rsidR="002764E5">
        <w:t>he homeland policy w</w:t>
      </w:r>
      <w:r>
        <w:t>as further</w:t>
      </w:r>
      <w:r w:rsidR="008D1876">
        <w:t xml:space="preserve"> enforced under t</w:t>
      </w:r>
      <w:r w:rsidR="008D1876" w:rsidRPr="00226731">
        <w:t>he</w:t>
      </w:r>
      <w:r w:rsidR="008D1876" w:rsidRPr="00226731">
        <w:rPr>
          <w:rStyle w:val="apple-converted-space"/>
          <w:rFonts w:ascii="Helvetica" w:hAnsi="Helvetica" w:cs="Helvetica"/>
          <w:color w:val="191919"/>
        </w:rPr>
        <w:t> </w:t>
      </w:r>
      <w:r w:rsidR="005A516C" w:rsidRPr="005A516C">
        <w:t>Promotion of Bantu Self-Government Act No 46</w:t>
      </w:r>
      <w:r w:rsidR="005A516C">
        <w:t xml:space="preserve"> of 1959, which sought to establish eight distinct </w:t>
      </w:r>
      <w:r w:rsidR="000A67CB">
        <w:t>“</w:t>
      </w:r>
      <w:r w:rsidR="00DC50C1">
        <w:t>B</w:t>
      </w:r>
      <w:r w:rsidR="005A516C">
        <w:t>antu areas</w:t>
      </w:r>
      <w:r w:rsidR="000A67CB">
        <w:t>”</w:t>
      </w:r>
      <w:r w:rsidR="005A516C">
        <w:t xml:space="preserve"> from</w:t>
      </w:r>
      <w:r w:rsidR="00F2410A">
        <w:t xml:space="preserve"> the</w:t>
      </w:r>
      <w:r w:rsidR="005A516C">
        <w:t xml:space="preserve"> existing reserves. These bantustans were granted a degree of self-government with the aim of eventual independence.</w:t>
      </w:r>
      <w:r w:rsidR="005A516C">
        <w:rPr>
          <w:rStyle w:val="FootnoteReference"/>
        </w:rPr>
        <w:footnoteReference w:id="21"/>
      </w:r>
      <w:r w:rsidR="005A516C">
        <w:t xml:space="preserve"> The </w:t>
      </w:r>
      <w:r w:rsidR="008D1876" w:rsidRPr="00226731">
        <w:rPr>
          <w:bCs/>
          <w:bdr w:val="none" w:sz="0" w:space="0" w:color="auto" w:frame="1"/>
        </w:rPr>
        <w:t xml:space="preserve">Bantu Homelands </w:t>
      </w:r>
      <w:r w:rsidR="007637B4" w:rsidRPr="00226731">
        <w:rPr>
          <w:bCs/>
          <w:bdr w:val="none" w:sz="0" w:space="0" w:color="auto" w:frame="1"/>
        </w:rPr>
        <w:t>Cit</w:t>
      </w:r>
      <w:r w:rsidR="007637B4">
        <w:rPr>
          <w:bCs/>
          <w:bdr w:val="none" w:sz="0" w:space="0" w:color="auto" w:frame="1"/>
        </w:rPr>
        <w:t>ize</w:t>
      </w:r>
      <w:r w:rsidR="007637B4" w:rsidRPr="00226731">
        <w:rPr>
          <w:bCs/>
          <w:bdr w:val="none" w:sz="0" w:space="0" w:color="auto" w:frame="1"/>
        </w:rPr>
        <w:t>nship</w:t>
      </w:r>
      <w:r w:rsidR="008D1876" w:rsidRPr="00226731">
        <w:rPr>
          <w:bCs/>
          <w:bdr w:val="none" w:sz="0" w:space="0" w:color="auto" w:frame="1"/>
        </w:rPr>
        <w:t xml:space="preserve"> Act No</w:t>
      </w:r>
      <w:r w:rsidR="008D1876">
        <w:rPr>
          <w:bCs/>
          <w:bdr w:val="none" w:sz="0" w:space="0" w:color="auto" w:frame="1"/>
        </w:rPr>
        <w:t>.</w:t>
      </w:r>
      <w:r w:rsidR="008D1876" w:rsidRPr="00226731">
        <w:rPr>
          <w:bCs/>
          <w:bdr w:val="none" w:sz="0" w:space="0" w:color="auto" w:frame="1"/>
        </w:rPr>
        <w:t xml:space="preserve"> 26 of 1970</w:t>
      </w:r>
      <w:r w:rsidR="008D1876">
        <w:rPr>
          <w:bCs/>
          <w:bdr w:val="none" w:sz="0" w:space="0" w:color="auto" w:frame="1"/>
        </w:rPr>
        <w:t xml:space="preserve"> </w:t>
      </w:r>
      <w:r w:rsidR="008D1876" w:rsidRPr="00226731">
        <w:t>r</w:t>
      </w:r>
      <w:r w:rsidR="008D1876">
        <w:t>equired that all South African b</w:t>
      </w:r>
      <w:r w:rsidR="005A516C">
        <w:t xml:space="preserve">lack </w:t>
      </w:r>
      <w:r w:rsidR="007637B4">
        <w:t>citizens</w:t>
      </w:r>
      <w:r w:rsidR="008D1876" w:rsidRPr="00226731">
        <w:t xml:space="preserve"> become </w:t>
      </w:r>
      <w:r w:rsidR="007637B4" w:rsidRPr="00226731">
        <w:t>cit</w:t>
      </w:r>
      <w:r w:rsidR="007637B4">
        <w:t>ize</w:t>
      </w:r>
      <w:r w:rsidR="007637B4" w:rsidRPr="00226731">
        <w:t>ns</w:t>
      </w:r>
      <w:r w:rsidR="008D1876" w:rsidRPr="00226731">
        <w:t xml:space="preserve"> of one of the </w:t>
      </w:r>
      <w:r w:rsidR="00DC50C1">
        <w:t>bantustans</w:t>
      </w:r>
      <w:r w:rsidR="002764E5">
        <w:t>.</w:t>
      </w:r>
      <w:r w:rsidR="00F2410A">
        <w:t xml:space="preserve"> The following year, the </w:t>
      </w:r>
      <w:r w:rsidR="00B44D82">
        <w:t>NP</w:t>
      </w:r>
      <w:r w:rsidR="00F2410A">
        <w:t xml:space="preserve"> implemented the Bantu Homelands Constitution Act, No. 21 of 1971. This gave South Africa the authority to grant independence to any</w:t>
      </w:r>
      <w:r w:rsidR="007637B4">
        <w:t xml:space="preserve"> of the</w:t>
      </w:r>
      <w:r w:rsidR="00F2410A">
        <w:t xml:space="preserve"> bantustans.</w:t>
      </w:r>
      <w:r w:rsidR="00DF2F01">
        <w:t xml:space="preserve"> </w:t>
      </w:r>
      <w:r w:rsidR="002764E5">
        <w:t>The Promotion of Bantu Self-Government</w:t>
      </w:r>
      <w:r w:rsidR="00EF4FAF">
        <w:t xml:space="preserve"> Act</w:t>
      </w:r>
      <w:r w:rsidR="001E600F">
        <w:t xml:space="preserve"> of 1959</w:t>
      </w:r>
      <w:r w:rsidR="002764E5">
        <w:t xml:space="preserve"> pr</w:t>
      </w:r>
      <w:r w:rsidR="002764E5" w:rsidRPr="000B5B8B">
        <w:t xml:space="preserve">ovided for the self-governance of Bophuthatswana in 1972 and the Bantu Homeland Constitution Act </w:t>
      </w:r>
      <w:r w:rsidR="007C4731" w:rsidRPr="000B5B8B">
        <w:t xml:space="preserve">granted independence to </w:t>
      </w:r>
      <w:r w:rsidR="002764E5" w:rsidRPr="000B5B8B">
        <w:t>Bophuthatswana</w:t>
      </w:r>
      <w:r w:rsidR="007C4731" w:rsidRPr="000B5B8B">
        <w:t xml:space="preserve"> in 1977</w:t>
      </w:r>
      <w:r w:rsidR="00DF2F01" w:rsidRPr="000B5B8B">
        <w:t>.</w:t>
      </w:r>
    </w:p>
    <w:p w14:paraId="5CBE8DA6" w14:textId="77777777" w:rsidR="00F96822" w:rsidRDefault="007637B4" w:rsidP="00CF58CD">
      <w:r w:rsidRPr="000B5B8B">
        <w:t>Th</w:t>
      </w:r>
      <w:r w:rsidR="00A54F0E" w:rsidRPr="000B5B8B">
        <w:t>e th</w:t>
      </w:r>
      <w:r w:rsidRPr="000B5B8B">
        <w:t>ree</w:t>
      </w:r>
      <w:r w:rsidR="00DF2F01" w:rsidRPr="000B5B8B">
        <w:t xml:space="preserve"> homelands</w:t>
      </w:r>
      <w:r w:rsidR="00A54F0E" w:rsidRPr="000B5B8B">
        <w:t xml:space="preserve"> of</w:t>
      </w:r>
      <w:r w:rsidR="00DF2F01" w:rsidRPr="000B5B8B">
        <w:t xml:space="preserve"> Transkei, Ciskei and Venda were granted independence</w:t>
      </w:r>
      <w:r w:rsidR="00A54F0E" w:rsidRPr="000B5B8B">
        <w:t xml:space="preserve"> in 1976</w:t>
      </w:r>
      <w:r w:rsidR="00DF2F01" w:rsidRPr="000B5B8B">
        <w:t xml:space="preserve">, </w:t>
      </w:r>
      <w:r w:rsidR="00A54F0E" w:rsidRPr="000B5B8B">
        <w:t>1980 and 1979, respectively. T</w:t>
      </w:r>
      <w:r w:rsidR="00DF2F01" w:rsidRPr="000B5B8B">
        <w:t>he remaining territories received self-rule.</w:t>
      </w:r>
      <w:r w:rsidR="00DF2F01" w:rsidRPr="000B5B8B">
        <w:rPr>
          <w:rStyle w:val="FootnoteReference"/>
        </w:rPr>
        <w:footnoteReference w:id="22"/>
      </w:r>
      <w:r w:rsidR="00F203AF" w:rsidRPr="000B5B8B">
        <w:t xml:space="preserve"> </w:t>
      </w:r>
      <w:r w:rsidR="000B5B8B" w:rsidRPr="000B5B8B">
        <w:t xml:space="preserve">The four quasi-independent homelands were collectively referred to as the TVBC states – Transkei, Venda, Bophuthatswana and Ciskei. </w:t>
      </w:r>
      <w:r w:rsidR="00F96822">
        <w:t>Transkei was the first TVBC state to receive independence, Roger Southall wrote in 1983</w:t>
      </w:r>
    </w:p>
    <w:p w14:paraId="154D067A" w14:textId="77777777" w:rsidR="007D582E" w:rsidRDefault="007D582E" w:rsidP="007D582E">
      <w:pPr>
        <w:pStyle w:val="Subtitle"/>
      </w:pPr>
      <w:r>
        <w:t xml:space="preserve">Both the Opposition United and Progressive-Reform Parties objected to the entire concept of [Transkeian] independence and arguing variously that those designated Transkeian citizen had been inadequately consulted that the newly created state would be economically unviable, that the constitution </w:t>
      </w:r>
      <w:r w:rsidRPr="007D582E">
        <w:t>inadequately</w:t>
      </w:r>
      <w:r>
        <w:t xml:space="preserve"> protected minority rights and the importation of a further black state into the confines of the South African heartland might pose a military threat to the defence of the Republic.</w:t>
      </w:r>
      <w:r>
        <w:rPr>
          <w:rStyle w:val="FootnoteReference"/>
        </w:rPr>
        <w:footnoteReference w:id="23"/>
      </w:r>
      <w:r>
        <w:t xml:space="preserve"> </w:t>
      </w:r>
    </w:p>
    <w:p w14:paraId="46FE42BF" w14:textId="77777777" w:rsidR="00DF2F01" w:rsidRDefault="000A67CB" w:rsidP="00DF2F01">
      <w:r>
        <w:t>The bantustan “</w:t>
      </w:r>
      <w:r w:rsidR="00DF2F01">
        <w:t>independence</w:t>
      </w:r>
      <w:r>
        <w:t>”</w:t>
      </w:r>
      <w:r w:rsidR="007637B4">
        <w:t xml:space="preserve"> came in the wake of a dozen</w:t>
      </w:r>
      <w:r w:rsidR="00DF2F01">
        <w:t xml:space="preserve"> other African nations</w:t>
      </w:r>
      <w:r w:rsidR="007637B4" w:rsidRPr="007637B4">
        <w:t xml:space="preserve"> </w:t>
      </w:r>
      <w:r w:rsidR="007637B4">
        <w:t>achieving independence</w:t>
      </w:r>
      <w:r w:rsidR="00DF2F01">
        <w:t>.</w:t>
      </w:r>
      <w:r w:rsidR="00A54F0E">
        <w:rPr>
          <w:rStyle w:val="FootnoteReference"/>
        </w:rPr>
        <w:footnoteReference w:id="24"/>
      </w:r>
      <w:r w:rsidR="00DF2F01">
        <w:t xml:space="preserve"> The African continent was optimistic about the process of decolonisation and the NP attempted to play on this, positioning bantustan policy within a broader movement of African self-rule. The bantustans were thus branded as the highest acknowledgement of </w:t>
      </w:r>
      <w:r w:rsidR="00DF2F01">
        <w:lastRenderedPageBreak/>
        <w:t xml:space="preserve">human worth; the right to govern oneself as a sovereign state. </w:t>
      </w:r>
      <w:r w:rsidR="00D1394A">
        <w:t>It</w:t>
      </w:r>
      <w:r w:rsidR="00DF2F01">
        <w:t xml:space="preserve"> was argued in the same vein that independence from colonial powers was fought for. Laura Evans connects the histories of bantustans with the larger movement of decolonisation throughout Africa. She compares the path of British decolonisation in southern African to the establishment of the bantustans, stating that the Promotion of Bantu Self-Governance Act of 1959 emerged in the wake of Britain’s declaration to provide independence to their southern African colonies. The creation of the bantustans mimicked many instances of decolonisation’s devolution.</w:t>
      </w:r>
      <w:r w:rsidR="00DF2F01">
        <w:rPr>
          <w:rStyle w:val="FootnoteReference"/>
        </w:rPr>
        <w:footnoteReference w:id="25"/>
      </w:r>
      <w:r w:rsidR="00DF2F01">
        <w:t xml:space="preserve"> </w:t>
      </w:r>
    </w:p>
    <w:p w14:paraId="23537DB8" w14:textId="77777777" w:rsidR="003E2FD6" w:rsidRDefault="003E2FD6" w:rsidP="003E2FD6">
      <w:r>
        <w:t>The</w:t>
      </w:r>
      <w:r w:rsidR="00B44D82">
        <w:t xml:space="preserve"> 1977</w:t>
      </w:r>
      <w:r w:rsidR="000A67CB">
        <w:t xml:space="preserve"> “</w:t>
      </w:r>
      <w:r>
        <w:t>i</w:t>
      </w:r>
      <w:r w:rsidR="000A67CB">
        <w:t>ndependence”</w:t>
      </w:r>
      <w:r>
        <w:t xml:space="preserve"> ceremony in Mmabatho, the newly built capital city</w:t>
      </w:r>
      <w:r w:rsidR="00B44D82">
        <w:t xml:space="preserve"> of Bophuthatswana</w:t>
      </w:r>
      <w:r>
        <w:t xml:space="preserve">, included tribal dancers and acrobatic displays, </w:t>
      </w:r>
      <w:r w:rsidR="00B44D82">
        <w:t xml:space="preserve">and </w:t>
      </w:r>
      <w:r>
        <w:t xml:space="preserve">as the clock struck twelve the military let off a 101 gun salute. The South African </w:t>
      </w:r>
      <w:r w:rsidR="00FD3C84">
        <w:t xml:space="preserve">flag </w:t>
      </w:r>
      <w:r>
        <w:t xml:space="preserve">was lowered and replaced with a blue one emblazoned with a diagonal orange stripe and a </w:t>
      </w:r>
      <w:r w:rsidR="00693B29">
        <w:t>leopard’s</w:t>
      </w:r>
      <w:r>
        <w:t xml:space="preserve"> head. Presid</w:t>
      </w:r>
      <w:r w:rsidR="00DF2F01">
        <w:t>ent Lucas Mangope declared that</w:t>
      </w:r>
      <w:r w:rsidR="00D1394A">
        <w:t>:</w:t>
      </w:r>
    </w:p>
    <w:p w14:paraId="550AB7A3" w14:textId="77777777" w:rsidR="003E2FD6" w:rsidRDefault="003E2FD6" w:rsidP="003E2FD6">
      <w:pPr>
        <w:pStyle w:val="Subtitle"/>
      </w:pPr>
      <w:r>
        <w:t xml:space="preserve">At last we are no longer helplessly at the mercy of the arbitrary arrogance of those who until this hour trampled our human dignity into the dust </w:t>
      </w:r>
      <w:r>
        <w:rPr>
          <w:rStyle w:val="FootnoteReference"/>
        </w:rPr>
        <w:footnoteReference w:id="26"/>
      </w:r>
    </w:p>
    <w:p w14:paraId="1733C01C" w14:textId="77777777" w:rsidR="005A68F2" w:rsidRDefault="003E2FD6" w:rsidP="002F7854">
      <w:r>
        <w:t xml:space="preserve">Despite the </w:t>
      </w:r>
      <w:r w:rsidR="00B44D82">
        <w:t xml:space="preserve">pompous </w:t>
      </w:r>
      <w:r>
        <w:t>ceremony, the dancers and Mangope’s speech</w:t>
      </w:r>
      <w:r w:rsidR="00B44D82">
        <w:t>,</w:t>
      </w:r>
      <w:r>
        <w:t xml:space="preserve"> the birth of Bophuthatswana lacked the kind of euphoria that independence celebrations usually inspire. The creation of Bophuthatswana, which literally means ‘that which binds the Tswana’ was also</w:t>
      </w:r>
      <w:r w:rsidR="00693B29">
        <w:t xml:space="preserve"> not </w:t>
      </w:r>
      <w:r w:rsidR="00D1394A">
        <w:t>recognised</w:t>
      </w:r>
      <w:r w:rsidR="00671A8B">
        <w:t xml:space="preserve"> </w:t>
      </w:r>
      <w:r w:rsidR="00693B29">
        <w:t>internationally.</w:t>
      </w:r>
      <w:r w:rsidR="00DF2F01">
        <w:t xml:space="preserve"> Critics of the homeland system argued that the notion of granting quasi-independence was a simple effort to control the m</w:t>
      </w:r>
      <w:r w:rsidR="007637B4">
        <w:t>ovement of the black population</w:t>
      </w:r>
      <w:r w:rsidR="00DF2F01">
        <w:t xml:space="preserve"> and to provide an embedded labour source for </w:t>
      </w:r>
      <w:r w:rsidR="007637B4">
        <w:t xml:space="preserve">the </w:t>
      </w:r>
      <w:r w:rsidR="00DF2F01">
        <w:t>South Africa</w:t>
      </w:r>
      <w:r w:rsidR="00D1394A">
        <w:t>n</w:t>
      </w:r>
      <w:r w:rsidR="00DF2F01">
        <w:t xml:space="preserve"> </w:t>
      </w:r>
      <w:r w:rsidR="00D1394A">
        <w:t>industry</w:t>
      </w:r>
      <w:r w:rsidR="00DF2F01">
        <w:t xml:space="preserve">. </w:t>
      </w:r>
      <w:r w:rsidR="005A68F2" w:rsidRPr="005A68F2">
        <w:t xml:space="preserve"> </w:t>
      </w:r>
      <w:r w:rsidR="005A68F2">
        <w:t>Wolpe, writing in 1972, argues</w:t>
      </w:r>
      <w:r w:rsidR="005A68F2" w:rsidRPr="005A68F2">
        <w:t xml:space="preserve"> that the bantustans were reservoirs of cheap</w:t>
      </w:r>
      <w:r w:rsidR="00F96822">
        <w:t xml:space="preserve"> labour for white South Africa, s</w:t>
      </w:r>
      <w:r w:rsidR="005A68F2" w:rsidRPr="005A68F2">
        <w:t>tating that: “The supply of African migrant labour-power, at a wage below its cost of reproduction, is a function of the existence of the pre-capitalist mode.”</w:t>
      </w:r>
      <w:r w:rsidR="00F96822">
        <w:t xml:space="preserve"> The NP could maintain African labour power as cheap labour power through the repressive nature of the homeland system, for the benefit of white South Africa.</w:t>
      </w:r>
      <w:r w:rsidR="005A68F2">
        <w:rPr>
          <w:rStyle w:val="FootnoteReference"/>
        </w:rPr>
        <w:footnoteReference w:id="27"/>
      </w:r>
    </w:p>
    <w:p w14:paraId="375DA81F" w14:textId="77777777" w:rsidR="004411B3" w:rsidRDefault="00DF2F01" w:rsidP="002F7854">
      <w:r>
        <w:t>The international community rejected the bantustans as independent states, only recog</w:t>
      </w:r>
      <w:r w:rsidR="000C57FE">
        <w:t>nise</w:t>
      </w:r>
      <w:r>
        <w:t>d as such by each other as well as</w:t>
      </w:r>
      <w:r w:rsidR="007637B4">
        <w:t xml:space="preserve"> by</w:t>
      </w:r>
      <w:r>
        <w:t xml:space="preserve"> South Africa and Swaziland.</w:t>
      </w:r>
      <w:r>
        <w:rPr>
          <w:rStyle w:val="FootnoteReference"/>
        </w:rPr>
        <w:footnoteReference w:id="28"/>
      </w:r>
      <w:r>
        <w:t xml:space="preserve"> </w:t>
      </w:r>
      <w:r w:rsidR="003E2FD6">
        <w:t>United Nation</w:t>
      </w:r>
      <w:r w:rsidR="00D1394A">
        <w:t>s</w:t>
      </w:r>
      <w:r w:rsidR="00B44D82">
        <w:t xml:space="preserve"> (UN)</w:t>
      </w:r>
      <w:r w:rsidR="003E2FD6">
        <w:t xml:space="preserve"> Secretary General Kurt Waldheim made a statement in which he vehemently deplored the </w:t>
      </w:r>
      <w:r w:rsidR="003E2FD6">
        <w:lastRenderedPageBreak/>
        <w:t>“establishment of another so-called independent homeland in pursuance of the discredited policies of apartheid”.</w:t>
      </w:r>
      <w:r w:rsidR="003E2FD6">
        <w:rPr>
          <w:rStyle w:val="FootnoteReference"/>
        </w:rPr>
        <w:footnoteReference w:id="29"/>
      </w:r>
      <w:r w:rsidR="003E2FD6">
        <w:t xml:space="preserve"> </w:t>
      </w:r>
    </w:p>
    <w:p w14:paraId="1F077EB6" w14:textId="77777777" w:rsidR="00693B29" w:rsidRDefault="002F7854" w:rsidP="00FD64F3">
      <w:r>
        <w:t xml:space="preserve">Meanwhile, the implementation of </w:t>
      </w:r>
      <w:r w:rsidR="00490EC3">
        <w:t xml:space="preserve">the </w:t>
      </w:r>
      <w:r>
        <w:t>bantustans allowed for the growth of a black middle class and bureaucratic elite within the homelands.</w:t>
      </w:r>
      <w:r w:rsidR="006E7345">
        <w:t xml:space="preserve"> The homeland policy </w:t>
      </w:r>
      <w:r w:rsidR="009E72CB">
        <w:t>permitted</w:t>
      </w:r>
      <w:r w:rsidR="006E7345">
        <w:t xml:space="preserve"> the paramount tribal leader of the area, such as Lucas Mangope for Bophuthatswana</w:t>
      </w:r>
      <w:r w:rsidR="004411B3">
        <w:t>, to be placed in a leadership position over</w:t>
      </w:r>
      <w:r w:rsidR="006E7345">
        <w:t xml:space="preserve"> the bantustan administration. </w:t>
      </w:r>
      <w:r w:rsidR="004411B3">
        <w:t xml:space="preserve">Power was given to select </w:t>
      </w:r>
      <w:r w:rsidR="004411B3" w:rsidRPr="007A66F2">
        <w:t xml:space="preserve">individuals through the farce of homeland policy, with a variety of perks and </w:t>
      </w:r>
      <w:r w:rsidR="007A66F2" w:rsidRPr="007A66F2">
        <w:t>large</w:t>
      </w:r>
      <w:r w:rsidR="004411B3" w:rsidRPr="007A66F2">
        <w:t xml:space="preserve"> salaries</w:t>
      </w:r>
      <w:r w:rsidR="00490EC3">
        <w:t>. In the process</w:t>
      </w:r>
      <w:r w:rsidR="004411B3">
        <w:t xml:space="preserve"> a new </w:t>
      </w:r>
      <w:r w:rsidR="007A66F2">
        <w:t xml:space="preserve">black </w:t>
      </w:r>
      <w:r w:rsidR="004411B3">
        <w:t xml:space="preserve">elite was formed. </w:t>
      </w:r>
      <w:r w:rsidR="006E7345">
        <w:t>The</w:t>
      </w:r>
      <w:r w:rsidR="004411B3">
        <w:t>re</w:t>
      </w:r>
      <w:r w:rsidR="006E7345">
        <w:t xml:space="preserve"> was an abundance of money to be made in the homelands, this was primarily achieved through government organisations and departments. This led to the incubation of corruption</w:t>
      </w:r>
      <w:r w:rsidR="004411B3">
        <w:t xml:space="preserve"> and nepotism</w:t>
      </w:r>
      <w:r w:rsidR="006E7345">
        <w:t xml:space="preserve"> within the territories </w:t>
      </w:r>
      <w:r w:rsidR="006E7345" w:rsidRPr="007D582E">
        <w:t>(</w:t>
      </w:r>
      <w:r w:rsidR="006E44C2" w:rsidRPr="007D582E">
        <w:t>Refer to</w:t>
      </w:r>
      <w:r w:rsidR="007D582E" w:rsidRPr="007D582E">
        <w:t xml:space="preserve"> Chapter 5</w:t>
      </w:r>
      <w:r w:rsidR="006E7345" w:rsidRPr="007D582E">
        <w:t>).</w:t>
      </w:r>
      <w:r w:rsidR="004411B3" w:rsidRPr="007D582E">
        <w:rPr>
          <w:rStyle w:val="FootnoteReference"/>
        </w:rPr>
        <w:footnoteReference w:id="30"/>
      </w:r>
      <w:r w:rsidR="006E7345" w:rsidRPr="007D582E">
        <w:t xml:space="preserve">  </w:t>
      </w:r>
    </w:p>
    <w:p w14:paraId="7D94D099" w14:textId="77777777" w:rsidR="00826ABC" w:rsidRDefault="007D0439" w:rsidP="00324B21">
      <w:r>
        <w:t>The cost of implementing and subsidizing the homeland</w:t>
      </w:r>
      <w:r w:rsidR="00DF4D80">
        <w:t>s</w:t>
      </w:r>
      <w:r>
        <w:t xml:space="preserve"> </w:t>
      </w:r>
      <w:r w:rsidR="00DF4D80">
        <w:t>eventually became</w:t>
      </w:r>
      <w:r>
        <w:t xml:space="preserve"> </w:t>
      </w:r>
      <w:r w:rsidR="00DF2F01">
        <w:t>a point of embarrassment</w:t>
      </w:r>
      <w:r>
        <w:t xml:space="preserve"> for the </w:t>
      </w:r>
      <w:r w:rsidR="00DF4D80">
        <w:t>NP</w:t>
      </w:r>
      <w:r>
        <w:t xml:space="preserve">. </w:t>
      </w:r>
      <w:r w:rsidR="00490EC3">
        <w:t xml:space="preserve">In 1987 the Johannesburg </w:t>
      </w:r>
      <w:r w:rsidR="00490EC3" w:rsidRPr="00CE4A09">
        <w:rPr>
          <w:i/>
        </w:rPr>
        <w:t>Sunday Star</w:t>
      </w:r>
      <w:r w:rsidR="00490EC3">
        <w:rPr>
          <w:i/>
        </w:rPr>
        <w:t xml:space="preserve"> </w:t>
      </w:r>
      <w:r w:rsidR="00490EC3">
        <w:t>printed an editorial about the financial fiasco that the bantustans were and said “if the TVBC ‘national states’ and six non-independent homelands are a joke, they are a very costly joke.”</w:t>
      </w:r>
      <w:r w:rsidR="00490EC3">
        <w:rPr>
          <w:rStyle w:val="FootnoteReference"/>
        </w:rPr>
        <w:footnoteReference w:id="31"/>
      </w:r>
      <w:r w:rsidR="00490EC3">
        <w:t xml:space="preserve"> </w:t>
      </w:r>
      <w:r w:rsidR="00DB7E49">
        <w:t xml:space="preserve">The development of Bophuthatswana as a tourist destination and the construction of gambling centres was </w:t>
      </w:r>
      <w:r w:rsidR="00862F49">
        <w:t xml:space="preserve">presented </w:t>
      </w:r>
      <w:r w:rsidR="00DB7E49">
        <w:t xml:space="preserve">as </w:t>
      </w:r>
      <w:r w:rsidR="00862F49">
        <w:t xml:space="preserve">an opportunity for </w:t>
      </w:r>
      <w:r w:rsidR="00DB7E49">
        <w:t>promoting financial i</w:t>
      </w:r>
      <w:r w:rsidR="00490EC3">
        <w:t xml:space="preserve">ndependence from South Africa. </w:t>
      </w:r>
    </w:p>
    <w:p w14:paraId="51137E88" w14:textId="77777777" w:rsidR="003A7210" w:rsidRDefault="003A7210" w:rsidP="003A7210">
      <w:pPr>
        <w:pStyle w:val="Heading2"/>
        <w:numPr>
          <w:ilvl w:val="0"/>
          <w:numId w:val="0"/>
        </w:numPr>
      </w:pPr>
      <w:bookmarkStart w:id="10" w:name="_Toc488481698"/>
      <w:r>
        <w:t>The 1965 Gambling Act</w:t>
      </w:r>
      <w:bookmarkEnd w:id="10"/>
    </w:p>
    <w:p w14:paraId="73EA1878" w14:textId="77777777" w:rsidR="00F708CC" w:rsidRDefault="003E1475" w:rsidP="00CF58CD">
      <w:r>
        <w:t>Apartheid</w:t>
      </w:r>
      <w:r w:rsidR="00826ABC">
        <w:t xml:space="preserve"> was enforced by an extensive catalogue of laws and acts. Racism became institutionalised and South African society controlled. The policy and calling card of the </w:t>
      </w:r>
      <w:r w:rsidR="00756A84">
        <w:t>NP</w:t>
      </w:r>
      <w:r w:rsidR="00202C82">
        <w:t xml:space="preserve"> government </w:t>
      </w:r>
      <w:r w:rsidR="00F203AF">
        <w:t>appeared</w:t>
      </w:r>
      <w:r w:rsidR="00826ABC">
        <w:t xml:space="preserve"> to be that of </w:t>
      </w:r>
      <w:r w:rsidR="00826ABC" w:rsidRPr="000D6CD4">
        <w:rPr>
          <w:i/>
        </w:rPr>
        <w:t>restriction</w:t>
      </w:r>
      <w:r w:rsidR="00826ABC">
        <w:t xml:space="preserve">. </w:t>
      </w:r>
      <w:r w:rsidR="007D582E">
        <w:t>Afrikaner n</w:t>
      </w:r>
      <w:r w:rsidR="00B52142">
        <w:t xml:space="preserve">ationalism </w:t>
      </w:r>
      <w:r w:rsidR="00F71A14">
        <w:t>ha</w:t>
      </w:r>
      <w:r w:rsidR="00B52142">
        <w:t>s</w:t>
      </w:r>
      <w:r w:rsidR="00F71A14">
        <w:t xml:space="preserve"> </w:t>
      </w:r>
      <w:r w:rsidR="00826ABC">
        <w:t>been associated with Calvinism</w:t>
      </w:r>
      <w:r w:rsidR="00826ABC" w:rsidRPr="000509F0">
        <w:softHyphen/>
      </w:r>
      <w:r w:rsidR="00B52142">
        <w:t xml:space="preserve">. </w:t>
      </w:r>
      <w:r w:rsidR="00826ABC">
        <w:t xml:space="preserve">The original doctrine stems from </w:t>
      </w:r>
      <w:r w:rsidR="00826ABC" w:rsidRPr="000509F0">
        <w:t>John</w:t>
      </w:r>
      <w:r w:rsidR="00826ABC">
        <w:t xml:space="preserve"> Calvin and he, like Martin Luther</w:t>
      </w:r>
      <w:r w:rsidR="008C44ED">
        <w:t>,</w:t>
      </w:r>
      <w:r w:rsidR="00826ABC">
        <w:t xml:space="preserve"> believed that secular gover</w:t>
      </w:r>
      <w:r w:rsidR="002C7C45">
        <w:t>nments had been founded by God.</w:t>
      </w:r>
      <w:r w:rsidR="00826ABC">
        <w:rPr>
          <w:rStyle w:val="FootnoteReference"/>
        </w:rPr>
        <w:footnoteReference w:id="32"/>
      </w:r>
      <w:r w:rsidR="00A97732">
        <w:t xml:space="preserve"> </w:t>
      </w:r>
      <w:r w:rsidR="00F708CC">
        <w:t xml:space="preserve">The </w:t>
      </w:r>
      <w:r w:rsidR="002C7C45">
        <w:t>NP</w:t>
      </w:r>
      <w:r w:rsidR="00F708CC">
        <w:t xml:space="preserve"> </w:t>
      </w:r>
      <w:r w:rsidR="00B52142">
        <w:t>tried to instil</w:t>
      </w:r>
      <w:r w:rsidR="00F708CC">
        <w:t xml:space="preserve"> morally</w:t>
      </w:r>
      <w:r w:rsidR="009C7D23">
        <w:t>-</w:t>
      </w:r>
      <w:r w:rsidR="00F708CC">
        <w:t xml:space="preserve">driven, Calvinistic ideals in the white South African population, drawing heavily on principles of nationalism and Christianity. Their attempts to restrict South African </w:t>
      </w:r>
      <w:r w:rsidR="00490EC3">
        <w:t>citizens</w:t>
      </w:r>
      <w:r w:rsidR="00F708CC">
        <w:t xml:space="preserve"> ranged from racially segregationist laws, </w:t>
      </w:r>
      <w:r w:rsidR="007575F1">
        <w:t xml:space="preserve">media </w:t>
      </w:r>
      <w:r w:rsidR="00F708CC">
        <w:t xml:space="preserve">censorship and implementation of the 1965 Gambling Act. </w:t>
      </w:r>
    </w:p>
    <w:p w14:paraId="76B9B777" w14:textId="77777777" w:rsidR="00826ABC" w:rsidRDefault="00826ABC" w:rsidP="00826ABC">
      <w:r>
        <w:t xml:space="preserve">In 1965 South African Minister of Justice and </w:t>
      </w:r>
      <w:r w:rsidR="009C7D23">
        <w:t xml:space="preserve">later </w:t>
      </w:r>
      <w:r>
        <w:t xml:space="preserve">Prime Minister John Vorster announced his intentions to </w:t>
      </w:r>
      <w:r w:rsidR="009C7D23">
        <w:t xml:space="preserve">ban </w:t>
      </w:r>
      <w:r>
        <w:t>all gambling. The National Gambling Act w</w:t>
      </w:r>
      <w:r w:rsidR="003A7210">
        <w:t xml:space="preserve">as pushed through </w:t>
      </w:r>
      <w:r w:rsidR="003A7210">
        <w:lastRenderedPageBreak/>
        <w:t xml:space="preserve">parliament with Vorster passionately arguing </w:t>
      </w:r>
      <w:r>
        <w:t>that “[</w:t>
      </w:r>
      <w:r w:rsidR="003A7210">
        <w:t>Afrikaners]</w:t>
      </w:r>
      <w:r>
        <w:t xml:space="preserve"> should combat the evil of gambling, [for it] underm</w:t>
      </w:r>
      <w:r w:rsidR="00C43CF8">
        <w:t>ines the morale of any nation.”</w:t>
      </w:r>
      <w:r>
        <w:rPr>
          <w:rStyle w:val="FootnoteReference"/>
        </w:rPr>
        <w:footnoteReference w:id="33"/>
      </w:r>
      <w:r w:rsidR="00C43CF8">
        <w:t xml:space="preserve"> </w:t>
      </w:r>
      <w:r w:rsidR="009C7D23">
        <w:t>The act</w:t>
      </w:r>
      <w:r w:rsidR="00F708CC">
        <w:t xml:space="preserve"> restricted all forms of gambling within South Africa, except for horse racing. </w:t>
      </w:r>
      <w:r w:rsidR="00C43CF8">
        <w:t xml:space="preserve">The </w:t>
      </w:r>
      <w:r w:rsidR="009C7D23">
        <w:t>NP</w:t>
      </w:r>
      <w:r w:rsidR="00C43CF8">
        <w:t xml:space="preserve">’s </w:t>
      </w:r>
      <w:r w:rsidR="009C7D23">
        <w:t>ban on gambling was, like other restrictions, based on</w:t>
      </w:r>
      <w:r w:rsidR="00F708CC">
        <w:t xml:space="preserve"> religious and moral objections. </w:t>
      </w:r>
    </w:p>
    <w:p w14:paraId="4DC04472" w14:textId="77777777" w:rsidR="00490EC3" w:rsidRDefault="00F708CC" w:rsidP="00CF58CD">
      <w:r>
        <w:t>As the bantustans were granted nominal independence,</w:t>
      </w:r>
      <w:r w:rsidR="00826ABC">
        <w:t xml:space="preserve"> </w:t>
      </w:r>
      <w:r w:rsidR="003A7210">
        <w:t xml:space="preserve">Sol </w:t>
      </w:r>
      <w:r w:rsidR="00826ABC">
        <w:t>Kerzner</w:t>
      </w:r>
      <w:r w:rsidR="003A7210">
        <w:t xml:space="preserve">, founder of </w:t>
      </w:r>
      <w:r w:rsidR="006E40DB">
        <w:t xml:space="preserve">Southern Sun and </w:t>
      </w:r>
      <w:r w:rsidR="003A7210">
        <w:t>Sun City,</w:t>
      </w:r>
      <w:r w:rsidR="00826ABC">
        <w:t xml:space="preserve"> </w:t>
      </w:r>
      <w:r>
        <w:t>had already set his plans for a casino in motion</w:t>
      </w:r>
      <w:r w:rsidR="003A7210">
        <w:t xml:space="preserve"> with meetings with Lucas Mangope dat</w:t>
      </w:r>
      <w:r w:rsidR="009A03BF">
        <w:t>ing</w:t>
      </w:r>
      <w:r w:rsidR="003A7210">
        <w:t xml:space="preserve"> back to 1976</w:t>
      </w:r>
      <w:r>
        <w:t xml:space="preserve">. </w:t>
      </w:r>
      <w:r w:rsidR="00826ABC">
        <w:t xml:space="preserve">He </w:t>
      </w:r>
      <w:r w:rsidR="006E40DB">
        <w:t xml:space="preserve">would </w:t>
      </w:r>
      <w:r w:rsidR="00AE5B81">
        <w:t>establish</w:t>
      </w:r>
      <w:r w:rsidR="00826ABC">
        <w:t xml:space="preserve"> casino resorts in Bophuthatswana, Ciskei and Transkei and dominate</w:t>
      </w:r>
      <w:r w:rsidR="006E40DB">
        <w:t xml:space="preserve"> the casino trade in s</w:t>
      </w:r>
      <w:r w:rsidR="00826ABC">
        <w:t xml:space="preserve">outhern Africa. </w:t>
      </w:r>
      <w:r w:rsidR="00AE5B81">
        <w:t>Bantustan independence</w:t>
      </w:r>
      <w:r w:rsidR="00826ABC">
        <w:t xml:space="preserve"> freed Kerzner not only from the</w:t>
      </w:r>
      <w:r w:rsidR="006E40DB">
        <w:t xml:space="preserve"> restrictive</w:t>
      </w:r>
      <w:r w:rsidR="00826ABC">
        <w:t xml:space="preserve"> Gambling Act, but also </w:t>
      </w:r>
      <w:r w:rsidR="00AE5B81">
        <w:t xml:space="preserve">from </w:t>
      </w:r>
      <w:r w:rsidR="003A7210">
        <w:t>the S</w:t>
      </w:r>
      <w:r w:rsidR="00826ABC">
        <w:t>outh African trade un</w:t>
      </w:r>
      <w:r w:rsidR="000A67CB">
        <w:t>ions and the wearisome ways of “democracy”</w:t>
      </w:r>
      <w:r w:rsidR="00826ABC">
        <w:t>.</w:t>
      </w:r>
      <w:r w:rsidR="003A7210">
        <w:rPr>
          <w:rStyle w:val="FootnoteReference"/>
        </w:rPr>
        <w:footnoteReference w:id="34"/>
      </w:r>
      <w:r w:rsidR="00826ABC">
        <w:t xml:space="preserve"> </w:t>
      </w:r>
      <w:r>
        <w:t>Bophuthatswana</w:t>
      </w:r>
      <w:r w:rsidR="00826ABC">
        <w:t xml:space="preserve"> </w:t>
      </w:r>
      <w:r w:rsidR="00AE5B81">
        <w:t xml:space="preserve">(and other bantustans) </w:t>
      </w:r>
      <w:r w:rsidR="00826ABC">
        <w:t xml:space="preserve">offered Kerzner a more unrestricted </w:t>
      </w:r>
      <w:r w:rsidR="00AE5B81">
        <w:t xml:space="preserve">environment </w:t>
      </w:r>
      <w:r w:rsidR="00826ABC">
        <w:t>in which</w:t>
      </w:r>
      <w:r w:rsidR="00D51EB4">
        <w:t xml:space="preserve"> to</w:t>
      </w:r>
      <w:r w:rsidR="00826ABC">
        <w:t xml:space="preserve"> operate.</w:t>
      </w:r>
      <w:r w:rsidR="00826ABC">
        <w:rPr>
          <w:rStyle w:val="FootnoteReference"/>
        </w:rPr>
        <w:footnoteReference w:id="35"/>
      </w:r>
      <w:r w:rsidR="00D51EB4">
        <w:t xml:space="preserve"> </w:t>
      </w:r>
    </w:p>
    <w:p w14:paraId="640E98C3" w14:textId="77777777" w:rsidR="00693B29" w:rsidRDefault="007575F1" w:rsidP="00CF58CD">
      <w:r>
        <w:t>The</w:t>
      </w:r>
      <w:r w:rsidR="00F708CC">
        <w:t xml:space="preserve"> 1971 the </w:t>
      </w:r>
      <w:r w:rsidR="00693B29">
        <w:t>Self-Governing Territories Constitution Act was passed by the South African parliament</w:t>
      </w:r>
      <w:r>
        <w:t xml:space="preserve"> and</w:t>
      </w:r>
      <w:r w:rsidR="00693B29">
        <w:t xml:space="preserve"> bantustans</w:t>
      </w:r>
      <w:r w:rsidR="00490EC3">
        <w:t xml:space="preserve"> were given powers</w:t>
      </w:r>
      <w:r w:rsidR="00693B29">
        <w:t xml:space="preserve"> to write their own laws</w:t>
      </w:r>
      <w:r w:rsidR="00490EC3">
        <w:t>,</w:t>
      </w:r>
      <w:r w:rsidR="00693B29">
        <w:t xml:space="preserve"> </w:t>
      </w:r>
      <w:r w:rsidR="003A7210">
        <w:t xml:space="preserve">and </w:t>
      </w:r>
      <w:r w:rsidR="00490EC3">
        <w:t>thus allowing</w:t>
      </w:r>
      <w:r w:rsidR="003A7210">
        <w:t xml:space="preserve"> for the legalisation of gambling and establishment of casinos. </w:t>
      </w:r>
      <w:r w:rsidR="00693B29">
        <w:t>Over the course of the next decade four of the ba</w:t>
      </w:r>
      <w:r w:rsidR="00AE5B81">
        <w:t>nt</w:t>
      </w:r>
      <w:r w:rsidR="00693B29">
        <w:t>ustans made gambling legal within the</w:t>
      </w:r>
      <w:r w:rsidR="00AE5B81">
        <w:t>ir</w:t>
      </w:r>
      <w:r w:rsidR="00693B29">
        <w:t xml:space="preserve"> </w:t>
      </w:r>
      <w:r w:rsidR="00AE5B81">
        <w:t>borders</w:t>
      </w:r>
      <w:r w:rsidR="00693B29">
        <w:t>. Along with the lega</w:t>
      </w:r>
      <w:r w:rsidR="006F3AD9">
        <w:t>lisa</w:t>
      </w:r>
      <w:r w:rsidR="00693B29">
        <w:t xml:space="preserve">tion of gambling came a host of other laws such as </w:t>
      </w:r>
      <w:r w:rsidR="009A03BF">
        <w:t xml:space="preserve">the </w:t>
      </w:r>
      <w:r w:rsidR="00693B29">
        <w:t>sanctioning of interracial relationships and pornography.</w:t>
      </w:r>
      <w:r w:rsidR="00693B29">
        <w:rPr>
          <w:rStyle w:val="FootnoteReference"/>
        </w:rPr>
        <w:footnoteReference w:id="36"/>
      </w:r>
      <w:r w:rsidR="003A7210">
        <w:t xml:space="preserve"> </w:t>
      </w:r>
      <w:r w:rsidR="00693B29">
        <w:t xml:space="preserve">The casino rights </w:t>
      </w:r>
      <w:r w:rsidR="007914FA">
        <w:t xml:space="preserve">in </w:t>
      </w:r>
      <w:r w:rsidR="00693B29">
        <w:t xml:space="preserve">the </w:t>
      </w:r>
      <w:r w:rsidR="007914FA">
        <w:t>TVBC states</w:t>
      </w:r>
      <w:r w:rsidR="00693B29">
        <w:t xml:space="preserve"> were distributed between two main enterprises. The areas of Transkei and Venda awarded </w:t>
      </w:r>
      <w:r w:rsidR="009A03BF">
        <w:t xml:space="preserve">rights to </w:t>
      </w:r>
      <w:r w:rsidR="00693B29">
        <w:t>a subsidiary of the South African Holiday Inn, whilst Ciskei and Bophuthatswana granted the licence</w:t>
      </w:r>
      <w:r w:rsidRPr="007575F1">
        <w:t xml:space="preserve"> </w:t>
      </w:r>
      <w:r>
        <w:t>to Southern Sun</w:t>
      </w:r>
      <w:r w:rsidR="00693B29">
        <w:t xml:space="preserve">. </w:t>
      </w:r>
      <w:r w:rsidR="003A7210">
        <w:t xml:space="preserve">Later, Southern Sun acquired </w:t>
      </w:r>
      <w:r w:rsidR="00490EC3">
        <w:t>a</w:t>
      </w:r>
      <w:r w:rsidR="003A7210">
        <w:t xml:space="preserve"> monopoly in</w:t>
      </w:r>
      <w:r>
        <w:t xml:space="preserve"> the</w:t>
      </w:r>
      <w:r w:rsidR="003A7210">
        <w:t xml:space="preserve"> Transkei</w:t>
      </w:r>
      <w:r>
        <w:t xml:space="preserve"> and Ciskei</w:t>
      </w:r>
      <w:r w:rsidR="003A7210">
        <w:t xml:space="preserve"> as well.</w:t>
      </w:r>
      <w:r w:rsidR="003A7210">
        <w:rPr>
          <w:rStyle w:val="FootnoteReference"/>
        </w:rPr>
        <w:footnoteReference w:id="37"/>
      </w:r>
      <w:r w:rsidR="003A7210">
        <w:t xml:space="preserve"> </w:t>
      </w:r>
      <w:r w:rsidR="00133020">
        <w:t>The homeland territories</w:t>
      </w:r>
      <w:r w:rsidR="00490EC3">
        <w:t>,</w:t>
      </w:r>
      <w:r w:rsidR="00133020">
        <w:t xml:space="preserve"> </w:t>
      </w:r>
      <w:r w:rsidR="009B3FD7">
        <w:t>though only nominally independent</w:t>
      </w:r>
      <w:r w:rsidR="00133020">
        <w:t xml:space="preserve">, allowed for </w:t>
      </w:r>
      <w:r w:rsidR="009B3FD7">
        <w:t xml:space="preserve">gambling to </w:t>
      </w:r>
      <w:r w:rsidR="00133020">
        <w:t>flourish.</w:t>
      </w:r>
    </w:p>
    <w:p w14:paraId="1F075865" w14:textId="77777777" w:rsidR="00490EC3" w:rsidRDefault="003E1DD7" w:rsidP="00CF58CD">
      <w:r>
        <w:rPr>
          <w:rFonts w:cs="Times New Roman"/>
          <w:szCs w:val="24"/>
        </w:rPr>
        <w:t xml:space="preserve">Gambling in South Africa has been covered in two ethnographic studies by J.J. Sallaz. The first of his books </w:t>
      </w:r>
      <w:r w:rsidR="00490EC3">
        <w:rPr>
          <w:rFonts w:cs="Times New Roman"/>
          <w:szCs w:val="24"/>
        </w:rPr>
        <w:t xml:space="preserve">seeks </w:t>
      </w:r>
      <w:r>
        <w:rPr>
          <w:rFonts w:cs="Times New Roman"/>
          <w:szCs w:val="24"/>
        </w:rPr>
        <w:t>to</w:t>
      </w:r>
      <w:r w:rsidRPr="002D6A57">
        <w:rPr>
          <w:rFonts w:cs="Times New Roman"/>
          <w:szCs w:val="24"/>
        </w:rPr>
        <w:t xml:space="preserve"> compare the gambling laws and structures in </w:t>
      </w:r>
      <w:r>
        <w:rPr>
          <w:rFonts w:cs="Times New Roman"/>
          <w:szCs w:val="24"/>
        </w:rPr>
        <w:t xml:space="preserve">the United States with those in </w:t>
      </w:r>
      <w:r w:rsidRPr="002D6A57">
        <w:rPr>
          <w:rFonts w:cs="Times New Roman"/>
          <w:szCs w:val="24"/>
        </w:rPr>
        <w:t>apart</w:t>
      </w:r>
      <w:r>
        <w:rPr>
          <w:rFonts w:cs="Times New Roman"/>
          <w:szCs w:val="24"/>
        </w:rPr>
        <w:t>heid South Africa. This was a comp</w:t>
      </w:r>
      <w:r w:rsidR="007575F1">
        <w:rPr>
          <w:rFonts w:cs="Times New Roman"/>
          <w:szCs w:val="24"/>
        </w:rPr>
        <w:t>arative history and</w:t>
      </w:r>
      <w:r w:rsidR="00490EC3">
        <w:rPr>
          <w:rFonts w:cs="Times New Roman"/>
          <w:szCs w:val="24"/>
        </w:rPr>
        <w:t xml:space="preserve"> mostly focuses</w:t>
      </w:r>
      <w:r>
        <w:rPr>
          <w:rFonts w:cs="Times New Roman"/>
          <w:szCs w:val="24"/>
        </w:rPr>
        <w:t xml:space="preserve"> on the Americ</w:t>
      </w:r>
      <w:r w:rsidR="00490EC3">
        <w:rPr>
          <w:rFonts w:cs="Times New Roman"/>
          <w:szCs w:val="24"/>
        </w:rPr>
        <w:t xml:space="preserve">an gambling debate. Sallaz notes </w:t>
      </w:r>
      <w:r w:rsidRPr="002D6A57">
        <w:rPr>
          <w:rFonts w:cs="Times New Roman"/>
          <w:szCs w:val="24"/>
        </w:rPr>
        <w:t>that few American states have legalised gambling, whilst other</w:t>
      </w:r>
      <w:r w:rsidR="00490EC3">
        <w:rPr>
          <w:rFonts w:cs="Times New Roman"/>
          <w:szCs w:val="24"/>
        </w:rPr>
        <w:t xml:space="preserve"> states’</w:t>
      </w:r>
      <w:r w:rsidRPr="002D6A57">
        <w:rPr>
          <w:rFonts w:cs="Times New Roman"/>
          <w:szCs w:val="24"/>
        </w:rPr>
        <w:t xml:space="preserve"> casinos are only legal </w:t>
      </w:r>
      <w:r>
        <w:rPr>
          <w:rFonts w:cs="Times New Roman"/>
          <w:szCs w:val="24"/>
        </w:rPr>
        <w:t>i</w:t>
      </w:r>
      <w:r w:rsidRPr="002D6A57">
        <w:rPr>
          <w:rFonts w:cs="Times New Roman"/>
          <w:szCs w:val="24"/>
        </w:rPr>
        <w:t xml:space="preserve">n </w:t>
      </w:r>
      <w:r>
        <w:rPr>
          <w:rFonts w:cs="Times New Roman"/>
          <w:szCs w:val="24"/>
        </w:rPr>
        <w:t>the Native American</w:t>
      </w:r>
      <w:r w:rsidRPr="002D6A57">
        <w:rPr>
          <w:rFonts w:cs="Times New Roman"/>
          <w:szCs w:val="24"/>
        </w:rPr>
        <w:t xml:space="preserve"> reserves.</w:t>
      </w:r>
      <w:r w:rsidR="007575F1">
        <w:rPr>
          <w:rFonts w:cs="Times New Roman"/>
          <w:szCs w:val="24"/>
        </w:rPr>
        <w:t xml:space="preserve"> A comparison is made between the bantustan areas and the Native American reserves.</w:t>
      </w:r>
      <w:r>
        <w:rPr>
          <w:rStyle w:val="FootnoteReference"/>
          <w:rFonts w:cs="Times New Roman"/>
          <w:szCs w:val="24"/>
        </w:rPr>
        <w:footnoteReference w:id="38"/>
      </w:r>
      <w:r w:rsidRPr="002D6A57">
        <w:rPr>
          <w:rFonts w:cs="Times New Roman"/>
          <w:szCs w:val="24"/>
        </w:rPr>
        <w:t xml:space="preserve"> </w:t>
      </w:r>
      <w:r w:rsidR="00490EC3">
        <w:rPr>
          <w:rFonts w:cs="Times New Roman"/>
          <w:szCs w:val="24"/>
        </w:rPr>
        <w:t xml:space="preserve">The second book </w:t>
      </w:r>
      <w:r w:rsidR="00490EC3">
        <w:rPr>
          <w:rFonts w:cs="Times New Roman"/>
          <w:szCs w:val="24"/>
        </w:rPr>
        <w:lastRenderedPageBreak/>
        <w:t>contains</w:t>
      </w:r>
      <w:r>
        <w:rPr>
          <w:rFonts w:cs="Times New Roman"/>
          <w:szCs w:val="24"/>
        </w:rPr>
        <w:t xml:space="preserve"> a</w:t>
      </w:r>
      <w:r w:rsidRPr="002D6A57">
        <w:rPr>
          <w:rFonts w:cs="Times New Roman"/>
          <w:szCs w:val="24"/>
        </w:rPr>
        <w:t xml:space="preserve"> short history of the</w:t>
      </w:r>
      <w:r>
        <w:rPr>
          <w:rFonts w:cs="Times New Roman"/>
          <w:szCs w:val="24"/>
        </w:rPr>
        <w:t xml:space="preserve"> South African</w:t>
      </w:r>
      <w:r w:rsidRPr="002D6A57">
        <w:rPr>
          <w:rFonts w:cs="Times New Roman"/>
          <w:szCs w:val="24"/>
        </w:rPr>
        <w:t xml:space="preserve"> bantustan system of casino establishment, </w:t>
      </w:r>
      <w:r>
        <w:rPr>
          <w:rFonts w:cs="Times New Roman"/>
          <w:szCs w:val="24"/>
        </w:rPr>
        <w:t>with</w:t>
      </w:r>
      <w:r w:rsidRPr="002D6A57">
        <w:rPr>
          <w:rFonts w:cs="Times New Roman"/>
          <w:szCs w:val="24"/>
        </w:rPr>
        <w:t xml:space="preserve"> much emphasis placed on </w:t>
      </w:r>
      <w:r>
        <w:rPr>
          <w:rFonts w:cs="Times New Roman"/>
          <w:szCs w:val="24"/>
        </w:rPr>
        <w:t>the modern casinos role</w:t>
      </w:r>
      <w:r w:rsidRPr="002D6A57">
        <w:rPr>
          <w:rFonts w:cs="Times New Roman"/>
          <w:szCs w:val="24"/>
        </w:rPr>
        <w:t xml:space="preserve"> in illegal activities such as drugs and prostitution. </w:t>
      </w:r>
      <w:r>
        <w:rPr>
          <w:rFonts w:cs="Times New Roman"/>
          <w:szCs w:val="24"/>
        </w:rPr>
        <w:t>Again</w:t>
      </w:r>
      <w:r w:rsidRPr="002D6A57">
        <w:rPr>
          <w:rFonts w:cs="Times New Roman"/>
          <w:szCs w:val="24"/>
        </w:rPr>
        <w:t xml:space="preserve">, interesting comparisons </w:t>
      </w:r>
      <w:r w:rsidR="00490EC3">
        <w:rPr>
          <w:rFonts w:cs="Times New Roman"/>
          <w:szCs w:val="24"/>
        </w:rPr>
        <w:t>a</w:t>
      </w:r>
      <w:r>
        <w:rPr>
          <w:rFonts w:cs="Times New Roman"/>
          <w:szCs w:val="24"/>
        </w:rPr>
        <w:t>re</w:t>
      </w:r>
      <w:r w:rsidRPr="002D6A57">
        <w:rPr>
          <w:rFonts w:cs="Times New Roman"/>
          <w:szCs w:val="24"/>
        </w:rPr>
        <w:t xml:space="preserve"> drawn between the South African system and t</w:t>
      </w:r>
      <w:r>
        <w:rPr>
          <w:rFonts w:cs="Times New Roman"/>
          <w:szCs w:val="24"/>
        </w:rPr>
        <w:t>he United States casinos in the</w:t>
      </w:r>
      <w:r w:rsidRPr="002D6A57">
        <w:rPr>
          <w:rFonts w:cs="Times New Roman"/>
          <w:szCs w:val="24"/>
        </w:rPr>
        <w:t xml:space="preserve"> reserves.</w:t>
      </w:r>
      <w:r w:rsidRPr="0023702B">
        <w:t xml:space="preserve"> </w:t>
      </w:r>
      <w:r>
        <w:t xml:space="preserve">The comparison </w:t>
      </w:r>
      <w:r w:rsidR="00490EC3">
        <w:t>is</w:t>
      </w:r>
      <w:r>
        <w:t xml:space="preserve"> based on the idea that sections of land within a country can have different laws and both the bantustans and the Native American reserves chose to legalise and profit from gambling.</w:t>
      </w:r>
      <w:r>
        <w:rPr>
          <w:rStyle w:val="FootnoteReference"/>
        </w:rPr>
        <w:footnoteReference w:id="39"/>
      </w:r>
      <w:r>
        <w:t xml:space="preserve"> However, a more detailed history of gambling in the bantustans is needed and more importantly this should investigate the effects of casinos on the bantustans themselves. </w:t>
      </w:r>
    </w:p>
    <w:p w14:paraId="77D6CF37" w14:textId="77777777" w:rsidR="003E1DD7" w:rsidRPr="00BA451F" w:rsidRDefault="003E1DD7" w:rsidP="00CF58CD">
      <w:r>
        <w:t>Two dissertations on Sun City have emerged from the University of California in recent years. The first was completed at the University of California, Santa Barbara</w:t>
      </w:r>
      <w:r w:rsidR="00490EC3">
        <w:t>,</w:t>
      </w:r>
      <w:r>
        <w:t xml:space="preserve"> by Torsten Sannar and </w:t>
      </w:r>
      <w:r w:rsidR="00490EC3">
        <w:t>analyses</w:t>
      </w:r>
      <w:r>
        <w:t xml:space="preserve"> Sun City as a site of escape. </w:t>
      </w:r>
      <w:r w:rsidRPr="00ED7E08">
        <w:rPr>
          <w:rFonts w:cs="Times New Roman"/>
          <w:szCs w:val="24"/>
        </w:rPr>
        <w:t xml:space="preserve">It </w:t>
      </w:r>
      <w:r w:rsidR="00490EC3">
        <w:rPr>
          <w:rFonts w:cs="Times New Roman"/>
          <w:szCs w:val="24"/>
        </w:rPr>
        <w:t>is</w:t>
      </w:r>
      <w:r w:rsidRPr="00ED7E08">
        <w:rPr>
          <w:rFonts w:cs="Times New Roman"/>
          <w:szCs w:val="24"/>
        </w:rPr>
        <w:t xml:space="preserve"> heavy with descriptions of theatrical stage </w:t>
      </w:r>
      <w:r w:rsidR="007575F1">
        <w:rPr>
          <w:rFonts w:cs="Times New Roman"/>
          <w:szCs w:val="24"/>
        </w:rPr>
        <w:t>and</w:t>
      </w:r>
      <w:r w:rsidRPr="00ED7E08">
        <w:rPr>
          <w:rFonts w:cs="Times New Roman"/>
          <w:szCs w:val="24"/>
        </w:rPr>
        <w:t xml:space="preserve"> other productions at Sun City.</w:t>
      </w:r>
      <w:r>
        <w:rPr>
          <w:rFonts w:cs="Times New Roman"/>
          <w:szCs w:val="24"/>
        </w:rPr>
        <w:t xml:space="preserve"> The focus of the </w:t>
      </w:r>
      <w:r w:rsidR="00490EC3">
        <w:rPr>
          <w:rFonts w:cs="Times New Roman"/>
          <w:szCs w:val="24"/>
        </w:rPr>
        <w:t>research</w:t>
      </w:r>
      <w:r>
        <w:rPr>
          <w:rFonts w:cs="Times New Roman"/>
          <w:szCs w:val="24"/>
        </w:rPr>
        <w:t xml:space="preserve"> was on performance and the definition was extended to include the very nature of being a tourist. The performance of a tourist was dissected by Sannar in </w:t>
      </w:r>
      <w:r w:rsidR="007575F1">
        <w:rPr>
          <w:rFonts w:cs="Times New Roman"/>
          <w:szCs w:val="24"/>
        </w:rPr>
        <w:t>detail</w:t>
      </w:r>
      <w:r>
        <w:rPr>
          <w:rFonts w:cs="Times New Roman"/>
          <w:szCs w:val="24"/>
        </w:rPr>
        <w:t xml:space="preserve"> </w:t>
      </w:r>
      <w:r w:rsidR="00FA6A91">
        <w:rPr>
          <w:rFonts w:cs="Times New Roman"/>
          <w:szCs w:val="24"/>
        </w:rPr>
        <w:t>regarding</w:t>
      </w:r>
      <w:r>
        <w:rPr>
          <w:rFonts w:cs="Times New Roman"/>
          <w:szCs w:val="24"/>
        </w:rPr>
        <w:t xml:space="preserve"> apartheid but with little reference to ban</w:t>
      </w:r>
      <w:r w:rsidR="00490EC3">
        <w:rPr>
          <w:rFonts w:cs="Times New Roman"/>
          <w:szCs w:val="24"/>
        </w:rPr>
        <w:t>tustan policy or Bophuthatswana</w:t>
      </w:r>
      <w:r>
        <w:rPr>
          <w:rFonts w:cs="Times New Roman"/>
          <w:szCs w:val="24"/>
        </w:rPr>
        <w:t>.</w:t>
      </w:r>
      <w:r>
        <w:rPr>
          <w:rStyle w:val="FootnoteReference"/>
          <w:rFonts w:cs="Times New Roman"/>
          <w:szCs w:val="24"/>
        </w:rPr>
        <w:footnoteReference w:id="40"/>
      </w:r>
      <w:r>
        <w:rPr>
          <w:rFonts w:cs="Times New Roman"/>
          <w:szCs w:val="24"/>
        </w:rPr>
        <w:t xml:space="preserve"> The second thesis </w:t>
      </w:r>
      <w:r w:rsidR="00490EC3">
        <w:rPr>
          <w:rFonts w:cs="Times New Roman"/>
          <w:szCs w:val="24"/>
        </w:rPr>
        <w:t>is</w:t>
      </w:r>
      <w:r>
        <w:rPr>
          <w:rFonts w:cs="Times New Roman"/>
          <w:szCs w:val="24"/>
        </w:rPr>
        <w:t xml:space="preserve"> a Masters’ project by Jonathan Freeman. His research focused on the cultural boycott and the role African-American artists and sports icons played in disseminating the anti-apartheid message. The focus </w:t>
      </w:r>
      <w:r w:rsidR="00490EC3">
        <w:rPr>
          <w:rFonts w:cs="Times New Roman"/>
          <w:szCs w:val="24"/>
        </w:rPr>
        <w:t>is thus</w:t>
      </w:r>
      <w:r>
        <w:rPr>
          <w:rFonts w:cs="Times New Roman"/>
          <w:szCs w:val="24"/>
        </w:rPr>
        <w:t xml:space="preserve"> solely on the boycott movement and told from </w:t>
      </w:r>
      <w:r w:rsidR="00490EC3">
        <w:rPr>
          <w:rFonts w:cs="Times New Roman"/>
          <w:szCs w:val="24"/>
        </w:rPr>
        <w:t>a</w:t>
      </w:r>
      <w:r>
        <w:rPr>
          <w:rFonts w:cs="Times New Roman"/>
          <w:szCs w:val="24"/>
        </w:rPr>
        <w:t xml:space="preserve"> </w:t>
      </w:r>
      <w:r w:rsidR="00490EC3">
        <w:rPr>
          <w:rFonts w:cs="Times New Roman"/>
          <w:szCs w:val="24"/>
        </w:rPr>
        <w:t xml:space="preserve">US perspective. The emphasis on </w:t>
      </w:r>
      <w:r>
        <w:rPr>
          <w:rFonts w:cs="Times New Roman"/>
          <w:szCs w:val="24"/>
        </w:rPr>
        <w:t>African-American artists and sportspeople in the research is important, but it limits the scope of the study.</w:t>
      </w:r>
      <w:r>
        <w:rPr>
          <w:rStyle w:val="FootnoteReference"/>
          <w:rFonts w:cs="Times New Roman"/>
          <w:szCs w:val="24"/>
        </w:rPr>
        <w:footnoteReference w:id="41"/>
      </w:r>
      <w:r>
        <w:rPr>
          <w:rFonts w:cs="Times New Roman"/>
          <w:szCs w:val="24"/>
        </w:rPr>
        <w:t xml:space="preserve"> Both research papers focused on the entertainment section of Sun City and failed to adequately place the topic in the historical context of apartheid and bantustan policy. </w:t>
      </w:r>
    </w:p>
    <w:p w14:paraId="06D8577C" w14:textId="77777777" w:rsidR="00FB1927" w:rsidRDefault="00FB1927" w:rsidP="00246DA1">
      <w:pPr>
        <w:pStyle w:val="Heading2"/>
        <w:numPr>
          <w:ilvl w:val="0"/>
          <w:numId w:val="0"/>
        </w:numPr>
        <w:ind w:left="578" w:hanging="578"/>
      </w:pPr>
      <w:bookmarkStart w:id="11" w:name="_Toc488481699"/>
      <w:r>
        <w:t>Focus</w:t>
      </w:r>
      <w:r w:rsidR="00BB0A79">
        <w:t xml:space="preserve"> of the S</w:t>
      </w:r>
      <w:r>
        <w:t>tudy</w:t>
      </w:r>
      <w:bookmarkEnd w:id="11"/>
    </w:p>
    <w:p w14:paraId="34A0F61B" w14:textId="77777777" w:rsidR="0081290A" w:rsidRPr="0081290A" w:rsidRDefault="00016AA7" w:rsidP="0081290A">
      <w:r>
        <w:t>This research project aims to add fresh insight to understanding the interests of the symbiotic relationships between the NP, black elites and private enterprise in apartheid South Africa</w:t>
      </w:r>
      <w:r w:rsidR="007575F1">
        <w:t xml:space="preserve"> within the nature of the Bophuthatswana political economy.</w:t>
      </w:r>
      <w:r>
        <w:t xml:space="preserve"> The mineral wealth of bantustans is well documented, whilst the relationship between the entertainment industry and the nominally independent government of Bophuthatswana is relatively unchartered territory.</w:t>
      </w:r>
    </w:p>
    <w:p w14:paraId="1E0E3D48" w14:textId="77777777" w:rsidR="00757572" w:rsidRDefault="00FB725F" w:rsidP="00C0736A">
      <w:r>
        <w:lastRenderedPageBreak/>
        <w:t xml:space="preserve">The bantustans have inscribed a deep legacy in the social, cultural and economic </w:t>
      </w:r>
      <w:r w:rsidR="00490EC3">
        <w:t>fabric</w:t>
      </w:r>
      <w:r>
        <w:t xml:space="preserve"> of South Africa’s interior. These legacies are resilient and inescapable and </w:t>
      </w:r>
      <w:r w:rsidR="007D59E1">
        <w:t xml:space="preserve">continue to </w:t>
      </w:r>
      <w:r>
        <w:t xml:space="preserve">exist long after the bantustan </w:t>
      </w:r>
      <w:r w:rsidR="00C16453">
        <w:t>were</w:t>
      </w:r>
      <w:r>
        <w:t xml:space="preserve"> dismantled. To understand the critical politics and disputes over land and chieftaincies that transpire currently, the histories of </w:t>
      </w:r>
      <w:r w:rsidR="00490EC3">
        <w:t>the bantustans must be explored</w:t>
      </w:r>
      <w:r>
        <w:t>.</w:t>
      </w:r>
      <w:r>
        <w:rPr>
          <w:rStyle w:val="FootnoteReference"/>
        </w:rPr>
        <w:footnoteReference w:id="42"/>
      </w:r>
      <w:r>
        <w:t xml:space="preserve"> </w:t>
      </w:r>
      <w:r w:rsidR="00323ED9">
        <w:t>B</w:t>
      </w:r>
      <w:r w:rsidR="00427D83">
        <w:t>ernard Mbenga and Andrew Manson are</w:t>
      </w:r>
      <w:r w:rsidR="00323ED9">
        <w:t xml:space="preserve"> prolific writers on the histories of the North-West </w:t>
      </w:r>
      <w:r w:rsidR="007575F1">
        <w:t>p</w:t>
      </w:r>
      <w:r w:rsidR="007D59E1">
        <w:t>rovince</w:t>
      </w:r>
      <w:r w:rsidR="007575F1">
        <w:t xml:space="preserve"> and the Bophuthatswana homeland</w:t>
      </w:r>
      <w:r w:rsidR="00427D83">
        <w:t>. They argue that the</w:t>
      </w:r>
      <w:r w:rsidR="00323ED9">
        <w:t xml:space="preserve"> </w:t>
      </w:r>
      <w:r w:rsidR="007D59E1">
        <w:t xml:space="preserve">area </w:t>
      </w:r>
      <w:r w:rsidR="00323ED9">
        <w:t xml:space="preserve">should not be relegated to the </w:t>
      </w:r>
      <w:r w:rsidR="00C16453">
        <w:t>periphery</w:t>
      </w:r>
      <w:r w:rsidR="007D59E1">
        <w:t xml:space="preserve"> of South African history</w:t>
      </w:r>
      <w:r w:rsidR="00427D83">
        <w:t xml:space="preserve"> and that</w:t>
      </w:r>
      <w:r w:rsidR="007D59E1">
        <w:t xml:space="preserve"> the bantustans</w:t>
      </w:r>
      <w:r w:rsidR="00C16453">
        <w:t xml:space="preserve"> left a decisive mark that was not eradicated by the election of democratic government and the unification of South Africa.</w:t>
      </w:r>
      <w:r w:rsidR="00427D83">
        <w:t xml:space="preserve"> Manson and Mbenga, together with historian Arianna </w:t>
      </w:r>
      <w:r w:rsidR="00FA6A91">
        <w:t>Lissoni</w:t>
      </w:r>
      <w:r w:rsidR="00427D83">
        <w:t xml:space="preserve"> have written extensively on Bophuthatswana as a site of political resistance with the publication of</w:t>
      </w:r>
      <w:r w:rsidR="00427D83" w:rsidRPr="00427D83">
        <w:rPr>
          <w:i/>
        </w:rPr>
        <w:t xml:space="preserve"> Khongolose: A Short History of the ANC in the North-West Province from 1909</w:t>
      </w:r>
      <w:r w:rsidR="00427D83">
        <w:rPr>
          <w:i/>
        </w:rPr>
        <w:t xml:space="preserve">. </w:t>
      </w:r>
      <w:r w:rsidR="00427D83">
        <w:t>The book explores the history political struggle in Bophuthatswana and touches on the history of Sun City briefly. However, a more comprehensive historiography is required.</w:t>
      </w:r>
      <w:r w:rsidR="00C16453">
        <w:rPr>
          <w:rStyle w:val="FootnoteReference"/>
        </w:rPr>
        <w:footnoteReference w:id="43"/>
      </w:r>
      <w:r w:rsidR="00C16453">
        <w:t xml:space="preserve"> </w:t>
      </w:r>
    </w:p>
    <w:p w14:paraId="2351B3F9" w14:textId="77777777" w:rsidR="00757572" w:rsidRPr="00836C54" w:rsidRDefault="00490EC3" w:rsidP="00C0736A">
      <w:r w:rsidRPr="009F5F5C">
        <w:t>There is a ho</w:t>
      </w:r>
      <w:r w:rsidR="000F2B0B">
        <w:t>st of new historical literature</w:t>
      </w:r>
      <w:r w:rsidRPr="009F5F5C">
        <w:t xml:space="preserve"> that </w:t>
      </w:r>
      <w:r>
        <w:t xml:space="preserve">has </w:t>
      </w:r>
      <w:r w:rsidRPr="009F5F5C">
        <w:t>emerge</w:t>
      </w:r>
      <w:r w:rsidR="000F2B0B">
        <w:t>d on the bantustans which seeks</w:t>
      </w:r>
      <w:r>
        <w:t xml:space="preserve"> to understands bantustan internal politics, bureaucracy and legacy.  </w:t>
      </w:r>
      <w:r w:rsidR="00FB725F">
        <w:t xml:space="preserve">The </w:t>
      </w:r>
      <w:r w:rsidR="00566FF7">
        <w:t>South African Research Chair in</w:t>
      </w:r>
      <w:r w:rsidR="00FB725F">
        <w:t xml:space="preserve"> </w:t>
      </w:r>
      <w:r w:rsidR="00427D83">
        <w:t>‘</w:t>
      </w:r>
      <w:r w:rsidR="00FB725F">
        <w:t>Local Histories and Present Realities</w:t>
      </w:r>
      <w:r w:rsidR="00427D83">
        <w:t>’</w:t>
      </w:r>
      <w:r w:rsidR="00FB725F">
        <w:t xml:space="preserve"> at the University of the Witwatersrand</w:t>
      </w:r>
      <w:r w:rsidR="00566FF7">
        <w:t xml:space="preserve">, funded by the National Research </w:t>
      </w:r>
      <w:r w:rsidR="001657D8">
        <w:t>Foundation</w:t>
      </w:r>
      <w:r w:rsidR="00566FF7">
        <w:t xml:space="preserve">, </w:t>
      </w:r>
      <w:r w:rsidR="001657D8">
        <w:t>host</w:t>
      </w:r>
      <w:r>
        <w:t>s</w:t>
      </w:r>
      <w:r w:rsidR="00FB725F">
        <w:t xml:space="preserve"> numerous studies in </w:t>
      </w:r>
      <w:r>
        <w:t>the former bantustans</w:t>
      </w:r>
      <w:r w:rsidR="00FB725F">
        <w:t xml:space="preserve">. </w:t>
      </w:r>
      <w:r w:rsidR="00566FF7">
        <w:t>The programme</w:t>
      </w:r>
      <w:r w:rsidR="00FB725F">
        <w:t xml:space="preserve"> seeks to encourage research and conversation on the histories of the bantustans. </w:t>
      </w:r>
      <w:r w:rsidR="000F2B0B">
        <w:t>A</w:t>
      </w:r>
      <w:r w:rsidR="00DB2AA1">
        <w:t xml:space="preserve"> recent special issue of</w:t>
      </w:r>
      <w:r w:rsidR="001657D8" w:rsidRPr="009F5F5C">
        <w:t xml:space="preserve"> </w:t>
      </w:r>
      <w:r w:rsidR="000F2B0B">
        <w:t xml:space="preserve">the </w:t>
      </w:r>
      <w:r w:rsidR="001657D8" w:rsidRPr="00DB2AA1">
        <w:rPr>
          <w:i/>
        </w:rPr>
        <w:t>South African Historical</w:t>
      </w:r>
      <w:r w:rsidR="000F2B0B">
        <w:rPr>
          <w:i/>
        </w:rPr>
        <w:t xml:space="preserve"> Journal</w:t>
      </w:r>
      <w:r w:rsidR="00757572">
        <w:t>,</w:t>
      </w:r>
      <w:r w:rsidR="001657D8" w:rsidRPr="00757572">
        <w:t xml:space="preserve"> </w:t>
      </w:r>
      <w:r w:rsidR="009F5F5C">
        <w:t>focuses on</w:t>
      </w:r>
      <w:r w:rsidR="000F2B0B">
        <w:t xml:space="preserve"> new</w:t>
      </w:r>
      <w:r w:rsidR="009F5F5C">
        <w:t xml:space="preserve"> </w:t>
      </w:r>
      <w:r w:rsidR="000F2B0B">
        <w:t>histories</w:t>
      </w:r>
      <w:r w:rsidR="000F2B0B" w:rsidRPr="009F5F5C">
        <w:t xml:space="preserve"> </w:t>
      </w:r>
      <w:r w:rsidR="000F2B0B">
        <w:t xml:space="preserve">of the </w:t>
      </w:r>
      <w:r w:rsidR="001657D8" w:rsidRPr="009F5F5C">
        <w:t>bantu</w:t>
      </w:r>
      <w:r w:rsidR="009F5F5C">
        <w:t>stan.</w:t>
      </w:r>
      <w:r w:rsidR="00DB2AA1">
        <w:rPr>
          <w:rStyle w:val="FootnoteReference"/>
        </w:rPr>
        <w:footnoteReference w:id="44"/>
      </w:r>
      <w:r w:rsidR="009F5F5C">
        <w:t xml:space="preserve"> </w:t>
      </w:r>
      <w:r w:rsidR="00757572">
        <w:t>Ally and Lissoni</w:t>
      </w:r>
      <w:r w:rsidR="000F2B0B">
        <w:t xml:space="preserve"> explain</w:t>
      </w:r>
      <w:r w:rsidR="00757572">
        <w:t xml:space="preserve"> in the preface that South African social historians and other scholars</w:t>
      </w:r>
      <w:r w:rsidR="00757572" w:rsidRPr="002D6A57">
        <w:t xml:space="preserve"> who wrote </w:t>
      </w:r>
      <w:r w:rsidR="00757572">
        <w:t>about</w:t>
      </w:r>
      <w:r w:rsidR="00757572" w:rsidRPr="002D6A57">
        <w:t xml:space="preserve"> the bantustans whilst apartheid still maintained its grip, wrote with the intent to undermine the bantustans</w:t>
      </w:r>
      <w:r w:rsidR="00757572">
        <w:t>’</w:t>
      </w:r>
      <w:r w:rsidR="00757572" w:rsidRPr="002D6A57">
        <w:t xml:space="preserve"> legitimacy. The areas were seen as repress</w:t>
      </w:r>
      <w:r w:rsidR="00757572">
        <w:t>ive</w:t>
      </w:r>
      <w:r w:rsidR="00757572" w:rsidRPr="002D6A57">
        <w:t xml:space="preserve"> and as signifiers of apartheid’s draconian control</w:t>
      </w:r>
      <w:r w:rsidR="00757572">
        <w:t>.</w:t>
      </w:r>
      <w:r w:rsidR="00757572">
        <w:rPr>
          <w:rStyle w:val="FootnoteReference"/>
        </w:rPr>
        <w:footnoteReference w:id="45"/>
      </w:r>
      <w:r w:rsidR="009D149E">
        <w:t xml:space="preserve"> The special issue</w:t>
      </w:r>
      <w:r w:rsidR="00757572">
        <w:t xml:space="preserve"> </w:t>
      </w:r>
      <w:r w:rsidR="009D149E">
        <w:t xml:space="preserve">includes </w:t>
      </w:r>
      <w:r w:rsidR="00757572">
        <w:t xml:space="preserve">research </w:t>
      </w:r>
      <w:r w:rsidR="009D149E">
        <w:t xml:space="preserve">on a range of topics </w:t>
      </w:r>
      <w:r w:rsidR="00757572">
        <w:t xml:space="preserve">from prominent scholars such as William Beinart, Andrew Manson, Bernard Mbenga and Laura Evans as well as a memoir from the </w:t>
      </w:r>
      <w:r w:rsidR="000F2B0B">
        <w:t>TEC</w:t>
      </w:r>
      <w:r w:rsidR="00757572">
        <w:t xml:space="preserve"> administrator after Lucas Mangope was ousted, Tebogo Job Mokgoro. </w:t>
      </w:r>
      <w:r w:rsidR="00836C54">
        <w:t xml:space="preserve">A further special issue, published by the </w:t>
      </w:r>
      <w:r w:rsidR="00836C54">
        <w:rPr>
          <w:i/>
        </w:rPr>
        <w:t xml:space="preserve">Journal of Southern African Studies, </w:t>
      </w:r>
      <w:r w:rsidR="00836C54">
        <w:t xml:space="preserve">also sought to bring new bantustan histories to the fore. However, this journal is more anthropological in nature. </w:t>
      </w:r>
      <w:r w:rsidR="0000242B">
        <w:t xml:space="preserve">Despite numerous publications </w:t>
      </w:r>
      <w:r w:rsidR="0000242B">
        <w:lastRenderedPageBreak/>
        <w:t xml:space="preserve">and tireless research, there is much left still to be </w:t>
      </w:r>
      <w:r w:rsidR="009E72CB">
        <w:t>investigated as new histories are</w:t>
      </w:r>
      <w:r w:rsidR="0000242B">
        <w:t xml:space="preserve"> still emerging. </w:t>
      </w:r>
    </w:p>
    <w:p w14:paraId="10720F82" w14:textId="77777777" w:rsidR="003E1DD7" w:rsidRPr="00DB2AA1" w:rsidRDefault="003E1DD7" w:rsidP="00C0736A">
      <w:pPr>
        <w:rPr>
          <w:rFonts w:cs="Times New Roman"/>
          <w:color w:val="000000"/>
          <w:szCs w:val="24"/>
          <w:shd w:val="clear" w:color="auto" w:fill="FFFFFF"/>
        </w:rPr>
      </w:pPr>
      <w:r>
        <w:rPr>
          <w:rFonts w:cs="Times New Roman"/>
          <w:color w:val="000000"/>
          <w:szCs w:val="24"/>
          <w:shd w:val="clear" w:color="auto" w:fill="FFFFFF"/>
        </w:rPr>
        <w:t>References to gambling in the South African bantustans and Sun City are sporadic. The focus of the literature appears to be on the capital and architecture of the hotel complex such Clive Chipkin’s work.</w:t>
      </w:r>
      <w:r>
        <w:rPr>
          <w:rStyle w:val="FootnoteReference"/>
          <w:rFonts w:cs="Times New Roman"/>
          <w:color w:val="000000"/>
          <w:szCs w:val="24"/>
          <w:shd w:val="clear" w:color="auto" w:fill="FFFFFF"/>
        </w:rPr>
        <w:footnoteReference w:id="46"/>
      </w:r>
      <w:r>
        <w:rPr>
          <w:rFonts w:cs="Times New Roman"/>
          <w:color w:val="000000"/>
          <w:szCs w:val="24"/>
          <w:shd w:val="clear" w:color="auto" w:fill="FFFFFF"/>
        </w:rPr>
        <w:t xml:space="preserve"> </w:t>
      </w:r>
      <w:r w:rsidR="001E600F">
        <w:rPr>
          <w:rFonts w:cs="Times New Roman"/>
          <w:color w:val="000000"/>
          <w:szCs w:val="24"/>
          <w:shd w:val="clear" w:color="auto" w:fill="FFFFFF"/>
        </w:rPr>
        <w:t>Regarding</w:t>
      </w:r>
      <w:r>
        <w:rPr>
          <w:rFonts w:cs="Times New Roman"/>
          <w:color w:val="000000"/>
          <w:szCs w:val="24"/>
          <w:shd w:val="clear" w:color="auto" w:fill="FFFFFF"/>
        </w:rPr>
        <w:t xml:space="preserve"> gambling and casinos,</w:t>
      </w:r>
      <w:r w:rsidRPr="002D6A57">
        <w:rPr>
          <w:rFonts w:cs="Times New Roman"/>
          <w:color w:val="000000"/>
          <w:szCs w:val="24"/>
          <w:shd w:val="clear" w:color="auto" w:fill="FFFFFF"/>
        </w:rPr>
        <w:t xml:space="preserve"> </w:t>
      </w:r>
      <w:r>
        <w:rPr>
          <w:rFonts w:cs="Times New Roman"/>
          <w:color w:val="000000"/>
          <w:szCs w:val="24"/>
          <w:shd w:val="clear" w:color="auto" w:fill="FFFFFF"/>
        </w:rPr>
        <w:t>virtually nothing</w:t>
      </w:r>
      <w:r w:rsidRPr="002D6A57">
        <w:rPr>
          <w:rFonts w:cs="Times New Roman"/>
          <w:color w:val="000000"/>
          <w:szCs w:val="24"/>
          <w:shd w:val="clear" w:color="auto" w:fill="FFFFFF"/>
        </w:rPr>
        <w:t xml:space="preserve"> has been </w:t>
      </w:r>
      <w:r>
        <w:rPr>
          <w:rFonts w:cs="Times New Roman"/>
          <w:color w:val="000000"/>
          <w:szCs w:val="24"/>
          <w:shd w:val="clear" w:color="auto" w:fill="FFFFFF"/>
        </w:rPr>
        <w:t>written</w:t>
      </w:r>
      <w:r w:rsidRPr="002D6A57">
        <w:rPr>
          <w:rFonts w:cs="Times New Roman"/>
          <w:color w:val="000000"/>
          <w:szCs w:val="24"/>
          <w:shd w:val="clear" w:color="auto" w:fill="FFFFFF"/>
        </w:rPr>
        <w:t xml:space="preserve"> about the history of the gambling industry in South Africa</w:t>
      </w:r>
      <w:r>
        <w:rPr>
          <w:rFonts w:cs="Times New Roman"/>
          <w:color w:val="000000"/>
          <w:szCs w:val="24"/>
          <w:shd w:val="clear" w:color="auto" w:fill="FFFFFF"/>
        </w:rPr>
        <w:t>, according to this author’s knowledge.</w:t>
      </w:r>
      <w:r w:rsidRPr="002D6A57">
        <w:rPr>
          <w:rFonts w:cs="Times New Roman"/>
          <w:color w:val="000000"/>
          <w:szCs w:val="24"/>
          <w:shd w:val="clear" w:color="auto" w:fill="FFFFFF"/>
        </w:rPr>
        <w:t xml:space="preserve"> </w:t>
      </w:r>
    </w:p>
    <w:p w14:paraId="02C99C9C" w14:textId="77777777" w:rsidR="004A27DE" w:rsidRPr="004A27DE" w:rsidRDefault="004A27DE" w:rsidP="00836C54">
      <w:r>
        <w:t>This research</w:t>
      </w:r>
      <w:r w:rsidR="00016AA7">
        <w:t xml:space="preserve"> project</w:t>
      </w:r>
      <w:r>
        <w:t xml:space="preserve"> is located at the </w:t>
      </w:r>
      <w:r w:rsidR="00836C54">
        <w:t>connection</w:t>
      </w:r>
      <w:r>
        <w:t xml:space="preserve"> of two unexplored fields of South African historiography. </w:t>
      </w:r>
      <w:r w:rsidR="00836C54">
        <w:t xml:space="preserve">Specifically, the intersection of the political and the economic viability of the bantustans, and the role that Sun City played in sustaining the homeland project. </w:t>
      </w:r>
      <w:r w:rsidR="000F2B0B">
        <w:t>The focus on Sun City</w:t>
      </w:r>
      <w:r>
        <w:t xml:space="preserve"> will provide an </w:t>
      </w:r>
      <w:r w:rsidR="000F2B0B">
        <w:t>avenue through</w:t>
      </w:r>
      <w:r>
        <w:t xml:space="preserve"> which to demonstrate the ways in which </w:t>
      </w:r>
      <w:r w:rsidR="00836C54">
        <w:t>the political economy of a bantustan casino</w:t>
      </w:r>
      <w:r>
        <w:t xml:space="preserve"> served the interests of the apartheid </w:t>
      </w:r>
      <w:r w:rsidR="00836C54">
        <w:t>plan</w:t>
      </w:r>
      <w:r>
        <w:t xml:space="preserve">. </w:t>
      </w:r>
    </w:p>
    <w:p w14:paraId="0B89D0DC" w14:textId="77777777" w:rsidR="00B847FD" w:rsidRDefault="00016AA7" w:rsidP="00FB725F">
      <w:r>
        <w:t>The</w:t>
      </w:r>
      <w:r w:rsidR="003B7BB1">
        <w:t xml:space="preserve"> </w:t>
      </w:r>
      <w:r>
        <w:t>thesis</w:t>
      </w:r>
      <w:r w:rsidR="003B7BB1">
        <w:t xml:space="preserve"> </w:t>
      </w:r>
      <w:r w:rsidR="0081290A">
        <w:t xml:space="preserve">will </w:t>
      </w:r>
      <w:r w:rsidR="009D149E">
        <w:t>analyse</w:t>
      </w:r>
      <w:r w:rsidR="003B7BB1">
        <w:t xml:space="preserve"> the intersection of two views</w:t>
      </w:r>
      <w:r w:rsidR="00C6118F">
        <w:t>:</w:t>
      </w:r>
      <w:r w:rsidR="0081290A">
        <w:t xml:space="preserve"> </w:t>
      </w:r>
      <w:r w:rsidR="003B7BB1">
        <w:t xml:space="preserve"> the casino as a si</w:t>
      </w:r>
      <w:r w:rsidR="009D149E">
        <w:t>te of exploitation and profiteering from the apartheid syste</w:t>
      </w:r>
      <w:r w:rsidR="003B7BB1">
        <w:t>m</w:t>
      </w:r>
      <w:r w:rsidR="00C6118F">
        <w:t>;</w:t>
      </w:r>
      <w:r w:rsidR="009D149E">
        <w:t xml:space="preserve"> </w:t>
      </w:r>
      <w:r w:rsidR="00C6118F">
        <w:t>and</w:t>
      </w:r>
      <w:r w:rsidR="009D149E">
        <w:t xml:space="preserve"> the</w:t>
      </w:r>
      <w:r w:rsidR="003B7BB1">
        <w:t xml:space="preserve"> resort as an opportunity for employmen</w:t>
      </w:r>
      <w:r w:rsidR="00B847FD">
        <w:t>t, economic growth and infrastructure development</w:t>
      </w:r>
      <w:r w:rsidR="003B7BB1">
        <w:t xml:space="preserve">. </w:t>
      </w:r>
      <w:r w:rsidR="0081290A">
        <w:t xml:space="preserve"> Hotelier Sol Kerzner utilised the political and moral landscape of apartheid South Africa, </w:t>
      </w:r>
      <w:r w:rsidR="00216919">
        <w:t>and drew</w:t>
      </w:r>
      <w:r w:rsidR="0081290A">
        <w:t xml:space="preserve"> on bantustan </w:t>
      </w:r>
      <w:r w:rsidR="000A67CB">
        <w:t>“independence”</w:t>
      </w:r>
      <w:r w:rsidR="0081290A">
        <w:t xml:space="preserve"> to establish several casinos in select bantustans. </w:t>
      </w:r>
      <w:r w:rsidR="00B847FD">
        <w:t xml:space="preserve">This thesis will argue that he exploited and profited directly from the homeland policy. This will be contrasted against Sun City’s role in employment of Bophuthatswana residents and the economic contributions that the casino offered to the bantustan, such as taxation. </w:t>
      </w:r>
      <w:r w:rsidR="00216919">
        <w:t>It</w:t>
      </w:r>
      <w:r w:rsidR="00B847FD">
        <w:t xml:space="preserve"> will be researched with direct reference to the relationship between Southern Sun and Lucas Mangope’s government and </w:t>
      </w:r>
      <w:r w:rsidR="003B7BB1">
        <w:rPr>
          <w:rFonts w:cs="Times New Roman"/>
          <w:szCs w:val="24"/>
        </w:rPr>
        <w:t xml:space="preserve">agreements with the </w:t>
      </w:r>
      <w:r w:rsidR="000A67CB">
        <w:t xml:space="preserve">Bophuthatswana National </w:t>
      </w:r>
      <w:r w:rsidR="00B847FD">
        <w:rPr>
          <w:rFonts w:cs="Times New Roman"/>
          <w:szCs w:val="24"/>
        </w:rPr>
        <w:t>Development Corporation (</w:t>
      </w:r>
      <w:r w:rsidR="003B7BB1">
        <w:rPr>
          <w:rFonts w:cs="Times New Roman"/>
          <w:szCs w:val="24"/>
        </w:rPr>
        <w:t>BNDC</w:t>
      </w:r>
      <w:r w:rsidR="00B847FD">
        <w:rPr>
          <w:rFonts w:cs="Times New Roman"/>
          <w:szCs w:val="24"/>
        </w:rPr>
        <w:t>)</w:t>
      </w:r>
      <w:r w:rsidR="003B7BB1">
        <w:rPr>
          <w:rFonts w:cs="Times New Roman"/>
          <w:szCs w:val="24"/>
        </w:rPr>
        <w:t xml:space="preserve">. </w:t>
      </w:r>
      <w:r w:rsidR="003B7BB1">
        <w:t>Emphasis will be placed on the infrastructure the resort bro</w:t>
      </w:r>
      <w:r w:rsidR="00B847FD">
        <w:t>ught to the surrounding area</w:t>
      </w:r>
      <w:r w:rsidR="003B7BB1">
        <w:t xml:space="preserve"> as well as the contrast between the resort and its impoverished surroundings. </w:t>
      </w:r>
    </w:p>
    <w:p w14:paraId="411E46A4" w14:textId="77777777" w:rsidR="004A27DE" w:rsidRDefault="00B847FD" w:rsidP="00FB725F">
      <w:r>
        <w:t>A central point of the thesis will be</w:t>
      </w:r>
      <w:r w:rsidR="003B7BB1">
        <w:t xml:space="preserve"> Sun City’s ro</w:t>
      </w:r>
      <w:r w:rsidR="00216919">
        <w:t>le in promoting Bophuthatswana as a state</w:t>
      </w:r>
      <w:r w:rsidR="000A67CB">
        <w:t xml:space="preserve"> “independent”</w:t>
      </w:r>
      <w:r>
        <w:t xml:space="preserve"> from South </w:t>
      </w:r>
      <w:r w:rsidR="00D112D3">
        <w:t xml:space="preserve">Africa. This was largely achieved through the tourism attractions offered by Sun City and their neighbouring game reserve, the Pilanesberg National Park. Sun City will </w:t>
      </w:r>
      <w:r w:rsidR="00216919">
        <w:t xml:space="preserve">also </w:t>
      </w:r>
      <w:r w:rsidR="00D112D3">
        <w:t>be discussed in</w:t>
      </w:r>
      <w:r>
        <w:t xml:space="preserve"> reference to the cultural boycott imposed on apartheid South Africa.  In the 1980s Sun City became the focal point for the cultural boycott and received harsh criticism and reproach from a host of international bodies, including the </w:t>
      </w:r>
      <w:r w:rsidR="00836C54">
        <w:t>UN</w:t>
      </w:r>
      <w:r>
        <w:t xml:space="preserve">. </w:t>
      </w:r>
      <w:r w:rsidR="003B7BB1">
        <w:rPr>
          <w:rFonts w:cs="Times New Roman"/>
          <w:szCs w:val="24"/>
        </w:rPr>
        <w:t>Tourism, from South Africa and abroad, will be examined to determine possible revenue streams</w:t>
      </w:r>
      <w:r w:rsidR="00D112D3">
        <w:rPr>
          <w:rFonts w:cs="Times New Roman"/>
          <w:szCs w:val="24"/>
        </w:rPr>
        <w:t>.</w:t>
      </w:r>
      <w:r w:rsidR="003B7BB1">
        <w:rPr>
          <w:rFonts w:cs="Times New Roman"/>
          <w:szCs w:val="24"/>
        </w:rPr>
        <w:t xml:space="preserve"> </w:t>
      </w:r>
      <w:r w:rsidR="00D112D3">
        <w:rPr>
          <w:rFonts w:cs="Times New Roman"/>
          <w:szCs w:val="24"/>
        </w:rPr>
        <w:t xml:space="preserve">This </w:t>
      </w:r>
      <w:r w:rsidR="00D112D3">
        <w:rPr>
          <w:rFonts w:cs="Times New Roman"/>
          <w:szCs w:val="24"/>
        </w:rPr>
        <w:lastRenderedPageBreak/>
        <w:t>will be discussed with direct reference to the desire of</w:t>
      </w:r>
      <w:r w:rsidR="003B7BB1">
        <w:rPr>
          <w:rFonts w:cs="Times New Roman"/>
          <w:szCs w:val="24"/>
        </w:rPr>
        <w:t xml:space="preserve"> </w:t>
      </w:r>
      <w:r w:rsidR="00836C54">
        <w:rPr>
          <w:rFonts w:cs="Times New Roman"/>
          <w:szCs w:val="24"/>
        </w:rPr>
        <w:t>Mangope</w:t>
      </w:r>
      <w:r w:rsidR="00FA6A91">
        <w:rPr>
          <w:rFonts w:cs="Times New Roman"/>
          <w:szCs w:val="24"/>
        </w:rPr>
        <w:t xml:space="preserve"> to legitimise the bantus</w:t>
      </w:r>
      <w:r w:rsidR="003B7BB1">
        <w:rPr>
          <w:rFonts w:cs="Times New Roman"/>
          <w:szCs w:val="24"/>
        </w:rPr>
        <w:t xml:space="preserve">tan independence internationally. </w:t>
      </w:r>
      <w:r w:rsidR="003B7BB1">
        <w:t>The</w:t>
      </w:r>
      <w:r>
        <w:t xml:space="preserve"> thesis will further explore</w:t>
      </w:r>
      <w:r w:rsidR="00216919">
        <w:t xml:space="preserve"> the</w:t>
      </w:r>
      <w:r w:rsidR="003B7BB1">
        <w:t xml:space="preserve"> casino as a site of conspicuous consumption and financial expenditure for the </w:t>
      </w:r>
      <w:r w:rsidR="00216919">
        <w:t xml:space="preserve">white </w:t>
      </w:r>
      <w:r w:rsidR="003B7BB1">
        <w:t xml:space="preserve">South African </w:t>
      </w:r>
      <w:r w:rsidR="00D112D3">
        <w:t>population as</w:t>
      </w:r>
      <w:r>
        <w:t xml:space="preserve"> well as the newly emerged Bophuthatswana middle class and bureaucratic elite</w:t>
      </w:r>
      <w:r w:rsidR="00D112D3">
        <w:t xml:space="preserve">. </w:t>
      </w:r>
      <w:r w:rsidR="003B7BB1">
        <w:t xml:space="preserve">Lastly, the post 1994 incorporation of the bantustan and its casino into the new South Africa will be outlined to gain perspective on current developments. </w:t>
      </w:r>
    </w:p>
    <w:p w14:paraId="4188CD52" w14:textId="77777777" w:rsidR="00CD7311" w:rsidRDefault="00CD7311" w:rsidP="00FB725F">
      <w:r>
        <w:t xml:space="preserve">Chapter one looks at the history of </w:t>
      </w:r>
      <w:r w:rsidR="00994A07">
        <w:t xml:space="preserve">the </w:t>
      </w:r>
      <w:r>
        <w:t xml:space="preserve">Sun International corporation, as well as the construction of the Sun </w:t>
      </w:r>
      <w:r w:rsidR="00994A07">
        <w:t>City resort, whereas the second chapter analyses the employment and labour issues of the casino. The third chapter examines the Sun City casino complex as a site of escap</w:t>
      </w:r>
      <w:r w:rsidR="004D0C71">
        <w:t>e</w:t>
      </w:r>
      <w:r w:rsidR="00994A07">
        <w:t xml:space="preserve"> and conspicuous consumption. Chapter four chronicles the casino’s involvement in the sanctions and boycotts, </w:t>
      </w:r>
      <w:r w:rsidR="00FA6A91">
        <w:t>regarding</w:t>
      </w:r>
      <w:r w:rsidR="00994A07">
        <w:t xml:space="preserve"> sport and music. The last chapter investigates the transition period from 1990 onwards. </w:t>
      </w:r>
    </w:p>
    <w:p w14:paraId="3839A5D8" w14:textId="77777777" w:rsidR="00757572" w:rsidRPr="00D112D3" w:rsidRDefault="00757572" w:rsidP="00FB725F">
      <w:r>
        <w:t>In terms of the contribution to scholarly debate</w:t>
      </w:r>
      <w:r w:rsidR="004A27DE">
        <w:t xml:space="preserve"> on bantustan historiography</w:t>
      </w:r>
      <w:r>
        <w:t xml:space="preserve">, this thesis will augment the understanding of the </w:t>
      </w:r>
      <w:r w:rsidR="004A27DE">
        <w:t>political economy of</w:t>
      </w:r>
      <w:r>
        <w:t xml:space="preserve"> Bophuthatsw</w:t>
      </w:r>
      <w:r w:rsidR="004A27DE">
        <w:t xml:space="preserve">ana, with specific reference to </w:t>
      </w:r>
      <w:r w:rsidR="00216919">
        <w:t>Sun City</w:t>
      </w:r>
      <w:r>
        <w:t>. It will seek to supplement the intellectual agenda set out by the NRF Chair</w:t>
      </w:r>
      <w:r w:rsidR="00216919">
        <w:t xml:space="preserve"> in ‘Local Histories and Present Realities’</w:t>
      </w:r>
      <w:r>
        <w:t xml:space="preserve"> </w:t>
      </w:r>
      <w:r w:rsidR="004A27DE">
        <w:t xml:space="preserve">to encourage research in this field and </w:t>
      </w:r>
      <w:r>
        <w:t>contribute to further comprehension of the history of the former bantustans.</w:t>
      </w:r>
    </w:p>
    <w:p w14:paraId="169C2E42" w14:textId="77777777" w:rsidR="00C7587E" w:rsidRPr="00C7587E" w:rsidRDefault="00C7587E" w:rsidP="00FB725F">
      <w:pPr>
        <w:rPr>
          <w:b/>
          <w:i/>
        </w:rPr>
      </w:pPr>
      <w:r>
        <w:rPr>
          <w:b/>
          <w:i/>
        </w:rPr>
        <w:t>Sources</w:t>
      </w:r>
    </w:p>
    <w:p w14:paraId="00A744D7" w14:textId="77777777" w:rsidR="00C7587E" w:rsidRDefault="00C7587E" w:rsidP="00C7587E">
      <w:r>
        <w:t xml:space="preserve">The </w:t>
      </w:r>
      <w:r w:rsidR="00566FF7">
        <w:t>primary sources</w:t>
      </w:r>
      <w:r>
        <w:t xml:space="preserve"> used for this res</w:t>
      </w:r>
      <w:r w:rsidR="00016AA7">
        <w:t xml:space="preserve">earch project were </w:t>
      </w:r>
      <w:r>
        <w:t xml:space="preserve">obtained from archival repositories and oral sources. The </w:t>
      </w:r>
      <w:r w:rsidR="00566FF7">
        <w:t xml:space="preserve">documentary </w:t>
      </w:r>
      <w:r>
        <w:t>sources were obtained from the National Archives of South Africa located in Pretoria from the following collections</w:t>
      </w:r>
      <w:r w:rsidR="00566FF7">
        <w:t>:</w:t>
      </w:r>
      <w:r>
        <w:t xml:space="preserve"> </w:t>
      </w:r>
      <w:r w:rsidR="00566FF7">
        <w:t>Department of</w:t>
      </w:r>
      <w:r>
        <w:t xml:space="preserve"> Foreign Affairs, </w:t>
      </w:r>
      <w:r w:rsidR="00566FF7">
        <w:t xml:space="preserve">Department </w:t>
      </w:r>
      <w:r>
        <w:t xml:space="preserve">of Home </w:t>
      </w:r>
      <w:r w:rsidRPr="00154956">
        <w:t>Affairs, the Department o</w:t>
      </w:r>
      <w:r w:rsidR="00D112D3">
        <w:t>f Co-Operation and Development</w:t>
      </w:r>
      <w:r w:rsidRPr="00154956">
        <w:t>, Ministry of Constitutional Development and Planning Research</w:t>
      </w:r>
      <w:r>
        <w:t xml:space="preserve"> and the Department of Native Administration and Development. Research was also conducted at the North-West </w:t>
      </w:r>
      <w:r w:rsidR="00566FF7">
        <w:t>Provincial A</w:t>
      </w:r>
      <w:r>
        <w:t>rc</w:t>
      </w:r>
      <w:r w:rsidR="00216919">
        <w:t xml:space="preserve">hives in Mafikeng. The archive </w:t>
      </w:r>
      <w:r>
        <w:t xml:space="preserve">contains </w:t>
      </w:r>
      <w:r w:rsidR="00566FF7">
        <w:t xml:space="preserve">the </w:t>
      </w:r>
      <w:r>
        <w:t xml:space="preserve">Bophuthatswana </w:t>
      </w:r>
      <w:r w:rsidR="00CD7311">
        <w:t xml:space="preserve">Papers </w:t>
      </w:r>
      <w:r w:rsidR="00566FF7">
        <w:t xml:space="preserve">and those of the </w:t>
      </w:r>
      <w:r w:rsidR="00CD7311">
        <w:t>O</w:t>
      </w:r>
      <w:r w:rsidR="00566FF7">
        <w:t>ffice of the President</w:t>
      </w:r>
      <w:r>
        <w:t xml:space="preserve">, including correspondence with Sun International. Online archives from North-Western University and Michigan State University were consulted, where the Africana and Artists Against Apartheid collections </w:t>
      </w:r>
      <w:r w:rsidR="00016AA7">
        <w:t>were used respectively</w:t>
      </w:r>
      <w:r>
        <w:t xml:space="preserve">. Interviews were conducted with past and present employees of the Sun City resort and casino as well as members of the </w:t>
      </w:r>
      <w:r w:rsidR="000A67CB">
        <w:t>BNDC.</w:t>
      </w:r>
      <w:r>
        <w:t xml:space="preserve"> The list of oral sources also includes academics, writers, tourists and previous contestants of the Miss South Africa pageant held at Sun City. </w:t>
      </w:r>
      <w:r w:rsidR="00566FF7">
        <w:t xml:space="preserve">Other primary </w:t>
      </w:r>
      <w:r>
        <w:t xml:space="preserve">sources include newspapers, magazines, pamphlets and brochures. Newspapers </w:t>
      </w:r>
      <w:r>
        <w:lastRenderedPageBreak/>
        <w:t xml:space="preserve">utilised in this thesis were </w:t>
      </w:r>
      <w:r>
        <w:rPr>
          <w:i/>
        </w:rPr>
        <w:t>The Mafikeng Mail</w:t>
      </w:r>
      <w:r>
        <w:t xml:space="preserve">, a Bophuthatswana publication, as well as </w:t>
      </w:r>
      <w:r>
        <w:rPr>
          <w:i/>
        </w:rPr>
        <w:t xml:space="preserve">Time Magazine, The New York Times, The Mail and Guardian and The Sowetan. </w:t>
      </w:r>
      <w:r w:rsidR="00216919">
        <w:t xml:space="preserve">Magazines publishes by Sun International as well as promotional material were also used. </w:t>
      </w:r>
    </w:p>
    <w:p w14:paraId="2C089BB0" w14:textId="77777777" w:rsidR="00C7587E" w:rsidRPr="00C7587E" w:rsidRDefault="00C7587E" w:rsidP="00C7587E">
      <w:pPr>
        <w:rPr>
          <w:b/>
          <w:i/>
        </w:rPr>
      </w:pPr>
      <w:r>
        <w:rPr>
          <w:b/>
          <w:i/>
        </w:rPr>
        <w:t>Limitations of the Study</w:t>
      </w:r>
    </w:p>
    <w:p w14:paraId="61496F86" w14:textId="77777777" w:rsidR="00C7587E" w:rsidRDefault="00C7587E" w:rsidP="00FB725F">
      <w:r>
        <w:t xml:space="preserve">Oral sources proved elusive in this research project, </w:t>
      </w:r>
      <w:r w:rsidR="00566FF7">
        <w:t xml:space="preserve">as </w:t>
      </w:r>
      <w:r>
        <w:t xml:space="preserve">many </w:t>
      </w:r>
      <w:r w:rsidR="00566FF7">
        <w:t xml:space="preserve">participants </w:t>
      </w:r>
      <w:r>
        <w:t xml:space="preserve">were unwilling to disclose information pertaining to the government of Bophuthatswana and Sun International operations. This study looks solely at the Sun City casino in Bophuthatswana and does not include research on casinos located in other areas of Bophuthatswana or other bantustans. </w:t>
      </w:r>
      <w:r w:rsidR="001E600F">
        <w:t>Thus</w:t>
      </w:r>
      <w:r w:rsidR="00016AA7">
        <w:t>,</w:t>
      </w:r>
      <w:r>
        <w:t xml:space="preserve"> it is very focused study due to the lack of resources and time to investigate other casino sites. </w:t>
      </w:r>
    </w:p>
    <w:p w14:paraId="5948630C" w14:textId="77777777" w:rsidR="00A36279" w:rsidRDefault="00A36279" w:rsidP="00FB725F">
      <w:r>
        <w:t xml:space="preserve">Sun City is guarded about its information, tourist demographics and statistics. </w:t>
      </w:r>
      <w:r w:rsidR="00225164">
        <w:t>Specifically</w:t>
      </w:r>
      <w:r w:rsidR="00566FF7">
        <w:t>,</w:t>
      </w:r>
      <w:r w:rsidR="00225164">
        <w:t xml:space="preserve"> a</w:t>
      </w:r>
      <w:r>
        <w:t>ccess to guest sign in books was denied by Sun International</w:t>
      </w:r>
      <w:r w:rsidR="00225164">
        <w:t xml:space="preserve"> and contact</w:t>
      </w:r>
      <w:r>
        <w:t xml:space="preserve"> </w:t>
      </w:r>
      <w:r w:rsidR="00566FF7">
        <w:t xml:space="preserve">with </w:t>
      </w:r>
      <w:r>
        <w:t xml:space="preserve">staff for interviews </w:t>
      </w:r>
      <w:r w:rsidR="00566FF7">
        <w:t xml:space="preserve">was </w:t>
      </w:r>
      <w:r w:rsidR="00225164">
        <w:t>limited. T</w:t>
      </w:r>
      <w:r>
        <w:t xml:space="preserve">he marketing </w:t>
      </w:r>
      <w:r w:rsidR="00225164">
        <w:t>managers</w:t>
      </w:r>
      <w:r>
        <w:t xml:space="preserve"> were guarded a</w:t>
      </w:r>
      <w:r w:rsidR="00225164">
        <w:t>nd wished to remain anonymous, whilst q</w:t>
      </w:r>
      <w:r>
        <w:t xml:space="preserve">uestions about Sun City during apartheid were answered with caution and scepticism. It was evident that </w:t>
      </w:r>
      <w:r w:rsidR="00566FF7">
        <w:t xml:space="preserve">employees </w:t>
      </w:r>
      <w:r>
        <w:t xml:space="preserve">wished to limit the </w:t>
      </w:r>
      <w:r w:rsidR="00566FF7">
        <w:t xml:space="preserve">conversation </w:t>
      </w:r>
      <w:r>
        <w:t xml:space="preserve">to promoting the modern Sun City resort. Interviews with staff had to be cleared with the marketing coordinator and were limited to </w:t>
      </w:r>
      <w:r w:rsidR="00C52107">
        <w:t xml:space="preserve">individuals </w:t>
      </w:r>
      <w:r>
        <w:t xml:space="preserve">she had selected. </w:t>
      </w:r>
      <w:r w:rsidR="00225164">
        <w:t>Employees</w:t>
      </w:r>
      <w:r>
        <w:t xml:space="preserve"> are instructed not </w:t>
      </w:r>
      <w:r w:rsidR="00F3531F">
        <w:t xml:space="preserve">to </w:t>
      </w:r>
      <w:r w:rsidR="00D112D3">
        <w:t>answer any questions a guest might have and are told to r</w:t>
      </w:r>
      <w:r>
        <w:t xml:space="preserve">eport </w:t>
      </w:r>
      <w:r w:rsidR="00216919">
        <w:t xml:space="preserve">such requests </w:t>
      </w:r>
      <w:r>
        <w:t xml:space="preserve">to the </w:t>
      </w:r>
      <w:r w:rsidR="00216919">
        <w:t>management</w:t>
      </w:r>
      <w:r>
        <w:t xml:space="preserve"> team. This can be credited to their reluctance to publicly acknowledge their </w:t>
      </w:r>
      <w:r w:rsidR="00F3531F">
        <w:t>historical</w:t>
      </w:r>
      <w:r>
        <w:t xml:space="preserve"> collusion with </w:t>
      </w:r>
      <w:r w:rsidR="00C52107">
        <w:t xml:space="preserve">the </w:t>
      </w:r>
      <w:r>
        <w:t>apartheid</w:t>
      </w:r>
      <w:r w:rsidR="00C52107">
        <w:t xml:space="preserve"> regime</w:t>
      </w:r>
      <w:r>
        <w:t xml:space="preserve">. </w:t>
      </w:r>
    </w:p>
    <w:p w14:paraId="490CB327" w14:textId="77777777" w:rsidR="004D0C71" w:rsidRDefault="004D0C71">
      <w:pPr>
        <w:spacing w:line="259" w:lineRule="auto"/>
        <w:jc w:val="left"/>
        <w:rPr>
          <w:rFonts w:eastAsiaTheme="majorEastAsia" w:cstheme="majorBidi"/>
          <w:b/>
          <w:bCs/>
          <w:smallCaps/>
          <w:color w:val="000000" w:themeColor="text1"/>
          <w:sz w:val="28"/>
          <w:szCs w:val="36"/>
        </w:rPr>
      </w:pPr>
      <w:bookmarkStart w:id="12" w:name="_Toc459702956"/>
      <w:r>
        <w:br w:type="page"/>
      </w:r>
    </w:p>
    <w:p w14:paraId="0741B94F" w14:textId="77777777" w:rsidR="00CD4878" w:rsidRPr="003C6EF5" w:rsidRDefault="002817A0" w:rsidP="001C0747">
      <w:pPr>
        <w:pStyle w:val="Heading1"/>
        <w:numPr>
          <w:ilvl w:val="0"/>
          <w:numId w:val="0"/>
        </w:numPr>
        <w:rPr>
          <w:i/>
        </w:rPr>
      </w:pPr>
      <w:bookmarkStart w:id="13" w:name="_Toc488481700"/>
      <w:r>
        <w:lastRenderedPageBreak/>
        <w:t>C</w:t>
      </w:r>
      <w:r w:rsidR="00CD4878" w:rsidRPr="003C6EF5">
        <w:t xml:space="preserve">HAPTER </w:t>
      </w:r>
      <w:r w:rsidR="00CD4878">
        <w:t>ONE</w:t>
      </w:r>
      <w:r w:rsidR="00CD4878" w:rsidRPr="003C6EF5">
        <w:t xml:space="preserve">: </w:t>
      </w:r>
      <w:r w:rsidR="00CD4878">
        <w:rPr>
          <w:i/>
        </w:rPr>
        <w:t>Building a Palace in the Sun</w:t>
      </w:r>
      <w:bookmarkEnd w:id="12"/>
      <w:bookmarkEnd w:id="13"/>
    </w:p>
    <w:p w14:paraId="7F6ED2E1" w14:textId="77777777" w:rsidR="00CD4878" w:rsidRDefault="00CD4878" w:rsidP="00CD4878">
      <w:pPr>
        <w:pStyle w:val="Heading2"/>
        <w:numPr>
          <w:ilvl w:val="0"/>
          <w:numId w:val="0"/>
        </w:numPr>
        <w:ind w:left="578" w:hanging="578"/>
      </w:pPr>
      <w:bookmarkStart w:id="14" w:name="_Toc459702957"/>
      <w:bookmarkStart w:id="15" w:name="_Toc488481701"/>
      <w:r>
        <w:t>Introduction</w:t>
      </w:r>
      <w:bookmarkEnd w:id="14"/>
      <w:bookmarkEnd w:id="15"/>
    </w:p>
    <w:p w14:paraId="599CF101" w14:textId="77777777" w:rsidR="00CD4878" w:rsidRDefault="00CD4878" w:rsidP="00CD4878">
      <w:pPr>
        <w:pStyle w:val="Subtitle"/>
        <w:ind w:right="0"/>
      </w:pPr>
      <w:r w:rsidRPr="002F547A">
        <w:t>It was early 1978. Sol Kerzner stood on a parched outcrop of rocky terrain called the Pilan</w:t>
      </w:r>
      <w:r>
        <w:t>e</w:t>
      </w:r>
      <w:r w:rsidRPr="002F547A">
        <w:t xml:space="preserve">sberg. He made his decision there and then. This would be his place in the sun – his </w:t>
      </w:r>
      <w:r w:rsidRPr="00502923">
        <w:rPr>
          <w:i/>
        </w:rPr>
        <w:t>Letsatsing</w:t>
      </w:r>
      <w:r w:rsidRPr="002F547A">
        <w:t xml:space="preserve"> as the Tswana’s would say.</w:t>
      </w:r>
      <w:r>
        <w:rPr>
          <w:rStyle w:val="FootnoteReference"/>
        </w:rPr>
        <w:footnoteReference w:id="47"/>
      </w:r>
    </w:p>
    <w:p w14:paraId="74D6A986" w14:textId="77777777" w:rsidR="00CD4878" w:rsidRDefault="00CD4878" w:rsidP="00CD4878">
      <w:r>
        <w:t xml:space="preserve">Sol Kerzner, owner of the resort and casino Sun City, is widely regarded as one of South Africa’s wealthiest self-made men. The late </w:t>
      </w:r>
      <w:r w:rsidR="0004633D">
        <w:t>South African president Nelson Mandela</w:t>
      </w:r>
      <w:r>
        <w:t xml:space="preserve"> declared Kerzner “by far the greatest entrepreneur in this country’s tourist history”.</w:t>
      </w:r>
      <w:r>
        <w:rPr>
          <w:rStyle w:val="FootnoteReference"/>
        </w:rPr>
        <w:footnoteReference w:id="48"/>
      </w:r>
      <w:r>
        <w:t xml:space="preserve"> A descendant of Jewish Ukrainian immigrants, Kerzner is colloquially known as ‘the Sun King’, so named after his company a</w:t>
      </w:r>
      <w:r w:rsidR="000A67CB">
        <w:t>nd resorts which all boast “sun”</w:t>
      </w:r>
      <w:r>
        <w:t xml:space="preserve"> in the name. </w:t>
      </w:r>
    </w:p>
    <w:p w14:paraId="6A3264AD" w14:textId="77777777" w:rsidR="0004633D" w:rsidRDefault="00CD4878" w:rsidP="00CD4878">
      <w:r>
        <w:t xml:space="preserve">Following the 1965 decision of the </w:t>
      </w:r>
      <w:r w:rsidR="00756A84">
        <w:t>NP</w:t>
      </w:r>
      <w:r>
        <w:t xml:space="preserve"> </w:t>
      </w:r>
      <w:r w:rsidR="00202C82">
        <w:t xml:space="preserve">government </w:t>
      </w:r>
      <w:r>
        <w:t xml:space="preserve">to prohibit most forms of gambling Kerzner expanded his business portfolio of hotels into the bantustans, building casinos under his company name, Southern Sun. In 1977, a host of casinos began to pop up in the homelands. Kerzner maintained working relationships with both the bantustans and the South African government, as well as South African private enterprises. From the late 1970s onwards, Southern Sun expanded rapidly and the company underwent large restructuring. </w:t>
      </w:r>
    </w:p>
    <w:p w14:paraId="2A4D2960" w14:textId="77777777" w:rsidR="00CD4878" w:rsidRDefault="00CD4878" w:rsidP="00CD4878">
      <w:r>
        <w:t>The hotel group’s flagship resort, Sun City, began construction in 1979. The mega-resort</w:t>
      </w:r>
      <w:r w:rsidR="002B45F7">
        <w:t>,</w:t>
      </w:r>
      <w:r>
        <w:t xml:space="preserve"> in the Bophuthatswana bushveld of the Pilanesberg</w:t>
      </w:r>
      <w:r w:rsidR="002B45F7">
        <w:t>,</w:t>
      </w:r>
      <w:r>
        <w:t xml:space="preserve"> was a star studded and opulent multi-million-dollar resort. The slot machines, poker tables and revue chorus girls would attract up to 50, 000 visitors a day, mostly affluent white South Africans</w:t>
      </w:r>
      <w:r w:rsidR="002B45F7">
        <w:t>,</w:t>
      </w:r>
      <w:r>
        <w:t xml:space="preserve"> making the short drive from the Transvaal to take advantage of the bantustan’s open policies. White and black could mingle openly, gambling was encouraged, pornography accepted and the sports and cultural boycotts ignored.</w:t>
      </w:r>
      <w:r>
        <w:rPr>
          <w:rStyle w:val="FootnoteReference"/>
        </w:rPr>
        <w:footnoteReference w:id="49"/>
      </w:r>
      <w:r>
        <w:t xml:space="preserve"> </w:t>
      </w:r>
      <w:r w:rsidRPr="002D733E">
        <w:rPr>
          <w:i/>
        </w:rPr>
        <w:t xml:space="preserve">New York Times </w:t>
      </w:r>
      <w:r>
        <w:t>correspondent Bill Keller wrote in 1992 that the resort had become a tourist mecca in the homeland, but warned that “you are in Africa, but in no particular place”, criticizing the generic depiction of Africa.</w:t>
      </w:r>
      <w:r>
        <w:rPr>
          <w:rStyle w:val="FootnoteReference"/>
        </w:rPr>
        <w:footnoteReference w:id="50"/>
      </w:r>
      <w:r>
        <w:t xml:space="preserve"> Kerzner had attempted to </w:t>
      </w:r>
      <w:r>
        <w:lastRenderedPageBreak/>
        <w:t>recreate the mythology and heritage of Africa within the Bophuthatswana bushveld, but instead had achieved the opulence of Las Vegas with an architectural eclectic medley.</w:t>
      </w:r>
      <w:r>
        <w:rPr>
          <w:rStyle w:val="FootnoteReference"/>
        </w:rPr>
        <w:footnoteReference w:id="51"/>
      </w:r>
      <w:r>
        <w:t xml:space="preserve"> </w:t>
      </w:r>
    </w:p>
    <w:p w14:paraId="6D390A42" w14:textId="77777777" w:rsidR="00CD4878" w:rsidRDefault="00CD4878" w:rsidP="00CD4878">
      <w:r>
        <w:t>However, the resort would soon attract global attention as opposition to apartheid grew in the international community. Sun City contrasted starkly with the poverty strick</w:t>
      </w:r>
      <w:r w:rsidR="00E86F93">
        <w:t>en rural district it was built around</w:t>
      </w:r>
      <w:r>
        <w:t>.</w:t>
      </w:r>
      <w:r>
        <w:rPr>
          <w:rStyle w:val="FootnoteReference"/>
        </w:rPr>
        <w:footnoteReference w:id="52"/>
      </w:r>
      <w:r>
        <w:t xml:space="preserve"> </w:t>
      </w:r>
      <w:r w:rsidR="00E86F93">
        <w:t>In response to this</w:t>
      </w:r>
      <w:r>
        <w:t>, Kerzner intimated that Sun City turned over half the profits to the residents of Bophuthat</w:t>
      </w:r>
      <w:r w:rsidR="002B45F7">
        <w:t xml:space="preserve">swana and that the resort was an employment </w:t>
      </w:r>
      <w:r>
        <w:t>and revenue creator for the homeland.</w:t>
      </w:r>
      <w:r>
        <w:rPr>
          <w:rStyle w:val="FootnoteReference"/>
        </w:rPr>
        <w:footnoteReference w:id="53"/>
      </w:r>
      <w:r>
        <w:t xml:space="preserve"> </w:t>
      </w:r>
      <w:r w:rsidR="00E86F93">
        <w:t>Yet</w:t>
      </w:r>
      <w:r>
        <w:t>, the residents saw very little of the money generated from the casino and Kerzner was heavily critiqued f</w:t>
      </w:r>
      <w:r w:rsidR="00E86F93">
        <w:t>or his relationship with the NP and</w:t>
      </w:r>
      <w:r>
        <w:t xml:space="preserve"> for his role in propping up the illegitimate bantustans. After the collapse of the apartheid regime, </w:t>
      </w:r>
      <w:r w:rsidR="00FA6A91">
        <w:t>Kerzner</w:t>
      </w:r>
      <w:r>
        <w:t xml:space="preserve"> eschewed allegations</w:t>
      </w:r>
      <w:r w:rsidR="00E86F93">
        <w:t xml:space="preserve"> of</w:t>
      </w:r>
      <w:r>
        <w:t xml:space="preserve"> bribery in Bophuthatswana and several other bantustans.</w:t>
      </w:r>
      <w:r w:rsidRPr="006F152E">
        <w:rPr>
          <w:rStyle w:val="FootnoteReference"/>
        </w:rPr>
        <w:footnoteReference w:id="54"/>
      </w:r>
      <w:r w:rsidRPr="006F152E">
        <w:t xml:space="preserve"> </w:t>
      </w:r>
    </w:p>
    <w:p w14:paraId="404B83A2" w14:textId="77777777" w:rsidR="00CD4878" w:rsidRDefault="00CD4878" w:rsidP="00CD4878">
      <w:pPr>
        <w:tabs>
          <w:tab w:val="left" w:pos="2694"/>
        </w:tabs>
      </w:pPr>
      <w:r>
        <w:t xml:space="preserve">This chapter will explore the establishment of Sol Kerzner’s company, Southern Sun (later known as Sun International), and its role as a large </w:t>
      </w:r>
      <w:r w:rsidR="002B45F7">
        <w:t>corporation</w:t>
      </w:r>
      <w:r>
        <w:t xml:space="preserve"> within the southern African hospitality industry. The rise of Kerzner and Southern Sun to dominance within the South African tourist industry in the 1960s will be investigated. The chapter will assess the infl</w:t>
      </w:r>
      <w:r w:rsidR="00E86F93">
        <w:t>uence of Southern Sun investors,</w:t>
      </w:r>
      <w:r>
        <w:t xml:space="preserve"> the South African and the Bophuthatswana governments in establishing Sun City, focusing on the establishment of a casino in an apartheid bantustan. The diplomatic relationship between South Africa and Bophuthatswana will be analysed. The role tourism and Sun City played in th</w:t>
      </w:r>
      <w:r w:rsidR="000A67CB">
        <w:t>e formation of a “Tswana nation”</w:t>
      </w:r>
      <w:r>
        <w:t xml:space="preserve"> and the promotion of the Bantustan project will be examined. The construction of Sun City and its impact on the surrounding areas, in terms of infrastructure and tourism, will be discussed. Lastly, Sun City, as Kerzner’s hotel masterpiece, will be evaluated in terms of its </w:t>
      </w:r>
      <w:r w:rsidR="00FA6A91">
        <w:t>appropriation</w:t>
      </w:r>
      <w:r>
        <w:t xml:space="preserve"> of African history and culture. The chapter is based on documentary sources from the Office of the President in the Bophuthatswana papers in Mafikeng. It also includes interviews with individuals involved in the establishment and marketing of Sun City during the 1970s and 1980s. </w:t>
      </w:r>
    </w:p>
    <w:p w14:paraId="2C05A8DB" w14:textId="77777777" w:rsidR="00CD4878" w:rsidRPr="00046755" w:rsidRDefault="00CD4878" w:rsidP="00CD4878">
      <w:pPr>
        <w:pStyle w:val="Heading2"/>
        <w:numPr>
          <w:ilvl w:val="0"/>
          <w:numId w:val="0"/>
        </w:numPr>
        <w:ind w:left="578" w:hanging="578"/>
      </w:pPr>
      <w:bookmarkStart w:id="16" w:name="_Toc459702958"/>
      <w:bookmarkStart w:id="17" w:name="_Toc488481702"/>
      <w:r>
        <w:lastRenderedPageBreak/>
        <w:t>Southern Sun meets Sun International</w:t>
      </w:r>
      <w:bookmarkEnd w:id="16"/>
      <w:bookmarkEnd w:id="17"/>
    </w:p>
    <w:p w14:paraId="702BAC94" w14:textId="77777777" w:rsidR="00CD4878" w:rsidRDefault="00CD4878" w:rsidP="00CD4878">
      <w:r>
        <w:t>More than five decades ago, in December 1964, Sol Kerzner built his first hotel, situated on the north coast of Durban in Umhlanga. To build the hotel, he borrowed heavily from the banks and invested his parent’s life savings, despite limited tourist development north of Durban.</w:t>
      </w:r>
      <w:r>
        <w:rPr>
          <w:rStyle w:val="FootnoteReference"/>
        </w:rPr>
        <w:footnoteReference w:id="55"/>
      </w:r>
      <w:r>
        <w:t xml:space="preserve"> The Beverley Hills hotel that Kerzner developed in Umhlanga was an unashamed version of American luxury.</w:t>
      </w:r>
      <w:r>
        <w:rPr>
          <w:rStyle w:val="FootnoteReference"/>
        </w:rPr>
        <w:footnoteReference w:id="56"/>
      </w:r>
      <w:r>
        <w:t xml:space="preserve">  With the construction of the luxurious hotel, which is still enormously popular today, </w:t>
      </w:r>
      <w:r w:rsidR="00A153C1" w:rsidRPr="00A153C1">
        <w:t xml:space="preserve">Kerzner introduced new possibilities for sensual pleasures </w:t>
      </w:r>
      <w:r w:rsidR="00E86F93">
        <w:t>into the homelands. The hotel</w:t>
      </w:r>
    </w:p>
    <w:p w14:paraId="56888D7E" w14:textId="77777777" w:rsidR="00CD4878" w:rsidRPr="006F6110" w:rsidRDefault="00CD4878" w:rsidP="00CD4878">
      <w:pPr>
        <w:pStyle w:val="Subtitle"/>
        <w:rPr>
          <w:rFonts w:cs="Times New Roman"/>
          <w:szCs w:val="20"/>
        </w:rPr>
      </w:pPr>
      <w:r w:rsidRPr="006F6110">
        <w:rPr>
          <w:rFonts w:cs="Times New Roman"/>
          <w:szCs w:val="20"/>
        </w:rPr>
        <w:t>was also South Africa’s first new resort hotel to be a</w:t>
      </w:r>
      <w:r w:rsidR="002B45F7">
        <w:rPr>
          <w:rFonts w:cs="Times New Roman"/>
          <w:szCs w:val="20"/>
        </w:rPr>
        <w:t>warded five star</w:t>
      </w:r>
      <w:r w:rsidRPr="006F6110">
        <w:rPr>
          <w:rFonts w:cs="Times New Roman"/>
          <w:szCs w:val="20"/>
        </w:rPr>
        <w:t>s and the property set a new standard for hotels in this country and was part of the country tourism future.</w:t>
      </w:r>
      <w:r>
        <w:rPr>
          <w:rStyle w:val="FootnoteReference"/>
          <w:rFonts w:cs="Times New Roman"/>
          <w:szCs w:val="20"/>
        </w:rPr>
        <w:footnoteReference w:id="57"/>
      </w:r>
    </w:p>
    <w:p w14:paraId="4FA911FC" w14:textId="77777777" w:rsidR="00CD4878" w:rsidRDefault="00CD4878" w:rsidP="00CD4878">
      <w:r>
        <w:t>It marked a change in the South African hospitality business, where a five-star hotel experience could offer the comforts tourists</w:t>
      </w:r>
      <w:r w:rsidR="00E86F93">
        <w:t>,</w:t>
      </w:r>
      <w:r>
        <w:t xml:space="preserve"> </w:t>
      </w:r>
      <w:r w:rsidR="00E86F93">
        <w:t xml:space="preserve">both local and international, </w:t>
      </w:r>
      <w:r>
        <w:t xml:space="preserve">desired. </w:t>
      </w:r>
    </w:p>
    <w:p w14:paraId="2423CA03" w14:textId="77777777" w:rsidR="00CD4878" w:rsidRDefault="00CD4878" w:rsidP="00CD4878">
      <w:r>
        <w:t xml:space="preserve">The Beverley Hills was built amidst a period of massive redevelopment and growth in the South African hotel industry. South African Breweries Ltd. (SAB) had a large share in the hotel industry, which mainly consisted of lower quality boarding houses and commercial hotels. The </w:t>
      </w:r>
      <w:r w:rsidR="00756A84">
        <w:t>NP</w:t>
      </w:r>
      <w:r w:rsidR="00202C82">
        <w:t xml:space="preserve"> government </w:t>
      </w:r>
      <w:r>
        <w:t>encouraged a restructuring of the hotel industry in the 1960s in a bid to encourage tourism, especially from the international market.</w:t>
      </w:r>
      <w:r>
        <w:rPr>
          <w:rStyle w:val="FootnoteReference"/>
        </w:rPr>
        <w:footnoteReference w:id="58"/>
      </w:r>
      <w:r>
        <w:t xml:space="preserve"> Government interest in tourism came in the wake of a massive South African economic boom after the consolidation of the NP’s power. Technological advancements such as the introduction of the commercial jet, which lowered unit prices and made global travel easier, opened South Africa to new international markets. Following the concerted effort of policy makers to encourage international tourism, the influx of international tourists entering South Africa increased by 330% between 1961 and 1967.</w:t>
      </w:r>
      <w:r>
        <w:rPr>
          <w:rStyle w:val="FootnoteReference"/>
        </w:rPr>
        <w:footnoteReference w:id="59"/>
      </w:r>
      <w:r>
        <w:t xml:space="preserve"> This prompted SAB to divest from the lower interest bracket of the hotel market and partner with ostentatious entrepreneur Sol Kerzner. Together they formed the Southern Sun Hotel group in 1969 and focused on building a chain of luxury hotel across South Africa. Their initial base consisted of one hotel in Johannesburg, two adjacent to </w:t>
      </w:r>
      <w:r>
        <w:lastRenderedPageBreak/>
        <w:t xml:space="preserve">the Kruger National Park and three on the KwaZulu-Natal coast. Four years later the group had acquired a total of 24 hotels </w:t>
      </w:r>
      <w:r w:rsidR="002B45F7">
        <w:t xml:space="preserve">and had expanded internationally. </w:t>
      </w:r>
      <w:r>
        <w:t>Thus, a multinational corporation was born. In 1975, Sol Kerzner was elected as one of seven members of the National Hotels Board, in accordance with the Hotels Act, No. 70 of 1965, furthering his control over the South African hotel and tourism industry.</w:t>
      </w:r>
      <w:r>
        <w:rPr>
          <w:rStyle w:val="FootnoteReference"/>
        </w:rPr>
        <w:footnoteReference w:id="60"/>
      </w:r>
      <w:r>
        <w:t xml:space="preserve"> </w:t>
      </w:r>
    </w:p>
    <w:p w14:paraId="0C09AA49" w14:textId="77777777" w:rsidR="00CD4878" w:rsidRDefault="00CD4878" w:rsidP="00CD4878">
      <w:r>
        <w:t xml:space="preserve">In 1979, SAB began to trade their shares publicly, but kept a 70% stake in the equity </w:t>
      </w:r>
      <w:r w:rsidRPr="00470ED4">
        <w:t>(</w:t>
      </w:r>
      <w:r w:rsidRPr="00D56BB9">
        <w:t>the value of the shares issued by a company)</w:t>
      </w:r>
      <w:r w:rsidRPr="00470ED4">
        <w:t>.</w:t>
      </w:r>
      <w:r>
        <w:t xml:space="preserve"> The move had seen their revenues rise from R3.1 million to R140,8 million and within two years their pre-tax profits had risen to R39 million. Meantime, the Southern Sun group maintained a market capitalisation of R250 million and was ranked the 16</w:t>
      </w:r>
      <w:r w:rsidRPr="006D3E89">
        <w:rPr>
          <w:vertAlign w:val="superscript"/>
        </w:rPr>
        <w:t>th</w:t>
      </w:r>
      <w:r>
        <w:t xml:space="preserve"> largest company listed on the Johannesburg Stock Exchange (JSE) in 1982. The company was also ranked in the top 20 in the world in terms of hotel chain profits. </w:t>
      </w:r>
      <w:r w:rsidR="0081332D">
        <w:t xml:space="preserve">The </w:t>
      </w:r>
      <w:r>
        <w:t>company absorb</w:t>
      </w:r>
      <w:r w:rsidR="0081332D">
        <w:t>ed</w:t>
      </w:r>
      <w:r>
        <w:t xml:space="preserve"> local hotel groups</w:t>
      </w:r>
      <w:r w:rsidR="0081332D">
        <w:t xml:space="preserve"> twice more</w:t>
      </w:r>
      <w:r>
        <w:t xml:space="preserve">. The Cape Hotels Group was taken </w:t>
      </w:r>
      <w:r w:rsidR="00E86F93">
        <w:t>over</w:t>
      </w:r>
      <w:r>
        <w:t xml:space="preserve"> in 1972 and was followed by Transito in 1978. Each move nearly doubled Southern Sun’s market share. Southern Sun continued to build their brand through the construction of a resort in Mauri</w:t>
      </w:r>
      <w:r w:rsidR="002B45F7">
        <w:t xml:space="preserve">tius, the Saint Geran, in 1975. Additionally, </w:t>
      </w:r>
      <w:r>
        <w:t>time share</w:t>
      </w:r>
      <w:r w:rsidR="002B45F7">
        <w:t xml:space="preserve"> was expanded and</w:t>
      </w:r>
      <w:r>
        <w:t xml:space="preserve"> the </w:t>
      </w:r>
      <w:r w:rsidR="002B45F7">
        <w:t xml:space="preserve">trend-setting </w:t>
      </w:r>
      <w:r>
        <w:t>Sun City</w:t>
      </w:r>
      <w:r w:rsidR="002B45F7" w:rsidRPr="002B45F7">
        <w:t xml:space="preserve"> </w:t>
      </w:r>
      <w:r w:rsidR="002B45F7">
        <w:t>was pioneered</w:t>
      </w:r>
      <w:r>
        <w:t>.</w:t>
      </w:r>
    </w:p>
    <w:p w14:paraId="69D67A26" w14:textId="77777777" w:rsidR="00CD4878" w:rsidRPr="006F7691" w:rsidRDefault="00CD4878" w:rsidP="00CD4878">
      <w:r>
        <w:t xml:space="preserve">Sol Kerzner was officially recognised by the NP as a major contributing member to the South African tourism and hotel industry </w:t>
      </w:r>
      <w:r w:rsidR="002B45F7">
        <w:t xml:space="preserve">in 1983, </w:t>
      </w:r>
      <w:r>
        <w:t>and consolidated his hold on the South African hotel industry. In the same year, Sun International Ltd was founded under the executive leadership of Sol Kerzner and Dick Goss, SAB CEO, as Chairman. This represented the culmination of extensive entrepreneurial activities and a mutually beneficial relationship between Kerzner and SAB. It reflected Kerzner’s desire to concentrate on leisure and casino hotels within their portfolio and this was achieved through the introduction of a temporary company in 1983, Newco (New Company), which took over the casino resort interests in the homelands as well as the island of Mauritius.</w:t>
      </w:r>
      <w:r>
        <w:rPr>
          <w:rStyle w:val="FootnoteReference"/>
        </w:rPr>
        <w:footnoteReference w:id="61"/>
      </w:r>
      <w:r>
        <w:t xml:space="preserve"> Newco also acquired the holdings of Rennies Consolidated Holdings Ltd., a hotel and resort chain which was owned by the international company Holiday Inns. This was an important move on the part of Sol Kerzner which saw the addition of 16 establishments with 2428 rooms. Some weeks later, the name Newco changed to Sun International.</w:t>
      </w:r>
      <w:r>
        <w:rPr>
          <w:rStyle w:val="FootnoteReference"/>
        </w:rPr>
        <w:footnoteReference w:id="62"/>
      </w:r>
      <w:r>
        <w:t xml:space="preserve"> With Sun City already an established and profitable casino </w:t>
      </w:r>
      <w:r>
        <w:lastRenderedPageBreak/>
        <w:t xml:space="preserve">resort, the world </w:t>
      </w:r>
      <w:r>
        <w:rPr>
          <w:i/>
        </w:rPr>
        <w:t xml:space="preserve">sun </w:t>
      </w:r>
      <w:r>
        <w:t xml:space="preserve">was an inevitable choice for Kerzner. Adding </w:t>
      </w:r>
      <w:r>
        <w:rPr>
          <w:i/>
        </w:rPr>
        <w:t xml:space="preserve">international </w:t>
      </w:r>
      <w:r>
        <w:t>to the end reflected the company’s stated objective to expand globally.</w:t>
      </w:r>
      <w:r>
        <w:rPr>
          <w:rStyle w:val="FootnoteReference"/>
        </w:rPr>
        <w:footnoteReference w:id="63"/>
      </w:r>
    </w:p>
    <w:p w14:paraId="6418F685" w14:textId="77777777" w:rsidR="00CD4878" w:rsidRDefault="00CD4878" w:rsidP="00CD4878">
      <w:r>
        <w:t>By 1984, Sun International had secured a true monopoly of the hospitality industry, with 18 hotels and 12 casinos across four states in south</w:t>
      </w:r>
      <w:r w:rsidR="000B5B8B">
        <w:t>ern Africa, including in the TVB</w:t>
      </w:r>
      <w:r>
        <w:t>C states. A separate international division was developed for each country or bantustan and was run by Kerzner’s trusted friend and business ally, Peter Bacon.</w:t>
      </w:r>
      <w:r>
        <w:rPr>
          <w:rStyle w:val="FootnoteReference"/>
        </w:rPr>
        <w:footnoteReference w:id="64"/>
      </w:r>
      <w:r>
        <w:t xml:space="preserve"> Until 2000, Southern Sun had a 20% stake in Sun International but in 2012 the former company merged with Tsogo Sun and now operates under that banner.</w:t>
      </w:r>
      <w:r>
        <w:rPr>
          <w:rStyle w:val="FootnoteReference"/>
        </w:rPr>
        <w:footnoteReference w:id="65"/>
      </w:r>
      <w:r>
        <w:t xml:space="preserve"> The principal owners of Sun International </w:t>
      </w:r>
      <w:r w:rsidR="00DD345D">
        <w:t>were</w:t>
      </w:r>
      <w:r>
        <w:t xml:space="preserve"> Kerzner and Associates, Safmarine, Rennies Consolidated Holdings (Pty) Ltd. and Southern Sun. In 1984, Javcor acquired a 34% stake in Sun International to give the company access to the JSE. The executive team of Sun International was then run by Dick Goss (Chairman), Charles Fiddian-Green (Deputy-Chairman), Sol Kerzner (Managing Director) and non-executive members included representatives from SAB, Rennies and Safmarine.</w:t>
      </w:r>
      <w:r>
        <w:rPr>
          <w:rStyle w:val="FootnoteReference"/>
        </w:rPr>
        <w:footnoteReference w:id="66"/>
      </w:r>
      <w:r>
        <w:t xml:space="preserve"> </w:t>
      </w:r>
    </w:p>
    <w:p w14:paraId="2CB629AE" w14:textId="77777777" w:rsidR="00CD4878" w:rsidRDefault="00CD4878" w:rsidP="00CD4878">
      <w:r>
        <w:t xml:space="preserve">Kerzner established Sun City in 1979 with the financial support of the government of South Africa, Bophuthatswana as well as Dick Goss and SAB. </w:t>
      </w:r>
      <w:r w:rsidRPr="00F708CC">
        <w:t>Sun City was used by Pretoria to legitim</w:t>
      </w:r>
      <w:r w:rsidR="006F3AD9">
        <w:t>ise</w:t>
      </w:r>
      <w:r w:rsidRPr="00F708CC">
        <w:t xml:space="preserve"> the homelands and was a convenient tool </w:t>
      </w:r>
      <w:r w:rsidR="000C57FE">
        <w:t>to transfer the cost of subsidis</w:t>
      </w:r>
      <w:r w:rsidRPr="00F708CC">
        <w:t>ing the bantustans from state funds over to private investment, mainly from the coffers of Sol Kerzner’s Sun International.</w:t>
      </w:r>
      <w:r>
        <w:t xml:space="preserve"> The following table depicts the movement of shares and money in the Sun International hierarchy and the Bophuthatswana government’s invol</w:t>
      </w:r>
      <w:r w:rsidR="00DD345D">
        <w:t>vement in the Sun City project (refer to table 1).</w:t>
      </w:r>
    </w:p>
    <w:p w14:paraId="6369B81F" w14:textId="77777777" w:rsidR="00CD4878" w:rsidRDefault="00CD4878" w:rsidP="00CD4878"/>
    <w:p w14:paraId="69C97B24" w14:textId="77777777" w:rsidR="00CD4878" w:rsidRDefault="00CD4878" w:rsidP="00CD4878"/>
    <w:p w14:paraId="7185F3E9" w14:textId="77777777" w:rsidR="00CD4878" w:rsidRDefault="00CD4878" w:rsidP="00CD4878"/>
    <w:p w14:paraId="3AEB17B3" w14:textId="77777777" w:rsidR="00CD4878" w:rsidRDefault="00CD4878" w:rsidP="00CD4878"/>
    <w:p w14:paraId="67F8F0C9" w14:textId="77777777" w:rsidR="00CD4878" w:rsidRDefault="00CD4878" w:rsidP="00CD4878"/>
    <w:p w14:paraId="543A4927" w14:textId="77777777" w:rsidR="00CD4878" w:rsidRDefault="004D0C71" w:rsidP="00CD4878">
      <w:r>
        <w:rPr>
          <w:noProof/>
          <w:lang w:val="en-ZA" w:eastAsia="en-ZA"/>
        </w:rPr>
        <w:lastRenderedPageBreak/>
        <w:drawing>
          <wp:anchor distT="0" distB="0" distL="114300" distR="114300" simplePos="0" relativeHeight="251684864" behindDoc="1" locked="0" layoutInCell="1" allowOverlap="1" wp14:anchorId="0EE481EE" wp14:editId="6F594606">
            <wp:simplePos x="0" y="0"/>
            <wp:positionH relativeFrom="column">
              <wp:posOffset>1781175</wp:posOffset>
            </wp:positionH>
            <wp:positionV relativeFrom="page">
              <wp:posOffset>923925</wp:posOffset>
            </wp:positionV>
            <wp:extent cx="2174240" cy="2952115"/>
            <wp:effectExtent l="0" t="0" r="0" b="0"/>
            <wp:wrapTight wrapText="bothSides">
              <wp:wrapPolygon edited="0">
                <wp:start x="0" y="0"/>
                <wp:lineTo x="0" y="21465"/>
                <wp:lineTo x="21386" y="21465"/>
                <wp:lineTo x="21386"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74240" cy="2952115"/>
                    </a:xfrm>
                    <a:prstGeom prst="rect">
                      <a:avLst/>
                    </a:prstGeom>
                    <a:noFill/>
                    <a:ln>
                      <a:noFill/>
                    </a:ln>
                  </pic:spPr>
                </pic:pic>
              </a:graphicData>
            </a:graphic>
          </wp:anchor>
        </w:drawing>
      </w:r>
    </w:p>
    <w:p w14:paraId="5B1539DA" w14:textId="77777777" w:rsidR="00CD4878" w:rsidRDefault="00CD4878" w:rsidP="00CD4878"/>
    <w:p w14:paraId="5859547C" w14:textId="77777777" w:rsidR="00CD4878" w:rsidRDefault="00CD4878" w:rsidP="00CD4878"/>
    <w:p w14:paraId="760AEF49" w14:textId="77777777" w:rsidR="00116DC6" w:rsidRDefault="00116DC6" w:rsidP="00CD4878">
      <w:pPr>
        <w:pStyle w:val="Subtitle"/>
        <w:spacing w:after="0"/>
        <w:ind w:left="0"/>
        <w:jc w:val="center"/>
      </w:pPr>
    </w:p>
    <w:p w14:paraId="1C8AC659" w14:textId="77777777" w:rsidR="004D0C71" w:rsidRDefault="004D0C71" w:rsidP="00DD345D">
      <w:pPr>
        <w:pStyle w:val="Subtitle"/>
        <w:spacing w:after="0"/>
        <w:ind w:left="0"/>
        <w:jc w:val="center"/>
      </w:pPr>
    </w:p>
    <w:p w14:paraId="12E7FD81" w14:textId="77777777" w:rsidR="004D0C71" w:rsidRDefault="004D0C71" w:rsidP="00DD345D">
      <w:pPr>
        <w:pStyle w:val="Subtitle"/>
        <w:spacing w:after="0"/>
        <w:ind w:left="0"/>
        <w:jc w:val="center"/>
      </w:pPr>
    </w:p>
    <w:p w14:paraId="68F5080A" w14:textId="77777777" w:rsidR="004D0C71" w:rsidRDefault="004D0C71" w:rsidP="004D0C71"/>
    <w:p w14:paraId="1B426118" w14:textId="77777777" w:rsidR="004D0C71" w:rsidRPr="004D0C71" w:rsidRDefault="004D0C71" w:rsidP="004D0C71"/>
    <w:p w14:paraId="5C939A0D" w14:textId="77777777" w:rsidR="004D0C71" w:rsidRDefault="004D0C71" w:rsidP="00DD345D">
      <w:pPr>
        <w:pStyle w:val="Subtitle"/>
        <w:spacing w:after="0"/>
        <w:ind w:left="0"/>
        <w:jc w:val="center"/>
      </w:pPr>
    </w:p>
    <w:p w14:paraId="2589D7BD" w14:textId="77777777" w:rsidR="004D0C71" w:rsidRDefault="004D0C71" w:rsidP="00DD345D">
      <w:pPr>
        <w:pStyle w:val="Subtitle"/>
        <w:spacing w:after="0"/>
        <w:ind w:left="0"/>
        <w:jc w:val="center"/>
      </w:pPr>
    </w:p>
    <w:p w14:paraId="34264088" w14:textId="77777777" w:rsidR="004D0C71" w:rsidRDefault="004D0C71" w:rsidP="00DD345D">
      <w:pPr>
        <w:pStyle w:val="Subtitle"/>
        <w:spacing w:after="0"/>
        <w:ind w:left="0"/>
        <w:jc w:val="center"/>
      </w:pPr>
    </w:p>
    <w:p w14:paraId="3A867733" w14:textId="77777777" w:rsidR="004D0C71" w:rsidRDefault="004D0C71" w:rsidP="00DD345D">
      <w:pPr>
        <w:pStyle w:val="Subtitle"/>
        <w:spacing w:after="0"/>
        <w:ind w:left="0"/>
        <w:jc w:val="center"/>
      </w:pPr>
    </w:p>
    <w:p w14:paraId="5397B88B" w14:textId="77777777" w:rsidR="004D0C71" w:rsidRDefault="004D0C71" w:rsidP="00DD345D">
      <w:pPr>
        <w:pStyle w:val="Subtitle"/>
        <w:spacing w:after="0"/>
        <w:ind w:left="0"/>
        <w:jc w:val="center"/>
      </w:pPr>
    </w:p>
    <w:p w14:paraId="7E8F7E3D" w14:textId="77777777" w:rsidR="004D0C71" w:rsidRDefault="004D0C71" w:rsidP="00DD345D">
      <w:pPr>
        <w:pStyle w:val="Subtitle"/>
        <w:spacing w:after="0"/>
        <w:ind w:left="0"/>
        <w:jc w:val="center"/>
      </w:pPr>
    </w:p>
    <w:p w14:paraId="61EAF0E1" w14:textId="77777777" w:rsidR="004D0C71" w:rsidRDefault="004D0C71" w:rsidP="00DD345D">
      <w:pPr>
        <w:pStyle w:val="Subtitle"/>
        <w:spacing w:after="0"/>
        <w:ind w:left="0"/>
        <w:jc w:val="center"/>
      </w:pPr>
    </w:p>
    <w:p w14:paraId="0D27D85C" w14:textId="77777777" w:rsidR="00CD4878" w:rsidRDefault="00CD4878" w:rsidP="00DD345D">
      <w:pPr>
        <w:pStyle w:val="Subtitle"/>
        <w:spacing w:after="0"/>
        <w:ind w:left="0"/>
        <w:jc w:val="center"/>
      </w:pPr>
      <w:r>
        <w:t xml:space="preserve">Table 1: </w:t>
      </w:r>
      <w:r w:rsidR="002F536C">
        <w:t>Depiction of</w:t>
      </w:r>
      <w:r>
        <w:t xml:space="preserve"> shifting ownership of Sun International and Sun City.</w:t>
      </w:r>
    </w:p>
    <w:p w14:paraId="4CA3F51F" w14:textId="77777777" w:rsidR="00CD4878" w:rsidRDefault="00CD4878" w:rsidP="00CD4878">
      <w:pPr>
        <w:pStyle w:val="Subtitle"/>
        <w:spacing w:after="0"/>
        <w:jc w:val="center"/>
      </w:pPr>
      <w:r>
        <w:t>[Table by Nicola van der Merwe]</w:t>
      </w:r>
    </w:p>
    <w:p w14:paraId="48FF8CD7" w14:textId="77777777" w:rsidR="00CD4878" w:rsidRPr="00F63C20" w:rsidRDefault="00CD4878" w:rsidP="00CD4878"/>
    <w:p w14:paraId="0ECAE123" w14:textId="77777777" w:rsidR="00CD4878" w:rsidRDefault="00CD4878" w:rsidP="00CD4878">
      <w:r>
        <w:t xml:space="preserve">From the top, the table demonstrates which organisations </w:t>
      </w:r>
      <w:r w:rsidR="005B3CD0" w:rsidRPr="005B3CD0">
        <w:t xml:space="preserve">merged </w:t>
      </w:r>
      <w:r>
        <w:t>to form Sun International. The table establishes the way Kerzner upheld the majority equity in the company to maintain control against companies such as Safmarine and the public. Whilst, Javcor consisted of 7.5% public shares and 92.5% Sun International. The table demonstrates the importance of the acquisition of Rennies Consolidated Holdings Ltd. which made up 50% of Sun Rennies together with Javcor. Sun International then consisted of Rennies Consolidated, Southern Sun and other shareholders. Sun City was then jointly</w:t>
      </w:r>
      <w:r w:rsidR="00E86F93">
        <w:t xml:space="preserve"> and equally</w:t>
      </w:r>
      <w:r>
        <w:t xml:space="preserve"> owned by Sun International and the Bophuthatswana government. </w:t>
      </w:r>
    </w:p>
    <w:p w14:paraId="182BA4B4" w14:textId="77777777" w:rsidR="00CD4878" w:rsidRDefault="00CD4878" w:rsidP="00CD4878">
      <w:r>
        <w:t xml:space="preserve">Sol Kerzner and SAB had a good </w:t>
      </w:r>
      <w:r w:rsidR="00DD345D">
        <w:t>professional</w:t>
      </w:r>
      <w:r>
        <w:t xml:space="preserve"> relationship and the lines of business were often bl</w:t>
      </w:r>
      <w:r w:rsidR="00E86F93">
        <w:t>urred between the two companies.</w:t>
      </w:r>
      <w:r>
        <w:t xml:space="preserve"> A long-serving member of Kerzner and SAB’s marketing team recalls how Kerzner would walk into Dick Goss’s office and ask for money for his latest project. At first, Goss would dis</w:t>
      </w:r>
      <w:r w:rsidR="00DD345D">
        <w:t>regard</w:t>
      </w:r>
      <w:r>
        <w:t xml:space="preserve"> Kerzner’s request but would later give in. This is how Kerzner received funding for his Palace of the Lost City project in the early 1990s. Due to SAB’s</w:t>
      </w:r>
      <w:r w:rsidR="00E86F93">
        <w:t xml:space="preserve"> large market share and the NP government’s</w:t>
      </w:r>
      <w:r>
        <w:t xml:space="preserve"> ruling which prevented them from investing and expanding in the liquor industry, the company has excess funds. In 1979, the apartheid government ordered SAB to sell their Solly Kramer retail liquor stores. SAB </w:t>
      </w:r>
      <w:r w:rsidR="00DD345D">
        <w:t>was</w:t>
      </w:r>
      <w:r>
        <w:t xml:space="preserve"> forced to branch into alternate forms of business enterprise.</w:t>
      </w:r>
      <w:r w:rsidR="00E86F93">
        <w:rPr>
          <w:rStyle w:val="FootnoteReference"/>
        </w:rPr>
        <w:footnoteReference w:id="67"/>
      </w:r>
      <w:r>
        <w:t xml:space="preserve"> The same year, a host </w:t>
      </w:r>
      <w:r>
        <w:lastRenderedPageBreak/>
        <w:t>of foreign owned companies divested their South African investments due to apartheid laws and the ensuing sanctions. This had opened the market and allowed for acquisitions by South African companies. SAB ploughed their excess money into ventures such as Ceres Fruit Juices, Edgars group, Scotts Stores and Da Gama Textiles. This was separate from their continued investment in Sun International.</w:t>
      </w:r>
      <w:r>
        <w:rPr>
          <w:rStyle w:val="FootnoteReference"/>
        </w:rPr>
        <w:footnoteReference w:id="68"/>
      </w:r>
    </w:p>
    <w:p w14:paraId="5D5A4E94" w14:textId="77777777" w:rsidR="00CD4878" w:rsidRDefault="00CD4878" w:rsidP="00CD4878">
      <w:pPr>
        <w:pStyle w:val="Heading2"/>
        <w:numPr>
          <w:ilvl w:val="0"/>
          <w:numId w:val="0"/>
        </w:numPr>
        <w:ind w:left="578" w:hanging="578"/>
      </w:pPr>
      <w:bookmarkStart w:id="18" w:name="_Toc488481703"/>
      <w:r>
        <w:t>Diplomacy</w:t>
      </w:r>
      <w:bookmarkEnd w:id="18"/>
    </w:p>
    <w:p w14:paraId="6C855EA7" w14:textId="77777777" w:rsidR="00CD4878" w:rsidRDefault="00CD4878" w:rsidP="00CD4878">
      <w:pPr>
        <w:rPr>
          <w:rFonts w:cs="Times New Roman"/>
          <w:szCs w:val="24"/>
        </w:rPr>
      </w:pPr>
      <w:r>
        <w:rPr>
          <w:rFonts w:cs="Times New Roman"/>
          <w:szCs w:val="24"/>
        </w:rPr>
        <w:t>Interests between the government</w:t>
      </w:r>
      <w:r w:rsidR="00DD345D">
        <w:rPr>
          <w:rFonts w:cs="Times New Roman"/>
          <w:szCs w:val="24"/>
        </w:rPr>
        <w:t>s</w:t>
      </w:r>
      <w:r>
        <w:rPr>
          <w:rFonts w:cs="Times New Roman"/>
          <w:szCs w:val="24"/>
        </w:rPr>
        <w:t xml:space="preserve"> of South Africa and Bophuthatswana as well as Southern Sun intersected, both overlapped and diverged during the period of Southern Sun’s operation in Bophuthatswana. The relationship between Pretoria and Mmabatho had been established long before Kerzner opened hotels in the bantustan. Each party had their own interests to address, with the presidents of South Africa, Mangope and Kerzner each seeking to satisfy their own needs first. When examining archival material from the </w:t>
      </w:r>
      <w:r w:rsidR="006E3B58">
        <w:rPr>
          <w:rFonts w:cs="Times New Roman"/>
          <w:szCs w:val="24"/>
        </w:rPr>
        <w:t>North-West Provincial Archives</w:t>
      </w:r>
      <w:r>
        <w:rPr>
          <w:rFonts w:cs="Times New Roman"/>
          <w:szCs w:val="24"/>
        </w:rPr>
        <w:t xml:space="preserve"> and the National Archives in Pretoria the correspondence between the three parties demonstrates a self-serving interest.</w:t>
      </w:r>
      <w:r>
        <w:rPr>
          <w:rStyle w:val="FootnoteReference"/>
          <w:rFonts w:cs="Times New Roman"/>
          <w:szCs w:val="24"/>
        </w:rPr>
        <w:footnoteReference w:id="69"/>
      </w:r>
      <w:r>
        <w:rPr>
          <w:rFonts w:cs="Times New Roman"/>
          <w:szCs w:val="24"/>
        </w:rPr>
        <w:t xml:space="preserve"> </w:t>
      </w:r>
    </w:p>
    <w:p w14:paraId="538D132B" w14:textId="77777777" w:rsidR="00CD4878" w:rsidRDefault="00CD4878" w:rsidP="00CD4878">
      <w:pPr>
        <w:rPr>
          <w:rFonts w:cs="Times New Roman"/>
          <w:szCs w:val="24"/>
        </w:rPr>
      </w:pPr>
      <w:r>
        <w:rPr>
          <w:rFonts w:cs="Times New Roman"/>
          <w:szCs w:val="24"/>
        </w:rPr>
        <w:t>A variety of agreements were reached between the governments of South Africa and Bophuthatswana pertaining to the establishment and operation of banking and financial institutions as well as pension funds in the bantustan. It was deemed not necessary for institutions which operated in both territories to register twice, instead any institution which was registered in South Africa was allowed to operate in both areas from the date of Bophuthatswana’s independence, 6 December 1977, onwards.</w:t>
      </w:r>
      <w:r>
        <w:rPr>
          <w:rStyle w:val="FootnoteReference"/>
          <w:rFonts w:cs="Times New Roman"/>
          <w:szCs w:val="24"/>
        </w:rPr>
        <w:footnoteReference w:id="70"/>
      </w:r>
      <w:r>
        <w:rPr>
          <w:rFonts w:cs="Times New Roman"/>
          <w:szCs w:val="24"/>
        </w:rPr>
        <w:t xml:space="preserve"> More agreements were reached with regards to the continuation of Bophuthatswana’s interests in South Africa’s state tender board.</w:t>
      </w:r>
      <w:r>
        <w:rPr>
          <w:rStyle w:val="FootnoteReference"/>
          <w:rFonts w:cs="Times New Roman"/>
          <w:szCs w:val="24"/>
        </w:rPr>
        <w:footnoteReference w:id="71"/>
      </w:r>
      <w:r>
        <w:rPr>
          <w:rFonts w:cs="Times New Roman"/>
          <w:szCs w:val="24"/>
        </w:rPr>
        <w:t xml:space="preserve"> The employment of workers, the establishment of border posts and Bophuthatswana’s relationship and impact on Botswana were thoroughly discussed in the days leading up to Bophuthatswana’s independence. These discussions between the three governments are heavily documented at the South African National Archives in the form of meeting minutes. Botswana’s main concerns centred around border posts and the restriction of their </w:t>
      </w:r>
      <w:r w:rsidR="00E86F93">
        <w:rPr>
          <w:rFonts w:cs="Times New Roman"/>
          <w:szCs w:val="24"/>
        </w:rPr>
        <w:t>citizens</w:t>
      </w:r>
      <w:r>
        <w:rPr>
          <w:rFonts w:cs="Times New Roman"/>
          <w:szCs w:val="24"/>
        </w:rPr>
        <w:t>’ entry into South Africa and Bophuthatswana. The latter governments assured Botswana</w:t>
      </w:r>
      <w:r w:rsidR="00E86F93">
        <w:rPr>
          <w:rFonts w:cs="Times New Roman"/>
          <w:szCs w:val="24"/>
        </w:rPr>
        <w:t>’s</w:t>
      </w:r>
      <w:r>
        <w:rPr>
          <w:rFonts w:cs="Times New Roman"/>
          <w:szCs w:val="24"/>
        </w:rPr>
        <w:t xml:space="preserve"> delegates of the continu</w:t>
      </w:r>
      <w:r w:rsidR="00E86F93">
        <w:rPr>
          <w:rFonts w:cs="Times New Roman"/>
          <w:szCs w:val="24"/>
        </w:rPr>
        <w:t>ed rapport between South Africa</w:t>
      </w:r>
      <w:r>
        <w:rPr>
          <w:rFonts w:cs="Times New Roman"/>
          <w:szCs w:val="24"/>
        </w:rPr>
        <w:t xml:space="preserve"> and Bophuthatswana and their desire to find workable solutions. Attempts at diplomacy from </w:t>
      </w:r>
      <w:r>
        <w:rPr>
          <w:rFonts w:cs="Times New Roman"/>
          <w:szCs w:val="24"/>
        </w:rPr>
        <w:lastRenderedPageBreak/>
        <w:t>South Africa and Bophuthatswana are evident; they voted together to ensure that the bantustan’s eventual independence from South Africa was feasible.</w:t>
      </w:r>
      <w:r>
        <w:rPr>
          <w:rStyle w:val="FootnoteReference"/>
          <w:rFonts w:cs="Times New Roman"/>
          <w:szCs w:val="24"/>
        </w:rPr>
        <w:footnoteReference w:id="72"/>
      </w:r>
      <w:r>
        <w:rPr>
          <w:rFonts w:cs="Times New Roman"/>
          <w:szCs w:val="24"/>
        </w:rPr>
        <w:t xml:space="preserve"> However, after several talks with South Africa, Botswana approached the UN Security Council with the aim of lodging a complaint against South Africa. Botswana as well as Lesotho critic</w:t>
      </w:r>
      <w:r w:rsidR="006F3AD9">
        <w:rPr>
          <w:rFonts w:cs="Times New Roman"/>
          <w:szCs w:val="24"/>
        </w:rPr>
        <w:t>ise</w:t>
      </w:r>
      <w:r>
        <w:rPr>
          <w:rFonts w:cs="Times New Roman"/>
          <w:szCs w:val="24"/>
        </w:rPr>
        <w:t>d the establishment of homeland</w:t>
      </w:r>
      <w:r w:rsidR="000C57FE">
        <w:rPr>
          <w:rFonts w:cs="Times New Roman"/>
          <w:szCs w:val="24"/>
        </w:rPr>
        <w:t>s and felt bullied into recognis</w:t>
      </w:r>
      <w:r>
        <w:rPr>
          <w:rFonts w:cs="Times New Roman"/>
          <w:szCs w:val="24"/>
        </w:rPr>
        <w:t>ing the sovereignty of the homelands through the erection of border posts on common boundaries. Botswana shared a common border with Bophuthatswana, whilst Lesotho and Transkei operated three border posts on their common boundary.</w:t>
      </w:r>
      <w:r>
        <w:rPr>
          <w:rStyle w:val="FootnoteReference"/>
          <w:rFonts w:cs="Times New Roman"/>
          <w:szCs w:val="24"/>
        </w:rPr>
        <w:footnoteReference w:id="73"/>
      </w:r>
      <w:r>
        <w:rPr>
          <w:rFonts w:cs="Times New Roman"/>
          <w:szCs w:val="24"/>
        </w:rPr>
        <w:t xml:space="preserve"> </w:t>
      </w:r>
    </w:p>
    <w:p w14:paraId="6625450A" w14:textId="77777777" w:rsidR="00CD4878" w:rsidRDefault="00CD4878" w:rsidP="00CD4878">
      <w:pPr>
        <w:rPr>
          <w:rFonts w:cs="Times New Roman"/>
          <w:szCs w:val="24"/>
        </w:rPr>
      </w:pPr>
      <w:r>
        <w:rPr>
          <w:rFonts w:cs="Times New Roman"/>
          <w:szCs w:val="24"/>
        </w:rPr>
        <w:t xml:space="preserve">Despite this, the cooperation between South Africa and Bophuthatswana continued as the </w:t>
      </w:r>
      <w:r w:rsidR="00756A84">
        <w:rPr>
          <w:rFonts w:cs="Times New Roman"/>
          <w:szCs w:val="24"/>
        </w:rPr>
        <w:t>NP</w:t>
      </w:r>
      <w:r w:rsidR="00202C82">
        <w:rPr>
          <w:rFonts w:cs="Times New Roman"/>
          <w:szCs w:val="24"/>
        </w:rPr>
        <w:t xml:space="preserve"> </w:t>
      </w:r>
      <w:r w:rsidR="00E86F93">
        <w:rPr>
          <w:rFonts w:cs="Times New Roman"/>
          <w:szCs w:val="24"/>
        </w:rPr>
        <w:t>government</w:t>
      </w:r>
      <w:r>
        <w:rPr>
          <w:rFonts w:cs="Times New Roman"/>
          <w:szCs w:val="24"/>
        </w:rPr>
        <w:t xml:space="preserve"> maintained a paternalistic view towards the homeland in the days leading up to independence in </w:t>
      </w:r>
      <w:r w:rsidR="00E86F93">
        <w:rPr>
          <w:rFonts w:cs="Times New Roman"/>
          <w:szCs w:val="24"/>
        </w:rPr>
        <w:t xml:space="preserve">December </w:t>
      </w:r>
      <w:r>
        <w:rPr>
          <w:rFonts w:cs="Times New Roman"/>
          <w:szCs w:val="24"/>
        </w:rPr>
        <w:t xml:space="preserve">1977. Following this, </w:t>
      </w:r>
      <w:r w:rsidR="00D73569" w:rsidRPr="00D73569">
        <w:rPr>
          <w:rFonts w:cs="Times New Roman"/>
          <w:szCs w:val="24"/>
        </w:rPr>
        <w:t>each g</w:t>
      </w:r>
      <w:r w:rsidR="00D73569">
        <w:rPr>
          <w:rFonts w:cs="Times New Roman"/>
          <w:szCs w:val="24"/>
        </w:rPr>
        <w:t xml:space="preserve">overnment had its own interest </w:t>
      </w:r>
      <w:r w:rsidR="00D73569" w:rsidRPr="00D73569">
        <w:rPr>
          <w:rFonts w:cs="Times New Roman"/>
          <w:szCs w:val="24"/>
        </w:rPr>
        <w:t>to maintai</w:t>
      </w:r>
      <w:r w:rsidR="00D73569">
        <w:rPr>
          <w:rFonts w:cs="Times New Roman"/>
          <w:szCs w:val="24"/>
        </w:rPr>
        <w:t>n independent diplomatic policy</w:t>
      </w:r>
      <w:r>
        <w:rPr>
          <w:rFonts w:cs="Times New Roman"/>
          <w:szCs w:val="24"/>
        </w:rPr>
        <w:t xml:space="preserve">. One such example is: </w:t>
      </w:r>
    </w:p>
    <w:p w14:paraId="3ED68A77" w14:textId="77777777" w:rsidR="00CD4878" w:rsidRDefault="00CD4878" w:rsidP="00CD4878">
      <w:pPr>
        <w:pStyle w:val="Subtitle"/>
      </w:pPr>
      <w:r>
        <w:t>Agreement whereas the Government of the Republic of South Africa and the Gover</w:t>
      </w:r>
      <w:r w:rsidR="000C57FE">
        <w:t>nment of Bophuthatswana recognis</w:t>
      </w:r>
      <w:r>
        <w:t>e the friendly relations existing between the two Governments and their peoples.</w:t>
      </w:r>
      <w:r>
        <w:rPr>
          <w:rStyle w:val="FootnoteReference"/>
          <w:rFonts w:cs="Times New Roman"/>
          <w:szCs w:val="24"/>
        </w:rPr>
        <w:footnoteReference w:id="74"/>
      </w:r>
    </w:p>
    <w:p w14:paraId="478ADE68" w14:textId="77777777" w:rsidR="00CD4878" w:rsidRDefault="00CD4878" w:rsidP="00CD4878">
      <w:pPr>
        <w:rPr>
          <w:rFonts w:cs="Times New Roman"/>
          <w:szCs w:val="24"/>
        </w:rPr>
      </w:pPr>
      <w:r>
        <w:rPr>
          <w:rFonts w:cs="Times New Roman"/>
          <w:szCs w:val="24"/>
        </w:rPr>
        <w:t xml:space="preserve">From these documents, one can ascertain a level of close collaboration between the two governments. It becomes apparent that in their relationship, each government </w:t>
      </w:r>
      <w:r w:rsidR="00DD345D">
        <w:rPr>
          <w:rFonts w:cs="Times New Roman"/>
          <w:szCs w:val="24"/>
        </w:rPr>
        <w:t>has</w:t>
      </w:r>
      <w:r>
        <w:rPr>
          <w:rFonts w:cs="Times New Roman"/>
          <w:szCs w:val="24"/>
        </w:rPr>
        <w:t xml:space="preserve"> their own interests whilst wanting to maintain diplomacy. Each party is willing to concede to the other, as long it serves their individual interests.  For example, following independence, South Africa ceded control of mining rights and prospects in Bophuthatswana to Mangope’s government, under the condition that all current agreements and contracts would be upheld until their expiry date. This served both interests, as South Africa was under obligation to relinquish the semblance of control to Bophuthatswana, but still wanted to maintain governance. Bophuthatswana also agreed to consult South Africa’s Department of Mines </w:t>
      </w:r>
      <w:r w:rsidR="00FA6A91">
        <w:rPr>
          <w:rFonts w:cs="Times New Roman"/>
          <w:szCs w:val="24"/>
        </w:rPr>
        <w:t>regarding</w:t>
      </w:r>
      <w:r>
        <w:rPr>
          <w:rFonts w:cs="Times New Roman"/>
          <w:szCs w:val="24"/>
        </w:rPr>
        <w:t xml:space="preserve"> prospecting and mining rights. South Africa arranged to provide the bantustan with professional, technical and administrative assistance and guidance if employees of the Department of Mines were granted full and uncompromised access to Bophuthatswana documents and mines. South Africa provided Bophuthatswana with the appearance of control and autonomy, whilst still being involved in affairs. </w:t>
      </w:r>
      <w:r w:rsidR="00E86F93">
        <w:rPr>
          <w:rFonts w:cs="Times New Roman"/>
          <w:szCs w:val="24"/>
        </w:rPr>
        <w:t>Bophuthatswana</w:t>
      </w:r>
      <w:r>
        <w:rPr>
          <w:rFonts w:cs="Times New Roman"/>
          <w:szCs w:val="24"/>
        </w:rPr>
        <w:t xml:space="preserve"> </w:t>
      </w:r>
      <w:r w:rsidR="00E86F93">
        <w:rPr>
          <w:rFonts w:cs="Times New Roman"/>
          <w:szCs w:val="24"/>
        </w:rPr>
        <w:t>was</w:t>
      </w:r>
      <w:r>
        <w:rPr>
          <w:rFonts w:cs="Times New Roman"/>
          <w:szCs w:val="24"/>
        </w:rPr>
        <w:t xml:space="preserve"> ultimately aware at </w:t>
      </w:r>
      <w:r>
        <w:rPr>
          <w:rFonts w:cs="Times New Roman"/>
          <w:szCs w:val="24"/>
        </w:rPr>
        <w:lastRenderedPageBreak/>
        <w:t>that the territory would be reliant on South Africa, especially financially. The appearance of autonomy satisfied their interests as after 1977 South Africa continued to play a role in the establishment and administration of Bophuthatswana’s mines.</w:t>
      </w:r>
      <w:r>
        <w:rPr>
          <w:rStyle w:val="FootnoteReference"/>
          <w:rFonts w:cs="Times New Roman"/>
          <w:szCs w:val="24"/>
        </w:rPr>
        <w:footnoteReference w:id="75"/>
      </w:r>
      <w:r>
        <w:rPr>
          <w:rFonts w:cs="Times New Roman"/>
          <w:szCs w:val="24"/>
        </w:rPr>
        <w:t xml:space="preserve"> </w:t>
      </w:r>
    </w:p>
    <w:p w14:paraId="35831A31" w14:textId="77777777" w:rsidR="00E86F93" w:rsidRDefault="00CD4878" w:rsidP="00CD4878">
      <w:pPr>
        <w:rPr>
          <w:rFonts w:cs="Times New Roman"/>
          <w:szCs w:val="24"/>
        </w:rPr>
      </w:pPr>
      <w:r>
        <w:rPr>
          <w:rFonts w:cs="Times New Roman"/>
          <w:szCs w:val="24"/>
        </w:rPr>
        <w:t xml:space="preserve">When agreeing to terms of employment, Bophuthatswana ceded more than South Africa. South Africa maintained that </w:t>
      </w:r>
      <w:r w:rsidR="00E86F93">
        <w:rPr>
          <w:rFonts w:cs="Times New Roman"/>
          <w:szCs w:val="24"/>
        </w:rPr>
        <w:t>citizens</w:t>
      </w:r>
      <w:r>
        <w:rPr>
          <w:rFonts w:cs="Times New Roman"/>
          <w:szCs w:val="24"/>
        </w:rPr>
        <w:t xml:space="preserve"> of Bophuthatswana would abide by apartheid laws, restricting their movement and ability to gain employment in South Africa. They were required to obtain a letter of employment before entering the country as well as report to the Bantu Labour Authorities. In contrast, Bophuthatswana authorities required that South </w:t>
      </w:r>
      <w:r w:rsidR="00E86F93">
        <w:rPr>
          <w:rFonts w:cs="Times New Roman"/>
          <w:szCs w:val="24"/>
        </w:rPr>
        <w:t>Africans entering the bantustan</w:t>
      </w:r>
      <w:r>
        <w:rPr>
          <w:rFonts w:cs="Times New Roman"/>
          <w:szCs w:val="24"/>
        </w:rPr>
        <w:t xml:space="preserve"> merely abide by the general letter of the law. South Africans were not required to carry pass documents, such as Bophuthatswana residents were required to in South Africa. However, Bophuthatswana needed to secure an agreement with South Africa to provide its </w:t>
      </w:r>
      <w:r w:rsidR="00E86F93">
        <w:rPr>
          <w:rFonts w:cs="Times New Roman"/>
          <w:szCs w:val="24"/>
        </w:rPr>
        <w:t>citizens</w:t>
      </w:r>
      <w:r>
        <w:rPr>
          <w:rFonts w:cs="Times New Roman"/>
          <w:szCs w:val="24"/>
        </w:rPr>
        <w:t xml:space="preserve"> with access to employment. A large portion of homeland </w:t>
      </w:r>
      <w:r w:rsidR="00E86F93">
        <w:rPr>
          <w:rFonts w:cs="Times New Roman"/>
          <w:szCs w:val="24"/>
        </w:rPr>
        <w:t>citizens</w:t>
      </w:r>
      <w:r>
        <w:rPr>
          <w:rFonts w:cs="Times New Roman"/>
          <w:szCs w:val="24"/>
        </w:rPr>
        <w:t xml:space="preserve"> sought employment in South African metropoles due to the scarcity of employment opportunities in Bophuthatswana. </w:t>
      </w:r>
      <w:r w:rsidR="00DD345D">
        <w:rPr>
          <w:rFonts w:cs="Times New Roman"/>
          <w:szCs w:val="24"/>
        </w:rPr>
        <w:t>Therefore,</w:t>
      </w:r>
      <w:r>
        <w:rPr>
          <w:rFonts w:cs="Times New Roman"/>
          <w:szCs w:val="24"/>
        </w:rPr>
        <w:t xml:space="preserve"> Bophuthatswana was forced to concede to more stringent border entry requirements for their </w:t>
      </w:r>
      <w:r w:rsidR="00E86F93">
        <w:rPr>
          <w:rFonts w:cs="Times New Roman"/>
          <w:szCs w:val="24"/>
        </w:rPr>
        <w:t>citizens</w:t>
      </w:r>
      <w:r>
        <w:rPr>
          <w:rFonts w:cs="Times New Roman"/>
          <w:szCs w:val="24"/>
        </w:rPr>
        <w:t>.</w:t>
      </w:r>
      <w:r>
        <w:rPr>
          <w:rStyle w:val="FootnoteReference"/>
          <w:rFonts w:cs="Times New Roman"/>
          <w:szCs w:val="24"/>
        </w:rPr>
        <w:footnoteReference w:id="76"/>
      </w:r>
      <w:r>
        <w:rPr>
          <w:rFonts w:cs="Times New Roman"/>
          <w:szCs w:val="24"/>
        </w:rPr>
        <w:t xml:space="preserve"> </w:t>
      </w:r>
    </w:p>
    <w:p w14:paraId="01909E8C" w14:textId="77777777" w:rsidR="00CD4878" w:rsidRDefault="00CD4878" w:rsidP="00CD4878">
      <w:pPr>
        <w:rPr>
          <w:rFonts w:cs="Times New Roman"/>
          <w:szCs w:val="24"/>
        </w:rPr>
      </w:pPr>
      <w:r>
        <w:rPr>
          <w:rFonts w:cs="Times New Roman"/>
          <w:szCs w:val="24"/>
        </w:rPr>
        <w:t>The BNDC had close ties with the Corporation for Economic Development (CED) in South Africa, which had the aim of promoting economic development in the homelands. For example, the CED maintained 50% stake in the Bophuthatswana Transport Holdings. South Africa’s involvement in the homelands followed the terms of Section 7A of the Promotion of the Economic Development of Bantu Homelands Act (Act No. 4 of 1968).  This act allowed for the controlled introduction of white capital into the homeland. This was achieved through the CED and South Africa’s monetary investment in Bophuthatswana. The government of Bophuthatswana agreed to repay loans granted to the BNDC by the CED.</w:t>
      </w:r>
      <w:r>
        <w:rPr>
          <w:rStyle w:val="FootnoteReference"/>
          <w:rFonts w:cs="Times New Roman"/>
          <w:szCs w:val="24"/>
        </w:rPr>
        <w:footnoteReference w:id="77"/>
      </w:r>
      <w:r w:rsidR="00E86F93">
        <w:rPr>
          <w:rFonts w:cs="Times New Roman"/>
          <w:szCs w:val="24"/>
        </w:rPr>
        <w:t xml:space="preserve"> The aim of the NP</w:t>
      </w:r>
      <w:r>
        <w:rPr>
          <w:rFonts w:cs="Times New Roman"/>
          <w:szCs w:val="24"/>
        </w:rPr>
        <w:t xml:space="preserve"> government was to ensure the financial success of the homelands, but for self-serving interests</w:t>
      </w:r>
      <w:r w:rsidR="00E86F93">
        <w:rPr>
          <w:rFonts w:cs="Times New Roman"/>
          <w:szCs w:val="24"/>
        </w:rPr>
        <w:t>,</w:t>
      </w:r>
      <w:r>
        <w:rPr>
          <w:rFonts w:cs="Times New Roman"/>
          <w:szCs w:val="24"/>
        </w:rPr>
        <w:t xml:space="preserve"> </w:t>
      </w:r>
      <w:r w:rsidR="00DD345D">
        <w:rPr>
          <w:rFonts w:cs="Times New Roman"/>
          <w:szCs w:val="24"/>
        </w:rPr>
        <w:t>grand apartheid.</w:t>
      </w:r>
    </w:p>
    <w:p w14:paraId="241F250C" w14:textId="77777777" w:rsidR="00CD4878" w:rsidRDefault="00CD4878" w:rsidP="00CD4878">
      <w:pPr>
        <w:rPr>
          <w:rFonts w:cs="Times New Roman"/>
          <w:szCs w:val="24"/>
        </w:rPr>
      </w:pPr>
      <w:r>
        <w:rPr>
          <w:rFonts w:cs="Times New Roman"/>
          <w:szCs w:val="24"/>
        </w:rPr>
        <w:t xml:space="preserve">This mutually self-serving relationship between South Africa and Bophuthatswana was carried over to </w:t>
      </w:r>
      <w:r w:rsidR="00E86F93">
        <w:rPr>
          <w:rFonts w:cs="Times New Roman"/>
          <w:szCs w:val="24"/>
        </w:rPr>
        <w:t xml:space="preserve">the </w:t>
      </w:r>
      <w:r>
        <w:rPr>
          <w:rFonts w:cs="Times New Roman"/>
          <w:szCs w:val="24"/>
        </w:rPr>
        <w:t xml:space="preserve">establishment of casinos and resorts in the homeland. After negotiations </w:t>
      </w:r>
      <w:r>
        <w:rPr>
          <w:rFonts w:cs="Times New Roman"/>
          <w:szCs w:val="24"/>
        </w:rPr>
        <w:lastRenderedPageBreak/>
        <w:t xml:space="preserve">between the government of Bophuthatswana and Southern Sun, a Casino Act for Bophuthatswana was drawn up based on existent casino acts in Swaziland, Lesotho and Botswana. A letter, with the draft of a Casino Act attached, was sent to Pretoria for consideration in 1972. The memorandum attached outlined the reasons for South Africa to approve the casino act, stating that Bophuthatswana as a tourist destination would be desirable for South Africa. Drawing on tenets of economic development, the parties stated the BNDC’s attainment of 50% stake in the casino would promote the bantustan’s financial independence from South Africa. The establishment of gambling centres in the homeland would generate income for the territory, limiting </w:t>
      </w:r>
      <w:r w:rsidR="00076909">
        <w:rPr>
          <w:rFonts w:cs="Times New Roman"/>
          <w:szCs w:val="24"/>
        </w:rPr>
        <w:t>its</w:t>
      </w:r>
      <w:r>
        <w:rPr>
          <w:rFonts w:cs="Times New Roman"/>
          <w:szCs w:val="24"/>
        </w:rPr>
        <w:t xml:space="preserve"> dependence on South Africa whilst further promoting Bophuthatswana’s status as sovereign.</w:t>
      </w:r>
      <w:r>
        <w:rPr>
          <w:rStyle w:val="FootnoteReference"/>
          <w:rFonts w:cs="Times New Roman"/>
          <w:szCs w:val="24"/>
        </w:rPr>
        <w:footnoteReference w:id="78"/>
      </w:r>
      <w:r>
        <w:rPr>
          <w:rFonts w:cs="Times New Roman"/>
          <w:szCs w:val="24"/>
        </w:rPr>
        <w:t xml:space="preserve"> Moreover, the adoption of different gambling laws for Bophuthatswana contributed to promoting the myth of the bantustan’s political independence from South Africa. Bophuthatswana’s aims mirrored South Africa’s – as Mangope wanted more than the mere illusion of independence from South Africa. The introduction of separate laws, international exposure of the territory and the potential income generated from gambling would further Mangope’s pursuit</w:t>
      </w:r>
      <w:r w:rsidR="00076909">
        <w:rPr>
          <w:rFonts w:cs="Times New Roman"/>
          <w:szCs w:val="24"/>
        </w:rPr>
        <w:t xml:space="preserve"> of independence</w:t>
      </w:r>
      <w:r>
        <w:rPr>
          <w:rFonts w:cs="Times New Roman"/>
          <w:szCs w:val="24"/>
        </w:rPr>
        <w:t xml:space="preserve">. </w:t>
      </w:r>
    </w:p>
    <w:p w14:paraId="59DCFC13" w14:textId="77777777" w:rsidR="00CD4878" w:rsidRDefault="00CD4878" w:rsidP="00CD4878">
      <w:pPr>
        <w:rPr>
          <w:rFonts w:cs="Times New Roman"/>
          <w:szCs w:val="24"/>
        </w:rPr>
      </w:pPr>
      <w:r>
        <w:rPr>
          <w:rFonts w:cs="Times New Roman"/>
          <w:szCs w:val="24"/>
        </w:rPr>
        <w:t>However, it was Southern Sun that ultimately benefitted the most from the arrangement. Kerzner ensured a monopoly in the homelands, establishing his hold on the southern African hospitality industry. With relationships secured with both</w:t>
      </w:r>
      <w:r w:rsidR="00E86F93">
        <w:rPr>
          <w:rFonts w:cs="Times New Roman"/>
          <w:szCs w:val="24"/>
        </w:rPr>
        <w:t xml:space="preserve"> the NP and the Bophuthatswana</w:t>
      </w:r>
      <w:r>
        <w:rPr>
          <w:rFonts w:cs="Times New Roman"/>
          <w:szCs w:val="24"/>
        </w:rPr>
        <w:t xml:space="preserve"> governments, he </w:t>
      </w:r>
      <w:r w:rsidR="00FC25A0">
        <w:rPr>
          <w:rFonts w:cs="Times New Roman"/>
          <w:szCs w:val="24"/>
        </w:rPr>
        <w:t>could</w:t>
      </w:r>
      <w:r>
        <w:rPr>
          <w:rFonts w:cs="Times New Roman"/>
          <w:szCs w:val="24"/>
        </w:rPr>
        <w:t xml:space="preserve"> develop a gambling empire in the homelands, without the threat of competition. Kerzner was honoured by the </w:t>
      </w:r>
      <w:r w:rsidR="00756A84">
        <w:rPr>
          <w:rFonts w:cs="Times New Roman"/>
          <w:szCs w:val="24"/>
        </w:rPr>
        <w:t>NP</w:t>
      </w:r>
      <w:r w:rsidR="00202C82">
        <w:rPr>
          <w:rFonts w:cs="Times New Roman"/>
          <w:szCs w:val="24"/>
        </w:rPr>
        <w:t xml:space="preserve"> government</w:t>
      </w:r>
      <w:r>
        <w:rPr>
          <w:rFonts w:cs="Times New Roman"/>
          <w:szCs w:val="24"/>
        </w:rPr>
        <w:t xml:space="preserve"> as one of South Africa’s premier entrepreneurs, further evidence of his close relationship with Pretoria. His relationship with Mangope has been well documented by the media. While on holiday in the United States, Kerzner even met up with Mangope’s son who was studying in Chicago, and relayed information back to Mangope regarding the progress of his son’s studies.</w:t>
      </w:r>
      <w:r>
        <w:rPr>
          <w:rStyle w:val="FootnoteReference"/>
          <w:rFonts w:cs="Times New Roman"/>
          <w:szCs w:val="24"/>
        </w:rPr>
        <w:footnoteReference w:id="79"/>
      </w:r>
      <w:r>
        <w:rPr>
          <w:rFonts w:cs="Times New Roman"/>
          <w:szCs w:val="24"/>
        </w:rPr>
        <w:t xml:space="preserve"> After the dissolution of the apartheid state, Kerzner was indicted on charges of corruption and bribery relating to Mangope, amongst other bantustan leaders.</w:t>
      </w:r>
      <w:r>
        <w:rPr>
          <w:rStyle w:val="FootnoteReference"/>
          <w:rFonts w:cs="Times New Roman"/>
          <w:szCs w:val="24"/>
        </w:rPr>
        <w:footnoteReference w:id="80"/>
      </w:r>
      <w:r>
        <w:rPr>
          <w:rFonts w:cs="Times New Roman"/>
          <w:szCs w:val="24"/>
        </w:rPr>
        <w:t xml:space="preserve"> A</w:t>
      </w:r>
      <w:r w:rsidR="00D4122A">
        <w:rPr>
          <w:rFonts w:cs="Times New Roman"/>
          <w:szCs w:val="24"/>
        </w:rPr>
        <w:t xml:space="preserve"> former</w:t>
      </w:r>
      <w:r>
        <w:rPr>
          <w:rFonts w:cs="Times New Roman"/>
          <w:szCs w:val="24"/>
        </w:rPr>
        <w:t xml:space="preserve"> member of the BNDC stated that the governments of South Africa and Bophuthatswana and Southern Sun together </w:t>
      </w:r>
      <w:r>
        <w:rPr>
          <w:rFonts w:cs="Times New Roman"/>
          <w:szCs w:val="24"/>
        </w:rPr>
        <w:lastRenderedPageBreak/>
        <w:t>formed a successful and mutually beneficial triangular relationship. Each party received benefits through the introduction of casinos into the Bophuthatswana homeland.</w:t>
      </w:r>
      <w:r>
        <w:rPr>
          <w:rStyle w:val="FootnoteReference"/>
          <w:rFonts w:cs="Times New Roman"/>
          <w:szCs w:val="24"/>
        </w:rPr>
        <w:footnoteReference w:id="81"/>
      </w:r>
      <w:bookmarkStart w:id="19" w:name="_Toc459702959"/>
    </w:p>
    <w:p w14:paraId="0DBF4B85" w14:textId="77777777" w:rsidR="00CD4878" w:rsidRPr="00CB1722" w:rsidRDefault="00FC25A0" w:rsidP="00CD4878">
      <w:pPr>
        <w:pStyle w:val="Heading2"/>
        <w:numPr>
          <w:ilvl w:val="0"/>
          <w:numId w:val="0"/>
        </w:numPr>
        <w:ind w:left="578" w:hanging="578"/>
        <w:rPr>
          <w:rFonts w:eastAsiaTheme="minorEastAsia" w:cs="Times New Roman"/>
          <w:color w:val="auto"/>
          <w:szCs w:val="24"/>
        </w:rPr>
      </w:pPr>
      <w:bookmarkStart w:id="20" w:name="_Toc488481704"/>
      <w:bookmarkEnd w:id="19"/>
      <w:r>
        <w:t>Tourism and the Ethno-Nationalist Project</w:t>
      </w:r>
      <w:bookmarkEnd w:id="20"/>
      <w:r>
        <w:t xml:space="preserve">  </w:t>
      </w:r>
    </w:p>
    <w:p w14:paraId="7EC0EA9B" w14:textId="77777777" w:rsidR="00CD4878" w:rsidRPr="00FA5A5B" w:rsidRDefault="00FA6A91" w:rsidP="00CD4878">
      <w:r>
        <w:t>During</w:t>
      </w:r>
      <w:r w:rsidR="00CD4878">
        <w:t xml:space="preserve"> the 1960s racially divided society, white South Africans, who yearned to escape</w:t>
      </w:r>
      <w:r w:rsidR="00D4122A">
        <w:t xml:space="preserve"> the</w:t>
      </w:r>
      <w:r w:rsidR="00CD4878">
        <w:t xml:space="preserve"> Calvinistic morals of the ruling party, discovered an integrated society across the border in independent Swaziland’s hotel resorts. In neighbouring Swaziland, they enjoyed uninhibited weekends and revelled in gambling and other prohibited behaviours. With the Swazi Spa, Casino and Holiday Inn a four-hour drive from the Gauteng metropolises on a dangerous road, it was not a convenient get-away. </w:t>
      </w:r>
      <w:r>
        <w:t>Kerzner</w:t>
      </w:r>
      <w:r w:rsidR="00CD4878">
        <w:t xml:space="preserve"> reworked this concept and applied it to the South African bantustan territories by taking advantage of the loopholes in the </w:t>
      </w:r>
      <w:r>
        <w:t>bantustan’s</w:t>
      </w:r>
      <w:r w:rsidR="00CD4878">
        <w:t xml:space="preserve"> legal systems. Kerzner’s offered the </w:t>
      </w:r>
      <w:r>
        <w:t>bantustan’s</w:t>
      </w:r>
      <w:r w:rsidR="00CD4878">
        <w:t xml:space="preserve"> governments with an opportunity to affirm their separate identity from South Africa by allowing gambling, pornography and inter-racial mingling within their borders. However, as an apartheid construct, the bantustans continued to be </w:t>
      </w:r>
      <w:r w:rsidR="00FE06B1" w:rsidRPr="00FE06B1">
        <w:t>dominated by white bureaucrats whose ideologies rested on segregationist principles and white superiority in South Africa</w:t>
      </w:r>
      <w:r w:rsidR="00FE06B1">
        <w:t>.</w:t>
      </w:r>
      <w:r w:rsidR="00CD4878">
        <w:rPr>
          <w:rStyle w:val="FootnoteReference"/>
        </w:rPr>
        <w:footnoteReference w:id="82"/>
      </w:r>
      <w:r w:rsidR="00CD4878" w:rsidRPr="00FA5A5B">
        <w:t xml:space="preserve"> </w:t>
      </w:r>
    </w:p>
    <w:p w14:paraId="49F52C7A" w14:textId="77777777" w:rsidR="00CD4878" w:rsidRDefault="00CD4878" w:rsidP="00CD4878">
      <w:pPr>
        <w:rPr>
          <w:color w:val="FF0000"/>
        </w:rPr>
      </w:pPr>
      <w:r w:rsidRPr="00FA5A5B">
        <w:t>Kerzner</w:t>
      </w:r>
      <w:r w:rsidR="00FC25A0">
        <w:t xml:space="preserve"> met with Mangope</w:t>
      </w:r>
      <w:r>
        <w:t xml:space="preserve"> </w:t>
      </w:r>
      <w:r w:rsidRPr="00FA5A5B">
        <w:t>and his cabinet to make a presentation for a hotel, man-made lake, golf course and mono-rail in the Bophuthatswana bushveld</w:t>
      </w:r>
      <w:r>
        <w:t xml:space="preserve"> in 1976</w:t>
      </w:r>
      <w:r w:rsidRPr="00FA5A5B">
        <w:t xml:space="preserve">. </w:t>
      </w:r>
      <w:r>
        <w:t>According to Kerzner,</w:t>
      </w:r>
      <w:r w:rsidRPr="00FA5A5B">
        <w:t xml:space="preserve"> Mangope and his people </w:t>
      </w:r>
      <w:r w:rsidR="000A67CB">
        <w:t>“</w:t>
      </w:r>
      <w:r w:rsidRPr="00FA5A5B">
        <w:t xml:space="preserve">were blown </w:t>
      </w:r>
      <w:r w:rsidR="000A67CB">
        <w:t>over”</w:t>
      </w:r>
      <w:r w:rsidRPr="00FA5A5B">
        <w:t xml:space="preserve"> and </w:t>
      </w:r>
      <w:r>
        <w:t xml:space="preserve">he </w:t>
      </w:r>
      <w:r w:rsidRPr="00FA5A5B">
        <w:t>attribute</w:t>
      </w:r>
      <w:r w:rsidR="00FC25A0">
        <w:t>d</w:t>
      </w:r>
      <w:r w:rsidRPr="00FA5A5B">
        <w:t xml:space="preserve"> the successful presentation and the impressive concept as the reason why </w:t>
      </w:r>
      <w:r>
        <w:t>Southern Sun</w:t>
      </w:r>
      <w:r w:rsidRPr="00FA5A5B">
        <w:t xml:space="preserve"> was awarded the casino concession. The investment was enormous for the time, totalling R35 million. Over the decades much has been said about Kerzner</w:t>
      </w:r>
      <w:r>
        <w:t xml:space="preserve"> and Mangope’s close relationship which is clouded with allegations of bribery and corruption (</w:t>
      </w:r>
      <w:r w:rsidR="006E44C2">
        <w:t xml:space="preserve">refer to </w:t>
      </w:r>
      <w:r w:rsidR="00FC25A0">
        <w:t>Chapter 5</w:t>
      </w:r>
      <w:r>
        <w:t>).</w:t>
      </w:r>
      <w:r w:rsidRPr="00FA5A5B">
        <w:rPr>
          <w:rStyle w:val="FootnoteReference"/>
        </w:rPr>
        <w:footnoteReference w:id="83"/>
      </w:r>
    </w:p>
    <w:p w14:paraId="5DB81B03" w14:textId="77777777" w:rsidR="00CD4878" w:rsidRDefault="00CD4878" w:rsidP="00CD4878">
      <w:r>
        <w:t xml:space="preserve">Southern Sun worked closely with the </w:t>
      </w:r>
      <w:r w:rsidR="00D4122A">
        <w:t>BNDC</w:t>
      </w:r>
      <w:r>
        <w:t xml:space="preserve"> to develop tourism within the bantustan. The BNDC assisted in the financing and establishment of a range of businesses, including factories and industry in the bantustan as well </w:t>
      </w:r>
      <w:r w:rsidR="00FE06B1">
        <w:t>aiming</w:t>
      </w:r>
      <w:r>
        <w:t xml:space="preserve"> to establish numerous tourist facilities. It was argued that the development of tourism would create infrastructure for the bantustan through the development of facilities such as hotels and conference centres as well as through the paving of roads, construction of telecommunications networks, improved water systems, the electrification of communities and houses and the building of schools, clinics and </w:t>
      </w:r>
      <w:r>
        <w:lastRenderedPageBreak/>
        <w:t>government buildings - all of which would help expand the job market. In May 1976, the Southern Sun hotel group demonstrated a keen interest to play a leading role in the development of the hotel industry in Bophuthatswana. An agreement was reached between the BNDC and Southern Sun to build hotel complexes in the areas that the BNDC was working on developing. A commercially beneficial relationship was thus established. Before this, little focus had been paid to the concept or development of tourism in the bantustan and Southern Sun argued to the BNDC that Bophuthatswana could become one of southern Africa’s most important tourist industries if it were planned and developed correctly.</w:t>
      </w:r>
      <w:r>
        <w:rPr>
          <w:rStyle w:val="FootnoteReference"/>
        </w:rPr>
        <w:footnoteReference w:id="84"/>
      </w:r>
    </w:p>
    <w:p w14:paraId="7AF121FF" w14:textId="77777777" w:rsidR="00CD4878" w:rsidRDefault="00CD4878" w:rsidP="00CD4878">
      <w:r>
        <w:t xml:space="preserve">A Southern Sun document dated 1976 and titled </w:t>
      </w:r>
      <w:r w:rsidRPr="000A67CB">
        <w:rPr>
          <w:i/>
        </w:rPr>
        <w:t>Touris</w:t>
      </w:r>
      <w:r w:rsidR="000A67CB" w:rsidRPr="000A67CB">
        <w:rPr>
          <w:i/>
        </w:rPr>
        <w:t>m Development in Bophuthatswana</w:t>
      </w:r>
      <w:r w:rsidR="00D4122A">
        <w:t>,</w:t>
      </w:r>
      <w:r w:rsidR="00FC25A0">
        <w:t xml:space="preserve"> found at the North-</w:t>
      </w:r>
      <w:r>
        <w:t>West Provincial Archives in Mafikeng, was presented to promote the concept of a Bophuthatswana tourism industry to Lucas Mangope and his government. Southern Sun explicitly tried to align its proposal for Bophuthatswana’s tourist developm</w:t>
      </w:r>
      <w:r w:rsidR="000A67CB">
        <w:t>ent with Mangope’s ideals of a “Tswana nation”</w:t>
      </w:r>
      <w:r>
        <w:t>. P.S. Jones argues that Mangope created a nation and a national identity based on a created historical narrative. The Bophuthatswana bantustan was created by the NP and Lucas Mangope created a national identity to align with his pseudo-state.</w:t>
      </w:r>
      <w:r>
        <w:rPr>
          <w:rStyle w:val="FootnoteReference"/>
        </w:rPr>
        <w:footnoteReference w:id="85"/>
      </w:r>
      <w:r>
        <w:t xml:space="preserve"> </w:t>
      </w:r>
    </w:p>
    <w:p w14:paraId="0FB220A9" w14:textId="77777777" w:rsidR="00CD4878" w:rsidRDefault="00CD4878" w:rsidP="00CD4878">
      <w:pPr>
        <w:pStyle w:val="Subtitle"/>
      </w:pPr>
      <w:r>
        <w:t>The Bophuthatswana state was particularly determined to gain recognition and access to their international community of nation-states and, to that end, pursued policies which it considered commensurate with international 'norms'. Mangope's attempts to rejuvenate tr</w:t>
      </w:r>
      <w:r w:rsidR="000C57FE">
        <w:t>aditional structures and mobilis</w:t>
      </w:r>
      <w:r>
        <w:t>e ethnic identity were contradicted</w:t>
      </w:r>
      <w:r w:rsidR="000C57FE">
        <w:t xml:space="preserve"> by the impetus towards modernis</w:t>
      </w:r>
      <w:r>
        <w:t>ation and its implicit emphasis that Batswana culture should be modified, adapted, updated.</w:t>
      </w:r>
      <w:r>
        <w:rPr>
          <w:rStyle w:val="FootnoteReference"/>
        </w:rPr>
        <w:footnoteReference w:id="86"/>
      </w:r>
    </w:p>
    <w:p w14:paraId="3F9BB1F6" w14:textId="686E8772" w:rsidR="00CD4878" w:rsidRPr="00277221" w:rsidRDefault="00CD4878" w:rsidP="00CD4878">
      <w:r>
        <w:t xml:space="preserve">Research by Lawrence and Manson demonstrates that the notion of a </w:t>
      </w:r>
      <w:r w:rsidR="000A67CB">
        <w:t>“Tswana nation”</w:t>
      </w:r>
      <w:r w:rsidR="00096A45">
        <w:t xml:space="preserve"> </w:t>
      </w:r>
      <w:r>
        <w:t>is problematic and stems from colonialism and the introduction of imagined and false ethnic groupings. It was from this false idea that the Bophuthatswana homeland was built.</w:t>
      </w:r>
      <w:r w:rsidRPr="005C1E9E">
        <w:rPr>
          <w:rStyle w:val="FootnoteReference"/>
        </w:rPr>
        <w:t xml:space="preserve"> </w:t>
      </w:r>
      <w:r>
        <w:rPr>
          <w:rStyle w:val="FootnoteReference"/>
        </w:rPr>
        <w:footnoteReference w:id="87"/>
      </w:r>
      <w:r>
        <w:t xml:space="preserve"> </w:t>
      </w:r>
    </w:p>
    <w:p w14:paraId="5306F78B" w14:textId="77777777" w:rsidR="00CD4878" w:rsidRDefault="00CD4878" w:rsidP="00CD4878">
      <w:r>
        <w:t xml:space="preserve">The document by Southern Sun sketched the notion of </w:t>
      </w:r>
      <w:r w:rsidR="000A67CB">
        <w:t>“Tswana nation</w:t>
      </w:r>
      <w:r>
        <w:t>alism</w:t>
      </w:r>
      <w:r w:rsidR="000A67CB">
        <w:t>”</w:t>
      </w:r>
      <w:r>
        <w:t xml:space="preserve"> and the attempt</w:t>
      </w:r>
      <w:r w:rsidR="000A67CB">
        <w:t>s to build a homogenous “nation”</w:t>
      </w:r>
      <w:r>
        <w:t xml:space="preserve"> by drawing on tenets of Bophuthatswana’s ethno-nationalist project. The project proposal carefully outlined the benefits of tourism to the developing bantustan and linked these with Mangope’s desires for int</w:t>
      </w:r>
      <w:r w:rsidR="000C57FE">
        <w:t xml:space="preserve">ernational exposure and </w:t>
      </w:r>
      <w:r w:rsidR="000C57FE">
        <w:lastRenderedPageBreak/>
        <w:t>modernis</w:t>
      </w:r>
      <w:r>
        <w:t>ation.</w:t>
      </w:r>
      <w:r>
        <w:rPr>
          <w:rStyle w:val="FootnoteReference"/>
        </w:rPr>
        <w:footnoteReference w:id="88"/>
      </w:r>
      <w:r>
        <w:t xml:space="preserve"> Southern Sun argued that tourism serves as a major stimulus for bringing people of different heritage, background, race, experience, language and culture together. They further argued that the development of a tourism infrastructure and its related attractions within </w:t>
      </w:r>
      <w:r w:rsidR="000A67CB">
        <w:t>Bophuthatswana would encourage “Tswanas”</w:t>
      </w:r>
      <w:r>
        <w:t xml:space="preserve"> to move within and through their country, resulting in communication and exposure to different ideas and areas. It was noted that specific attractions would be developed to encourage people to learn about Bophuthatswana’s heritage, culture and traditions. Tourism would draw residents from other countries, not just South Africa, to the ba</w:t>
      </w:r>
      <w:r w:rsidR="000A67CB">
        <w:t>ntustan, where they would meet “Tswanas” and learn about the “nation”</w:t>
      </w:r>
      <w:r>
        <w:t xml:space="preserve"> and its people. The Southern Sun hotel group argued that this would not only broaden the minds of the people of Bophuthatswana but also of the visiting tourists, resulting i</w:t>
      </w:r>
      <w:r w:rsidR="000C57FE">
        <w:t>n a change of attitude. Modernis</w:t>
      </w:r>
      <w:r>
        <w:t xml:space="preserve">ation through the building of infrastructure and the addition of lavish casinos, hotels and resorts throughout Bophuthatswana, which in turn would promote the idea of a </w:t>
      </w:r>
      <w:r w:rsidR="000A67CB">
        <w:t xml:space="preserve">“Tswana nation” </w:t>
      </w:r>
      <w:r>
        <w:t>locally and internationally and help Bophuthatswana achieve international recognition, was at the heart of the pitch.</w:t>
      </w:r>
      <w:r>
        <w:rPr>
          <w:rStyle w:val="FootnoteReference"/>
        </w:rPr>
        <w:footnoteReference w:id="89"/>
      </w:r>
    </w:p>
    <w:p w14:paraId="4D536CC8" w14:textId="77777777" w:rsidR="00CD4878" w:rsidRDefault="00CD4878" w:rsidP="00CD4878">
      <w:r>
        <w:t>Economically, the hotel group argued, there were many benefits to be reaped.</w:t>
      </w:r>
      <w:r w:rsidRPr="00EC6A36">
        <w:t xml:space="preserve"> </w:t>
      </w:r>
      <w:r>
        <w:t xml:space="preserve">Tourism is considered to have potential to be one of the largest sectors of industry in an economy, </w:t>
      </w:r>
      <w:r w:rsidR="00AD04CC" w:rsidRPr="00AD04CC">
        <w:t>with trade generating foreign exchange</w:t>
      </w:r>
      <w:r>
        <w:t xml:space="preserve">. In 1975, the South African tourist industry earned R275 million in foreign currency. A successful tourism industry will ensure that tourist foreign currency is spent within that country. In their estimates for the tourism industry in Bophuthatswana, Southern Sun suggested that </w:t>
      </w:r>
      <w:r w:rsidR="00FC25A0">
        <w:t xml:space="preserve">every new hotel bedroom, of a </w:t>
      </w:r>
      <w:r w:rsidR="000B251E">
        <w:t>four</w:t>
      </w:r>
      <w:r w:rsidR="00FC25A0">
        <w:t>-</w:t>
      </w:r>
      <w:r>
        <w:t>star stan</w:t>
      </w:r>
      <w:r w:rsidR="000B251E">
        <w:t>dard, was expected to generate one</w:t>
      </w:r>
      <w:r>
        <w:t xml:space="preserve"> and a half new jobs within th</w:t>
      </w:r>
      <w:r w:rsidR="000B251E">
        <w:t>e hotel industry, with another one</w:t>
      </w:r>
      <w:r>
        <w:t xml:space="preserve"> and a half new jobs created in ancillary industries. Therefore, a hotel with 200 rooms was expected to garner 600 new employment opportunities. Along with job creation was large scale training in technical, managerial and social skills as well as employment benefits such as pension schemes, medical aid and unemployment insurance for many who did not have access to these structures before.  Southern Sun urged that creation of new employment opportunities would have </w:t>
      </w:r>
      <w:r w:rsidR="00FC25A0">
        <w:t>several</w:t>
      </w:r>
      <w:r>
        <w:t xml:space="preserve"> socio-economic benefits for Bophuthatswana. With the creation of several thousand new jobs, there would be a meaningful increase in the economic activity of Bophuthatswana. A total of 4 200 hotel rooms was expected to be built, </w:t>
      </w:r>
      <w:r>
        <w:lastRenderedPageBreak/>
        <w:t>with the estimated 1 and a half new jobs per room, Southern Sun calculated that the tourism industry across Bophuthatswana would create 6 300 new employment opportunities.</w:t>
      </w:r>
      <w:r>
        <w:rPr>
          <w:rStyle w:val="FootnoteReference"/>
        </w:rPr>
        <w:footnoteReference w:id="90"/>
      </w:r>
    </w:p>
    <w:p w14:paraId="148113F8" w14:textId="77777777" w:rsidR="000B77F5" w:rsidRDefault="00CD4878" w:rsidP="00CD4878">
      <w:r>
        <w:t>However, Bophuthatswana did not possess the natural attraction</w:t>
      </w:r>
      <w:r w:rsidR="00D4122A">
        <w:t>s, beaches and scenic magnetism</w:t>
      </w:r>
      <w:r>
        <w:t xml:space="preserve"> of other southern African territories, instead it had rugged and often arid bushveld with mountainous kopjes. Despite this, Southern Sun felt that it had sufficient potential to develop an independent and exciting tourist industry given its unique characteristics. The company felt that given their abilities and proven track record, they could pioneer a tourist industry in Bophuthatswana than would eventually dominate southern Africa. Their first point of departure was in 1976 to create a hotel, with approximately 100 rooms, within the new capital city, Mmabatho. The next step was to draw up a feasibility study to investigate the construction of a deluxe resort and casino hotel complex close to Rustenburg. </w:t>
      </w:r>
    </w:p>
    <w:p w14:paraId="36E7C65E" w14:textId="77777777" w:rsidR="000B77F5" w:rsidRDefault="000B77F5" w:rsidP="000B77F5">
      <w:pPr>
        <w:pStyle w:val="Heading2"/>
        <w:numPr>
          <w:ilvl w:val="0"/>
          <w:numId w:val="0"/>
        </w:numPr>
        <w:ind w:left="578" w:hanging="578"/>
      </w:pPr>
      <w:bookmarkStart w:id="21" w:name="_Toc488481705"/>
      <w:r>
        <w:t>Bantustan’s and Bribery</w:t>
      </w:r>
      <w:bookmarkEnd w:id="21"/>
      <w:r>
        <w:t xml:space="preserve"> </w:t>
      </w:r>
    </w:p>
    <w:p w14:paraId="74B1E39B" w14:textId="77777777" w:rsidR="00CD4878" w:rsidRDefault="00CD4878" w:rsidP="00CD4878">
      <w:r>
        <w:t>According to a legal document between Southern Sun and the Bophuthatswana government, Southern Sun would only commence with this operation if exclusive rights were given to them to operate casinos in Bophuthatswana. These rights were granted from 13 December 1976, initially for a ten-year period. The hotel group also retained the right to renew the licence first, before another company was offered the option. In return, Kerzner signed a document which prohibited him from operating casinos in other bantustans before independence was granted to them. If Kerzner wished to construct a hotel in another bantustan, permission from the Bophuthatswana government needed to be obtained first. Southern Sun also ensured that the company would be taxed in accordance with any other company operating in the bantustan, this included taxation on the casino profits.</w:t>
      </w:r>
      <w:r>
        <w:rPr>
          <w:rStyle w:val="FootnoteReference"/>
        </w:rPr>
        <w:footnoteReference w:id="91"/>
      </w:r>
      <w:r>
        <w:t xml:space="preserve"> </w:t>
      </w:r>
    </w:p>
    <w:p w14:paraId="67759AE1" w14:textId="04F0D6C6" w:rsidR="00CD4878" w:rsidRDefault="00CD4878" w:rsidP="00CD4878">
      <w:r>
        <w:t>During the period of Sun International’s operations in Bophuthatswana there was a variety of taxation laws implemented to suit Kerzner’s benefits. The governm</w:t>
      </w:r>
      <w:r w:rsidR="00D4122A">
        <w:t>ent of Bophuthatswana and the B</w:t>
      </w:r>
      <w:r>
        <w:t>NDC encouraged the growth of tourism through a tax concession for new hotels and tax allowances for overseas marketing expenditure to encourage private investment in tourism.</w:t>
      </w:r>
      <w:r>
        <w:rPr>
          <w:rStyle w:val="FootnoteReference"/>
        </w:rPr>
        <w:footnoteReference w:id="92"/>
      </w:r>
      <w:r>
        <w:t xml:space="preserve"> In 1984, Leslie Young, Finance Minister for Bophuthatswana, agreed that any investment by Sun International (Bophuthatswana) Ltd. that marketed apartheid South Africa </w:t>
      </w:r>
      <w:r>
        <w:lastRenderedPageBreak/>
        <w:t xml:space="preserve">internationally would be tax deductible in Bophuthatswana. In 1987, Young agreed that entertainers who earned more than R26 000 per annum were required to pay 50% tax to the Bophuthatswana government, whilst 90% of taxation collected from entertainment workers in Bophuthatswana would be payable to Sun International (Bophuthatswana) Ltd. This practice was highly exploitive as it taxed Sun City employees at a high rate and then gave that money back to the resort. This provided Southern Sun with a financial incentive to operate in Bophuthatswana and annulled any financial and taxation benefits the casino would have provided the bantustan. </w:t>
      </w:r>
      <w:r w:rsidR="00D4122A">
        <w:t>The</w:t>
      </w:r>
      <w:r>
        <w:t xml:space="preserve"> depreciative tax allowance on business equipment in Bophuthatswana was above standard in comparison to South Africa</w:t>
      </w:r>
      <w:r w:rsidR="00D4122A">
        <w:t xml:space="preserve"> and</w:t>
      </w:r>
      <w:r>
        <w:t xml:space="preserve"> the allowances allocated to Sun International (Bop) were abundant. These included allowances for investments, buildings, grading and investments on the cost of constructions. All this meant that Sun International paid virtually no tax. </w:t>
      </w:r>
    </w:p>
    <w:p w14:paraId="25C3A765" w14:textId="77777777" w:rsidR="00CD4878" w:rsidRPr="00DB5D4A" w:rsidRDefault="00CD4878" w:rsidP="00CD4878">
      <w:r>
        <w:t>Kerzner used Sun International (Bophuthatswana) Ltd. to establish a corporation known as Sun International Management (SIM) in 1985. This company paid Kerzner and his associates a management fee through a Bermuda tax haven. Yo</w:t>
      </w:r>
      <w:r w:rsidR="000C57FE">
        <w:t>ung has since alleged that Kerzn</w:t>
      </w:r>
      <w:r>
        <w:t xml:space="preserve">er and associates siphoned </w:t>
      </w:r>
      <w:r w:rsidR="00FA6A91">
        <w:t>more than</w:t>
      </w:r>
      <w:r>
        <w:t xml:space="preserve"> R50 million per year (approximately R300 million today) through the payment of double fees. It has not been established whether this was done in contravention of the Reserve Bank and the Exchange Control Regulations.</w:t>
      </w:r>
      <w:r>
        <w:rPr>
          <w:rStyle w:val="FootnoteReference"/>
        </w:rPr>
        <w:footnoteReference w:id="93"/>
      </w:r>
    </w:p>
    <w:p w14:paraId="5DF9989E" w14:textId="77777777" w:rsidR="00CD4878" w:rsidRDefault="00CD4878" w:rsidP="00CD4878">
      <w:r>
        <w:t xml:space="preserve">Throughout the world, wherever a casino is in operation, the gambling industry is presumed to contribute </w:t>
      </w:r>
      <w:r w:rsidRPr="00331135">
        <w:t xml:space="preserve">economically to the area in which it operates. These economic </w:t>
      </w:r>
      <w:r w:rsidR="00331135" w:rsidRPr="00331135">
        <w:t>remunerations</w:t>
      </w:r>
      <w:r w:rsidRPr="00331135">
        <w:t xml:space="preserve"> range from incurring taxation above the accepted corporate rates, the growth of tourism, funding charitable causes and, in some</w:t>
      </w:r>
      <w:r w:rsidR="005E6435">
        <w:t xml:space="preserve"> </w:t>
      </w:r>
      <w:r w:rsidRPr="00331135">
        <w:t>cases, bribery. According to Peter Collins, director of the South Africa</w:t>
      </w:r>
      <w:r w:rsidR="00331135">
        <w:t>n Responsible Gambling Foundation</w:t>
      </w:r>
      <w:r w:rsidRPr="00331135">
        <w:t xml:space="preserve">, government regulation impacts on casino profitability in </w:t>
      </w:r>
      <w:r w:rsidR="005B165E" w:rsidRPr="00331135">
        <w:t>a number of ways</w:t>
      </w:r>
      <w:r w:rsidRPr="00331135">
        <w:t xml:space="preserve">. </w:t>
      </w:r>
      <w:r w:rsidR="005B165E" w:rsidRPr="00331135">
        <w:t>Governments</w:t>
      </w:r>
      <w:r w:rsidRPr="00331135">
        <w:t xml:space="preserve"> impose strict regulations to </w:t>
      </w:r>
      <w:r w:rsidR="005B165E" w:rsidRPr="00331135">
        <w:t>limit</w:t>
      </w:r>
      <w:r w:rsidRPr="00331135">
        <w:t xml:space="preserve"> market </w:t>
      </w:r>
      <w:r w:rsidR="00FA6A91" w:rsidRPr="00331135">
        <w:t>size</w:t>
      </w:r>
      <w:r w:rsidRPr="00331135">
        <w:t xml:space="preserve"> </w:t>
      </w:r>
      <w:r w:rsidR="005B165E" w:rsidRPr="00331135">
        <w:t xml:space="preserve">and </w:t>
      </w:r>
      <w:r w:rsidRPr="00331135">
        <w:t xml:space="preserve">deflate potential </w:t>
      </w:r>
      <w:r w:rsidR="005B165E" w:rsidRPr="00331135">
        <w:t xml:space="preserve">casino </w:t>
      </w:r>
      <w:r w:rsidRPr="00331135">
        <w:t xml:space="preserve">profits and then heavily tax those profits. </w:t>
      </w:r>
      <w:r w:rsidR="005B165E" w:rsidRPr="00331135">
        <w:t>The main motivator to regulate gambling is the control of the national gambling problem.</w:t>
      </w:r>
      <w:r w:rsidRPr="005E6435">
        <w:rPr>
          <w:rStyle w:val="FootnoteReference"/>
        </w:rPr>
        <w:footnoteReference w:id="94"/>
      </w:r>
      <w:r w:rsidRPr="005E6435">
        <w:rPr>
          <w:vertAlign w:val="superscript"/>
        </w:rPr>
        <w:t xml:space="preserve"> </w:t>
      </w:r>
    </w:p>
    <w:p w14:paraId="4B60D7D0" w14:textId="77777777" w:rsidR="00CD4878" w:rsidRDefault="00CD4878" w:rsidP="00CD4878">
      <w:r>
        <w:t xml:space="preserve">In the case of Southern Sun, the apartheid government sought to eliminate gambling in South Africa but could not control the number of casinos in the bantustans due to the introduction of  </w:t>
      </w:r>
      <w:r w:rsidRPr="007A70F5">
        <w:t xml:space="preserve"> </w:t>
      </w:r>
      <w:r>
        <w:t xml:space="preserve">Bantu Homelands Constitution Act, No. 21 of 1971, which allowed for self-governance of the bantustans. </w:t>
      </w:r>
      <w:r w:rsidR="009C4CF0">
        <w:t>Bophuthatswana</w:t>
      </w:r>
      <w:r>
        <w:t xml:space="preserve"> were entitled to formulate </w:t>
      </w:r>
      <w:r w:rsidR="009C4CF0">
        <w:t xml:space="preserve">its </w:t>
      </w:r>
      <w:r>
        <w:t xml:space="preserve">own laws and regulations, and </w:t>
      </w:r>
      <w:r>
        <w:lastRenderedPageBreak/>
        <w:t xml:space="preserve">opted to legalise gambling within its borders. This is more evident through the contractual agreement between Bophuthatswana and Southern Sun, which prohibited Kerzner from establishing casinos, both in Bophuthatswana and other homelands, without Mangope’s approval. Leaders like Mangope had no desire to restrict gambling or the casino market </w:t>
      </w:r>
      <w:r w:rsidR="00D4122A">
        <w:t>size</w:t>
      </w:r>
      <w:r>
        <w:t>, as he was reliant on the taxes generated from Sun City (despite the reduced taxation that Sun City paid).</w:t>
      </w:r>
      <w:r w:rsidR="009C4CF0">
        <w:t xml:space="preserve"> Further, as majority of the Sun City’s gambling clientele came from outside Bophuthatswana borders, </w:t>
      </w:r>
      <w:r w:rsidR="00536882">
        <w:t>Mangope had no obligation to be concerned about the harmful effects of gambling. Additionally, t</w:t>
      </w:r>
      <w:r>
        <w:t xml:space="preserve">he luxury and affluent facilities at Sun City reflected well on the homeland territory and aided in garnering international recognition. Mangope hoped that through the international marketing of the resort, the bantustan would earn status as a sovereign nation. This did not materialise.  </w:t>
      </w:r>
    </w:p>
    <w:p w14:paraId="5D442E69" w14:textId="77777777" w:rsidR="000B77F5" w:rsidRDefault="000B77F5" w:rsidP="000B77F5">
      <w:pPr>
        <w:pStyle w:val="Heading2"/>
        <w:numPr>
          <w:ilvl w:val="0"/>
          <w:numId w:val="0"/>
        </w:numPr>
        <w:ind w:left="578" w:hanging="578"/>
      </w:pPr>
      <w:bookmarkStart w:id="22" w:name="_Toc488481706"/>
      <w:r>
        <w:t xml:space="preserve">Creating a </w:t>
      </w:r>
      <w:r w:rsidR="000C462B">
        <w:t>T</w:t>
      </w:r>
      <w:r w:rsidR="000A67CB">
        <w:t>ourist “</w:t>
      </w:r>
      <w:r w:rsidR="000C462B">
        <w:t>M</w:t>
      </w:r>
      <w:r>
        <w:t>ecca</w:t>
      </w:r>
      <w:r w:rsidR="000A67CB">
        <w:t>”</w:t>
      </w:r>
      <w:bookmarkEnd w:id="22"/>
    </w:p>
    <w:p w14:paraId="1BB568E9" w14:textId="77777777" w:rsidR="00CD4878" w:rsidRDefault="00CD4878" w:rsidP="00CD4878">
      <w:r>
        <w:t>Kerzner was very specific about the quality and types of services the deluxe hotel and resort would offer and require. They aimed to provide a tourist attraction within a short distance from the Transvaal metropolitan areas, which could be driven to on good roads. The hotel complex needed to readily provide food, liquor and other supplies on a regular basis. The cost of land, construction and utilities needed to be reasonable and with a readily available source of labour. An area that can hold game was considered a benefit in facilitating the development of attractions and proximity to water, in any form of a river or dam, was required for the development of attractions.</w:t>
      </w:r>
      <w:r>
        <w:rPr>
          <w:rStyle w:val="FootnoteReference"/>
        </w:rPr>
        <w:footnoteReference w:id="95"/>
      </w:r>
      <w:r>
        <w:t xml:space="preserve"> </w:t>
      </w:r>
    </w:p>
    <w:p w14:paraId="1986624D" w14:textId="77777777" w:rsidR="00CD4878" w:rsidRDefault="00CD4878" w:rsidP="00CD4878">
      <w:r>
        <w:t xml:space="preserve">In the mind of Sol Kerzner, the hotels themselves had to be based on exciting architectural concepts, for the style of a hotel and the mystique about it can have a direct impact on its success. Clive Chipkin observes that the with the imagination, drive and total disdain for history that Kerzner possessed, he could take advantage of the puzzling idiosyncrasies of the apartheid state and transform the bare bushveld into a casino paradise. Sun City reworked history and “[fabricated pieces of exotica] on an unprecedented scale for foreign tourists, jaded businessmen, rich farmers, Killarney widows and lonely socialites.” </w:t>
      </w:r>
      <w:r>
        <w:rPr>
          <w:rStyle w:val="FootnoteReference"/>
        </w:rPr>
        <w:footnoteReference w:id="96"/>
      </w:r>
    </w:p>
    <w:p w14:paraId="5375EB87" w14:textId="77777777" w:rsidR="000B77F5" w:rsidRDefault="00CD4878" w:rsidP="00CD4878">
      <w:r>
        <w:t xml:space="preserve">The attractions needed to be of a high quality to meet international standards, for no amount of marketing would prove meaningful if the charms were not as good, if not better, then what </w:t>
      </w:r>
      <w:r>
        <w:lastRenderedPageBreak/>
        <w:t xml:space="preserve">South Africa </w:t>
      </w:r>
      <w:r w:rsidR="000A67CB">
        <w:t>had to offer. The concept of a “tourist town”</w:t>
      </w:r>
      <w:r>
        <w:t xml:space="preserve"> was proposed, in which everything a tourist could need would be in one</w:t>
      </w:r>
      <w:r w:rsidR="000A67CB">
        <w:t xml:space="preserve"> central location, a “</w:t>
      </w:r>
      <w:r w:rsidR="000B77F5">
        <w:t>tourist me</w:t>
      </w:r>
      <w:r w:rsidR="000A67CB">
        <w:t>cca”</w:t>
      </w:r>
      <w:r>
        <w:t xml:space="preserve">. </w:t>
      </w:r>
    </w:p>
    <w:p w14:paraId="6DD985CA" w14:textId="77777777" w:rsidR="00CD4878" w:rsidRDefault="00CD4878" w:rsidP="00CD4878">
      <w:r>
        <w:t>Initially, Southern Sun believed the development of tourist areas in Bophuthatswana should be centred on two main themes. The first theme cen</w:t>
      </w:r>
      <w:r w:rsidR="000A67CB">
        <w:t>tred on Bophuthatswana and the “Tswana people”</w:t>
      </w:r>
      <w:r>
        <w:t>, drawing on the ideology of Tswana ethnic nationalism. Tourists would</w:t>
      </w:r>
      <w:r w:rsidR="000A67CB">
        <w:t xml:space="preserve"> be encouraged to have the full “Tswana experience”</w:t>
      </w:r>
      <w:r>
        <w:t xml:space="preserve"> from arts, culture, and history to customs. Given the limited natural attractions of the bantustan, the difference between Bophuthatswana and other African destinations was to going to be its people. Tourists would be given the opportunity to meet and get to know the people of Bophuthatswana, see where the trinkets and souvenirs they bought were made and learn first-hand about the country they had come to visit. Towards this end, Southern Sun proposed a Tswana historical museum and a Tswana living village</w:t>
      </w:r>
      <w:r w:rsidR="00396630">
        <w:t xml:space="preserve"> (a tourist village)</w:t>
      </w:r>
      <w:r>
        <w:t xml:space="preserve">. The second theme focused on entertainment, advocating for the largest entertainment complex in southern Africa, drawing inspiration from metropolises such as Las Vegas. The proposed entertainment complex would include a host of sport facilities from conventional ball sports to horse riding and water sports as well as an elaborate children’s playhouse, as the success of a parent’s holidays </w:t>
      </w:r>
      <w:r w:rsidR="000B77F5">
        <w:t>was</w:t>
      </w:r>
      <w:r>
        <w:t xml:space="preserve"> dependent on that of their children. A cinema was to be built with a more liberal approach than South Africa’s screening policy, which was heavily censored, allowing adults to watch what t</w:t>
      </w:r>
      <w:r w:rsidR="00AA0B14">
        <w:t>hey desired. Each hotel in the tourist town</w:t>
      </w:r>
      <w:r>
        <w:t xml:space="preserve"> was to have their own </w:t>
      </w:r>
      <w:r w:rsidRPr="00CB2C05">
        <w:rPr>
          <w:i/>
        </w:rPr>
        <w:t xml:space="preserve">a la carte </w:t>
      </w:r>
      <w:r w:rsidRPr="00CB2C05">
        <w:t>restaurant</w:t>
      </w:r>
      <w:r w:rsidRPr="00CB2C05">
        <w:rPr>
          <w:i/>
        </w:rPr>
        <w:t xml:space="preserve"> </w:t>
      </w:r>
      <w:r>
        <w:t>and bar with a unique theme and character.</w:t>
      </w:r>
      <w:r>
        <w:rPr>
          <w:rStyle w:val="FootnoteReference"/>
        </w:rPr>
        <w:footnoteReference w:id="97"/>
      </w:r>
      <w:r>
        <w:t xml:space="preserve">  </w:t>
      </w:r>
    </w:p>
    <w:p w14:paraId="4CEE77DD" w14:textId="77777777" w:rsidR="00CD4878" w:rsidRDefault="00CD4878" w:rsidP="00CD4878">
      <w:r>
        <w:t>It was Southern Sun’s opinion that to maximise the tourist potential of Bophuthatswana the tourist centres would have to be heavily concentrated in a few selected areas, as opposed to scattered sparsely throughout the bantustan.</w:t>
      </w:r>
      <w:r>
        <w:rPr>
          <w:rStyle w:val="FootnoteReference"/>
        </w:rPr>
        <w:footnoteReference w:id="98"/>
      </w:r>
      <w:r>
        <w:t xml:space="preserve"> This is where the development of the Pilanesberg National Park would become essential. </w:t>
      </w:r>
      <w:r w:rsidR="000B77F5">
        <w:t>Thus</w:t>
      </w:r>
      <w:r>
        <w:t xml:space="preserve">, determining </w:t>
      </w:r>
      <w:r w:rsidRPr="004A56C4">
        <w:t xml:space="preserve">the </w:t>
      </w:r>
      <w:r>
        <w:t xml:space="preserve">site where Sun City was to be built was not an easy task. A childhood friend of Sol Kerzner and </w:t>
      </w:r>
      <w:r w:rsidR="00D4122A">
        <w:t>prominent businessman who wishes</w:t>
      </w:r>
      <w:r>
        <w:t xml:space="preserve"> to remain anonymous recalls how he accompanied Kerzner on several occasions as he flew in a helicopter over the Bophuthatswana bushveld, looking for the perfect site to establish his </w:t>
      </w:r>
      <w:r w:rsidRPr="00CB2C05">
        <w:rPr>
          <w:i/>
        </w:rPr>
        <w:t>letsatsing</w:t>
      </w:r>
      <w:r>
        <w:t xml:space="preserve">, </w:t>
      </w:r>
      <w:r w:rsidR="00D4122A">
        <w:t xml:space="preserve">a </w:t>
      </w:r>
      <w:r>
        <w:t>place in the sun.</w:t>
      </w:r>
      <w:r>
        <w:rPr>
          <w:rStyle w:val="FootnoteReference"/>
        </w:rPr>
        <w:footnoteReference w:id="99"/>
      </w:r>
      <w:r>
        <w:t xml:space="preserve"> In late 1977, Kerzner flew over Houwaterdam in a helicopter, landing near the Pilanesberg mountains, and found the perfect </w:t>
      </w:r>
      <w:r>
        <w:lastRenderedPageBreak/>
        <w:t>location for his project.</w:t>
      </w:r>
      <w:r w:rsidRPr="004A56C4">
        <w:rPr>
          <w:rStyle w:val="FootnoteReference"/>
        </w:rPr>
        <w:footnoteReference w:id="100"/>
      </w:r>
      <w:r w:rsidRPr="004A56C4">
        <w:t xml:space="preserve"> </w:t>
      </w:r>
      <w:r>
        <w:t xml:space="preserve">During the process of establishing what would become Sun City, the source and Kerzner developed a good relationship with Mangope. It was together with Mangope that Kerzner settled on the farm Doornhoek, located in the Pilanesberg </w:t>
      </w:r>
      <w:r w:rsidR="000B77F5">
        <w:t>mountains</w:t>
      </w:r>
      <w:r>
        <w:t>.</w:t>
      </w:r>
      <w:r>
        <w:rPr>
          <w:rStyle w:val="FootnoteReference"/>
        </w:rPr>
        <w:footnoteReference w:id="101"/>
      </w:r>
    </w:p>
    <w:p w14:paraId="73793F42" w14:textId="77777777" w:rsidR="00CD4878" w:rsidRDefault="00CD4878" w:rsidP="00CD4878">
      <w:r>
        <w:t xml:space="preserve">Legal agreements and correspondence between Southern Sun and Bophuthatswana found </w:t>
      </w:r>
      <w:r w:rsidR="00D4122A">
        <w:t>in</w:t>
      </w:r>
      <w:r>
        <w:t xml:space="preserve"> the archives in Mafikeng provide a timeline of the establishment and construction of the Sun City resort and casino. Bophuthatswana was one of the most favourable places to operate a business during the 1980s </w:t>
      </w:r>
      <w:r w:rsidR="000B251E" w:rsidRPr="000B251E">
        <w:t>as Mangope’s government welcomed foreign investment</w:t>
      </w:r>
      <w:r>
        <w:t>. There was an uncomplicated set of laws to abide by and the homeland was easily accessible from the economic hub of the Transvaal. The role that the BNDC played in facilitating this status of Bophuthatswana was essential. The corporation would smooth over any business deal, especially industrial developments in the bantusta</w:t>
      </w:r>
      <w:r w:rsidR="000C57FE">
        <w:t>n, and help newcomers familiaris</w:t>
      </w:r>
      <w:r>
        <w:t>e with the rules and regulations.</w:t>
      </w:r>
      <w:r>
        <w:rPr>
          <w:rStyle w:val="FootnoteReference"/>
        </w:rPr>
        <w:footnoteReference w:id="102"/>
      </w:r>
      <w:r>
        <w:t xml:space="preserve"> </w:t>
      </w:r>
    </w:p>
    <w:p w14:paraId="0D7CCF59" w14:textId="77777777" w:rsidR="001D3203" w:rsidRDefault="00CD4878" w:rsidP="00CD4878">
      <w:r>
        <w:t>Southern Sun obtained a 99-year lease for the Doornhoek farm. The farm was owned by the government of Bophuthatswana and leased by them to Southern Sun, which was registered under number K6/1878 on 23 October 1978. The farm measured 3046, 8002 hectares in s</w:t>
      </w:r>
      <w:r w:rsidR="000B77F5">
        <w:t>iz</w:t>
      </w:r>
      <w:r w:rsidR="006F3AD9">
        <w:t>e</w:t>
      </w:r>
      <w:r>
        <w:t xml:space="preserve"> and the first lease was taken from 1 December 1979 to 31 March 2079. The rental was R30, 000 per annum for the first three years, R40, 000 for the following four years and R50, 000 for the ten years after that ending in 1996. The rental amounts after 1996 was not discussed in the legal agreement.</w:t>
      </w:r>
      <w:r>
        <w:rPr>
          <w:rStyle w:val="FootnoteReference"/>
        </w:rPr>
        <w:footnoteReference w:id="103"/>
      </w:r>
      <w:r>
        <w:t xml:space="preserve"> </w:t>
      </w:r>
      <w:r w:rsidR="0039479A">
        <w:t>However, it should be noted that s</w:t>
      </w:r>
      <w:r w:rsidR="001D3203">
        <w:t>uch a contract is standard in the gambling industry where organisations are given long term contracts and exclusive rights to conduct business.</w:t>
      </w:r>
      <w:r w:rsidR="0039479A">
        <w:rPr>
          <w:rStyle w:val="FootnoteReference"/>
        </w:rPr>
        <w:footnoteReference w:id="104"/>
      </w:r>
      <w:r w:rsidR="001D3203">
        <w:t xml:space="preserve"> </w:t>
      </w:r>
    </w:p>
    <w:p w14:paraId="082B534A" w14:textId="77777777" w:rsidR="00CD4878" w:rsidRDefault="00CD4878" w:rsidP="00CD4878">
      <w:r>
        <w:t xml:space="preserve">On 25 June 1979, Southern Sun attorney Aldo Grosso filed on behalf of the hotel group for the intention to </w:t>
      </w:r>
      <w:r w:rsidR="000B77F5">
        <w:t>apply</w:t>
      </w:r>
      <w:r>
        <w:t xml:space="preserve"> for a liquor licence as well as a casino licence on the farm of Doornhoek where Sun City would be built. These applications were filed </w:t>
      </w:r>
      <w:r w:rsidR="000B77F5">
        <w:t>regarding</w:t>
      </w:r>
      <w:r>
        <w:t xml:space="preserve"> the Bophuthatswana Intoxicating Liquor Act of 1973, in terms of section 28 and the Casino Act of 1977.  The act was introduced </w:t>
      </w:r>
      <w:r w:rsidR="000B77F5">
        <w:t>because of</w:t>
      </w:r>
      <w:r>
        <w:t xml:space="preserve"> meetings between the </w:t>
      </w:r>
      <w:r w:rsidR="00D4122A">
        <w:t>BNDC</w:t>
      </w:r>
      <w:r>
        <w:t xml:space="preserve"> and Southern Sun, </w:t>
      </w:r>
      <w:r>
        <w:lastRenderedPageBreak/>
        <w:t>directly allowing for the establishment of Mmabatho Sun in 1977 and Sun City two years later. The official applications were lodged with the magistrate on 23 July 1979.</w:t>
      </w:r>
      <w:r>
        <w:rPr>
          <w:rStyle w:val="FootnoteReference"/>
        </w:rPr>
        <w:footnoteReference w:id="105"/>
      </w:r>
      <w:r>
        <w:t xml:space="preserve"> Between the purchase of the 99-year rental agreement and the filing for applications for liquor and casino licences, Sun City was well on its way to being established. </w:t>
      </w:r>
    </w:p>
    <w:p w14:paraId="0126FC14" w14:textId="77777777" w:rsidR="00CD4878" w:rsidRDefault="000B77F5" w:rsidP="00CD4878">
      <w:r>
        <w:t>Building</w:t>
      </w:r>
      <w:r w:rsidR="00CD4878">
        <w:t xml:space="preserve"> began on 15 July 1978 with a total labour force of 1200 people working at a gruelling pace - the first phase of Sun City was completed on 7</w:t>
      </w:r>
      <w:r w:rsidR="00CD4878">
        <w:rPr>
          <w:vertAlign w:val="superscript"/>
        </w:rPr>
        <w:t xml:space="preserve"> </w:t>
      </w:r>
      <w:r w:rsidR="00CD4878">
        <w:t>December 1979, just 18 months after the site had been chosen. South African construction and engineering company SIP was contracted to head the project with Jules Schneid as project lead. Following the construction of the Sun City hotel, SIP went on to consult for several Sun International projects across South Africa, including the construction of the Palace of the Lost City. Working with Kerzner presented a challenge, as he was a perfectionist with a strict time line. When Schneid was asked about the fast pace at which Sun City was built he responded:</w:t>
      </w:r>
    </w:p>
    <w:p w14:paraId="4FA13599" w14:textId="77777777" w:rsidR="00CD4878" w:rsidRDefault="00CD4878" w:rsidP="00CD4878">
      <w:pPr>
        <w:pStyle w:val="Subtitle"/>
      </w:pPr>
      <w:r>
        <w:t>We really set up [Sun City like a] command post, a headquarters so we could direct operations like a battle. The field was the Sun City project and the soldiers were the professional men we sent out to the site to challenge the odds.</w:t>
      </w:r>
      <w:r>
        <w:rPr>
          <w:rStyle w:val="FootnoteReference"/>
        </w:rPr>
        <w:footnoteReference w:id="106"/>
      </w:r>
    </w:p>
    <w:p w14:paraId="76922079" w14:textId="77777777" w:rsidR="00CD4878" w:rsidRDefault="00CD4878" w:rsidP="00CD4878">
      <w:r>
        <w:t>The first move had been to construct a temporary landing strip on the Doornhoek farm to allow personnel and mangers to fly in and out of the Pilanesberg; then the focus shifted to the architectural and building problems. Approximately 70% of the labour used for the first phase construction of Sun City came from local, unskilled labourers. They acquired a variety of construction skills during the 18 months on site. SIP praised the workers for their enthusiasm and tenacity.</w:t>
      </w:r>
      <w:r>
        <w:rPr>
          <w:rStyle w:val="FootnoteReference"/>
        </w:rPr>
        <w:footnoteReference w:id="107"/>
      </w:r>
    </w:p>
    <w:p w14:paraId="5EF4AADB" w14:textId="77777777" w:rsidR="00CD4878" w:rsidRPr="000C57FE" w:rsidRDefault="00CD4878" w:rsidP="00CD4878">
      <w:pPr>
        <w:rPr>
          <w:rStyle w:val="SubtitleChar"/>
          <w:color w:val="auto"/>
          <w:spacing w:val="0"/>
          <w:sz w:val="24"/>
        </w:rPr>
      </w:pPr>
      <w:r>
        <w:t xml:space="preserve">Mangope was heavily involved in the development, construction and running of Sun City, which grew exponentially during its first 15 years of existence. More hotels were added to the </w:t>
      </w:r>
      <w:r w:rsidR="00046280">
        <w:t>complex</w:t>
      </w:r>
      <w:r>
        <w:t xml:space="preserve">, catering to varying levels of wealth and entertainment needs. A childhood friend of </w:t>
      </w:r>
      <w:r w:rsidR="00FA6A91">
        <w:t>Kerzner’s</w:t>
      </w:r>
      <w:r>
        <w:t xml:space="preserve"> and member of the BNDC board stated in an interview that</w:t>
      </w:r>
    </w:p>
    <w:p w14:paraId="6B4B78C9" w14:textId="77777777" w:rsidR="00CD4878" w:rsidRPr="005A45A3" w:rsidRDefault="00CD4878" w:rsidP="00CD4878">
      <w:pPr>
        <w:pStyle w:val="Subtitle"/>
        <w:rPr>
          <w:rStyle w:val="SubtitleChar"/>
        </w:rPr>
      </w:pPr>
      <w:r w:rsidRPr="005A45A3">
        <w:rPr>
          <w:rStyle w:val="SubtitleChar"/>
        </w:rPr>
        <w:t>The relationship [between Sol Kerzner and Lucas Mangope] was a very good one. It suited both of them, Lucas Mangope got exposure that he otherwise never would have had…</w:t>
      </w:r>
      <w:r>
        <w:rPr>
          <w:rStyle w:val="SubtitleChar"/>
        </w:rPr>
        <w:t xml:space="preserve"> </w:t>
      </w:r>
      <w:r w:rsidRPr="005A45A3">
        <w:rPr>
          <w:rStyle w:val="SubtitleChar"/>
        </w:rPr>
        <w:t>Sun City turned out to be exactly what Sol Kerzner wanted it be and it turned out very profitable f</w:t>
      </w:r>
      <w:r>
        <w:rPr>
          <w:rStyle w:val="SubtitleChar"/>
        </w:rPr>
        <w:t>rom</w:t>
      </w:r>
      <w:r w:rsidRPr="005A45A3">
        <w:rPr>
          <w:rStyle w:val="SubtitleChar"/>
        </w:rPr>
        <w:t xml:space="preserve"> everyone’s point of view.</w:t>
      </w:r>
      <w:r w:rsidRPr="00125E07">
        <w:rPr>
          <w:rStyle w:val="SubtitleChar"/>
          <w:vertAlign w:val="superscript"/>
        </w:rPr>
        <w:footnoteReference w:id="108"/>
      </w:r>
      <w:r w:rsidRPr="00125E07">
        <w:rPr>
          <w:rStyle w:val="SubtitleChar"/>
          <w:vertAlign w:val="superscript"/>
        </w:rPr>
        <w:t xml:space="preserve"> </w:t>
      </w:r>
      <w:r w:rsidRPr="005A45A3">
        <w:rPr>
          <w:rStyle w:val="SubtitleChar"/>
        </w:rPr>
        <w:t xml:space="preserve"> </w:t>
      </w:r>
    </w:p>
    <w:p w14:paraId="4965A012" w14:textId="77777777" w:rsidR="00CD4878" w:rsidRDefault="00CD4878" w:rsidP="00CD4878">
      <w:r>
        <w:t>The casino wo</w:t>
      </w:r>
      <w:r w:rsidR="000C57FE">
        <w:t>uld subsidis</w:t>
      </w:r>
      <w:r>
        <w:t xml:space="preserve">e the expenditure of such an elaborate hotel venture, as one hotel alone could not subsidise such an entertainment complex. The greater the variety and number </w:t>
      </w:r>
      <w:r>
        <w:lastRenderedPageBreak/>
        <w:t xml:space="preserve">of hotels developed on one site, the greater variety of entertainment facilities could be supported. The casino was to be a vital part of the entertainment section, based on the estimate that the average gambler in Swaziland spent R25 a day in the casino. </w:t>
      </w:r>
    </w:p>
    <w:p w14:paraId="5ABA9F7D" w14:textId="77777777" w:rsidR="00CD4878" w:rsidRPr="00FB18DD" w:rsidRDefault="00CD4878" w:rsidP="00CD4878">
      <w:pPr>
        <w:rPr>
          <w:rStyle w:val="SubtitleChar"/>
          <w:color w:val="auto"/>
          <w:spacing w:val="0"/>
          <w:sz w:val="24"/>
        </w:rPr>
      </w:pPr>
      <w:r>
        <w:t>During a meeting between Mangope and his cabinet, the BNDC and Southern Sun in May 1976, it was projected that the casino would generate a significant revenue in terms of casino-related tax for the Bophuthatswana government.</w:t>
      </w:r>
      <w:r>
        <w:rPr>
          <w:rStyle w:val="FootnoteReference"/>
        </w:rPr>
        <w:footnoteReference w:id="109"/>
      </w:r>
      <w:r>
        <w:t xml:space="preserve"> Tourism, with gambling as a large portion of the industry, was carefully presented to Mangope as an opportunity to put Bophuthatswana on the world map. In Southern Sun’s 1979 mid-year financial prospectus, Kerzner reinforced this concept, just as Sun City was nearing completion: </w:t>
      </w:r>
    </w:p>
    <w:p w14:paraId="44856D27" w14:textId="77777777" w:rsidR="00CD4878" w:rsidRDefault="00CD4878" w:rsidP="00CD4878">
      <w:pPr>
        <w:pStyle w:val="Subtitle"/>
        <w:rPr>
          <w:rStyle w:val="SubtitleChar"/>
        </w:rPr>
      </w:pPr>
      <w:r w:rsidRPr="005A45A3">
        <w:rPr>
          <w:rStyle w:val="SubtitleChar"/>
        </w:rPr>
        <w:t>This project</w:t>
      </w:r>
      <w:r>
        <w:rPr>
          <w:rStyle w:val="SubtitleChar"/>
        </w:rPr>
        <w:t xml:space="preserve"> </w:t>
      </w:r>
      <w:r w:rsidRPr="005A45A3">
        <w:rPr>
          <w:rStyle w:val="SubtitleChar"/>
        </w:rPr>
        <w:t>…</w:t>
      </w:r>
      <w:r>
        <w:rPr>
          <w:rStyle w:val="SubtitleChar"/>
        </w:rPr>
        <w:t xml:space="preserve"> </w:t>
      </w:r>
      <w:r w:rsidRPr="005A45A3">
        <w:rPr>
          <w:rStyle w:val="SubtitleChar"/>
        </w:rPr>
        <w:t>will contribute in a very meaningful way towards the international tourist market in Bophuthatswana and Southern Africa.</w:t>
      </w:r>
      <w:r w:rsidRPr="005A45A3">
        <w:rPr>
          <w:rStyle w:val="SubtitleChar"/>
          <w:vertAlign w:val="superscript"/>
        </w:rPr>
        <w:footnoteReference w:id="110"/>
      </w:r>
    </w:p>
    <w:p w14:paraId="4DB95CD7" w14:textId="77777777" w:rsidR="00CD4878" w:rsidRPr="00846743" w:rsidRDefault="00CD4878" w:rsidP="00CD4878">
      <w:r>
        <w:t xml:space="preserve">One of the largest motivating factors to travel to Sun City was gambling. It was outlawed in South Africa, and the country’s </w:t>
      </w:r>
      <w:r w:rsidR="00E86F93">
        <w:t>citizens</w:t>
      </w:r>
      <w:r>
        <w:t xml:space="preserve"> had to travel to Swaziland to satisfy this </w:t>
      </w:r>
      <w:r w:rsidR="00B87126">
        <w:t>habit</w:t>
      </w:r>
      <w:r>
        <w:t xml:space="preserve">. The majority of the market share of tourism came from the </w:t>
      </w:r>
      <w:r w:rsidRPr="001C7599">
        <w:t>PWV Megalopolis</w:t>
      </w:r>
      <w:r>
        <w:t>.</w:t>
      </w:r>
      <w:r>
        <w:rPr>
          <w:rStyle w:val="FootnoteReference"/>
        </w:rPr>
        <w:footnoteReference w:id="111"/>
      </w:r>
      <w:r>
        <w:t xml:space="preserve"> The </w:t>
      </w:r>
      <w:r w:rsidRPr="001C7599">
        <w:t>PWV Megalopolis</w:t>
      </w:r>
      <w:r>
        <w:t xml:space="preserve"> was (and is) home to the largest portion of South Africa’s population and had the highest per capita income. In 1974, the total population was estimated to be 7, 3 million, with</w:t>
      </w:r>
      <w:r w:rsidR="00307D9E">
        <w:t xml:space="preserve"> an annual growth rate of 3, 0% and</w:t>
      </w:r>
      <w:r>
        <w:t xml:space="preserve"> this figure would increase to 1, 55 million by 1980. In 1975, the South Africa National Tourist Board conducted a survey of 12 543 white households in the seven main metropolitan areas of the country, encompassing all income groups. Some of the most pertinent points uncovered were that 83% of people enjoyed a regular holiday a far distance from home and 60% enjoyed a holiday every year. </w:t>
      </w:r>
      <w:r w:rsidR="00307D9E">
        <w:t>Most</w:t>
      </w:r>
      <w:r>
        <w:t xml:space="preserve"> people expressed a preference for a holiday of two weeks, and 76% of people travelled to their destination by car.</w:t>
      </w:r>
      <w:r>
        <w:rPr>
          <w:rStyle w:val="FootnoteReference"/>
        </w:rPr>
        <w:footnoteReference w:id="112"/>
      </w:r>
      <w:r>
        <w:t xml:space="preserve"> These figures further encouraged Southern Sun to construct the mega resort within the borders of Bophuthatswana.</w:t>
      </w:r>
    </w:p>
    <w:p w14:paraId="5B2B7E9E" w14:textId="77777777" w:rsidR="00CD4878" w:rsidRDefault="00CD4878" w:rsidP="00CD4878">
      <w:r>
        <w:t>It was a direct aim of Southern Sun, with the help of the Bophuthat</w:t>
      </w:r>
      <w:r w:rsidR="00D4122A">
        <w:t>swana government, to develop</w:t>
      </w:r>
      <w:r>
        <w:t xml:space="preserve"> the Heystekrand town, community and the surrounding Pilanesberg region. This was a self-serving endeavour, as they hoped to speed up the region’s development </w:t>
      </w:r>
      <w:r w:rsidR="00FA6A91">
        <w:t>to</w:t>
      </w:r>
      <w:r>
        <w:t xml:space="preserve"> be able to provide the necessary infrastructure required to establish, operate and develop a tourist resort. This came after it was discovered that little to no infrastructure existed in the area Southern </w:t>
      </w:r>
      <w:r>
        <w:lastRenderedPageBreak/>
        <w:t xml:space="preserve">Sun had selected. The question of housing, in the form of a township, for its employees, especially was a large looming question. The </w:t>
      </w:r>
      <w:r w:rsidR="00D4122A">
        <w:t>BNDC</w:t>
      </w:r>
      <w:r>
        <w:t xml:space="preserve"> had suggested an alternative site for the hotel, but Southern Sun rejected this proposal and offered to finance to the cost of building the necessary infrastructure.</w:t>
      </w:r>
      <w:r>
        <w:rPr>
          <w:rStyle w:val="FootnoteReference"/>
        </w:rPr>
        <w:footnoteReference w:id="113"/>
      </w:r>
      <w:r>
        <w:t xml:space="preserve"> </w:t>
      </w:r>
    </w:p>
    <w:p w14:paraId="2EA55D6C" w14:textId="77777777" w:rsidR="00CD4878" w:rsidRDefault="00CD4878" w:rsidP="00CD4878">
      <w:r>
        <w:t xml:space="preserve">The OPEC oil embargo, which was imposed on South Africa on 23 November 1973, saw a dramatic rise in oil prices and placed restrictions on the availability of petrol. The South African government adopted reduced speed limits throughout the country </w:t>
      </w:r>
      <w:r w:rsidR="00FA6A91">
        <w:t>to</w:t>
      </w:r>
      <w:r>
        <w:t xml:space="preserve"> reduce fuel consumption. The limit was reduced from 120 km/h on rural roads and freeways to 80 km/h under the National Supplies Procurement Act in 1973. The limit was raised to 90 km/h in May 1975, until the </w:t>
      </w:r>
      <w:r w:rsidR="00307D9E">
        <w:t>Iranian</w:t>
      </w:r>
      <w:r>
        <w:t xml:space="preserve"> civil war again threatened South Africa’s oil supply. Thereafter the speed limit fluctuated between 70 km/h and 90 km/h throughout the latter part of the 1970s and was only raised to 100 km/h in 1981.</w:t>
      </w:r>
      <w:r>
        <w:rPr>
          <w:rStyle w:val="FootnoteReference"/>
        </w:rPr>
        <w:footnoteReference w:id="114"/>
      </w:r>
      <w:r>
        <w:t xml:space="preserve"> As airfares and petrol prices continued to increase during this period and speed limits, along with restrictions on how far one car could travel, restricted travel options, it was predicted that Sun City, located less than 200 km away from Johannesburg, would be an attractiv</w:t>
      </w:r>
      <w:r w:rsidR="00307D9E">
        <w:t>e choice to other destinations.</w:t>
      </w:r>
    </w:p>
    <w:p w14:paraId="18FDD2E6" w14:textId="77777777" w:rsidR="00CD4878" w:rsidRDefault="00CD4878" w:rsidP="00CD4878">
      <w:r>
        <w:t>The potable water supply for the Sun City hotel complex came from the Vaalkop Water Board via its reservoir at La Patrie approximately 35km from the resort. It utilised a 350mm asbestos concrete pipeline constructed between the reservoir and the nearby town of Heystekrand, approximately 15km north east of Sun City. The pipeline was designed to cater for a sustained peak demand of 6 700 k</w:t>
      </w:r>
      <w:r>
        <w:rPr>
          <w:i/>
        </w:rPr>
        <w:t xml:space="preserve">l </w:t>
      </w:r>
      <w:r>
        <w:t xml:space="preserve">per day and the anticipated demands for the first ten years of the resort’s operations. The pipeline was installed within the shortest </w:t>
      </w:r>
      <w:r w:rsidR="00FA6A91">
        <w:t>period</w:t>
      </w:r>
      <w:r>
        <w:t>, with huge pressures placed on the company hired, Valente Bros. (Pty). It included supply to the 130 houses built for the Sun City staff members. The sewerage and wastewater system implemented was entirely financed by Southern Sun and was estimated to have cost R1 000 000 in 1979.</w:t>
      </w:r>
      <w:r>
        <w:rPr>
          <w:rStyle w:val="FootnoteReference"/>
        </w:rPr>
        <w:footnoteReference w:id="115"/>
      </w:r>
      <w:r>
        <w:t xml:space="preserve"> </w:t>
      </w:r>
    </w:p>
    <w:p w14:paraId="5C909326" w14:textId="77777777" w:rsidR="00CD4878" w:rsidRDefault="00CD4878" w:rsidP="00CD4878">
      <w:r>
        <w:t xml:space="preserve">Sun City also demanded a technological upgrade for the bantustan. The telecommunications network of Sun City formed part of both local and national networks. Local infrastructure included the construction of eight 70m tall towers in the region to support communications in </w:t>
      </w:r>
      <w:r>
        <w:lastRenderedPageBreak/>
        <w:t>the hotel complex and the Pilanesberg region. The towers were connected to the town of Phokeng, approximately 35km away. The exchange at Phokeng, which was directly set up for use by Sun City, was inaugurated on 3 October 1979 and was the first automatic exchange in Bophuthatswana. From there the calls were sent through to the automatic exchange in Rustenberg via radio link. Later calls where directed through the automatic exchange set up in Mmabatho, Bophuthatswana’s capital city. This served as the homeland’s gateway to the outside world. Sun City originally had 24 lines set up for telephone calls and telexes. The resort’s telecommunications networks could handle direct dialling from the hotel to anywhere in South Africa but until the automatic exchange was erected in Mmabatho, international calls where directed via Cape Town.</w:t>
      </w:r>
      <w:r>
        <w:rPr>
          <w:rStyle w:val="FootnoteReference"/>
        </w:rPr>
        <w:footnoteReference w:id="116"/>
      </w:r>
      <w:r>
        <w:t xml:space="preserve"> </w:t>
      </w:r>
    </w:p>
    <w:p w14:paraId="316A1197" w14:textId="77777777" w:rsidR="00CD4878" w:rsidRDefault="00CD4878" w:rsidP="00CD4878">
      <w:r>
        <w:t xml:space="preserve">The existing electrical grid system in the town of Heystekrand as well as the Pilanesberg region was upgraded and expanded to service the Sun City hotel complex. An 88/11 kV substation was constructed approximately 2km from the resort a year after negotiations were started between Southern Sun, the </w:t>
      </w:r>
      <w:r w:rsidR="00D4122A">
        <w:t>BNDC</w:t>
      </w:r>
      <w:r>
        <w:t>. and the Department of Works and Housing of Bophuthatswana. The substation served as the centr</w:t>
      </w:r>
      <w:r w:rsidR="000C57FE">
        <w:t>al point from which the modernis</w:t>
      </w:r>
      <w:r>
        <w:t xml:space="preserve">ed electrical network for the Pilanesberg region radiated. High tension cabling was then installed to the hotel complex. Heystekrand was fed via an </w:t>
      </w:r>
      <w:r w:rsidR="00FA6A91">
        <w:t>11-kV</w:t>
      </w:r>
      <w:r>
        <w:t xml:space="preserve"> power line and 30km long 88 kV lines served the mining sector in the Pilanesberg area. The plan in 1980 was to make ample provision for the future development of residential, business, commercial and industrial infrastructures in the town. </w:t>
      </w:r>
    </w:p>
    <w:p w14:paraId="4D31A034" w14:textId="77777777" w:rsidR="00CD4878" w:rsidRDefault="00CD4878" w:rsidP="00CD4878">
      <w:r>
        <w:t>A progress report from construction engineers dated 1979 stated that relations between Department</w:t>
      </w:r>
      <w:r w:rsidR="00D4122A">
        <w:t>s of Works and</w:t>
      </w:r>
      <w:r>
        <w:t xml:space="preserve"> Housing in Bophuthatswana and South African officials were </w:t>
      </w:r>
      <w:r w:rsidR="007C7C60" w:rsidRPr="007C7C60">
        <w:t>fruitful</w:t>
      </w:r>
      <w:r>
        <w:t xml:space="preserve"> and Southern Sun executives were pleased with the progress. The </w:t>
      </w:r>
      <w:r w:rsidR="00D4122A">
        <w:t>NP</w:t>
      </w:r>
      <w:r>
        <w:t xml:space="preserve"> government had provided funding for the establishment of infrastructure in the Pilanesberg region and were satisfied with the progress and construction. This directly impacted on Sun City’s construction, which without the necessary water and electricity would have been delayed.</w:t>
      </w:r>
      <w:r>
        <w:rPr>
          <w:rStyle w:val="FootnoteReference"/>
        </w:rPr>
        <w:footnoteReference w:id="117"/>
      </w:r>
      <w:r>
        <w:t xml:space="preserve">   </w:t>
      </w:r>
    </w:p>
    <w:p w14:paraId="03DBB646" w14:textId="77777777" w:rsidR="00CD4878" w:rsidRDefault="00585C93" w:rsidP="00CD4878">
      <w:r>
        <w:t>C</w:t>
      </w:r>
      <w:r w:rsidR="00F41EAB" w:rsidRPr="00F41EAB">
        <w:t>onstruction was begun on a tarred road</w:t>
      </w:r>
      <w:r w:rsidR="00F41EAB">
        <w:t xml:space="preserve"> in</w:t>
      </w:r>
      <w:r w:rsidR="00CD4878">
        <w:t xml:space="preserve"> March 1979 between Heystekrand and the existing road which linked Phokeng and Rustenberg with the southern and western portion of the Mankwe district of Bophuthatswana. This road, named at the time P115/1, served as the main access road to Sun City, carrying a large volume of commuter traffic and construction vehicles as well as servicing the mines in the areas situated to the south and south west of the </w:t>
      </w:r>
      <w:r w:rsidR="00CD4878">
        <w:lastRenderedPageBreak/>
        <w:t>Pilanesberg. At the time of the construction of the road, it was estimated that this road would eventually service approximately 10 000 vehicles a day. The total cost of the road was estimated at R2.2 million. The Bophuthatswana and the South African governments jointly paid R1.6 million of the construction costs and Southern Sun paid for the remaining R400 000.</w:t>
      </w:r>
      <w:r w:rsidR="00CD4878">
        <w:rPr>
          <w:rStyle w:val="FootnoteReference"/>
        </w:rPr>
        <w:footnoteReference w:id="118"/>
      </w:r>
    </w:p>
    <w:p w14:paraId="1EEC4491" w14:textId="77777777" w:rsidR="00CD4878" w:rsidRDefault="00CD4878" w:rsidP="00CD4878">
      <w:r>
        <w:t xml:space="preserve">This expensive telecommunications and road network was implemented to service Sun City but would also benefit the mining sector. The previously largely inaccessible region became attractive for development of tourism and mining. It had a developing town region and roads to access them more easily. In 1979, the town Heystekrand was declared on the brink of a growth spurt by the Development Council of Bophuthatswana and was demarcated as the capital of the Mankwe region. Development of the town included a magistrate’s court, police station, post office, business centre, a school and housing for local government officials. However, Bophuthatswana was a largely rural and poor territory, fragmented into seven separate regions. </w:t>
      </w:r>
      <w:r w:rsidR="00FA6A91">
        <w:t>Most</w:t>
      </w:r>
      <w:r>
        <w:t xml:space="preserve"> residents did not benefit from the massive influx of money and infrastructure to service Sun City. The opulent casino and resort that was built in the district of Mankwe contrasted severely against the rural backwaters of </w:t>
      </w:r>
      <w:r w:rsidR="00FA6A91">
        <w:t>Bophuthatswana</w:t>
      </w:r>
      <w:r>
        <w:t xml:space="preserve"> and was a severely disproportionate investment in one area on the part of Southern Sun.</w:t>
      </w:r>
      <w:r>
        <w:rPr>
          <w:rStyle w:val="FootnoteReference"/>
        </w:rPr>
        <w:footnoteReference w:id="119"/>
      </w:r>
      <w:r>
        <w:t xml:space="preserve"> </w:t>
      </w:r>
    </w:p>
    <w:p w14:paraId="690F3DCC" w14:textId="77777777" w:rsidR="00D4122A" w:rsidRDefault="00CD4878" w:rsidP="00CD4878">
      <w:r>
        <w:t xml:space="preserve">The costs of constructing the Sun City casino itself were also divided between the hotel group and the bantustan. Sun City fell under Southern Sun subsidiary Southern Sun Hotels (Bophuthatswana) Ltd. and it was jointly owned by the corporation and the Bophuthatswana government, through the BNDC. </w:t>
      </w:r>
      <w:r w:rsidR="00FA6A91">
        <w:t>Thus</w:t>
      </w:r>
      <w:r>
        <w:t>, Southern Sun only had a controlling interest of 50%. Financing of R20 million for Sun City was put forward each by Southern Sun and the BNDC</w:t>
      </w:r>
      <w:r w:rsidR="00D4122A">
        <w:t>.</w:t>
      </w:r>
      <w:r>
        <w:rPr>
          <w:rStyle w:val="FootnoteReference"/>
        </w:rPr>
        <w:footnoteReference w:id="120"/>
      </w:r>
      <w:r>
        <w:t xml:space="preserve"> </w:t>
      </w:r>
      <w:r w:rsidR="00307D9E">
        <w:t>To</w:t>
      </w:r>
      <w:r>
        <w:t xml:space="preserve"> finance the casino resort, Southern Sun secured 60% of the funds required via a loan and the balance was obtained through the subscription of shares in the company and investments from SAB. </w:t>
      </w:r>
      <w:r w:rsidR="00307D9E">
        <w:t>For</w:t>
      </w:r>
      <w:r>
        <w:t xml:space="preserve"> this to occur, the share capital of Southern Sun was increased to R1.6 million based on the company’s ability to secure the long</w:t>
      </w:r>
      <w:r w:rsidR="000C57FE">
        <w:t>-</w:t>
      </w:r>
      <w:r>
        <w:t xml:space="preserve">term loan. The remaining shares were offered to Bophuthatswana </w:t>
      </w:r>
      <w:r w:rsidR="00E86F93">
        <w:t>citizens</w:t>
      </w:r>
      <w:r>
        <w:t xml:space="preserve"> and when </w:t>
      </w:r>
      <w:r w:rsidR="00307D9E">
        <w:t>most</w:t>
      </w:r>
      <w:r w:rsidR="00396630">
        <w:t xml:space="preserve"> of</w:t>
      </w:r>
      <w:r>
        <w:t xml:space="preserve"> the shares were not bought, they were offered to the BNDC</w:t>
      </w:r>
      <w:r w:rsidR="00D4122A">
        <w:t>.</w:t>
      </w:r>
      <w:r>
        <w:t xml:space="preserve"> The latter retained the right to dispose the shares, but only to Bophuthatswana </w:t>
      </w:r>
      <w:r w:rsidR="00E86F93">
        <w:t>citizens</w:t>
      </w:r>
      <w:r>
        <w:t>.</w:t>
      </w:r>
      <w:r>
        <w:rPr>
          <w:rStyle w:val="FootnoteReference"/>
        </w:rPr>
        <w:footnoteReference w:id="121"/>
      </w:r>
      <w:r>
        <w:t xml:space="preserve"> </w:t>
      </w:r>
    </w:p>
    <w:p w14:paraId="08C2B41F" w14:textId="77777777" w:rsidR="00CD4878" w:rsidRDefault="00CD4878" w:rsidP="00CD4878">
      <w:r>
        <w:lastRenderedPageBreak/>
        <w:t>The South African government fronted R10 million towards the development of infrastructure in the area surrounding Sun City.</w:t>
      </w:r>
      <w:r>
        <w:rPr>
          <w:rStyle w:val="FootnoteReference"/>
        </w:rPr>
        <w:footnoteReference w:id="122"/>
      </w:r>
      <w:r>
        <w:t xml:space="preserve"> An additional R8 million was granted as a loan from the South African government to Southern Sun and the Bophuthatswana government, for specific regional development in the Heystekrand district. This was granted at a fixed 2% interest rate per annum over a 15-year period by the Industrial Development Corporation of South Africa Limited (IDC). This is a national development finance intuition that was founded in 1940 to promote economic growth and industrial development.</w:t>
      </w:r>
      <w:r>
        <w:rPr>
          <w:rStyle w:val="FootnoteReference"/>
        </w:rPr>
        <w:footnoteReference w:id="123"/>
      </w:r>
      <w:r>
        <w:t xml:space="preserve">  The IDC further advanced Southern Sun a maximum sum of R12 million towards the building of the hotel and casino complex itself for a 9% stake in the company.</w:t>
      </w:r>
      <w:r>
        <w:rPr>
          <w:rStyle w:val="FootnoteReference"/>
        </w:rPr>
        <w:footnoteReference w:id="124"/>
      </w:r>
      <w:r>
        <w:t xml:space="preserve"> This </w:t>
      </w:r>
      <w:r w:rsidR="00307D9E">
        <w:t xml:space="preserve">information </w:t>
      </w:r>
      <w:r>
        <w:t>was leaked by the South African media in</w:t>
      </w:r>
      <w:r w:rsidR="00AA0B14">
        <w:t xml:space="preserve"> 1983, which reported that the “</w:t>
      </w:r>
      <w:r>
        <w:t xml:space="preserve">conservative and morally </w:t>
      </w:r>
      <w:r w:rsidR="00585C93">
        <w:t>[abhorrent]</w:t>
      </w:r>
      <w:r w:rsidR="00AA0B14">
        <w:t>”</w:t>
      </w:r>
      <w:r>
        <w:t xml:space="preserve"> apartheid government had an indirect 9% inter</w:t>
      </w:r>
      <w:r w:rsidR="00AA0B14">
        <w:t>est in the “hedonistic playground”</w:t>
      </w:r>
      <w:r>
        <w:t xml:space="preserve"> just across the border with Bophuthatswana, where gambling and pornography proliferated. A deal was reached and the IDC divested their stake in Sun International, selling the shares to private entities.</w:t>
      </w:r>
      <w:r>
        <w:rPr>
          <w:rStyle w:val="FootnoteReference"/>
        </w:rPr>
        <w:footnoteReference w:id="125"/>
      </w:r>
      <w:r>
        <w:t xml:space="preserve"> Kerzner had managed to play both sides of the coin and reap the benefits from both the government of </w:t>
      </w:r>
      <w:r w:rsidR="00307D9E">
        <w:t>Bophuthatswana</w:t>
      </w:r>
      <w:r>
        <w:t xml:space="preserve"> and South Africa. He had received financing from the IDC and the </w:t>
      </w:r>
      <w:r w:rsidR="00D4122A">
        <w:t>NP</w:t>
      </w:r>
      <w:r>
        <w:t xml:space="preserve"> government which was necessary to get his dream of casino in the bush off the ground; years later when Sun City was flourishing, this scandal made little impact to his greater hotel empire. </w:t>
      </w:r>
    </w:p>
    <w:p w14:paraId="3084CA27" w14:textId="77777777" w:rsidR="00CD4878" w:rsidRDefault="00CD4878" w:rsidP="00CD4878">
      <w:r>
        <w:t>From 1975 to 1979 Southern Sun’s earning per share grew at an annual compound rate of approximately 28%.</w:t>
      </w:r>
      <w:r>
        <w:rPr>
          <w:rStyle w:val="FootnoteReference"/>
        </w:rPr>
        <w:footnoteReference w:id="126"/>
      </w:r>
      <w:r>
        <w:t xml:space="preserve"> Southern Sun was one of the BNDC’s largest investments, the other being Yabeng, a Pretoria based investment corporation. In 1992, the two companies paid out dividends to the BNDC totalling R61, 6 million for the previous financial year. This was used to further facilitate development in the bantustan. From 1980, more than 400 factories were subsidised as the BNDC took over control of the industrial sector. Before this, Bophuthatswana had only one factory located in Hammanskraal, close to Pretoria. The </w:t>
      </w:r>
      <w:r w:rsidR="00D4122A">
        <w:t>BNDC</w:t>
      </w:r>
      <w:r>
        <w:t xml:space="preserve"> claimed that these factories were funded with profits from Sun City, which employed over 12,500 people in 1992.</w:t>
      </w:r>
      <w:r>
        <w:rPr>
          <w:rStyle w:val="FootnoteReference"/>
        </w:rPr>
        <w:footnoteReference w:id="127"/>
      </w:r>
      <w:r>
        <w:t xml:space="preserve"> </w:t>
      </w:r>
    </w:p>
    <w:p w14:paraId="714BF92E" w14:textId="77777777" w:rsidR="00CD4878" w:rsidRDefault="00CD4878" w:rsidP="00CD4878">
      <w:pPr>
        <w:pStyle w:val="Heading2"/>
        <w:numPr>
          <w:ilvl w:val="0"/>
          <w:numId w:val="0"/>
        </w:numPr>
      </w:pPr>
      <w:bookmarkStart w:id="23" w:name="_Toc459702960"/>
      <w:bookmarkStart w:id="24" w:name="_Toc488481707"/>
      <w:r>
        <w:lastRenderedPageBreak/>
        <w:t>Sol Kerzner’s Empire</w:t>
      </w:r>
      <w:bookmarkEnd w:id="23"/>
      <w:bookmarkEnd w:id="24"/>
      <w:r>
        <w:t xml:space="preserve"> </w:t>
      </w:r>
    </w:p>
    <w:p w14:paraId="0AA350B3" w14:textId="77777777" w:rsidR="00CD4878" w:rsidRPr="002627E7" w:rsidRDefault="00CD4878" w:rsidP="00CD4878">
      <w:r>
        <w:t>The story of Kerzner’s search for the eden of Sun City is often retold with near legendary status.</w:t>
      </w:r>
      <w:r>
        <w:rPr>
          <w:rStyle w:val="FootnoteReference"/>
        </w:rPr>
        <w:footnoteReference w:id="128"/>
      </w:r>
      <w:r>
        <w:t xml:space="preserve"> In an interview with Kerzner’s previous personal assistant and current manager</w:t>
      </w:r>
      <w:r w:rsidR="006E1114">
        <w:t xml:space="preserve"> of the Palace of the Lost City, </w:t>
      </w:r>
      <w:r>
        <w:t>she recounts the story of Sun City’s origin with animation.</w:t>
      </w:r>
      <w:r>
        <w:rPr>
          <w:rStyle w:val="FootnoteReference"/>
        </w:rPr>
        <w:footnoteReference w:id="129"/>
      </w:r>
      <w:r>
        <w:t xml:space="preserve"> The media in the early 1990s bought into this story without reservation and cast Kerzner as th</w:t>
      </w:r>
      <w:r w:rsidR="000C57FE">
        <w:t>e ultimate adventurer of a long-</w:t>
      </w:r>
      <w:r>
        <w:t>established tradition of</w:t>
      </w:r>
      <w:r w:rsidR="000C57FE">
        <w:t xml:space="preserve"> Western domination of uncivilis</w:t>
      </w:r>
      <w:r>
        <w:t xml:space="preserve">ed Africa. Sannar argues that these views are embedded in the writings of </w:t>
      </w:r>
      <w:r w:rsidR="007E613D">
        <w:t>19th</w:t>
      </w:r>
      <w:r>
        <w:t xml:space="preserve"> century explorers in Africa. This fable was then endorsed by Kerzner in his advertising campaigns, positioning him as the hero along with the likes of David Livingstone. He created a marketable image of the white, Western discoverer and connected him and his company to iconic figures.</w:t>
      </w:r>
      <w:r>
        <w:rPr>
          <w:rStyle w:val="FootnoteReference"/>
        </w:rPr>
        <w:footnoteReference w:id="130"/>
      </w:r>
    </w:p>
    <w:p w14:paraId="365BA796" w14:textId="77777777" w:rsidR="00CD4878" w:rsidRDefault="00CD4878" w:rsidP="00CD4878">
      <w:pPr>
        <w:spacing w:after="0" w:line="240" w:lineRule="auto"/>
        <w:ind w:right="709"/>
      </w:pPr>
      <w:r>
        <w:t xml:space="preserve">In 1983 </w:t>
      </w:r>
      <w:r>
        <w:rPr>
          <w:i/>
        </w:rPr>
        <w:t xml:space="preserve">Time Magazine </w:t>
      </w:r>
      <w:r>
        <w:t xml:space="preserve">wrote that when Kerzner spoke </w:t>
      </w:r>
    </w:p>
    <w:p w14:paraId="7539070C" w14:textId="77777777" w:rsidR="00CD4878" w:rsidRDefault="00CD4878" w:rsidP="00CD4878">
      <w:pPr>
        <w:spacing w:after="0" w:line="240" w:lineRule="auto"/>
        <w:ind w:left="709" w:right="709"/>
      </w:pPr>
    </w:p>
    <w:p w14:paraId="27D0443B" w14:textId="77777777" w:rsidR="00CD4878" w:rsidRDefault="00CD4878" w:rsidP="00CD4878">
      <w:pPr>
        <w:pStyle w:val="Subtitle"/>
      </w:pPr>
      <w:r>
        <w:t>He comes across more like a New Jersey dockhand than a powerful executive. He talks machine gun-style, from the corner of his mouth, with an accent sounding a bit like Marlon Brando in On the Waterfront. Yet the [manner] suits his controversial role in business.</w:t>
      </w:r>
      <w:r>
        <w:rPr>
          <w:rStyle w:val="FootnoteReference"/>
        </w:rPr>
        <w:footnoteReference w:id="131"/>
      </w:r>
    </w:p>
    <w:p w14:paraId="7BD6626C" w14:textId="77777777" w:rsidR="00CD4878" w:rsidRDefault="00CD4878" w:rsidP="00CD4878">
      <w:r>
        <w:t xml:space="preserve">Sun City was vilified by some of the international media, with journalists writing scathing reviews of the resort. A </w:t>
      </w:r>
      <w:r w:rsidRPr="007E3D6C">
        <w:rPr>
          <w:i/>
        </w:rPr>
        <w:t>New York Times</w:t>
      </w:r>
      <w:r>
        <w:t xml:space="preserve"> correspondent wrote that</w:t>
      </w:r>
    </w:p>
    <w:p w14:paraId="6A8AC503" w14:textId="77777777" w:rsidR="00CD4878" w:rsidRDefault="00CD4878" w:rsidP="00CD4878">
      <w:pPr>
        <w:pStyle w:val="Subtitle"/>
      </w:pPr>
      <w:r>
        <w:t>When [Bophuthatswana] was still newly minted, Mr. Kerzner built here the Las Vegas style Sun City complex as a place where South Africans could escape the Puritan constraints of their own society to enjoy gambling and bare-breasted chorus lines in an interracial setting…This white man’s fantasy of Africa is 100 miles northwest of Johannesburg, within another white man’s fantasy of Africa…Politics becomes tricky.</w:t>
      </w:r>
      <w:r>
        <w:rPr>
          <w:rStyle w:val="FootnoteReference"/>
        </w:rPr>
        <w:footnoteReference w:id="132"/>
      </w:r>
    </w:p>
    <w:p w14:paraId="68B506FD" w14:textId="77777777" w:rsidR="00CD4878" w:rsidRDefault="00CD4878" w:rsidP="00CD4878">
      <w:r>
        <w:t xml:space="preserve">It was </w:t>
      </w:r>
      <w:r w:rsidR="00FA6A91">
        <w:t>apparent</w:t>
      </w:r>
      <w:r>
        <w:t xml:space="preserve"> to international audiences that Bophuthatswana’s Sun City had become a sanctioned space where white South Africans could take advantage of </w:t>
      </w:r>
      <w:r w:rsidR="00585C93">
        <w:t>facilities</w:t>
      </w:r>
      <w:r>
        <w:t xml:space="preserve"> that were banned in South Africa. Sun City had become a signifier of the homeland system of apartheid. Martha Evans, </w:t>
      </w:r>
      <w:r w:rsidR="006E1114">
        <w:t xml:space="preserve">a </w:t>
      </w:r>
      <w:r>
        <w:t xml:space="preserve">media expert at the University of Cape Town stated that vilifying Sun City was a </w:t>
      </w:r>
      <w:r w:rsidR="00307D9E">
        <w:t>way</w:t>
      </w:r>
      <w:r>
        <w:t xml:space="preserve"> to express international dissatisfaction with South Africa</w:t>
      </w:r>
      <w:r w:rsidR="006E1114">
        <w:t xml:space="preserve"> as “all of white South African</w:t>
      </w:r>
      <w:r>
        <w:t>s hypocrisy and contradictions found expression in Sun City.”</w:t>
      </w:r>
      <w:r>
        <w:rPr>
          <w:rStyle w:val="FootnoteReference"/>
        </w:rPr>
        <w:footnoteReference w:id="133"/>
      </w:r>
    </w:p>
    <w:p w14:paraId="03D9FE44" w14:textId="77777777" w:rsidR="00CD4878" w:rsidRPr="002B462C" w:rsidRDefault="00CD4878" w:rsidP="00CD4878">
      <w:r>
        <w:t xml:space="preserve">Sun City opened its doors for business on 7 December 1979. Kerzner invited journalists and VIP’s from South Africa and abroad to attend the grand opening. Amongst the guests was </w:t>
      </w:r>
      <w:r>
        <w:lastRenderedPageBreak/>
        <w:t>President Lucas Mangope, who officiated over the inaugural ceremonies. The massive influx of guests, VIPs and journalists in the first months of operations and over the Christmas period proved to be more than expected. Many departments could not cope, room service especially. When guest called to order breakfasts in their rooms, they would be told “Yes, you may have breakfast in your room, sir, but it will not arrive until lunchtime.”</w:t>
      </w:r>
      <w:r>
        <w:rPr>
          <w:rStyle w:val="FootnoteReference"/>
        </w:rPr>
        <w:footnoteReference w:id="134"/>
      </w:r>
      <w:r>
        <w:t xml:space="preserve"> After the Christmas holiday rush, the hotel </w:t>
      </w:r>
      <w:r w:rsidR="00307D9E">
        <w:t>could</w:t>
      </w:r>
      <w:r>
        <w:t xml:space="preserve"> re-evaluate and restructure before the rush of the Easter period. It soon became obvious that more accommodation was needed. Despite the chaos behind the scene, Sun City was praised by the South Africa media. This was vital, even though the facilities on offer were impressive and inviting, it is often the image portrayed by the media that persuades potential guests.</w:t>
      </w:r>
      <w:r>
        <w:rPr>
          <w:rStyle w:val="FootnoteReference"/>
        </w:rPr>
        <w:footnoteReference w:id="135"/>
      </w:r>
    </w:p>
    <w:p w14:paraId="5CFC2ED3" w14:textId="77777777" w:rsidR="00CD4878" w:rsidRDefault="00CD4878" w:rsidP="00CD4878">
      <w:r>
        <w:t>The first template for the casino resort concept blossomed in the 1950s in Las Vegas by offering guests a rel</w:t>
      </w:r>
      <w:r w:rsidR="00AA0B14">
        <w:t>atively inexpensive option for “sin without guilt”</w:t>
      </w:r>
      <w:r>
        <w:t xml:space="preserve">. It was marketed as a “safe vacation adventure for Middle America trapped in everyday lives of conservatism and conformity.” </w:t>
      </w:r>
      <w:r>
        <w:rPr>
          <w:rStyle w:val="FootnoteReference"/>
        </w:rPr>
        <w:footnoteReference w:id="136"/>
      </w:r>
      <w:r>
        <w:t xml:space="preserve"> Sun City was marketed to the white South Africans in similar ways. </w:t>
      </w:r>
      <w:r w:rsidRPr="009C408B">
        <w:t>Kerzner has openly admitted to modelling Sun City on Las Vegas and given</w:t>
      </w:r>
      <w:r w:rsidR="00202C82">
        <w:t xml:space="preserve"> the </w:t>
      </w:r>
      <w:r w:rsidR="00756A84">
        <w:t>NP</w:t>
      </w:r>
      <w:r w:rsidR="00202C82">
        <w:t xml:space="preserve"> government’s</w:t>
      </w:r>
      <w:r w:rsidRPr="009C408B">
        <w:t xml:space="preserve"> Christian</w:t>
      </w:r>
      <w:r>
        <w:t xml:space="preserve"> doctrine and puritan ideology</w:t>
      </w:r>
      <w:r w:rsidRPr="009C408B">
        <w:t>, the lifestyle of conspicuous consumption which Kerzner marketed b</w:t>
      </w:r>
      <w:r>
        <w:t>ecame increasingly popular. White South Africans</w:t>
      </w:r>
      <w:r w:rsidRPr="009C408B">
        <w:t xml:space="preserve"> flocked to the Bophuthatswana bushveld for escapism and luxury consumption framed by themed spaces, including but not restricted to gambling venues. </w:t>
      </w:r>
    </w:p>
    <w:p w14:paraId="519D305D" w14:textId="2BB605B2" w:rsidR="00CD4878" w:rsidRDefault="00CD4878" w:rsidP="00CD4878">
      <w:r>
        <w:t>The Sun City casino and resort was achieved through the commodification of the African and</w:t>
      </w:r>
      <w:r w:rsidR="006E1114">
        <w:t xml:space="preserve"> South African heritage. </w:t>
      </w:r>
      <w:r>
        <w:t>Hall</w:t>
      </w:r>
      <w:r w:rsidR="006E1114">
        <w:t xml:space="preserve"> and </w:t>
      </w:r>
      <w:r w:rsidR="006E1114" w:rsidRPr="006E1114">
        <w:t>Bombardella</w:t>
      </w:r>
      <w:r>
        <w:t xml:space="preserve"> describe heritage as “mobilisation of culture in the service of the present” and refers to Sun City as the re-appropriation of Africa. Heritage was repurposed to attract tourists to make a profit.  The experiential economy of Sun City became centred on the amalgamation of entertainment, security, stimulation and simulation as well as the perception of a new and unique experience. Often these resorts are marketed at customers that are aware of the reproduction of heritage and know that the environment is replicated and not authentic. The success of such a destination then </w:t>
      </w:r>
      <w:r w:rsidR="00096A45">
        <w:t>centres</w:t>
      </w:r>
      <w:r>
        <w:t xml:space="preserve"> o</w:t>
      </w:r>
      <w:r w:rsidR="00396630">
        <w:t>n</w:t>
      </w:r>
      <w:r>
        <w:t xml:space="preserve"> the sophistication and grandiose nature of the environment. This done without the constraints of factual history.</w:t>
      </w:r>
      <w:r>
        <w:rPr>
          <w:rStyle w:val="FootnoteReference"/>
        </w:rPr>
        <w:footnoteReference w:id="137"/>
      </w:r>
      <w:r>
        <w:t xml:space="preserve"> </w:t>
      </w:r>
    </w:p>
    <w:p w14:paraId="16554637" w14:textId="77777777" w:rsidR="00CD4878" w:rsidRDefault="00CD4878" w:rsidP="00CD4878">
      <w:r>
        <w:lastRenderedPageBreak/>
        <w:t>Sun City wi</w:t>
      </w:r>
      <w:r w:rsidR="00AA0B14">
        <w:t>th the generic reproduction of “Africa”</w:t>
      </w:r>
      <w:r>
        <w:t xml:space="preserve"> served as the perfect space for Bophuthatswana to draw tourists and legitimise its independence. Opulence was paramount and guests were introduced to the extravagant lifestyle from the start; the entrance was ordained with mirrors, lights, fountains, tropical plants and a spacecraft-like bar suspended over the slot machines. The hotel and casino were the first to be completed in 1979, totalling </w:t>
      </w:r>
      <w:r w:rsidR="00307D9E">
        <w:t>a cost of R30 million. The six-</w:t>
      </w:r>
      <w:r>
        <w:t>storey main hotel had a lobby the s</w:t>
      </w:r>
      <w:r w:rsidR="006F3AD9">
        <w:t>i</w:t>
      </w:r>
      <w:r w:rsidR="00307D9E">
        <w:t>z</w:t>
      </w:r>
      <w:r w:rsidR="006F3AD9">
        <w:t>e</w:t>
      </w:r>
      <w:r>
        <w:t xml:space="preserve"> of a soccer field, four glass elevators imported from the Hyatt Regency in San Francisco and four restaurants.</w:t>
      </w:r>
      <w:r>
        <w:rPr>
          <w:rStyle w:val="FootnoteReference"/>
        </w:rPr>
        <w:footnoteReference w:id="138"/>
      </w:r>
      <w:r>
        <w:t xml:space="preserve"> The casino held 300 specialised slot machines as well as 38 American roulette tables - the largest amount outside of the United States. </w:t>
      </w:r>
    </w:p>
    <w:p w14:paraId="60736B12" w14:textId="77777777" w:rsidR="00CD4878" w:rsidRPr="0084354A" w:rsidRDefault="00CD4878" w:rsidP="00CD4878">
      <w:pPr>
        <w:rPr>
          <w:color w:val="0563C1" w:themeColor="hyperlink"/>
          <w:u w:val="single"/>
        </w:rPr>
      </w:pPr>
      <w:r>
        <w:t>The black elites and bureaucrats in Bophuthatswana enjoyed the facilities on offer at the Sun City resort. Mangope and Bophuthatswana officials directly benefitted from the establishment of a casino resort in the bantustan. This was not only on a political and economic level through government coffers, but through personal perks such as complimentary hotel rooms and holidays.</w:t>
      </w:r>
      <w:r w:rsidR="00510F3F">
        <w:t xml:space="preserve"> </w:t>
      </w:r>
      <w:r>
        <w:t>The presidential suite at the Mmabatho Sun was continuously reserved for Mangope. The Southern Sun hotel group charged Mangope a special rate of R20 per night.</w:t>
      </w:r>
      <w:r>
        <w:rPr>
          <w:rStyle w:val="FootnoteReference"/>
        </w:rPr>
        <w:footnoteReference w:id="139"/>
      </w:r>
      <w:r>
        <w:t xml:space="preserve"> A block of five rooms was also held for the use of the president and his cabinet. Peter Wagner, the General Manager of Sun City during the 1980s, served as the Bophuthatswana government</w:t>
      </w:r>
      <w:r w:rsidR="006E1114">
        <w:t>’s</w:t>
      </w:r>
      <w:r>
        <w:t xml:space="preserve"> personal correspondent in arranging accommodation and entertainment at Sun City.</w:t>
      </w:r>
      <w:r>
        <w:rPr>
          <w:rStyle w:val="FootnoteReference"/>
        </w:rPr>
        <w:footnoteReference w:id="140"/>
      </w:r>
      <w:r>
        <w:t xml:space="preserve"> The rooms were charged at R10 per person and Sun City employed strict regulations on the holidaying </w:t>
      </w:r>
      <w:r w:rsidR="006E1114">
        <w:t xml:space="preserve">government </w:t>
      </w:r>
      <w:r>
        <w:t>officials according to Wagner. These included time deadlines for bookings, documentation for prior approval and strict rules regarding the number of guests. These instructions were outlined in a letter from Wagner to Mangope’s secretary Jerry Reid prior to the arrival of sojourning bureaucrats, including the Secretary for Economic Affairs, over the Christmas period of 1980.</w:t>
      </w:r>
      <w:r>
        <w:rPr>
          <w:rStyle w:val="FootnoteReference"/>
        </w:rPr>
        <w:footnoteReference w:id="141"/>
      </w:r>
      <w:r>
        <w:t xml:space="preserve"> </w:t>
      </w:r>
    </w:p>
    <w:p w14:paraId="46DF6921" w14:textId="77777777" w:rsidR="00CD4878" w:rsidRPr="00CD4878" w:rsidRDefault="00CD4878" w:rsidP="00CD4878">
      <w:r w:rsidRPr="00CD4878">
        <w:rPr>
          <w:rStyle w:val="Hyperlink"/>
          <w:color w:val="auto"/>
          <w:u w:val="none"/>
        </w:rPr>
        <w:t xml:space="preserve">In 1988, an attempt was made to oust President Lucas Mangope by the leader of Bophuthatswana’s opposition party, </w:t>
      </w:r>
      <w:r w:rsidR="006E1114">
        <w:rPr>
          <w:rStyle w:val="Hyperlink"/>
          <w:color w:val="auto"/>
          <w:u w:val="none"/>
        </w:rPr>
        <w:t xml:space="preserve">the </w:t>
      </w:r>
      <w:r w:rsidRPr="00CD4878">
        <w:rPr>
          <w:rStyle w:val="Hyperlink"/>
          <w:color w:val="auto"/>
          <w:u w:val="none"/>
        </w:rPr>
        <w:t xml:space="preserve">Progressive’s Peoples Party, Rocky Maleba-Metsing. Years later, many residents of the former bantustan joked and regaled unsubstantiated stories about the whereabouts of Mangope during the rebel attacks. The myth </w:t>
      </w:r>
      <w:r w:rsidR="00585C93">
        <w:rPr>
          <w:rStyle w:val="Hyperlink"/>
          <w:color w:val="auto"/>
          <w:u w:val="none"/>
        </w:rPr>
        <w:t>went</w:t>
      </w:r>
      <w:r w:rsidRPr="00CD4878">
        <w:rPr>
          <w:rStyle w:val="Hyperlink"/>
          <w:color w:val="auto"/>
          <w:u w:val="none"/>
        </w:rPr>
        <w:t xml:space="preserve"> that he and his </w:t>
      </w:r>
      <w:r w:rsidRPr="00CD4878">
        <w:rPr>
          <w:rStyle w:val="Hyperlink"/>
          <w:color w:val="auto"/>
          <w:u w:val="none"/>
        </w:rPr>
        <w:lastRenderedPageBreak/>
        <w:t>mistress were hauled embarrassingly from their suite at one of Kerzner’s casino hotels to safety.</w:t>
      </w:r>
      <w:r w:rsidRPr="00CD4878">
        <w:rPr>
          <w:rStyle w:val="FootnoteReference"/>
        </w:rPr>
        <w:footnoteReference w:id="142"/>
      </w:r>
      <w:r w:rsidRPr="00CD4878">
        <w:rPr>
          <w:rStyle w:val="Hyperlink"/>
          <w:color w:val="auto"/>
          <w:u w:val="none"/>
        </w:rPr>
        <w:t xml:space="preserve"> </w:t>
      </w:r>
    </w:p>
    <w:p w14:paraId="03D0FDCB" w14:textId="77777777" w:rsidR="00CD4878" w:rsidRDefault="00CD4878" w:rsidP="00CD4878">
      <w:pPr>
        <w:pStyle w:val="Heading2"/>
        <w:numPr>
          <w:ilvl w:val="0"/>
          <w:numId w:val="0"/>
        </w:numPr>
      </w:pPr>
      <w:bookmarkStart w:id="25" w:name="_Toc459702961"/>
      <w:bookmarkStart w:id="26" w:name="_Toc488481708"/>
      <w:r>
        <w:t>Conclusion</w:t>
      </w:r>
      <w:bookmarkEnd w:id="25"/>
      <w:bookmarkEnd w:id="26"/>
    </w:p>
    <w:p w14:paraId="03A51051" w14:textId="77777777" w:rsidR="00510F3F" w:rsidRDefault="00CD4878" w:rsidP="00510F3F">
      <w:r>
        <w:t>With investments from major South African firms</w:t>
      </w:r>
      <w:r w:rsidR="00510F3F">
        <w:t>,</w:t>
      </w:r>
      <w:r>
        <w:t xml:space="preserve"> such as</w:t>
      </w:r>
      <w:r w:rsidR="00510F3F">
        <w:t xml:space="preserve"> SAB, and government entities, </w:t>
      </w:r>
      <w:r>
        <w:t xml:space="preserve">Kerzner </w:t>
      </w:r>
      <w:r w:rsidR="00510F3F">
        <w:t>built</w:t>
      </w:r>
      <w:r>
        <w:t xml:space="preserve"> a</w:t>
      </w:r>
      <w:r w:rsidR="00510F3F">
        <w:t xml:space="preserve"> hotel empire in the bantustans. Kerzner</w:t>
      </w:r>
      <w:r w:rsidR="006B6FF4">
        <w:t xml:space="preserve">’s presence impacted </w:t>
      </w:r>
      <w:r w:rsidR="00510F3F">
        <w:t xml:space="preserve">the area through his political ties to individuals such as Mangope. Additionally, the economic impact of the casino was significant for the area through the promised employment, tax benefits and tourism increases. </w:t>
      </w:r>
      <w:r w:rsidR="00510F3F" w:rsidRPr="00510F3F">
        <w:t>Sun City</w:t>
      </w:r>
      <w:r w:rsidR="00510F3F">
        <w:t>,</w:t>
      </w:r>
      <w:r w:rsidR="00510F3F" w:rsidRPr="00510F3F">
        <w:t xml:space="preserve"> with the generic rep</w:t>
      </w:r>
      <w:r w:rsidR="002837EB">
        <w:t>resentation</w:t>
      </w:r>
      <w:r w:rsidR="00AA0B14">
        <w:t xml:space="preserve"> of “</w:t>
      </w:r>
      <w:r w:rsidR="00510F3F" w:rsidRPr="00510F3F">
        <w:t>Afr</w:t>
      </w:r>
      <w:r w:rsidR="00AA0B14">
        <w:t>ica”</w:t>
      </w:r>
      <w:r w:rsidR="00510F3F">
        <w:t>,</w:t>
      </w:r>
      <w:r w:rsidR="00510F3F" w:rsidRPr="00510F3F">
        <w:t xml:space="preserve"> served as the perfect space for Bophuthatswana to draw tourists and legitimise its independence</w:t>
      </w:r>
      <w:r w:rsidR="00510F3F">
        <w:t>.</w:t>
      </w:r>
      <w:r w:rsidR="00510F3F" w:rsidRPr="00510F3F">
        <w:t xml:space="preserve"> Sun City furthered the aims of the NP through its promotion of Mangope’s ethno</w:t>
      </w:r>
      <w:r w:rsidR="00510F3F">
        <w:t>-</w:t>
      </w:r>
      <w:r w:rsidR="00510F3F" w:rsidRPr="00510F3F">
        <w:t xml:space="preserve">nationalist project. </w:t>
      </w:r>
    </w:p>
    <w:p w14:paraId="6E6FB669" w14:textId="77777777" w:rsidR="00CD4878" w:rsidRDefault="00510F3F" w:rsidP="00CD4878">
      <w:r>
        <w:t>Sun City brought</w:t>
      </w:r>
      <w:r w:rsidR="00CD4878">
        <w:t xml:space="preserve"> subst</w:t>
      </w:r>
      <w:r>
        <w:t>antial changes to the landscape of Bophuthatswana</w:t>
      </w:r>
      <w:r w:rsidR="00CD4878">
        <w:t>. The areas surrounding Sun City saw development in the form of infrastructure and technological advancements through phone exchanges, new roads, expansion of water and electricity</w:t>
      </w:r>
      <w:r>
        <w:t xml:space="preserve"> supplies and government buildings. </w:t>
      </w:r>
      <w:r w:rsidR="00CD4878">
        <w:t xml:space="preserve">However, this infrastructure was for the benefit of Sun City guests and not for the development of the surrounding areas. The </w:t>
      </w:r>
      <w:r>
        <w:t>residents</w:t>
      </w:r>
      <w:r w:rsidR="00CD4878">
        <w:t xml:space="preserve"> of Bophuthatswana did not benefit from the upgrades to the town of Heystekrand. </w:t>
      </w:r>
      <w:r w:rsidR="002837EB">
        <w:t xml:space="preserve">The money that was pouring into Sun City would only benefit the political elite of Bophuthatswana and the Southern Sun business men.  </w:t>
      </w:r>
    </w:p>
    <w:p w14:paraId="4EB5C2D2" w14:textId="77777777" w:rsidR="00CD4878" w:rsidRDefault="00CD4878" w:rsidP="00CD4878"/>
    <w:p w14:paraId="2DFFC2B0" w14:textId="77777777" w:rsidR="00CD4878" w:rsidRDefault="00CD4878" w:rsidP="00CD4878"/>
    <w:p w14:paraId="47DCAFF4" w14:textId="77777777" w:rsidR="002B55DA" w:rsidRDefault="002B55DA">
      <w:pPr>
        <w:spacing w:line="259" w:lineRule="auto"/>
        <w:jc w:val="left"/>
        <w:rPr>
          <w:rFonts w:eastAsiaTheme="majorEastAsia" w:cstheme="majorBidi"/>
          <w:b/>
          <w:bCs/>
          <w:smallCaps/>
          <w:color w:val="000000" w:themeColor="text1"/>
          <w:sz w:val="28"/>
          <w:szCs w:val="36"/>
        </w:rPr>
      </w:pPr>
      <w:bookmarkStart w:id="27" w:name="_Toc459702962"/>
      <w:r>
        <w:br w:type="page"/>
      </w:r>
    </w:p>
    <w:p w14:paraId="7857118F" w14:textId="77777777" w:rsidR="00CD4878" w:rsidRPr="00D25889" w:rsidRDefault="00CD4878" w:rsidP="00CD4878">
      <w:pPr>
        <w:pStyle w:val="Heading1"/>
        <w:numPr>
          <w:ilvl w:val="0"/>
          <w:numId w:val="0"/>
        </w:numPr>
        <w:jc w:val="center"/>
      </w:pPr>
      <w:bookmarkStart w:id="28" w:name="_Toc488481709"/>
      <w:r>
        <w:lastRenderedPageBreak/>
        <w:t xml:space="preserve">CHAPTER TWO: </w:t>
      </w:r>
      <w:r w:rsidRPr="006F53F5">
        <w:rPr>
          <w:i/>
        </w:rPr>
        <w:t>Employme</w:t>
      </w:r>
      <w:r>
        <w:rPr>
          <w:i/>
        </w:rPr>
        <w:t>nt and L</w:t>
      </w:r>
      <w:r w:rsidRPr="006F53F5">
        <w:rPr>
          <w:i/>
        </w:rPr>
        <w:t>abour</w:t>
      </w:r>
      <w:bookmarkEnd w:id="27"/>
      <w:bookmarkEnd w:id="28"/>
    </w:p>
    <w:p w14:paraId="3F4986B2" w14:textId="77777777" w:rsidR="00CD4878" w:rsidRPr="004C1DA3" w:rsidRDefault="00CD4878" w:rsidP="00CD4878">
      <w:pPr>
        <w:pStyle w:val="Heading2"/>
        <w:numPr>
          <w:ilvl w:val="0"/>
          <w:numId w:val="0"/>
        </w:numPr>
        <w:ind w:left="578" w:hanging="578"/>
      </w:pPr>
      <w:bookmarkStart w:id="29" w:name="_Toc459702963"/>
      <w:bookmarkStart w:id="30" w:name="_Toc488481710"/>
      <w:r w:rsidRPr="004C1DA3">
        <w:t>Introduction</w:t>
      </w:r>
      <w:bookmarkEnd w:id="29"/>
      <w:bookmarkEnd w:id="30"/>
    </w:p>
    <w:p w14:paraId="02C13C4D" w14:textId="77777777" w:rsidR="00CD4878" w:rsidRDefault="00CD4878" w:rsidP="00CD4878">
      <w:r>
        <w:t>Bophuthatswana became a tourist haven in the 1980s as Sol Kerzner cemented his hold on the South African tourist industry with the addition and expansion of facilities available at Sun City. As Kerzner marketed his idea of a homeland casino and resort to the BNDC, he drew heavily on ide</w:t>
      </w:r>
      <w:r w:rsidR="00AA0B14">
        <w:t>als of providing employment to “</w:t>
      </w:r>
      <w:r>
        <w:t xml:space="preserve">Tswana </w:t>
      </w:r>
      <w:r w:rsidR="00E86F93">
        <w:t>citizens</w:t>
      </w:r>
      <w:r w:rsidR="00AA0B14">
        <w:t>”</w:t>
      </w:r>
      <w:r>
        <w:t xml:space="preserve">. Sun City would need </w:t>
      </w:r>
      <w:r w:rsidR="006E1114">
        <w:t>workers</w:t>
      </w:r>
      <w:r>
        <w:t xml:space="preserve"> to function and Bophuthatswana suffered from a high unemployment rate. However, labour disputes would plague Sun City throughout the 1980s, despite intervention from</w:t>
      </w:r>
      <w:r w:rsidR="009B5C43">
        <w:t xml:space="preserve"> Bophuthatswana President,</w:t>
      </w:r>
      <w:r w:rsidR="00FA6A91">
        <w:t xml:space="preserve"> Lucas Ma</w:t>
      </w:r>
      <w:r>
        <w:t>n</w:t>
      </w:r>
      <w:r w:rsidR="00FA6A91">
        <w:t>g</w:t>
      </w:r>
      <w:r>
        <w:t>ope</w:t>
      </w:r>
      <w:r w:rsidR="009B5C43">
        <w:t>,</w:t>
      </w:r>
      <w:r>
        <w:t xml:space="preserve"> and his ministers as well as regular statements endorsing inclusiveness from Sun City’s managing directors.  </w:t>
      </w:r>
    </w:p>
    <w:p w14:paraId="4A32FD16" w14:textId="77777777" w:rsidR="00CD4878" w:rsidRDefault="00CD4878" w:rsidP="00CD4878">
      <w:r>
        <w:t xml:space="preserve">This chapter seeks to chronicle the story of employment at the Sun City resort through personal interviews with past and present employees in a variety of positions (from </w:t>
      </w:r>
      <w:r w:rsidR="009B5C43">
        <w:t>the levels managements</w:t>
      </w:r>
      <w:r>
        <w:t xml:space="preserve"> to service industry) at the casino resort. It will evaluate the position of employees, the availability of jobs and opportunities for upward promotion within the company. It will also delve into employee satisfaction and life at Sun City. The chapter draws on archival sources from the North-West provincial repository as well as Sun City staff publications. A database of employees has been compiled from manuscript sources found at the archive. This will be used to establish patterns and figures for salaries, employee demographics and the number of positions available. </w:t>
      </w:r>
    </w:p>
    <w:p w14:paraId="212407CB" w14:textId="77777777" w:rsidR="00CD4878" w:rsidRPr="00E86E98" w:rsidRDefault="00CD4878" w:rsidP="00CD4878">
      <w:pPr>
        <w:pStyle w:val="Heading2"/>
        <w:numPr>
          <w:ilvl w:val="0"/>
          <w:numId w:val="0"/>
        </w:numPr>
        <w:ind w:left="578" w:hanging="578"/>
      </w:pPr>
      <w:bookmarkStart w:id="31" w:name="_Toc488481711"/>
      <w:r>
        <w:t>Employment and Labour Disputes</w:t>
      </w:r>
      <w:bookmarkEnd w:id="31"/>
    </w:p>
    <w:p w14:paraId="7E4BB635" w14:textId="77777777" w:rsidR="00CD4878" w:rsidRDefault="00CD4878" w:rsidP="00CD4878">
      <w:r>
        <w:t>Since its inception, Sun City has provided employment to a wide range of workers from South Africa, Bophuthatswana, the other homelands and international immigrants. In 1977 Southern Sun estimated they would spend R3 850 000 on salaries and wages for their employees in 1980, which would constitute 32% of their proposed annual budget.</w:t>
      </w:r>
      <w:r>
        <w:rPr>
          <w:rStyle w:val="FootnoteReference"/>
        </w:rPr>
        <w:footnoteReference w:id="143"/>
      </w:r>
      <w:r>
        <w:t xml:space="preserve"> The construction company, Stewart, Sviridov and Oliver Consulting Engineers and Project Managers, calculated that 9800 workers were both drawn to the region and were used from the region for the construction of the resort and the surrounding infrastructure.</w:t>
      </w:r>
      <w:r>
        <w:rPr>
          <w:rStyle w:val="FootnoteReference"/>
        </w:rPr>
        <w:footnoteReference w:id="144"/>
      </w:r>
      <w:r>
        <w:t xml:space="preserve"> In 1985, Sun City employed approximately 3 000 people and </w:t>
      </w:r>
      <w:r w:rsidR="006E1114">
        <w:t xml:space="preserve">the </w:t>
      </w:r>
      <w:r>
        <w:t>resort</w:t>
      </w:r>
      <w:r w:rsidR="006E1114">
        <w:t>’s</w:t>
      </w:r>
      <w:r>
        <w:t xml:space="preserve"> management estimated that 5 times as many people gained indirect employment from the resort. Examples of </w:t>
      </w:r>
      <w:r w:rsidR="006E1114">
        <w:t>this</w:t>
      </w:r>
      <w:r>
        <w:t xml:space="preserve"> include </w:t>
      </w:r>
      <w:r>
        <w:lastRenderedPageBreak/>
        <w:t xml:space="preserve">the neighbouring game reserve, the surrounding hotels which accommodation overflow guests, retail stores outside the resort, transportation to the resort and industries such as water works, electricity, telephones and the postal service. </w:t>
      </w:r>
      <w:r>
        <w:rPr>
          <w:rStyle w:val="FootnoteReference"/>
        </w:rPr>
        <w:footnoteReference w:id="145"/>
      </w:r>
      <w:r>
        <w:t xml:space="preserve"> By 1987 Sun City was providing employment to 3300 workers, </w:t>
      </w:r>
      <w:r w:rsidR="009B5C43">
        <w:t>most</w:t>
      </w:r>
      <w:r>
        <w:t xml:space="preserve"> whom were Bophuthatswana residents. These employment figur</w:t>
      </w:r>
      <w:r w:rsidR="000C57FE">
        <w:t>es were based on a policy utilis</w:t>
      </w:r>
      <w:r>
        <w:t xml:space="preserve">ed by Sun City to employ persons from surrounding communities first. The casino resort helped to ease the unemployment rates in </w:t>
      </w:r>
      <w:r w:rsidR="009B5C43">
        <w:t xml:space="preserve">the surrounding </w:t>
      </w:r>
      <w:r>
        <w:t>areas such as Ledig, Mogwase and Chaneng, albeit marginally.</w:t>
      </w:r>
      <w:r>
        <w:rPr>
          <w:rStyle w:val="FootnoteReference"/>
        </w:rPr>
        <w:footnoteReference w:id="146"/>
      </w:r>
    </w:p>
    <w:p w14:paraId="399A09B0" w14:textId="77777777" w:rsidR="00CD4878" w:rsidRDefault="00CD4878" w:rsidP="00CD4878">
      <w:r>
        <w:t>However, the 1984 Keenan Report on the Pilanesberg National Game Park (and secondarily Sun City) suggested that the majority of skilled workers were drawn from the metropolitan regions of the Transvaal, rather than locally.</w:t>
      </w:r>
      <w:r>
        <w:rPr>
          <w:rStyle w:val="FootnoteReference"/>
        </w:rPr>
        <w:footnoteReference w:id="147"/>
      </w:r>
      <w:r w:rsidRPr="007074B9">
        <w:t xml:space="preserve"> </w:t>
      </w:r>
      <w:r>
        <w:t>Research by Manson and Mbenga showed that in 1984 unemployment in the nearby town of Ledig was high, but was below average for the region.</w:t>
      </w:r>
      <w:r>
        <w:rPr>
          <w:rStyle w:val="FootnoteReference"/>
        </w:rPr>
        <w:footnoteReference w:id="148"/>
      </w:r>
      <w:r>
        <w:t xml:space="preserve"> </w:t>
      </w:r>
      <w:r w:rsidR="006E1114">
        <w:t>As the previous chapter showed,</w:t>
      </w:r>
      <w:r>
        <w:t xml:space="preserve"> marketing the concept of a casino and hotel to BNDC, Sun International promoted Sun City as a source of employment for the area. Current employees at Sun City praise the resort for its role in alleviating unemployment during the years of homeland policy. This narrative is especially promoted by the Sun International Corporate Social Responsibility </w:t>
      </w:r>
      <w:r w:rsidR="009B5C43">
        <w:t xml:space="preserve">(CSR) </w:t>
      </w:r>
      <w:r>
        <w:t xml:space="preserve">unit.  </w:t>
      </w:r>
    </w:p>
    <w:p w14:paraId="65727748" w14:textId="77777777" w:rsidR="00CD4878" w:rsidRDefault="00CD4878" w:rsidP="00CD4878">
      <w:r>
        <w:t>By contrast, the residents of surrounding communities did not see Sun City as their saviour. They found wages at Sun City lower than those offered elsewhere, especially in places of employment closer to Rustenburg, and argued that the working conditions were arduous. In 1982 the workers brought their concerns to the general manager, Peter Wagner, as they felt the situation was of grave concern.</w:t>
      </w:r>
      <w:r w:rsidRPr="007F0AA3">
        <w:t xml:space="preserve"> </w:t>
      </w:r>
      <w:r>
        <w:t>Under Mangope’s government trade unions</w:t>
      </w:r>
      <w:r w:rsidR="009B5C43">
        <w:t xml:space="preserve"> were illegal in Bophuthatswana and this</w:t>
      </w:r>
      <w:r>
        <w:t xml:space="preserve"> led to a lack of representation and a space where workplace</w:t>
      </w:r>
      <w:r w:rsidR="009B5C43">
        <w:t xml:space="preserve"> disputes</w:t>
      </w:r>
      <w:r>
        <w:t xml:space="preserve"> could be negotiated. Despite promises from Sun City</w:t>
      </w:r>
      <w:r w:rsidR="009B5C43">
        <w:t xml:space="preserve"> to the contrary</w:t>
      </w:r>
      <w:r>
        <w:t>, their working conditions did not improve.  A delegation</w:t>
      </w:r>
      <w:r w:rsidR="006E1114">
        <w:t xml:space="preserve"> of workers</w:t>
      </w:r>
      <w:r>
        <w:t xml:space="preserve"> from Sun City then approached Mangope directly. Initially the president appeared sympathetic and sent his then Minister of Manpower, Rowan Cronje, to investigate the work conditions at Sun City.</w:t>
      </w:r>
      <w:r>
        <w:rPr>
          <w:rStyle w:val="FootnoteReference"/>
        </w:rPr>
        <w:footnoteReference w:id="149"/>
      </w:r>
      <w:r>
        <w:t xml:space="preserve"> This was done through the establishment of a workers’ representative committee. However, due to a perceived lack of legitimacy and support from Mangope’s government, the committee failed </w:t>
      </w:r>
      <w:r>
        <w:lastRenderedPageBreak/>
        <w:t>to bring about any change. A further attempt was made later in 1982 to bring the issue of employment conditions to the attention of Mangope and the Bophuthatswana government with no success. The Sun City workers’ delegation was then accused of being influenced by Dr Nthato Motlana’s Soweto Committee of Ten. Motlana</w:t>
      </w:r>
      <w:r w:rsidR="006E1114">
        <w:t xml:space="preserve"> was an anti-apartheid activist and</w:t>
      </w:r>
      <w:r>
        <w:t xml:space="preserve"> a member of the underground ANC. The Soweto Committee of Ten was a civic organisation that aimed to run Soweto after the collapse of its council in 1978. The group had gone to the press about the harsh working conditions and </w:t>
      </w:r>
      <w:r w:rsidR="006B6FF4" w:rsidRPr="006B6FF4">
        <w:t>relatively low wages</w:t>
      </w:r>
      <w:r w:rsidR="006B6FF4" w:rsidRPr="006B6FF4" w:rsidDel="006B6FF4">
        <w:t xml:space="preserve"> </w:t>
      </w:r>
      <w:r>
        <w:t>at Sun City.  The negative publicity upset Mangope and with his support Wagner fired five of the workers’ delegates. This was proof to the Sun City employees and the surrounding communities that Bophuthatswana and by extension Sun City was indifferent to their predicament.</w:t>
      </w:r>
      <w:r>
        <w:rPr>
          <w:rStyle w:val="FootnoteReference"/>
        </w:rPr>
        <w:footnoteReference w:id="150"/>
      </w:r>
    </w:p>
    <w:p w14:paraId="7356F6E5" w14:textId="77777777" w:rsidR="00CD4878" w:rsidRDefault="00CD4878" w:rsidP="00CD4878">
      <w:pPr>
        <w:rPr>
          <w:rStyle w:val="PageNumber"/>
        </w:rPr>
      </w:pPr>
      <w:r>
        <w:rPr>
          <w:rStyle w:val="PageNumber"/>
        </w:rPr>
        <w:t xml:space="preserve">Throughout the 1980s and into the 1990s, local residents continued to dissent against the working conditions at Sun City, especially the lengthy hours without overtime pay. </w:t>
      </w:r>
      <w:r w:rsidR="00F51C11" w:rsidRPr="00F51C11">
        <w:rPr>
          <w:rStyle w:val="PageNumber"/>
        </w:rPr>
        <w:t xml:space="preserve">In the eyes of the workers and detractors alike, Sun City’s image </w:t>
      </w:r>
      <w:r>
        <w:rPr>
          <w:rStyle w:val="PageNumber"/>
        </w:rPr>
        <w:t xml:space="preserve"> was tarnished by labour disputes during its first several years of operation. Mangope’s government intervened to suppress these labour disputes on more than one occasion, which gave the workers the impression that Mangope was “in Kerzner’s pocket”.</w:t>
      </w:r>
      <w:r>
        <w:rPr>
          <w:rStyle w:val="FootnoteReference"/>
        </w:rPr>
        <w:footnoteReference w:id="151"/>
      </w:r>
    </w:p>
    <w:p w14:paraId="6A4AA50D" w14:textId="77777777" w:rsidR="00CD4878" w:rsidRDefault="006E1114" w:rsidP="00CD4878">
      <w:pPr>
        <w:pStyle w:val="Heading2"/>
        <w:numPr>
          <w:ilvl w:val="0"/>
          <w:numId w:val="0"/>
        </w:numPr>
        <w:ind w:left="578" w:hanging="578"/>
      </w:pPr>
      <w:bookmarkStart w:id="32" w:name="_Toc488481712"/>
      <w:r>
        <w:t>E</w:t>
      </w:r>
      <w:r w:rsidR="002817A0">
        <w:t>mployee</w:t>
      </w:r>
      <w:r>
        <w:t xml:space="preserve"> </w:t>
      </w:r>
      <w:r w:rsidR="001E6E29">
        <w:t>Analysis</w:t>
      </w:r>
      <w:bookmarkEnd w:id="32"/>
    </w:p>
    <w:p w14:paraId="4CAAD949" w14:textId="77777777" w:rsidR="00CD4878" w:rsidRDefault="00CD4878" w:rsidP="00CD4878">
      <w:pPr>
        <w:rPr>
          <w:rStyle w:val="PageNumber"/>
        </w:rPr>
      </w:pPr>
      <w:r>
        <w:rPr>
          <w:rStyle w:val="PageNumber"/>
        </w:rPr>
        <w:t xml:space="preserve">In 1982 Lucas Mangope requested a list of all individuals employed at Sun International casinos in Bophuthatswana. The reason for this is unclear but the list provides a detailed account of individuals employed by Sun International. A database </w:t>
      </w:r>
      <w:r w:rsidR="006E1114">
        <w:rPr>
          <w:rStyle w:val="PageNumber"/>
        </w:rPr>
        <w:t>of employee information for the year of 1984 was</w:t>
      </w:r>
      <w:r>
        <w:rPr>
          <w:rStyle w:val="PageNumber"/>
        </w:rPr>
        <w:t xml:space="preserve"> created from documents sent to Mangope’s office, which ar</w:t>
      </w:r>
      <w:r w:rsidR="006E1114">
        <w:rPr>
          <w:rStyle w:val="PageNumber"/>
        </w:rPr>
        <w:t>e currently housed in the North-West Provincial A</w:t>
      </w:r>
      <w:r>
        <w:rPr>
          <w:rStyle w:val="PageNumber"/>
        </w:rPr>
        <w:t>rchives in Mafiken</w:t>
      </w:r>
      <w:r w:rsidR="00396630">
        <w:rPr>
          <w:rStyle w:val="PageNumber"/>
        </w:rPr>
        <w:t>g.</w:t>
      </w:r>
      <w:r w:rsidRPr="00396630">
        <w:rPr>
          <w:rStyle w:val="PageNumber"/>
          <w:vertAlign w:val="superscript"/>
        </w:rPr>
        <w:footnoteReference w:id="152"/>
      </w:r>
      <w:r w:rsidRPr="00396630">
        <w:rPr>
          <w:rStyle w:val="PageNumber"/>
          <w:vertAlign w:val="superscript"/>
        </w:rPr>
        <w:t xml:space="preserve"> </w:t>
      </w:r>
      <w:r>
        <w:rPr>
          <w:rStyle w:val="PageNumber"/>
        </w:rPr>
        <w:t xml:space="preserve">A variety of information can be gleaned from these documents, despite the list comprising only individuals employed in the year 1982. The </w:t>
      </w:r>
      <w:r w:rsidRPr="005B702A">
        <w:rPr>
          <w:rStyle w:val="PageNumber"/>
        </w:rPr>
        <w:t>employees were classified according to apartheid South Africa’s racial and ethnic categories in line with h</w:t>
      </w:r>
      <w:r w:rsidR="00FF6FCC" w:rsidRPr="005B702A">
        <w:rPr>
          <w:rStyle w:val="PageNumber"/>
        </w:rPr>
        <w:t>omel</w:t>
      </w:r>
      <w:r w:rsidR="006E1114" w:rsidRPr="005B702A">
        <w:rPr>
          <w:rStyle w:val="PageNumber"/>
        </w:rPr>
        <w:t>and designation. (refer to appendix</w:t>
      </w:r>
      <w:r w:rsidR="00FF6FCC" w:rsidRPr="005B702A">
        <w:rPr>
          <w:rStyle w:val="PageNumber"/>
        </w:rPr>
        <w:t>).</w:t>
      </w:r>
    </w:p>
    <w:p w14:paraId="515E9F22" w14:textId="77777777" w:rsidR="00CD4878" w:rsidRDefault="00CD4878" w:rsidP="00CD4878">
      <w:pPr>
        <w:rPr>
          <w:rStyle w:val="PageNumber"/>
        </w:rPr>
      </w:pPr>
      <w:r>
        <w:rPr>
          <w:rStyle w:val="PageNumber"/>
        </w:rPr>
        <w:t>In 1982 Sun City employed a total of 3129 employees. Workers</w:t>
      </w:r>
      <w:r w:rsidR="00AA0B14">
        <w:rPr>
          <w:rStyle w:val="PageNumber"/>
        </w:rPr>
        <w:t xml:space="preserve"> classified as “Tswana”</w:t>
      </w:r>
      <w:r>
        <w:rPr>
          <w:rStyle w:val="PageNumber"/>
        </w:rPr>
        <w:t xml:space="preserve"> made up a total of 42% of the employees, </w:t>
      </w:r>
      <w:r w:rsidR="001E6E29">
        <w:rPr>
          <w:rStyle w:val="PageNumber"/>
        </w:rPr>
        <w:t>most</w:t>
      </w:r>
      <w:r>
        <w:rPr>
          <w:rStyle w:val="PageNumber"/>
        </w:rPr>
        <w:t xml:space="preserve"> whom were in the service industry and manual labour positions. Most of the supervisors and the top tier management were white South </w:t>
      </w:r>
      <w:r>
        <w:rPr>
          <w:rStyle w:val="PageNumber"/>
        </w:rPr>
        <w:lastRenderedPageBreak/>
        <w:t xml:space="preserve">Africans and Europeans, coming in at 97%. Only four black individuals were employed in </w:t>
      </w:r>
      <w:r w:rsidR="001E6E29">
        <w:rPr>
          <w:rStyle w:val="PageNumber"/>
        </w:rPr>
        <w:t>supervisory roles and no black individuals</w:t>
      </w:r>
      <w:r>
        <w:rPr>
          <w:rStyle w:val="PageNumber"/>
        </w:rPr>
        <w:t xml:space="preserve"> were employed in top management positions. Four supervisors of </w:t>
      </w:r>
      <w:r w:rsidR="00AA0B14">
        <w:rPr>
          <w:rStyle w:val="PageNumber"/>
        </w:rPr>
        <w:t>colour were employed: two were “Tswana”, one was “Xhosa”</w:t>
      </w:r>
      <w:r>
        <w:rPr>
          <w:rStyle w:val="PageNumber"/>
        </w:rPr>
        <w:t xml:space="preserve"> and one was Indian (</w:t>
      </w:r>
      <w:r w:rsidR="001E6E29">
        <w:rPr>
          <w:rStyle w:val="PageNumber"/>
        </w:rPr>
        <w:t>refer to T</w:t>
      </w:r>
      <w:r w:rsidR="006E1114">
        <w:rPr>
          <w:rStyle w:val="PageNumber"/>
        </w:rPr>
        <w:t>able</w:t>
      </w:r>
      <w:r>
        <w:rPr>
          <w:rStyle w:val="PageNumber"/>
        </w:rPr>
        <w:t xml:space="preserve"> 3</w:t>
      </w:r>
      <w:r w:rsidR="001E6E29">
        <w:rPr>
          <w:rStyle w:val="PageNumber"/>
        </w:rPr>
        <w:t xml:space="preserve"> in the appendix</w:t>
      </w:r>
      <w:r>
        <w:rPr>
          <w:rStyle w:val="PageNumber"/>
        </w:rPr>
        <w:t xml:space="preserve">). </w:t>
      </w:r>
      <w:r w:rsidR="001E6E29">
        <w:rPr>
          <w:rStyle w:val="PageNumber"/>
        </w:rPr>
        <w:t xml:space="preserve"> Sun City employed</w:t>
      </w:r>
      <w:r>
        <w:rPr>
          <w:rStyle w:val="PageNumber"/>
        </w:rPr>
        <w:t xml:space="preserve"> 79 permanent waiters with starting salaries of R85 </w:t>
      </w:r>
      <w:r w:rsidR="001E6E29">
        <w:rPr>
          <w:rStyle w:val="PageNumber"/>
        </w:rPr>
        <w:t>with an average</w:t>
      </w:r>
      <w:r>
        <w:rPr>
          <w:rStyle w:val="PageNumber"/>
        </w:rPr>
        <w:t xml:space="preserve"> </w:t>
      </w:r>
      <w:r w:rsidR="001E6E29">
        <w:rPr>
          <w:rStyle w:val="PageNumber"/>
        </w:rPr>
        <w:t xml:space="preserve">of </w:t>
      </w:r>
      <w:r>
        <w:rPr>
          <w:rStyle w:val="PageNumber"/>
        </w:rPr>
        <w:t xml:space="preserve">R134. 58% of the waiters were from Bophuthatswana and classified as Tswana </w:t>
      </w:r>
      <w:r w:rsidR="00E86F93">
        <w:rPr>
          <w:rStyle w:val="PageNumber"/>
        </w:rPr>
        <w:t>citizens</w:t>
      </w:r>
      <w:r>
        <w:rPr>
          <w:rStyle w:val="PageNumber"/>
        </w:rPr>
        <w:t>. None of the headwaiters employed were from Bophuthatswana, and the majority were Indian and Swazi, earning from R200 to R340 per month (</w:t>
      </w:r>
      <w:r w:rsidR="006E1114">
        <w:rPr>
          <w:rStyle w:val="PageNumber"/>
        </w:rPr>
        <w:t xml:space="preserve">refer to </w:t>
      </w:r>
      <w:r w:rsidR="001E6E29">
        <w:rPr>
          <w:rStyle w:val="PageNumber"/>
        </w:rPr>
        <w:t>T</w:t>
      </w:r>
      <w:r w:rsidR="006E1114">
        <w:rPr>
          <w:rStyle w:val="PageNumber"/>
        </w:rPr>
        <w:t>able</w:t>
      </w:r>
      <w:r>
        <w:rPr>
          <w:rStyle w:val="PageNumber"/>
        </w:rPr>
        <w:t xml:space="preserve"> 4</w:t>
      </w:r>
      <w:r w:rsidR="001E6E29">
        <w:rPr>
          <w:rStyle w:val="PageNumber"/>
        </w:rPr>
        <w:t xml:space="preserve"> in the appendix</w:t>
      </w:r>
      <w:r>
        <w:rPr>
          <w:rStyle w:val="PageNumber"/>
        </w:rPr>
        <w:t>).</w:t>
      </w:r>
      <w:r w:rsidR="001E6E29">
        <w:rPr>
          <w:rStyle w:val="PageNumber"/>
        </w:rPr>
        <w:t xml:space="preserve"> </w:t>
      </w:r>
      <w:r>
        <w:rPr>
          <w:rStyle w:val="PageNumber"/>
        </w:rPr>
        <w:t xml:space="preserve"> </w:t>
      </w:r>
    </w:p>
    <w:p w14:paraId="360BBE7C" w14:textId="77777777" w:rsidR="00CD4878" w:rsidRDefault="00CD4878" w:rsidP="00CD4878">
      <w:pPr>
        <w:rPr>
          <w:rStyle w:val="PageNumber"/>
        </w:rPr>
      </w:pPr>
      <w:r>
        <w:rPr>
          <w:rStyle w:val="PageNumber"/>
        </w:rPr>
        <w:t>In c</w:t>
      </w:r>
      <w:r w:rsidR="00AA0B14">
        <w:rPr>
          <w:rStyle w:val="PageNumber"/>
        </w:rPr>
        <w:t>omparison to their colleagues, “Tswana”</w:t>
      </w:r>
      <w:r>
        <w:rPr>
          <w:rStyle w:val="PageNumber"/>
        </w:rPr>
        <w:t xml:space="preserve"> workers were </w:t>
      </w:r>
      <w:r w:rsidR="006E1114">
        <w:rPr>
          <w:rStyle w:val="PageNumber"/>
        </w:rPr>
        <w:t>paid less</w:t>
      </w:r>
      <w:r>
        <w:rPr>
          <w:rStyle w:val="PageNumber"/>
        </w:rPr>
        <w:t xml:space="preserve"> for their work at Sun City. The figures suggest that Sun International preferred to employ and promote white workers first and individuals of colo</w:t>
      </w:r>
      <w:r w:rsidR="00AA0B14">
        <w:rPr>
          <w:rStyle w:val="PageNumber"/>
        </w:rPr>
        <w:t>ur that were not classified as “</w:t>
      </w:r>
      <w:r>
        <w:rPr>
          <w:rStyle w:val="PageNumber"/>
        </w:rPr>
        <w:t xml:space="preserve">Tswana </w:t>
      </w:r>
      <w:r w:rsidR="00E86F93">
        <w:rPr>
          <w:rStyle w:val="PageNumber"/>
        </w:rPr>
        <w:t>citizens</w:t>
      </w:r>
      <w:r w:rsidR="00AA0B14">
        <w:rPr>
          <w:rStyle w:val="PageNumber"/>
        </w:rPr>
        <w:t>”</w:t>
      </w:r>
      <w:r w:rsidR="006E1114">
        <w:rPr>
          <w:rStyle w:val="PageNumber"/>
        </w:rPr>
        <w:t xml:space="preserve">. This pattern continued in the Sun City restaurant </w:t>
      </w:r>
      <w:r>
        <w:rPr>
          <w:rStyle w:val="PageNumber"/>
        </w:rPr>
        <w:t xml:space="preserve">kitchens, where employees brought in from outside Bophuthatswana earned more than those classified as Tswana. The average salary earned by kitchen staff </w:t>
      </w:r>
      <w:r w:rsidR="001E6E29">
        <w:rPr>
          <w:rStyle w:val="PageNumber"/>
        </w:rPr>
        <w:t>was</w:t>
      </w:r>
      <w:r>
        <w:rPr>
          <w:rStyle w:val="PageNumber"/>
        </w:rPr>
        <w:t xml:space="preserve"> R197, while the average salary for Tswana kitchen employees was R105. Therefore, on average a non-Tswana kitchen employee received almost double the wages compared to a Bophuthatswana employee, depending on rank. As in other departments, Indian and Coloured staff members held higher positions </w:t>
      </w:r>
      <w:r w:rsidR="006E1114">
        <w:rPr>
          <w:rStyle w:val="PageNumber"/>
        </w:rPr>
        <w:t xml:space="preserve">and salaries </w:t>
      </w:r>
      <w:r>
        <w:rPr>
          <w:rStyle w:val="PageNumber"/>
        </w:rPr>
        <w:t>in the kitchens and earned from R300 to R700. If an employee was white, the salary was even higher. Lastly, Sun City employed a host of cleaning staff, most of whom were Tswana and with only two Zulu women and one Xhosa woman. The average salary was R92 and ranged from R85 to R110. 91% of stewards employed were Tswana and earned an average salary of R105 (</w:t>
      </w:r>
      <w:r w:rsidR="006E1114">
        <w:rPr>
          <w:rStyle w:val="PageNumber"/>
        </w:rPr>
        <w:t xml:space="preserve">refer to </w:t>
      </w:r>
      <w:r w:rsidR="001E6E29">
        <w:rPr>
          <w:rStyle w:val="PageNumber"/>
        </w:rPr>
        <w:t>T</w:t>
      </w:r>
      <w:r>
        <w:rPr>
          <w:rStyle w:val="PageNumber"/>
        </w:rPr>
        <w:t>able 2</w:t>
      </w:r>
      <w:r w:rsidR="006E1114">
        <w:rPr>
          <w:rStyle w:val="PageNumber"/>
        </w:rPr>
        <w:t xml:space="preserve"> in the appendix</w:t>
      </w:r>
      <w:r>
        <w:rPr>
          <w:rStyle w:val="PageNumber"/>
        </w:rPr>
        <w:t>).</w:t>
      </w:r>
      <w:r>
        <w:rPr>
          <w:rStyle w:val="FootnoteReference"/>
          <w:color w:val="000000"/>
        </w:rPr>
        <w:footnoteReference w:id="153"/>
      </w:r>
      <w:r>
        <w:rPr>
          <w:rStyle w:val="PageNumber"/>
        </w:rPr>
        <w:t xml:space="preserve"> </w:t>
      </w:r>
    </w:p>
    <w:p w14:paraId="7B975A6F" w14:textId="77777777" w:rsidR="00CD4878" w:rsidRPr="006E77D0" w:rsidRDefault="00CD4878" w:rsidP="00CD4878">
      <w:pPr>
        <w:rPr>
          <w:color w:val="000000"/>
        </w:rPr>
      </w:pPr>
      <w:r>
        <w:rPr>
          <w:rStyle w:val="PageNumber"/>
        </w:rPr>
        <w:t xml:space="preserve">From these figures, it seems that Sun City adhered to its stated policy of striving to employ Bophuthatswana </w:t>
      </w:r>
      <w:r w:rsidR="00E86F93">
        <w:rPr>
          <w:rStyle w:val="PageNumber"/>
        </w:rPr>
        <w:t>citizens</w:t>
      </w:r>
      <w:r>
        <w:rPr>
          <w:rStyle w:val="PageNumber"/>
        </w:rPr>
        <w:t xml:space="preserve">, as they represent </w:t>
      </w:r>
      <w:r w:rsidR="001E6E29">
        <w:rPr>
          <w:rStyle w:val="PageNumber"/>
        </w:rPr>
        <w:t>most</w:t>
      </w:r>
      <w:r>
        <w:rPr>
          <w:rStyle w:val="PageNumber"/>
        </w:rPr>
        <w:t xml:space="preserve"> </w:t>
      </w:r>
      <w:r w:rsidR="001E6E29">
        <w:rPr>
          <w:rStyle w:val="PageNumber"/>
        </w:rPr>
        <w:t>the</w:t>
      </w:r>
      <w:r>
        <w:rPr>
          <w:rStyle w:val="PageNumber"/>
        </w:rPr>
        <w:t xml:space="preserve"> employees. However, </w:t>
      </w:r>
      <w:r w:rsidR="00AA0B14">
        <w:rPr>
          <w:rStyle w:val="PageNumber"/>
        </w:rPr>
        <w:t xml:space="preserve">“Tswana” </w:t>
      </w:r>
      <w:r w:rsidR="00E86F93">
        <w:rPr>
          <w:rStyle w:val="PageNumber"/>
        </w:rPr>
        <w:t>citizens</w:t>
      </w:r>
      <w:r>
        <w:rPr>
          <w:rStyle w:val="PageNumber"/>
        </w:rPr>
        <w:t xml:space="preserve"> were given lower ranked positions within the service industry and received lower salaries compared to their colleagues at the same level of employment. Moreover, three years after Sun City’s doors opened, Tswana workers did not see upward movement within the company.</w:t>
      </w:r>
      <w:r>
        <w:rPr>
          <w:rStyle w:val="FootnoteReference"/>
          <w:color w:val="000000"/>
        </w:rPr>
        <w:footnoteReference w:id="154"/>
      </w:r>
      <w:r>
        <w:rPr>
          <w:rStyle w:val="PageNumber"/>
        </w:rPr>
        <w:t xml:space="preserve"> Despite the training received at Sun City, many individuals left Sun City in search of other hospitality employment. The first management position held by a black member of staff was in 1984 after extensive training in Europe. The training was such that a </w:t>
      </w:r>
      <w:r>
        <w:rPr>
          <w:rStyle w:val="PageNumber"/>
        </w:rPr>
        <w:lastRenderedPageBreak/>
        <w:t>black staff member was always overseen by a white supervisor.</w:t>
      </w:r>
      <w:r>
        <w:rPr>
          <w:rStyle w:val="FootnoteReference"/>
          <w:color w:val="000000"/>
        </w:rPr>
        <w:footnoteReference w:id="155"/>
      </w:r>
      <w:r>
        <w:rPr>
          <w:rStyle w:val="PageNumber"/>
        </w:rPr>
        <w:t xml:space="preserve"> Race relations at Sun City operated according to a hierarchy – from the outside it appeared integrated but it placed white employees in positions of power. The rosy picture presented by Kerzner and Wagner obscured the racial and ethnic hierarchy in employment at Sun City. </w:t>
      </w:r>
    </w:p>
    <w:p w14:paraId="787547C9" w14:textId="77777777" w:rsidR="00724C4D" w:rsidRDefault="00F51C11" w:rsidP="00724C4D">
      <w:pPr>
        <w:pStyle w:val="Heading2"/>
        <w:numPr>
          <w:ilvl w:val="0"/>
          <w:numId w:val="0"/>
        </w:numPr>
        <w:ind w:left="578" w:hanging="578"/>
      </w:pPr>
      <w:bookmarkStart w:id="33" w:name="_Toc488481713"/>
      <w:r>
        <w:t xml:space="preserve">Working conditions </w:t>
      </w:r>
      <w:r w:rsidR="00724C4D">
        <w:t>at Sun City</w:t>
      </w:r>
      <w:bookmarkEnd w:id="33"/>
      <w:r w:rsidR="00724C4D">
        <w:t xml:space="preserve"> </w:t>
      </w:r>
    </w:p>
    <w:p w14:paraId="464FE6C6" w14:textId="77777777" w:rsidR="00CD4878" w:rsidRDefault="00CD4878" w:rsidP="00CD4878">
      <w:r>
        <w:t>The working conditions for the white managerial staff, mostly brought in from South Africa, were attractive. White South African employees that worked at Sun City in the 1980s interviewed for this research stated that the salaries offered were competitive for the time and Sun City was a good work opportunity. All staff received an allowance which they could use to eat at the various restaurants in the resort. This was in conjunction to the staff canteen which offered free food to all staff members. Initially, managerial staff received free accommodation. Rosemary Dreyer, head of the banqueting department at Sun City in the 1980s, stated that Sun City had to provide accommodation for employees and their families if they hoped to attract the calibre of staff they needed. Low paid work such as waiters and cleaning staff could be attracted from the surrounding townships and communities, but if Sun City hoped to lure white South Africans into Bophuthatswana, adequate housing was a necessity, as was schooling.</w:t>
      </w:r>
      <w:r>
        <w:rPr>
          <w:rStyle w:val="FootnoteReference"/>
        </w:rPr>
        <w:footnoteReference w:id="156"/>
      </w:r>
      <w:r>
        <w:t xml:space="preserve"> According to Dreyer, Sun City needed qualified white staff, which they drew from South Africa, and if they hoped to employ skilled staff then their employment packages had to be of a high standard. She continued to say that locally sourced black employees did not need housing as many lived in the towns of Ledig, Mogwase and Chaneng.</w:t>
      </w:r>
      <w:r>
        <w:rPr>
          <w:rStyle w:val="FootnoteReference"/>
        </w:rPr>
        <w:footnoteReference w:id="157"/>
      </w:r>
      <w:r>
        <w:t xml:space="preserve"> During the 1980s housing </w:t>
      </w:r>
      <w:r w:rsidR="00724C4D">
        <w:t xml:space="preserve">was provided </w:t>
      </w:r>
      <w:r>
        <w:t>for approximately 80% of its staff and their families.</w:t>
      </w:r>
      <w:r>
        <w:rPr>
          <w:rStyle w:val="FootnoteReference"/>
        </w:rPr>
        <w:footnoteReference w:id="158"/>
      </w:r>
      <w:r>
        <w:t xml:space="preserve"> </w:t>
      </w:r>
      <w:r w:rsidR="00724C4D">
        <w:t>This was for</w:t>
      </w:r>
      <w:r w:rsidR="00AA0B14">
        <w:t xml:space="preserve"> mostly “non-Tswana”</w:t>
      </w:r>
      <w:r>
        <w:t xml:space="preserve"> workers, specifically those who were employed in the </w:t>
      </w:r>
      <w:r w:rsidR="00724C4D">
        <w:t>managerial positions</w:t>
      </w:r>
      <w:r>
        <w:t xml:space="preserve">. The houses went to white employees such as Dreyer who originated from Johannesburg and migrated to Bophuthatswana for work. </w:t>
      </w:r>
    </w:p>
    <w:p w14:paraId="02552468" w14:textId="77777777" w:rsidR="00CD4878" w:rsidRDefault="00CD4878" w:rsidP="00CD4878">
      <w:r>
        <w:t xml:space="preserve">A current marketing manager, who wished to remain anonymous, has been employed at Sun City for over two decades and explained the housing system in the course of an interview. </w:t>
      </w:r>
      <w:r w:rsidR="00724C4D">
        <w:t>She stated that</w:t>
      </w:r>
      <w:r>
        <w:t xml:space="preserve"> Sun City currently provides accommodation for a percentage of their staff either on site, opposite the Entertainment Centre, or outside Sun City, in the nearby town of Ledig. Located close to the Sun City main gate is a shopping centre known as Sun Village, </w:t>
      </w:r>
      <w:r>
        <w:lastRenderedPageBreak/>
        <w:t xml:space="preserve">which also contains a staff housing village. This is </w:t>
      </w:r>
      <w:r w:rsidR="00AA0B14">
        <w:t>“</w:t>
      </w:r>
      <w:r>
        <w:t>modern</w:t>
      </w:r>
      <w:r w:rsidR="00AA0B14">
        <w:t>”</w:t>
      </w:r>
      <w:r>
        <w:t xml:space="preserve"> housing and provides the bulk of Sun City’s staff accommodation. Both sets of accommodation range from bachelor to four bedroom apartments or houses. The housing is allocated according to availability once a job is accepted, what each employee’s personal needs are and</w:t>
      </w:r>
      <w:r w:rsidR="00ED4B9C">
        <w:t>,</w:t>
      </w:r>
      <w:r>
        <w:t xml:space="preserve"> more significantly, what position he or she holds. Currently, employees are expected to pay rent, water and electricity but the costs are subsidised by Sun International. </w:t>
      </w:r>
    </w:p>
    <w:p w14:paraId="17626188" w14:textId="77777777" w:rsidR="00CD4878" w:rsidRPr="003459FB" w:rsidRDefault="00CD4878" w:rsidP="00CD4878">
      <w:r>
        <w:t>In the 1980s, a crèche was established at the Sun City sports fields where Sun City employees, both black and white, could send their toddlers.</w:t>
      </w:r>
      <w:r>
        <w:rPr>
          <w:rStyle w:val="FootnoteReference"/>
        </w:rPr>
        <w:footnoteReference w:id="159"/>
      </w:r>
      <w:r>
        <w:t xml:space="preserve"> The crèche is now located just outside the gates of Sun City and the school-going age </w:t>
      </w:r>
      <w:r w:rsidR="00F51C11" w:rsidRPr="00F51C11">
        <w:t>children</w:t>
      </w:r>
      <w:r>
        <w:t xml:space="preserve"> are bussed to Rustenburg daily to five different schools.</w:t>
      </w:r>
      <w:r>
        <w:rPr>
          <w:rStyle w:val="FootnoteReference"/>
        </w:rPr>
        <w:footnoteReference w:id="160"/>
      </w:r>
      <w:r>
        <w:t xml:space="preserve"> Dreyer sent her daughter, Tanya, to weekly boarding school in Ruste</w:t>
      </w:r>
      <w:r w:rsidR="00AA0B14">
        <w:t>nburg, as she did not want her “causing trouble”</w:t>
      </w:r>
      <w:r>
        <w:t xml:space="preserve"> around Sun City after school and avoiding homework as most of the staff’s children did.</w:t>
      </w:r>
      <w:r>
        <w:rPr>
          <w:rStyle w:val="FootnoteReference"/>
        </w:rPr>
        <w:footnoteReference w:id="161"/>
      </w:r>
      <w:r>
        <w:t xml:space="preserve"> Dreyer started working at Sun City in 1983, when the Cascades was under construction, and through her decade and a half tenure at Sun City she witnessed the mega-resort expand and change as the country transitioned from apartheid into democracy. She started in the banqueting department and eventually headed the department by the time she left Sun City.</w:t>
      </w:r>
      <w:r>
        <w:rPr>
          <w:rStyle w:val="FootnoteReference"/>
        </w:rPr>
        <w:footnoteReference w:id="162"/>
      </w:r>
      <w:r>
        <w:t xml:space="preserve"> </w:t>
      </w:r>
      <w:r>
        <w:rPr>
          <w:rFonts w:cs="Times New Roman"/>
          <w:szCs w:val="24"/>
        </w:rPr>
        <w:t>After her daughter finished her studies, she returned to Sun City to work with her mother in the banqueting department in 1991.</w:t>
      </w:r>
      <w:r>
        <w:rPr>
          <w:rStyle w:val="FootnoteReference"/>
          <w:rFonts w:cs="Times New Roman"/>
          <w:szCs w:val="24"/>
        </w:rPr>
        <w:footnoteReference w:id="163"/>
      </w:r>
      <w:r>
        <w:t xml:space="preserve"> </w:t>
      </w:r>
    </w:p>
    <w:p w14:paraId="34445748" w14:textId="77777777" w:rsidR="00CD4878" w:rsidRDefault="00CD4878" w:rsidP="00CD4878">
      <w:r>
        <w:t xml:space="preserve">Sun International Bophuthatswana published two staff magazines, </w:t>
      </w:r>
      <w:r>
        <w:rPr>
          <w:i/>
        </w:rPr>
        <w:t xml:space="preserve">Letsatsing </w:t>
      </w:r>
      <w:r>
        <w:t xml:space="preserve">and </w:t>
      </w:r>
      <w:r>
        <w:rPr>
          <w:i/>
        </w:rPr>
        <w:t>SunBop</w:t>
      </w:r>
      <w:r>
        <w:rPr>
          <w:rStyle w:val="CommentReference"/>
        </w:rPr>
        <w:t xml:space="preserve">, </w:t>
      </w:r>
      <w:r w:rsidRPr="005E3F49">
        <w:t>from</w:t>
      </w:r>
      <w:r>
        <w:t xml:space="preserve"> the 1980s to the early 1990s. </w:t>
      </w:r>
      <w:r w:rsidRPr="006E56B9">
        <w:rPr>
          <w:i/>
        </w:rPr>
        <w:t>Letsatsing</w:t>
      </w:r>
      <w:r>
        <w:t xml:space="preserve"> was for the staff of Sun City, taking its name from the Tswana word for </w:t>
      </w:r>
      <w:r w:rsidR="00AA0B14">
        <w:t>“</w:t>
      </w:r>
      <w:r w:rsidR="00ED4B9C">
        <w:t xml:space="preserve">a </w:t>
      </w:r>
      <w:r w:rsidR="00AA0B14">
        <w:t>place in the sun”</w:t>
      </w:r>
      <w:r>
        <w:t xml:space="preserve">, while </w:t>
      </w:r>
      <w:r w:rsidRPr="006E56B9">
        <w:rPr>
          <w:i/>
        </w:rPr>
        <w:t>SunBop</w:t>
      </w:r>
      <w:r>
        <w:t xml:space="preserve"> was a publication circulated to staff of all Sun International employees in Bophuthatswana. These magazines promoted</w:t>
      </w:r>
      <w:r w:rsidR="00ED4B9C">
        <w:t xml:space="preserve"> </w:t>
      </w:r>
      <w:r>
        <w:t>upward mobility within the Sun City ranks, specifically for white staff members. The magazines congratulate staff members who had been promoted to higher positions and jobs in various departments, such as the marketing, banqueting and hospitality departments. However, these are all white staff members. In comparison, black employees are congratulated for long service, the returning of a lost item or transfer to a new department.</w:t>
      </w:r>
      <w:r>
        <w:rPr>
          <w:rStyle w:val="FootnoteReference"/>
        </w:rPr>
        <w:footnoteReference w:id="164"/>
      </w:r>
      <w:r>
        <w:t xml:space="preserve"> According to the current marketing manager, Sun City has always held a good reputation for </w:t>
      </w:r>
      <w:r>
        <w:lastRenderedPageBreak/>
        <w:t>its status as an employer and it was not difficult to find general employees, but it did struggle in the past to find qualified personnel and therefore opts to train and hire from within.</w:t>
      </w:r>
      <w:r>
        <w:rPr>
          <w:rStyle w:val="FootnoteReference"/>
        </w:rPr>
        <w:footnoteReference w:id="165"/>
      </w:r>
      <w:r>
        <w:t xml:space="preserve"> </w:t>
      </w:r>
    </w:p>
    <w:p w14:paraId="3CD52A77" w14:textId="77777777" w:rsidR="00CD4878" w:rsidRDefault="00CD4878" w:rsidP="00CD4878">
      <w:r>
        <w:t>When Sun City first opened in 1979 language and cultural differences posed a significant problem.</w:t>
      </w:r>
      <w:r>
        <w:rPr>
          <w:rStyle w:val="FootnoteReference"/>
        </w:rPr>
        <w:footnoteReference w:id="166"/>
      </w:r>
      <w:r>
        <w:t xml:space="preserve"> The locally sourced employees’ home language was Tswana with second language</w:t>
      </w:r>
      <w:r w:rsidR="00724C4D">
        <w:t>s as</w:t>
      </w:r>
      <w:r>
        <w:t xml:space="preserve"> English and Afrikaans. The managerial staff spoke either English or Afrikaans, the catering staff were sourced from Europe and often spoke French or German and the casino floor staff came from the United Kingdom. </w:t>
      </w:r>
      <w:r w:rsidR="00FA6A91">
        <w:t>Most</w:t>
      </w:r>
      <w:r>
        <w:t xml:space="preserve"> security staff spoke Afrikaans as their primary language.</w:t>
      </w:r>
      <w:r w:rsidR="00ED4B9C">
        <w:rPr>
          <w:rStyle w:val="FootnoteReference"/>
        </w:rPr>
        <w:footnoteReference w:id="167"/>
      </w:r>
      <w:r>
        <w:t xml:space="preserve"> Very few of the managerial staff </w:t>
      </w:r>
      <w:r w:rsidR="00FA6A91">
        <w:t>could</w:t>
      </w:r>
      <w:r>
        <w:t xml:space="preserve"> converse in Tswana. The employees from the local communities were new to the hospitality industry. For many of them, it the first time they were int</w:t>
      </w:r>
      <w:r w:rsidR="005B702A">
        <w:t xml:space="preserve">eracting with other races on a technically </w:t>
      </w:r>
      <w:r>
        <w:t>equal basis as apartheid had dictated social interactions in South Africa. The extent to which they were interacting on equal basis cannot be verified, in Bophuthatswana there was apartheid, but racism and separatism were entr</w:t>
      </w:r>
      <w:r w:rsidR="00724C4D">
        <w:t xml:space="preserve">enched in societal structures. </w:t>
      </w:r>
    </w:p>
    <w:p w14:paraId="58CAF1BE" w14:textId="77777777" w:rsidR="00CD4878" w:rsidRDefault="00724C4D" w:rsidP="00CD4878">
      <w:r>
        <w:t xml:space="preserve">In July </w:t>
      </w:r>
      <w:r w:rsidR="00CD4878">
        <w:t xml:space="preserve">1986 a new hotel was under construction in Mmabatho and open call interviews were held at the Mmabatho Convention Centre for 230 jobs. The interview process was chaotic as thousands of desperate people of a variety of ages descended on the convention centre. The people pushed and shoved, the process threatened to turn violent as the people from all over Bophuthatswana queued outside, waiting to be seen by 20 interviewers.  Many were turned away as fluency in English was a prerequisite for employment. An article published in the </w:t>
      </w:r>
      <w:r w:rsidR="00CD4878">
        <w:rPr>
          <w:i/>
        </w:rPr>
        <w:t xml:space="preserve">The Mail, </w:t>
      </w:r>
      <w:r w:rsidR="00CD4878">
        <w:t>a Mafikeng weekly newspaper, explained that it was necessary for all employees - from front desk receptionists to the cleaning staff - to be able to communicate with the hotel guests in English.</w:t>
      </w:r>
      <w:r w:rsidR="00CD4878">
        <w:rPr>
          <w:rStyle w:val="FootnoteReference"/>
        </w:rPr>
        <w:footnoteReference w:id="168"/>
      </w:r>
      <w:r w:rsidR="00CD4878">
        <w:t xml:space="preserve"> In her interview, Dreyer confirmed that Bophuthatswana hotels, such as Sun City, needed to hire employees with a fluency in English as well as basic hospitality skills.</w:t>
      </w:r>
      <w:r w:rsidR="00CD4878">
        <w:rPr>
          <w:rStyle w:val="FootnoteReference"/>
        </w:rPr>
        <w:footnoteReference w:id="169"/>
      </w:r>
      <w:r w:rsidR="00CD4878">
        <w:t xml:space="preserve"> However, these were not skills possessed by many local residents and the promise of employment Sun City brought did not materialise for </w:t>
      </w:r>
      <w:r>
        <w:t>many</w:t>
      </w:r>
      <w:r w:rsidR="00CD4878">
        <w:t xml:space="preserve"> individuals. The chaos at the Mmabatho Convention Centre speaks to the desperation of Bophuthatswana’s residents to find employment and the scarcity of jobs in the bantustan. </w:t>
      </w:r>
    </w:p>
    <w:p w14:paraId="7CA8F00B" w14:textId="77777777" w:rsidR="00CD4878" w:rsidRDefault="00CD4878" w:rsidP="00CD4878">
      <w:r>
        <w:t xml:space="preserve">Sun City experienced a high staff turnover throughout the 1980s: while it did command a large employee base, every month at least fifteen to twenty people were leaving their </w:t>
      </w:r>
      <w:r>
        <w:lastRenderedPageBreak/>
        <w:t>employment in search of alternative opportunities.</w:t>
      </w:r>
      <w:r>
        <w:rPr>
          <w:rStyle w:val="FootnoteReference"/>
        </w:rPr>
        <w:footnoteReference w:id="170"/>
      </w:r>
      <w:r>
        <w:t xml:space="preserve"> Staff at Sun City worked under immense pressure, especially during peak seasons and whenever Kerzner decided to open a new hotel at the resort.</w:t>
      </w:r>
      <w:r>
        <w:rPr>
          <w:rStyle w:val="FootnoteReference"/>
        </w:rPr>
        <w:footnoteReference w:id="171"/>
      </w:r>
      <w:r>
        <w:t xml:space="preserve"> </w:t>
      </w:r>
    </w:p>
    <w:p w14:paraId="780DD705" w14:textId="77777777" w:rsidR="00CD4878" w:rsidRPr="00FA06CB" w:rsidRDefault="00CD4878" w:rsidP="00CD4878">
      <w:pPr>
        <w:rPr>
          <w:rFonts w:cs="Times New Roman"/>
          <w:szCs w:val="24"/>
        </w:rPr>
      </w:pPr>
      <w:r>
        <w:rPr>
          <w:rFonts w:cs="Times New Roman"/>
          <w:szCs w:val="24"/>
        </w:rPr>
        <w:t>In 1989 Peter Wagner, the Sun International Bophuthatswana General Manager, claimed that: “Sun City is a place where people of every race, colour and creed meet and mingle. Not once in ten years have we experienced any racial animosity.”</w:t>
      </w:r>
      <w:r>
        <w:rPr>
          <w:rStyle w:val="FootnoteReference"/>
          <w:rFonts w:cs="Times New Roman"/>
          <w:szCs w:val="24"/>
        </w:rPr>
        <w:footnoteReference w:id="172"/>
      </w:r>
      <w:r>
        <w:rPr>
          <w:rFonts w:cs="Times New Roman"/>
          <w:szCs w:val="24"/>
        </w:rPr>
        <w:t xml:space="preserve"> Dreyer recalled that there were never problems of racism as because of Sun City’s location within Bophuthatswana, the resort had to abide by the bantustan government’s policies of integration. </w:t>
      </w:r>
      <w:r w:rsidR="00F51C11" w:rsidRPr="00F51C11">
        <w:rPr>
          <w:rFonts w:cs="Times New Roman"/>
          <w:szCs w:val="24"/>
        </w:rPr>
        <w:t>These sentiments reflect the mentality of Sun City’s mainly white management that had little conception of the working conditions of its black employees</w:t>
      </w:r>
      <w:r>
        <w:rPr>
          <w:rFonts w:cs="Times New Roman"/>
          <w:szCs w:val="24"/>
        </w:rPr>
        <w:t>.</w:t>
      </w:r>
      <w:r>
        <w:rPr>
          <w:rStyle w:val="FootnoteReference"/>
          <w:rFonts w:cs="Times New Roman"/>
          <w:szCs w:val="24"/>
        </w:rPr>
        <w:footnoteReference w:id="173"/>
      </w:r>
      <w:r>
        <w:rPr>
          <w:rFonts w:cs="Times New Roman"/>
          <w:szCs w:val="24"/>
        </w:rPr>
        <w:t xml:space="preserve"> Despite the lack of employment opportunities in Bophuthatswana, Dreyer insisted that there were sufficient opportunities for black individuals in search of work at Sun City. She stated they could enter any field of hospitality work they were interested in and a white front office manager or restaurant manager would train black staff members and allow them to go through the ranks of employment. She claims that this was compounded by the ample training opportunities offered for further training and education at Sun City and, by 1997, when she retired, there was a host of black mangers employed at Sun City.</w:t>
      </w:r>
      <w:r>
        <w:rPr>
          <w:rStyle w:val="FootnoteReference"/>
          <w:rFonts w:cs="Times New Roman"/>
          <w:szCs w:val="24"/>
        </w:rPr>
        <w:footnoteReference w:id="174"/>
      </w:r>
      <w:r>
        <w:rPr>
          <w:rFonts w:cs="Times New Roman"/>
          <w:szCs w:val="24"/>
        </w:rPr>
        <w:t xml:space="preserve"> </w:t>
      </w:r>
    </w:p>
    <w:p w14:paraId="45FED2ED" w14:textId="77777777" w:rsidR="00CD4878" w:rsidRDefault="00CD4878" w:rsidP="00CD4878">
      <w:r>
        <w:t>In 1984 Cheryl B</w:t>
      </w:r>
      <w:r>
        <w:rPr>
          <w:rFonts w:cs="Times New Roman"/>
        </w:rPr>
        <w:t>ü</w:t>
      </w:r>
      <w:r>
        <w:t>hrer, a Cape Town municipality worker, travelled to Sun City with a group of friends, including one Coloured girl, to watch the band Queen perform. Their friend was the only guest of colour staying at the Cabanas during their four-day visit over Queen’s week of performances. While this did not impact on their experience, it was a contrast to the marketed image of Sun City where black and white guests mingling together was the norm.</w:t>
      </w:r>
      <w:r>
        <w:rPr>
          <w:rStyle w:val="FootnoteReference"/>
        </w:rPr>
        <w:footnoteReference w:id="175"/>
      </w:r>
      <w:r>
        <w:t xml:space="preserve"> Patricia Cackett, a frequent visitor to Sun City, recalled that:</w:t>
      </w:r>
    </w:p>
    <w:p w14:paraId="5BEEAE87" w14:textId="77777777" w:rsidR="00CD4878" w:rsidRDefault="00CD4878" w:rsidP="00CD4878">
      <w:pPr>
        <w:pStyle w:val="Subtitle"/>
      </w:pPr>
      <w:r>
        <w:t>During apartheid, I cannot recall mingling with other guests who were not white. The only black people I saw were the staff.</w:t>
      </w:r>
      <w:r>
        <w:rPr>
          <w:rStyle w:val="FootnoteReference"/>
        </w:rPr>
        <w:footnoteReference w:id="176"/>
      </w:r>
      <w:r>
        <w:t xml:space="preserve"> </w:t>
      </w:r>
    </w:p>
    <w:p w14:paraId="6EAA687A" w14:textId="77777777" w:rsidR="00CD4878" w:rsidRDefault="00CD4878" w:rsidP="00CD4878">
      <w:r>
        <w:t xml:space="preserve">Herliane Portenschlager has a larger than life reputation at Sun City, where she started working in 1990. She was Sol Kerzner’s personal assistant when she arrived and she opened </w:t>
      </w:r>
      <w:r>
        <w:lastRenderedPageBreak/>
        <w:t>the Palace of the Lost City in 1992, which she now manages.</w:t>
      </w:r>
      <w:r>
        <w:rPr>
          <w:rStyle w:val="FootnoteReference"/>
        </w:rPr>
        <w:footnoteReference w:id="177"/>
      </w:r>
      <w:r>
        <w:t xml:space="preserve"> </w:t>
      </w:r>
      <w:r w:rsidRPr="005E3F49">
        <w:t xml:space="preserve">Portschenlager and her husband arrived </w:t>
      </w:r>
      <w:r>
        <w:t xml:space="preserve">as immigrants </w:t>
      </w:r>
      <w:r w:rsidRPr="005E3F49">
        <w:t>in Bophuthatswana during the transitory period in South Africa</w:t>
      </w:r>
      <w:r>
        <w:t xml:space="preserve">. They </w:t>
      </w:r>
      <w:r w:rsidRPr="005E3F49">
        <w:t>were worried about the</w:t>
      </w:r>
      <w:r>
        <w:t xml:space="preserve"> Mixed Marriage Laws which existed in South Africa. She was classified as coloured by the </w:t>
      </w:r>
      <w:r w:rsidR="00756A84">
        <w:t>NP</w:t>
      </w:r>
      <w:r w:rsidR="00202C82">
        <w:t xml:space="preserve"> government </w:t>
      </w:r>
      <w:r>
        <w:t>due to her mixed raced parentage (with Dutch and Indonesian heritage), while her husband is white. However, Portschenlager recalls that her skin colour was never an issue at Sun City.</w:t>
      </w:r>
      <w:r>
        <w:rPr>
          <w:rStyle w:val="FootnoteReference"/>
        </w:rPr>
        <w:footnoteReference w:id="178"/>
      </w:r>
      <w:r>
        <w:t xml:space="preserve"> In her interview, she praised life in Bophuthatswana: stated </w:t>
      </w:r>
    </w:p>
    <w:p w14:paraId="1A76FEB1" w14:textId="77777777" w:rsidR="00CD4878" w:rsidRDefault="00CD4878" w:rsidP="00CD4878">
      <w:pPr>
        <w:pStyle w:val="Subtitle"/>
      </w:pPr>
      <w:r w:rsidRPr="00340E7D">
        <w:t xml:space="preserve">The great thing about this place is that something was created from nothing, and we've given employment to thousands </w:t>
      </w:r>
      <w:r>
        <w:t>of people who live around here.</w:t>
      </w:r>
      <w:r>
        <w:rPr>
          <w:rStyle w:val="FootnoteReference"/>
        </w:rPr>
        <w:footnoteReference w:id="179"/>
      </w:r>
    </w:p>
    <w:p w14:paraId="62159534" w14:textId="77777777" w:rsidR="00CD4878" w:rsidRDefault="00CD4878" w:rsidP="00CD4878">
      <w:r>
        <w:t>She expressed the view tha</w:t>
      </w:r>
      <w:r w:rsidR="00AA0B14">
        <w:t>t the negative press which had plagued</w:t>
      </w:r>
      <w:r>
        <w:t xml:space="preserve"> Sun City were unfounded; instead, she praised Sun City for its policies of employing local residents.</w:t>
      </w:r>
      <w:r>
        <w:rPr>
          <w:rStyle w:val="CommentReference"/>
        </w:rPr>
        <w:t xml:space="preserve"> </w:t>
      </w:r>
      <w:r>
        <w:t xml:space="preserve"> </w:t>
      </w:r>
      <w:r w:rsidRPr="00340E7D">
        <w:t xml:space="preserve"> </w:t>
      </w:r>
      <w:r>
        <w:t>Portenschlager has worked at Sun City for 26 years and is very proud of the legacy she will leave behind. She wants to pass on hospitality skills she has learned and for her employees to expand their knowledge base and travel, gain experience and learn other languages. She has a different approach to managing employees compared to Sun City during the 1980s, where some employees could not read and write.</w:t>
      </w:r>
      <w:r>
        <w:rPr>
          <w:rStyle w:val="FootnoteReference"/>
        </w:rPr>
        <w:footnoteReference w:id="180"/>
      </w:r>
      <w:r>
        <w:t xml:space="preserve"> </w:t>
      </w:r>
    </w:p>
    <w:p w14:paraId="7109E1FA" w14:textId="77777777" w:rsidR="00CD4878" w:rsidRPr="0025604D" w:rsidRDefault="00CD4878" w:rsidP="00724C4D">
      <w:pPr>
        <w:pStyle w:val="Heading2"/>
        <w:numPr>
          <w:ilvl w:val="0"/>
          <w:numId w:val="0"/>
        </w:numPr>
        <w:ind w:left="578" w:hanging="578"/>
        <w:rPr>
          <w:color w:val="000000"/>
        </w:rPr>
      </w:pPr>
      <w:bookmarkStart w:id="34" w:name="_Toc488481714"/>
      <w:r w:rsidRPr="0025604D">
        <w:t>Employee Training and Advancement</w:t>
      </w:r>
      <w:bookmarkEnd w:id="34"/>
      <w:r w:rsidRPr="0025604D">
        <w:t xml:space="preserve"> </w:t>
      </w:r>
    </w:p>
    <w:p w14:paraId="232F17DA" w14:textId="77777777" w:rsidR="00CD4878" w:rsidRDefault="00CD4878" w:rsidP="00CD4878">
      <w:r>
        <w:t xml:space="preserve">Due to Sun City’s location within Bophuthatswana and the resort’s </w:t>
      </w:r>
      <w:r w:rsidR="00724C4D">
        <w:t xml:space="preserve">CSR </w:t>
      </w:r>
      <w:r>
        <w:t xml:space="preserve">policies, employees received training in the hospitality industry. Employees would use their work experience from Sun City to gain employment in other parts of southern Africa. Many employees left Sun City to pursue career opportunities in South African cities and other casinos in countries such as Lesotho and Swaziland. </w:t>
      </w:r>
      <w:r w:rsidR="00FA6A91">
        <w:t>Most</w:t>
      </w:r>
      <w:r>
        <w:t xml:space="preserve"> positions available at Sun City were for cleaning, maintenance, serving staff and porters. To gain employment in departments such as catering, conferencing and marketing an applicant needed the necessary qualifications and experience, which most Bophuthatswana </w:t>
      </w:r>
      <w:r w:rsidR="00E86F93">
        <w:t>citizens</w:t>
      </w:r>
      <w:r>
        <w:t xml:space="preserve"> did not have.</w:t>
      </w:r>
      <w:r>
        <w:rPr>
          <w:rStyle w:val="FootnoteReference"/>
        </w:rPr>
        <w:footnoteReference w:id="181"/>
      </w:r>
      <w:r>
        <w:t xml:space="preserve"> Since its inception, Sun City has offered training support for its employees to finish matric, study towards a diploma or degree as well as a variety of short courses. The only requirement is that staff need to prove the </w:t>
      </w:r>
      <w:r>
        <w:lastRenderedPageBreak/>
        <w:t>relevance of what they want to study to their current position.</w:t>
      </w:r>
      <w:r>
        <w:rPr>
          <w:rStyle w:val="FootnoteReference"/>
        </w:rPr>
        <w:footnoteReference w:id="182"/>
      </w:r>
      <w:r>
        <w:t xml:space="preserve"> The marketing manager insisted that</w:t>
      </w:r>
    </w:p>
    <w:p w14:paraId="60B2CC8D" w14:textId="77777777" w:rsidR="00CD4878" w:rsidRDefault="00CD4878" w:rsidP="00CD4878">
      <w:pPr>
        <w:pStyle w:val="Subtitle"/>
      </w:pPr>
      <w:r>
        <w:t>[Sun City] had a very good training facility here, they offered a number of courses for people. Plus, if you wanted to learn something other than what is offered and it falls within the guidelines of hospitability and hotels, [Sun International] would sponsor you to study and you would work it off like a bursary. Employees really had opportunities.</w:t>
      </w:r>
      <w:r>
        <w:rPr>
          <w:rStyle w:val="FootnoteReference"/>
        </w:rPr>
        <w:footnoteReference w:id="183"/>
      </w:r>
    </w:p>
    <w:p w14:paraId="465E2C91" w14:textId="77777777" w:rsidR="00CD4878" w:rsidRDefault="00CD4878" w:rsidP="00CD4878">
      <w:r>
        <w:t>Training was heavily encouraged by Sun City across all employment tiers, and was driven by an ideal of continuous improvement. In 1985 Sun City paid for a number of their security staff to study further and gain more skills at a variety of training institutions. Following the successful completion of their courses the security guards were promoted to the rank of sergeant. These students included M. Camphor, J. Mokgathle, J. Leepile, S. Motshegwa and S. Mothlhaboi.</w:t>
      </w:r>
      <w:r>
        <w:rPr>
          <w:rStyle w:val="FootnoteReference"/>
        </w:rPr>
        <w:footnoteReference w:id="184"/>
      </w:r>
      <w:r>
        <w:t xml:space="preserve"> This training operated on a continuous basis, with every month new recruits graduating into the role of security guard from the Sun City on-site Security Training Camp. Below is an image taken from the staff magazine at Sun City</w:t>
      </w:r>
      <w:r w:rsidR="00B01EF2">
        <w:t xml:space="preserve"> </w:t>
      </w:r>
      <w:r w:rsidR="00FD64F3">
        <w:t>(refer to</w:t>
      </w:r>
      <w:r w:rsidR="00B01EF2">
        <w:t xml:space="preserve"> Figur</w:t>
      </w:r>
      <w:r w:rsidR="00FD64F3">
        <w:t>e 2</w:t>
      </w:r>
      <w:r w:rsidR="00B01EF2">
        <w:t>)</w:t>
      </w:r>
      <w:r>
        <w:t>. The picture shows the May 1985 graduating class of security guards with their trainer. This is one of many images printed in the monthly magazine, where Sun City aimed to demonstrate the lengths the company was going to train their staff.</w:t>
      </w:r>
      <w:r>
        <w:rPr>
          <w:rStyle w:val="FootnoteReference"/>
        </w:rPr>
        <w:footnoteReference w:id="185"/>
      </w:r>
      <w:r>
        <w:t xml:space="preserve">  </w:t>
      </w:r>
    </w:p>
    <w:p w14:paraId="25E08D5F" w14:textId="77777777" w:rsidR="00CD4878" w:rsidRDefault="00CD4878" w:rsidP="00CD4878">
      <w:r>
        <w:rPr>
          <w:noProof/>
          <w:lang w:val="en-ZA" w:eastAsia="en-ZA"/>
        </w:rPr>
        <w:drawing>
          <wp:anchor distT="0" distB="0" distL="114300" distR="114300" simplePos="0" relativeHeight="251635712" behindDoc="1" locked="0" layoutInCell="1" allowOverlap="1" wp14:anchorId="4EE047B8" wp14:editId="0D2C3B48">
            <wp:simplePos x="0" y="0"/>
            <wp:positionH relativeFrom="margin">
              <wp:posOffset>1005692</wp:posOffset>
            </wp:positionH>
            <wp:positionV relativeFrom="paragraph">
              <wp:posOffset>161925</wp:posOffset>
            </wp:positionV>
            <wp:extent cx="3827721" cy="2222835"/>
            <wp:effectExtent l="0" t="0" r="1905" b="635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27721" cy="2222835"/>
                    </a:xfrm>
                    <a:prstGeom prst="rect">
                      <a:avLst/>
                    </a:prstGeom>
                    <a:noFill/>
                    <a:ln>
                      <a:noFill/>
                    </a:ln>
                  </pic:spPr>
                </pic:pic>
              </a:graphicData>
            </a:graphic>
          </wp:anchor>
        </w:drawing>
      </w:r>
    </w:p>
    <w:p w14:paraId="329C2F0F" w14:textId="77777777" w:rsidR="00CD4878" w:rsidRDefault="00CD4878" w:rsidP="00CD4878"/>
    <w:p w14:paraId="2CC6191C" w14:textId="77777777" w:rsidR="00CD4878" w:rsidRDefault="00CD4878" w:rsidP="00CD4878"/>
    <w:p w14:paraId="46BE05A9" w14:textId="77777777" w:rsidR="00CD4878" w:rsidRDefault="00CD4878" w:rsidP="00CD4878"/>
    <w:p w14:paraId="02EC10F8" w14:textId="77777777" w:rsidR="00CD4878" w:rsidRDefault="00CD4878" w:rsidP="00CD4878"/>
    <w:p w14:paraId="3553B523" w14:textId="77777777" w:rsidR="00CD4878" w:rsidRDefault="00CD4878" w:rsidP="00CD4878"/>
    <w:p w14:paraId="6758DEA6" w14:textId="77777777" w:rsidR="00CD4878" w:rsidRDefault="00CD4878" w:rsidP="00CD4878"/>
    <w:p w14:paraId="57627C77" w14:textId="77777777" w:rsidR="00CD4878" w:rsidRDefault="00672413" w:rsidP="00CD4878">
      <w:pPr>
        <w:pStyle w:val="Subtitle"/>
        <w:spacing w:after="0"/>
        <w:ind w:left="0"/>
        <w:jc w:val="center"/>
      </w:pPr>
      <w:r>
        <w:t xml:space="preserve">Figure </w:t>
      </w:r>
      <w:r w:rsidR="00FD64F3">
        <w:t>2</w:t>
      </w:r>
      <w:r w:rsidR="00CD4878">
        <w:t xml:space="preserve">: Sun City security guards graduate training </w:t>
      </w:r>
    </w:p>
    <w:p w14:paraId="784DCC3A" w14:textId="77777777" w:rsidR="00CD4878" w:rsidRPr="00EC24BA" w:rsidRDefault="00CD4878" w:rsidP="00CD4878">
      <w:pPr>
        <w:pStyle w:val="Subtitle"/>
        <w:spacing w:after="0"/>
        <w:jc w:val="center"/>
      </w:pPr>
      <w:r>
        <w:t xml:space="preserve">[Source: </w:t>
      </w:r>
      <w:r w:rsidRPr="00311905">
        <w:rPr>
          <w:i/>
        </w:rPr>
        <w:t>Letsatsing</w:t>
      </w:r>
      <w:r>
        <w:t>, May 1985]</w:t>
      </w:r>
    </w:p>
    <w:p w14:paraId="5BA0B598" w14:textId="77777777" w:rsidR="00CD4878" w:rsidRDefault="00CD4878" w:rsidP="00CD4878"/>
    <w:p w14:paraId="3F63710B" w14:textId="77777777" w:rsidR="00CD4878" w:rsidRDefault="00CD4878" w:rsidP="00CD4878">
      <w:r>
        <w:lastRenderedPageBreak/>
        <w:t>In 1985 eight Sun City staff members from the main hotel and from the Cascades attended a month long bartending course at the GaRankuwa Hotel School. All students were internally recruited from the hotel and finished the course with exemplary marks.</w:t>
      </w:r>
      <w:r>
        <w:rPr>
          <w:rStyle w:val="FootnoteReference"/>
        </w:rPr>
        <w:footnoteReference w:id="186"/>
      </w:r>
      <w:r>
        <w:t xml:space="preserve"> This school was funded by both the South African and Bophuthatswana government. Specifically, the Bantu Investment Corporation of South Africa was responsible for the administration, funding and operations of the GaRankuwa Hotel School. The introduction of a hotel school was thought to be in the “best interests of all” for economic development and skills training.</w:t>
      </w:r>
      <w:r>
        <w:rPr>
          <w:rStyle w:val="FootnoteReference"/>
        </w:rPr>
        <w:footnoteReference w:id="187"/>
      </w:r>
      <w:r>
        <w:t xml:space="preserve"> Israel Katane completed a chef’s course in 1979 at the GaRankuwa Hotel School and immediately joined the Sun City team. He spent time working in a variety of kitchens in the hotel to gain experience, and in 1986 he was chosen as the Performance Award Winner of the year for his work at the Cabanas. In July 1986 he was chosen to represent Sun City as part of the South African Chef’s Association delegation to the Chef’s World Conference in Yugoslavia. His trip was entirely sponsored by Sun City. He </w:t>
      </w:r>
      <w:r w:rsidR="00B01EF2">
        <w:t>could</w:t>
      </w:r>
      <w:r>
        <w:t xml:space="preserve"> gain international exposure and experience at a time when opportunities of this kind were severely limited for black South Africans.</w:t>
      </w:r>
      <w:r>
        <w:rPr>
          <w:rStyle w:val="FootnoteReference"/>
        </w:rPr>
        <w:footnoteReference w:id="188"/>
      </w:r>
    </w:p>
    <w:p w14:paraId="64F49141" w14:textId="77777777" w:rsidR="00CD4878" w:rsidRPr="00392745" w:rsidRDefault="00CD4878" w:rsidP="00CD4878">
      <w:pPr>
        <w:rPr>
          <w:rFonts w:cs="Times New Roman"/>
          <w:szCs w:val="24"/>
        </w:rPr>
      </w:pPr>
      <w:r>
        <w:rPr>
          <w:rFonts w:cs="Times New Roman"/>
          <w:szCs w:val="24"/>
        </w:rPr>
        <w:t xml:space="preserve">In 1989 the Wits Technicon Hotel School accepted three Bophuthatswana students from Sun International Bophuthatswana hotels to study towards a diploma in Hotel Management. In previous years black students had been accepted for short courses but this was the first time Bophuthatswana </w:t>
      </w:r>
      <w:r w:rsidR="00E86F93">
        <w:rPr>
          <w:rFonts w:cs="Times New Roman"/>
          <w:szCs w:val="24"/>
        </w:rPr>
        <w:t>citizens</w:t>
      </w:r>
      <w:r>
        <w:rPr>
          <w:rFonts w:cs="Times New Roman"/>
          <w:szCs w:val="24"/>
        </w:rPr>
        <w:t xml:space="preserve"> were accepted into a three year programme where they could study towards a diploma and career advancement. The students - George Moualefe, Head Barman from the Sun City Hotel, Jacqueline Maboe, Front Office Manager from the Sun City Cabanas and Jacob Thekiso, Assistant Night Manager at the Morula Sun - were sponsored by Sun International Bophuthatswana.</w:t>
      </w:r>
      <w:r>
        <w:rPr>
          <w:rStyle w:val="FootnoteReference"/>
          <w:rFonts w:cs="Times New Roman"/>
          <w:szCs w:val="24"/>
        </w:rPr>
        <w:footnoteReference w:id="189"/>
      </w:r>
      <w:r>
        <w:rPr>
          <w:rFonts w:cs="Times New Roman"/>
          <w:szCs w:val="24"/>
        </w:rPr>
        <w:t xml:space="preserve"> </w:t>
      </w:r>
    </w:p>
    <w:p w14:paraId="157557C9" w14:textId="77777777" w:rsidR="00CD4878" w:rsidRPr="00151C9B" w:rsidRDefault="00CD4878" w:rsidP="00CD4878">
      <w:r>
        <w:t xml:space="preserve">One interviewee, Simphiwe Buthelezi, has worked for Sun City for several decades, starting as a waiter in 1988. Today he is the director of the </w:t>
      </w:r>
      <w:r w:rsidR="00B01EF2">
        <w:t>CSR</w:t>
      </w:r>
      <w:r>
        <w:t xml:space="preserve"> department of Sun City and runs the annual Nedbank Golf Challenge. He is deeply grateful for the opportunities that Sun City has provided him. He and his wife both started waiting tables at Sun City and today hold impressive corporate jobs. He expressed in his interview that not all service industry employees at Sun City have the same drive that he has and without the desire to work hard </w:t>
      </w:r>
      <w:r>
        <w:lastRenderedPageBreak/>
        <w:t>you will not be successful at Sun City. He, his wife and their two daughters live on site at the Sun Village and their daughters attend the private school hosted by Sun City.</w:t>
      </w:r>
      <w:r>
        <w:rPr>
          <w:rStyle w:val="FootnoteReference"/>
        </w:rPr>
        <w:footnoteReference w:id="190"/>
      </w:r>
    </w:p>
    <w:p w14:paraId="51B58672" w14:textId="77777777" w:rsidR="00CD4878" w:rsidRDefault="00CD4878" w:rsidP="00CD4878">
      <w:r>
        <w:t xml:space="preserve">Stytler Segone, another member of the Sun City team, was chosen by his supervisors to receive training by the Bad Klessheim Hotel School in Austria, a unique opportunity for a black South African during apartheid. Returning to South Africa in 1984, he spent another year receiving further rigorous training in a variety of hotel departments - the kitchens, housekeeping and the front desk. He </w:t>
      </w:r>
      <w:r w:rsidRPr="00F51B9C">
        <w:t>stated</w:t>
      </w:r>
      <w:r>
        <w:t xml:space="preserve"> that his international experience made it easier for him to work and integrate with the cosmopolitan staff at Sun City.</w:t>
      </w:r>
      <w:r>
        <w:rPr>
          <w:rStyle w:val="FootnoteReference"/>
        </w:rPr>
        <w:footnoteReference w:id="191"/>
      </w:r>
      <w:r>
        <w:t xml:space="preserve"> It was only after training in Europe, however, that he felt comfortable around his white colleagues – thus suggesting that uneducated black staff were alienated at Sun City. He went on to become the first black member of the management team at Sun City in 1986.</w:t>
      </w:r>
      <w:r>
        <w:rPr>
          <w:rStyle w:val="FootnoteReference"/>
        </w:rPr>
        <w:footnoteReference w:id="192"/>
      </w:r>
      <w:r>
        <w:t xml:space="preserve"> </w:t>
      </w:r>
    </w:p>
    <w:p w14:paraId="3BF3A7BE" w14:textId="77777777" w:rsidR="00CD4878" w:rsidRDefault="00FA6A91" w:rsidP="00CD4878">
      <w:r>
        <w:t>During</w:t>
      </w:r>
      <w:r w:rsidR="00CD4878">
        <w:t xml:space="preserve"> interviews with past and present Sun City employees, specifically those individuals employed in the service industry as cleaners and waiters, it became apparent that </w:t>
      </w:r>
      <w:r>
        <w:t>most</w:t>
      </w:r>
      <w:r w:rsidR="00CD4878">
        <w:t xml:space="preserve"> entry level work available at Sun City was and is seasonal. Therefore, the work d</w:t>
      </w:r>
      <w:r w:rsidR="005B702A">
        <w:t>id</w:t>
      </w:r>
      <w:r w:rsidR="00CD4878">
        <w:t xml:space="preserve"> not allow for a sustainable income. Many of the workers were unhappy with the casual system of employment in place, as they sometimes could go for weeks and even months without working and therefore without income due to the contract nature of their employment.</w:t>
      </w:r>
      <w:r w:rsidR="00CD4878">
        <w:rPr>
          <w:rStyle w:val="FootnoteReference"/>
        </w:rPr>
        <w:footnoteReference w:id="193"/>
      </w:r>
      <w:r w:rsidR="00CD4878">
        <w:t xml:space="preserve"> Joseph Ketane worked at Sun City from 1992-1997 as a casual labourer, waiting tables and bartending. He decided to leave Sun City to enter the field of security work in the mines, where he claimed the work was more consistent, with year-round employment and slightly higher wages. He expressed gratitude for working in the hospitality sector as it provided him with work experience, especially in terms of interacting with people. Ketane enjoyed working at Sun City, where foreign tourists used to tip generously, and he appreciated working with people from his community and relished the spirit of camaraderie. He claimed that very few people </w:t>
      </w:r>
      <w:r w:rsidR="00B01EF2">
        <w:t>c</w:t>
      </w:r>
      <w:r w:rsidR="009D1A58">
        <w:t>ould</w:t>
      </w:r>
      <w:r w:rsidR="00CD4878">
        <w:t xml:space="preserve"> go far within Sun International, as one needed education, which most people from the surrounding areas did not have. However, Sun City did and continues to hire casual staff every year and having that experience on a r</w:t>
      </w:r>
      <w:r w:rsidR="00CD4878">
        <w:rPr>
          <w:rFonts w:cs="Times New Roman"/>
        </w:rPr>
        <w:t>é</w:t>
      </w:r>
      <w:r w:rsidR="00CD4878">
        <w:t>sum</w:t>
      </w:r>
      <w:r w:rsidR="00CD4878">
        <w:rPr>
          <w:rFonts w:cs="Times New Roman"/>
        </w:rPr>
        <w:t xml:space="preserve">é </w:t>
      </w:r>
      <w:r w:rsidR="00CD4878" w:rsidRPr="007B3561">
        <w:t xml:space="preserve">makes one more desirable at hotels and in </w:t>
      </w:r>
      <w:r w:rsidR="00CD4878">
        <w:t>border</w:t>
      </w:r>
      <w:r w:rsidR="00CD4878" w:rsidRPr="007B3561">
        <w:t xml:space="preserve"> industries where hospitability skills are favour</w:t>
      </w:r>
      <w:r w:rsidR="00CD4878">
        <w:t>ed</w:t>
      </w:r>
      <w:r w:rsidR="00CD4878" w:rsidRPr="007B3561">
        <w:t>.</w:t>
      </w:r>
      <w:r w:rsidR="00CD4878">
        <w:t xml:space="preserve"> Many of the casual sta</w:t>
      </w:r>
      <w:r w:rsidR="00ED4B9C">
        <w:t xml:space="preserve">ff from </w:t>
      </w:r>
      <w:r w:rsidR="00ED4B9C">
        <w:lastRenderedPageBreak/>
        <w:t>Sun City would later be</w:t>
      </w:r>
      <w:r w:rsidR="00CD4878">
        <w:t xml:space="preserve"> employed by the surrounding mines and other hotels in the areas. Ketane says, “if you are lucky you will get a job at a hotel in </w:t>
      </w:r>
      <w:r w:rsidR="004D0C71">
        <w:t>[Johannesburg]</w:t>
      </w:r>
      <w:r w:rsidR="00CD4878">
        <w:t>.”</w:t>
      </w:r>
      <w:r w:rsidR="00CD4878">
        <w:rPr>
          <w:rStyle w:val="FootnoteReference"/>
        </w:rPr>
        <w:footnoteReference w:id="194"/>
      </w:r>
      <w:r w:rsidR="00CD4878">
        <w:t xml:space="preserve"> </w:t>
      </w:r>
    </w:p>
    <w:p w14:paraId="0D77062F" w14:textId="77777777" w:rsidR="00CD4878" w:rsidRPr="00BD57C3" w:rsidRDefault="00CD4878" w:rsidP="00CD4878">
      <w:pPr>
        <w:rPr>
          <w:color w:val="FF0000"/>
        </w:rPr>
      </w:pPr>
      <w:r>
        <w:t xml:space="preserve">Many of the people from the surrounding communities acknowledge the contribution Sun City has made to the improvement of their areas. Tshepo (surname not provided) was born in 1970 and has lived in Ledig his whole life. His late mother worked at Sun City. He currently works as a security guard at a hotel 10km from Sun City and he believes that if it were not for Sun City he would not have a job. He stated that </w:t>
      </w:r>
      <w:r w:rsidR="00B01EF2">
        <w:t>most</w:t>
      </w:r>
      <w:r>
        <w:t xml:space="preserve"> the people in his community are employed at Sun City.</w:t>
      </w:r>
      <w:r>
        <w:rPr>
          <w:rStyle w:val="FootnoteReference"/>
        </w:rPr>
        <w:footnoteReference w:id="195"/>
      </w:r>
      <w:r>
        <w:t xml:space="preserve"> The hotels and resorts surrounding Sun City would not exist without the overflow traffic from the Sun International casino resort. Sun City is an expensive establishment to spend the night</w:t>
      </w:r>
      <w:r w:rsidRPr="00F51B9C">
        <w:t xml:space="preserve">. The surrounding accommodation </w:t>
      </w:r>
      <w:r>
        <w:t xml:space="preserve">accommodates </w:t>
      </w:r>
      <w:r w:rsidRPr="00F51B9C">
        <w:t xml:space="preserve">guests when Sun City is fully booked </w:t>
      </w:r>
      <w:r>
        <w:t>or</w:t>
      </w:r>
      <w:r w:rsidRPr="00F51B9C">
        <w:t xml:space="preserve"> those with a smaller budget.</w:t>
      </w:r>
      <w:r w:rsidRPr="00F51B9C">
        <w:rPr>
          <w:rStyle w:val="FootnoteReference"/>
        </w:rPr>
        <w:footnoteReference w:id="196"/>
      </w:r>
      <w:r w:rsidRPr="00F51B9C">
        <w:t xml:space="preserve"> There</w:t>
      </w:r>
      <w:r w:rsidR="003E205F">
        <w:t xml:space="preserve"> remains</w:t>
      </w:r>
      <w:r w:rsidRPr="00F51B9C">
        <w:t xml:space="preserve"> a </w:t>
      </w:r>
      <w:r>
        <w:t xml:space="preserve">market </w:t>
      </w:r>
      <w:r w:rsidRPr="00F51B9C">
        <w:t xml:space="preserve">for the surrounding hotels and lodges </w:t>
      </w:r>
      <w:r>
        <w:t>which</w:t>
      </w:r>
      <w:r w:rsidRPr="00F51B9C">
        <w:t xml:space="preserve"> benefit from Sun City’s existence.</w:t>
      </w:r>
      <w:r w:rsidRPr="00F51B9C">
        <w:rPr>
          <w:rStyle w:val="FootnoteReference"/>
        </w:rPr>
        <w:footnoteReference w:id="197"/>
      </w:r>
    </w:p>
    <w:p w14:paraId="2A34EA9A" w14:textId="77777777" w:rsidR="00CD4878" w:rsidRDefault="00CD4878" w:rsidP="00CD4878">
      <w:r>
        <w:t>Patrick (surname not provided) was born in 1979, the year that Sun City was opened, and has spent his whole life living in the surrounding communities. His mother was a cleaner at Sun City in the 1970s. He spent two months working at Sun City as a waiter for a pop-up restaurant over the peak season in 1997-1998. However, when the restaurant closed, his employment also ended and he was forced to seek work elsewhere. He hoped to find another job at Sun City but was unsuccessful. Eventually he sought employment in the surrounding hotels and restaurants, gaining employment at a small resort as a waiter. Growing up, he and other children were attracted by Sun City and he was excited to gain employment there, as he had heard the stories of the international celebrities who had performed and holidayed at Sun City. This added to the allure of the resort.</w:t>
      </w:r>
      <w:r>
        <w:rPr>
          <w:rStyle w:val="FootnoteReference"/>
        </w:rPr>
        <w:footnoteReference w:id="198"/>
      </w:r>
    </w:p>
    <w:p w14:paraId="4B18F242" w14:textId="77777777" w:rsidR="00CD4878" w:rsidRDefault="00CD4878" w:rsidP="00CD4878">
      <w:pPr>
        <w:rPr>
          <w:rStyle w:val="PageNumber"/>
        </w:rPr>
      </w:pPr>
      <w:r>
        <w:t>Sun City focused</w:t>
      </w:r>
      <w:r w:rsidRPr="00F51B9C">
        <w:t xml:space="preserve"> attention </w:t>
      </w:r>
      <w:r>
        <w:t>on an area which previously had no commercial attraction. The complex employed, and continues to employ, people from the neighbouring communities of Ledig, Chaneng and Mogwase</w:t>
      </w:r>
      <w:r>
        <w:rPr>
          <w:rStyle w:val="PageNumber"/>
        </w:rPr>
        <w:t xml:space="preserve">. Employment has not always been of a formal nature. For example, prostitution increased following the opening of Sun City. Despite Sun City’s (and Pilanesberg National Park’s) declared policy to help surrounding communities through offering employment, a few years after they were opened it was reported that unemployment in Ledig was alarmingly high, despite this being lower than among other Bophuthatswana </w:t>
      </w:r>
      <w:r>
        <w:rPr>
          <w:rStyle w:val="PageNumber"/>
        </w:rPr>
        <w:lastRenderedPageBreak/>
        <w:t>communities.</w:t>
      </w:r>
      <w:r>
        <w:rPr>
          <w:rStyle w:val="FootnoteReference"/>
          <w:color w:val="000000"/>
        </w:rPr>
        <w:footnoteReference w:id="199"/>
      </w:r>
      <w:r>
        <w:rPr>
          <w:rStyle w:val="PageNumber"/>
        </w:rPr>
        <w:t xml:space="preserve"> Many individuals migrated to Sun City in search of jobs, when only a limited number were available.  During Sun City’s first years of operation, </w:t>
      </w:r>
      <w:r w:rsidR="00B01EF2">
        <w:rPr>
          <w:rStyle w:val="PageNumber"/>
        </w:rPr>
        <w:t>most</w:t>
      </w:r>
      <w:r>
        <w:rPr>
          <w:rStyle w:val="PageNumber"/>
        </w:rPr>
        <w:t xml:space="preserve"> workers came from outside of the Pilanesberg region, with only 16.6% of those employed originating from Ledig.</w:t>
      </w:r>
      <w:r>
        <w:rPr>
          <w:rStyle w:val="FootnoteReference"/>
          <w:color w:val="000000"/>
        </w:rPr>
        <w:footnoteReference w:id="200"/>
      </w:r>
      <w:r>
        <w:rPr>
          <w:rStyle w:val="PageNumber"/>
        </w:rPr>
        <w:t xml:space="preserve"> At the time there was a perception that the wages offered by Sun International were lower than those that could be earned in other sectors outside the tourism industry. </w:t>
      </w:r>
    </w:p>
    <w:p w14:paraId="17129F6D" w14:textId="77777777" w:rsidR="00ED4B9C" w:rsidRDefault="00CD4878" w:rsidP="00CD4878">
      <w:pPr>
        <w:rPr>
          <w:rStyle w:val="PageNumber"/>
        </w:rPr>
      </w:pPr>
      <w:r>
        <w:rPr>
          <w:rStyle w:val="PageNumber"/>
        </w:rPr>
        <w:t>Kirsten and Rogerson explored the aspects of small tourism based enterprises in South Africa and their link to potential poverty alleviation</w:t>
      </w:r>
      <w:r w:rsidR="00ED4B9C">
        <w:rPr>
          <w:rStyle w:val="PageNumber"/>
        </w:rPr>
        <w:t xml:space="preserve"> in 2010</w:t>
      </w:r>
      <w:r>
        <w:rPr>
          <w:rStyle w:val="PageNumber"/>
        </w:rPr>
        <w:t>. It is widely recognised that informal businesses based on tourism, such as the sellers and suppliers of hand-made goods, untrained tour guides and taxi drivers, occupy the lowest fraction of entrepreneurship. However, these entrepreneurs are dependent on larger tourism based companies and the opportunities to graduate into more forma</w:t>
      </w:r>
      <w:r w:rsidR="000C57FE">
        <w:rPr>
          <w:rStyle w:val="PageNumber"/>
        </w:rPr>
        <w:t>lise</w:t>
      </w:r>
      <w:r>
        <w:rPr>
          <w:rStyle w:val="PageNumber"/>
        </w:rPr>
        <w:t>d business ventures are limited. Despite this, informal businesses occupy a critical space in uplifting the economic status of rural and poor communities. In rural communities of developing countries such as South Africa, self-employment in the tourism industry that is linked to the formal sector has an important impact on poverty alleviation. Such enterprises are often viewed as a nuisance and not often assisted by the government.</w:t>
      </w:r>
      <w:r>
        <w:rPr>
          <w:rStyle w:val="FootnoteReference"/>
          <w:color w:val="000000"/>
        </w:rPr>
        <w:footnoteReference w:id="201"/>
      </w:r>
      <w:r>
        <w:rPr>
          <w:rStyle w:val="PageNumber"/>
        </w:rPr>
        <w:t xml:space="preserve"> </w:t>
      </w:r>
    </w:p>
    <w:p w14:paraId="407ADD15" w14:textId="77777777" w:rsidR="00CD4878" w:rsidRDefault="00CD4878" w:rsidP="00CD4878">
      <w:r>
        <w:rPr>
          <w:rStyle w:val="PageNumber"/>
        </w:rPr>
        <w:t>However, at Sun City few opportunities were awarded to such entrepreneurs. The mega-resort is a gated community and those who are not guests or employees are not granted entry. Direct employment from Sun City, the Pilanesberg National Park or surrounding formal infrastructure have been the most important way of gaining employment from the tourism industry in the area.</w:t>
      </w:r>
      <w:r>
        <w:rPr>
          <w:rStyle w:val="FootnoteReference"/>
          <w:color w:val="000000"/>
        </w:rPr>
        <w:footnoteReference w:id="202"/>
      </w:r>
      <w:r>
        <w:rPr>
          <w:rStyle w:val="PageNumber"/>
        </w:rPr>
        <w:t xml:space="preserve"> Management tier white employees state that f</w:t>
      </w:r>
      <w:r>
        <w:t xml:space="preserve">inding waiters, cleaners and drivers from the surrounding areas does not pose a problem. This is contrasted against the high </w:t>
      </w:r>
      <w:r w:rsidR="00B01EF2">
        <w:t>un</w:t>
      </w:r>
      <w:r>
        <w:t>employment rate in the surrounding areas. Sun City does not have difficulty in finding employees, but the residents have difficulty</w:t>
      </w:r>
      <w:r w:rsidR="006E44C2">
        <w:t xml:space="preserve"> finding employment in a densely-populated</w:t>
      </w:r>
      <w:r>
        <w:t xml:space="preserve"> area with a high unemployment rate. This is despite </w:t>
      </w:r>
      <w:r w:rsidR="006E44C2">
        <w:t>the host</w:t>
      </w:r>
      <w:r>
        <w:t xml:space="preserve"> of hotels and resorts in the area as well as game reserves and platinum mines (the mines are a significant source of employment in the area).</w:t>
      </w:r>
      <w:r>
        <w:rPr>
          <w:rStyle w:val="FootnoteReference"/>
        </w:rPr>
        <w:footnoteReference w:id="203"/>
      </w:r>
      <w:bookmarkStart w:id="35" w:name="_Toc459702966"/>
    </w:p>
    <w:p w14:paraId="44804938" w14:textId="77777777" w:rsidR="00CD4878" w:rsidRPr="00CB2F7C" w:rsidRDefault="00CD4878" w:rsidP="00CD4878">
      <w:pPr>
        <w:pStyle w:val="Heading2"/>
        <w:numPr>
          <w:ilvl w:val="0"/>
          <w:numId w:val="0"/>
        </w:numPr>
        <w:ind w:left="578" w:hanging="578"/>
        <w:rPr>
          <w:rFonts w:eastAsiaTheme="minorEastAsia" w:cstheme="minorBidi"/>
          <w:color w:val="auto"/>
          <w:szCs w:val="22"/>
        </w:rPr>
      </w:pPr>
      <w:bookmarkStart w:id="36" w:name="_Toc488481715"/>
      <w:r>
        <w:lastRenderedPageBreak/>
        <w:t>Conclusion</w:t>
      </w:r>
      <w:bookmarkEnd w:id="35"/>
      <w:bookmarkEnd w:id="36"/>
    </w:p>
    <w:p w14:paraId="0885B3FA" w14:textId="77777777" w:rsidR="00CD4878" w:rsidRDefault="00CD4878" w:rsidP="00CD4878">
      <w:r>
        <w:t xml:space="preserve">Sun City did provide training </w:t>
      </w:r>
      <w:r w:rsidR="00B01EF2">
        <w:t xml:space="preserve">and employment for any employee </w:t>
      </w:r>
      <w:r>
        <w:t xml:space="preserve">wishing to further education. While </w:t>
      </w:r>
      <w:r w:rsidR="00B01EF2">
        <w:t>most</w:t>
      </w:r>
      <w:r>
        <w:t xml:space="preserve"> employees at Sun City were classified as </w:t>
      </w:r>
      <w:r w:rsidR="00AA0B14">
        <w:rPr>
          <w:rStyle w:val="PageNumber"/>
        </w:rPr>
        <w:t xml:space="preserve">“Tswana” </w:t>
      </w:r>
      <w:r w:rsidR="00E86F93">
        <w:t>citizens</w:t>
      </w:r>
      <w:r>
        <w:t xml:space="preserve">, they tended to be placed in lower-paid positions within the service industry, as opposed to management and supervisory roles. Despite the training of Bophuthatswana employees, it was exceedingly rare for them to advance through the hierarchy at Sun City. The employment structure favoured white South African and international employees, who overwhelming controlled the managerial ranks.  Sun City maintained the appearance of an integrated work space, but the complaints and allegations surrounding employment demonstrate that workers did not feel satisfied with working conditions. </w:t>
      </w:r>
      <w:r w:rsidR="00F51C11" w:rsidRPr="00F51C11">
        <w:t>The wide disparity in wages between mainly white employees and their black workers demonstrates</w:t>
      </w:r>
      <w:r w:rsidR="00F51C11" w:rsidRPr="00F51C11" w:rsidDel="00F51C11">
        <w:t xml:space="preserve"> </w:t>
      </w:r>
      <w:r>
        <w:t xml:space="preserve">a racist and paternalist attitude towards Bophuthatswana employees. Many workers, while appreciative of work experience and training, sought, and continue to seek, employment opportunities elsewhere. In the end, Sun City was reliant on a pool of cheap, locally sourced black labour that Bophuthatswana provided.  </w:t>
      </w:r>
    </w:p>
    <w:p w14:paraId="0C562E01" w14:textId="77777777" w:rsidR="002F536C" w:rsidRDefault="002F536C" w:rsidP="00CD4878"/>
    <w:p w14:paraId="612F87F8" w14:textId="77777777" w:rsidR="002F536C" w:rsidRDefault="002F536C" w:rsidP="00CD4878"/>
    <w:p w14:paraId="77802A5A" w14:textId="77777777" w:rsidR="002F536C" w:rsidRDefault="002F536C" w:rsidP="00CD4878"/>
    <w:p w14:paraId="0AE5C92B" w14:textId="77777777" w:rsidR="002F536C" w:rsidRDefault="002F536C" w:rsidP="00CD4878"/>
    <w:p w14:paraId="2C631D83" w14:textId="77777777" w:rsidR="002F536C" w:rsidRDefault="002F536C" w:rsidP="00CD4878"/>
    <w:p w14:paraId="716FE87A" w14:textId="77777777" w:rsidR="002F536C" w:rsidRDefault="002F536C" w:rsidP="00CD4878"/>
    <w:p w14:paraId="6D3691DE" w14:textId="77777777" w:rsidR="002F536C" w:rsidRDefault="002F536C" w:rsidP="00CD4878"/>
    <w:p w14:paraId="6186F419" w14:textId="77777777" w:rsidR="002F536C" w:rsidRDefault="002F536C" w:rsidP="00CD4878"/>
    <w:p w14:paraId="114F4611" w14:textId="77777777" w:rsidR="002F536C" w:rsidRDefault="002F536C" w:rsidP="00CD4878"/>
    <w:p w14:paraId="293FABA1" w14:textId="77777777" w:rsidR="002F536C" w:rsidRDefault="002F536C" w:rsidP="00CD4878"/>
    <w:p w14:paraId="0AA814D6" w14:textId="77777777" w:rsidR="002F536C" w:rsidRDefault="002F536C" w:rsidP="00CD4878"/>
    <w:p w14:paraId="6D3404F2" w14:textId="77777777" w:rsidR="002F536C" w:rsidRDefault="002F536C" w:rsidP="00CD4878"/>
    <w:p w14:paraId="7FAEA262" w14:textId="77777777" w:rsidR="002F536C" w:rsidRDefault="002F536C" w:rsidP="00CD4878"/>
    <w:p w14:paraId="69988E26" w14:textId="77777777" w:rsidR="002F536C" w:rsidRPr="00C109CC" w:rsidRDefault="002F536C" w:rsidP="002F536C">
      <w:pPr>
        <w:pStyle w:val="Heading1"/>
        <w:numPr>
          <w:ilvl w:val="0"/>
          <w:numId w:val="0"/>
        </w:numPr>
        <w:jc w:val="center"/>
      </w:pPr>
      <w:bookmarkStart w:id="37" w:name="_Toc459702967"/>
      <w:bookmarkStart w:id="38" w:name="_Toc488481716"/>
      <w:r>
        <w:lastRenderedPageBreak/>
        <w:t xml:space="preserve">CHAPTER THREE: </w:t>
      </w:r>
      <w:r w:rsidRPr="006A1DD5">
        <w:rPr>
          <w:i/>
        </w:rPr>
        <w:t>Sin City</w:t>
      </w:r>
      <w:bookmarkEnd w:id="37"/>
      <w:bookmarkEnd w:id="38"/>
    </w:p>
    <w:p w14:paraId="1C922E16" w14:textId="77777777" w:rsidR="002F536C" w:rsidRPr="00AF73FD" w:rsidRDefault="002F536C" w:rsidP="00B01EF2">
      <w:pPr>
        <w:pStyle w:val="Subtitle"/>
      </w:pPr>
      <w:r w:rsidRPr="00AF73FD">
        <w:t>A new dimension in first class living. First class vacationing has taken another step in the right direction. Introducing Bophuthatswana – a refuge from the world for the very world… Bring your heightened expectations and marvel at how we surpass them in Bophuthatswana.</w:t>
      </w:r>
    </w:p>
    <w:p w14:paraId="2EFEB326" w14:textId="77777777" w:rsidR="002F536C" w:rsidRPr="003A6406" w:rsidRDefault="002F536C" w:rsidP="002F536C">
      <w:pPr>
        <w:pStyle w:val="Subtitle"/>
        <w:ind w:right="0"/>
        <w:jc w:val="right"/>
      </w:pPr>
      <w:r w:rsidRPr="00662ED8">
        <w:t>Bophuthatswana advert</w:t>
      </w:r>
      <w:r>
        <w:rPr>
          <w:i/>
        </w:rPr>
        <w:t xml:space="preserve">. </w:t>
      </w:r>
      <w:r w:rsidRPr="00662ED8">
        <w:rPr>
          <w:i/>
        </w:rPr>
        <w:t>The Sun</w:t>
      </w:r>
      <w:r>
        <w:t>, 13 October, 1982, p. 13</w:t>
      </w:r>
    </w:p>
    <w:p w14:paraId="7C2B7245" w14:textId="77777777" w:rsidR="002F536C" w:rsidRPr="00AF73FD" w:rsidRDefault="002F536C" w:rsidP="00B01EF2">
      <w:pPr>
        <w:pStyle w:val="Subtitle"/>
      </w:pPr>
      <w:r w:rsidRPr="00AF73FD">
        <w:t xml:space="preserve">Visit </w:t>
      </w:r>
      <w:r w:rsidRPr="00B01EF2">
        <w:t>Bophuthatswana</w:t>
      </w:r>
      <w:r w:rsidRPr="00AF73FD">
        <w:t>. Find your place in the sun and experience the magic of Africa.</w:t>
      </w:r>
    </w:p>
    <w:p w14:paraId="29CBCD7C" w14:textId="77777777" w:rsidR="002F536C" w:rsidRPr="00AF73FD" w:rsidRDefault="002F536C" w:rsidP="002F536C">
      <w:pPr>
        <w:jc w:val="right"/>
        <w:rPr>
          <w:sz w:val="20"/>
          <w:szCs w:val="20"/>
        </w:rPr>
      </w:pPr>
      <w:r w:rsidRPr="00AF73FD">
        <w:rPr>
          <w:sz w:val="20"/>
          <w:szCs w:val="20"/>
        </w:rPr>
        <w:t>Visit Bophuthatswana</w:t>
      </w:r>
      <w:r w:rsidRPr="00AF73FD">
        <w:rPr>
          <w:i/>
          <w:sz w:val="20"/>
          <w:szCs w:val="20"/>
        </w:rPr>
        <w:t>. BopTour</w:t>
      </w:r>
      <w:r w:rsidRPr="00AF73FD">
        <w:rPr>
          <w:sz w:val="20"/>
          <w:szCs w:val="20"/>
        </w:rPr>
        <w:t>, p. 32</w:t>
      </w:r>
    </w:p>
    <w:p w14:paraId="0A96D0D0" w14:textId="77777777" w:rsidR="002F536C" w:rsidRDefault="002F536C" w:rsidP="002F536C">
      <w:pPr>
        <w:pStyle w:val="Heading2"/>
        <w:numPr>
          <w:ilvl w:val="0"/>
          <w:numId w:val="0"/>
        </w:numPr>
        <w:ind w:left="578" w:hanging="578"/>
      </w:pPr>
      <w:bookmarkStart w:id="39" w:name="_Toc459702968"/>
      <w:bookmarkStart w:id="40" w:name="_Toc488481717"/>
      <w:r>
        <w:t>Introduction</w:t>
      </w:r>
      <w:bookmarkEnd w:id="39"/>
      <w:bookmarkEnd w:id="40"/>
    </w:p>
    <w:p w14:paraId="56D568F8" w14:textId="77777777" w:rsidR="002F536C" w:rsidRDefault="004D0C71" w:rsidP="002F536C">
      <w:r>
        <w:t>Labelled a “fun factory”</w:t>
      </w:r>
      <w:r w:rsidR="002F536C">
        <w:t xml:space="preserve"> by advertisers, Sun City had a multitude of attractions and accommodation options for every budget and taste. The mega-resort promoted itself as an interracial space where not only black and white employees allegedly worked alongside one another, bu</w:t>
      </w:r>
      <w:r w:rsidR="00B01EF2">
        <w:t>t where</w:t>
      </w:r>
      <w:r w:rsidR="002F536C">
        <w:t xml:space="preserve"> an integrated tourist experience was formed. This image was in line with the one Bophuthatswana sought to project of itself as a multi-racial, democratic country that was part of a free market capitalist economy. Sun City presented a unique opportunity for white South Africans to escape some of the restrictions of </w:t>
      </w:r>
      <w:r w:rsidR="00756A84">
        <w:t>NP</w:t>
      </w:r>
      <w:r w:rsidR="00202C82">
        <w:t xml:space="preserve"> government</w:t>
      </w:r>
      <w:r w:rsidR="002F536C">
        <w:t xml:space="preserve"> rule. The censorship, pornography, integration and miscegenation laws were perceived as oppressive by many South Africans. Topless dancers, game drives and water sports are some the attractions white South Africans could enjoy as they tried to escape the Calvinistic ideals of the </w:t>
      </w:r>
      <w:r w:rsidR="00107822">
        <w:t>NP</w:t>
      </w:r>
      <w:r w:rsidR="002F536C">
        <w:t xml:space="preserve"> and experiment in a comfortable interracial setting.</w:t>
      </w:r>
      <w:r w:rsidR="002F536C">
        <w:rPr>
          <w:rStyle w:val="FootnoteReference"/>
        </w:rPr>
        <w:footnoteReference w:id="204"/>
      </w:r>
      <w:r w:rsidR="002F536C">
        <w:t xml:space="preserve"> In 1985 over one hundred thousand people visited Sun City each month and, on peak days, as many as 30 000 people passed through the gates daily.</w:t>
      </w:r>
      <w:r w:rsidR="002F536C">
        <w:rPr>
          <w:rStyle w:val="FootnoteReference"/>
        </w:rPr>
        <w:footnoteReference w:id="205"/>
      </w:r>
      <w:r w:rsidR="002F536C">
        <w:t xml:space="preserve"> The presence of a casino in Bophuthatswana allowed Mangope to reap the profits of gambling but also to attract tourism and gain international exposure in the process.</w:t>
      </w:r>
      <w:r w:rsidR="002F536C">
        <w:rPr>
          <w:rStyle w:val="FootnoteReference"/>
        </w:rPr>
        <w:footnoteReference w:id="206"/>
      </w:r>
      <w:r w:rsidR="002F536C">
        <w:t xml:space="preserve"> </w:t>
      </w:r>
    </w:p>
    <w:p w14:paraId="5428CEC7" w14:textId="77777777" w:rsidR="002F536C" w:rsidRPr="009D72FF" w:rsidRDefault="002F536C" w:rsidP="002F536C">
      <w:r>
        <w:t>This chapter will argue that South African tourists acted as mobile agents who incongruously both fulfilled and contested nationalist and racial ideologies through an engagement with the bantustans. As Desmond argues, tourist venues are “crucial areas of public culture where embodied notions of identity are sold, debated and occasionally contested”.</w:t>
      </w:r>
      <w:r>
        <w:rPr>
          <w:rStyle w:val="FootnoteReference"/>
        </w:rPr>
        <w:footnoteReference w:id="207"/>
      </w:r>
      <w:r>
        <w:t xml:space="preserve"> As one of the apartheid era’s most popular tourist venues, Sun City encouraged its South African patrons to </w:t>
      </w:r>
      <w:r>
        <w:lastRenderedPageBreak/>
        <w:t xml:space="preserve">negotiate their identity through exposure to banned activities and people. </w:t>
      </w:r>
      <w:r w:rsidRPr="00B76C91">
        <w:t>Sol Kerzner</w:t>
      </w:r>
      <w:r>
        <w:t xml:space="preserve"> exploited the opportunity </w:t>
      </w:r>
      <w:r w:rsidRPr="00B76C91">
        <w:t>the bantustans</w:t>
      </w:r>
      <w:r>
        <w:t xml:space="preserve"> presented </w:t>
      </w:r>
      <w:r w:rsidRPr="00B76C91">
        <w:t xml:space="preserve">and used their </w:t>
      </w:r>
      <w:r w:rsidR="000A67CB">
        <w:t>“independence”</w:t>
      </w:r>
      <w:r w:rsidRPr="00B76C91">
        <w:t xml:space="preserve"> from South </w:t>
      </w:r>
      <w:r>
        <w:t>Africa</w:t>
      </w:r>
      <w:r w:rsidRPr="00B76C91">
        <w:t xml:space="preserve"> </w:t>
      </w:r>
      <w:r>
        <w:t>to</w:t>
      </w:r>
      <w:r w:rsidRPr="00B76C91">
        <w:t xml:space="preserve"> provide all that was d</w:t>
      </w:r>
      <w:r>
        <w:t xml:space="preserve">enied by the Calvinistic </w:t>
      </w:r>
      <w:r w:rsidR="00756A84">
        <w:t>NP</w:t>
      </w:r>
      <w:r w:rsidR="00202C82">
        <w:t xml:space="preserve"> government</w:t>
      </w:r>
      <w:r>
        <w:t>:</w:t>
      </w:r>
      <w:r w:rsidRPr="00B76C91">
        <w:t xml:space="preserve"> gambling, illicit sex, pornography and a glimpse into the uncensored Western world. </w:t>
      </w:r>
      <w:r>
        <w:t xml:space="preserve">This chapter will </w:t>
      </w:r>
      <w:r w:rsidR="00AA0B14">
        <w:t>discuss the tourist experience</w:t>
      </w:r>
      <w:r>
        <w:t xml:space="preserve"> at Sun City, </w:t>
      </w:r>
      <w:r w:rsidR="00FA6A91">
        <w:t>regarding</w:t>
      </w:r>
      <w:r>
        <w:t xml:space="preserve"> the gambling, the sale of female bodies through sex work and topless cabaret shows and the Pilanesberg National Park.</w:t>
      </w:r>
    </w:p>
    <w:p w14:paraId="3C919C95" w14:textId="77777777" w:rsidR="002F536C" w:rsidRDefault="002F536C" w:rsidP="002F536C">
      <w:pPr>
        <w:pStyle w:val="Heading2"/>
        <w:numPr>
          <w:ilvl w:val="0"/>
          <w:numId w:val="0"/>
        </w:numPr>
        <w:ind w:left="578" w:hanging="578"/>
      </w:pPr>
      <w:bookmarkStart w:id="41" w:name="_Toc459702969"/>
      <w:bookmarkStart w:id="42" w:name="_Toc488481718"/>
      <w:r>
        <w:t>Sin City: The Tourist Experience:</w:t>
      </w:r>
      <w:bookmarkEnd w:id="41"/>
      <w:bookmarkEnd w:id="42"/>
    </w:p>
    <w:p w14:paraId="3930D65F" w14:textId="77777777" w:rsidR="002F536C" w:rsidRDefault="00FA6A91" w:rsidP="002F536C">
      <w:r>
        <w:t>Per</w:t>
      </w:r>
      <w:r w:rsidR="002F536C">
        <w:t xml:space="preserve"> promotional material published in 1985:</w:t>
      </w:r>
    </w:p>
    <w:p w14:paraId="219CD6FA" w14:textId="77777777" w:rsidR="002F536C" w:rsidRDefault="002F536C" w:rsidP="002F536C">
      <w:pPr>
        <w:pStyle w:val="Subtitle"/>
      </w:pPr>
      <w:r>
        <w:t>Sol Kerzner has tried to provide a facility that will appeal to and cater for everyone, from the high roller who plays enormous stakes to the small punter who enjoys regularly chancing his modest bets. The intention is to provide excitement and thrills while giving the visitor a chance to become one of life’s winners.</w:t>
      </w:r>
      <w:r>
        <w:rPr>
          <w:rStyle w:val="FootnoteReference"/>
        </w:rPr>
        <w:footnoteReference w:id="208"/>
      </w:r>
    </w:p>
    <w:p w14:paraId="18EFEDD8" w14:textId="77777777" w:rsidR="002F536C" w:rsidRPr="00101CC7" w:rsidRDefault="00DA45A5" w:rsidP="002F536C">
      <w:r>
        <w:t>Guests behaviour</w:t>
      </w:r>
      <w:r w:rsidR="002F536C">
        <w:t xml:space="preserve"> at Sun City </w:t>
      </w:r>
      <w:r>
        <w:t xml:space="preserve">was </w:t>
      </w:r>
      <w:r w:rsidR="002F536C">
        <w:t xml:space="preserve">often excused and not examined too carefully in the name of fun. </w:t>
      </w:r>
      <w:r w:rsidR="00F51C11">
        <w:t>The</w:t>
      </w:r>
      <w:r w:rsidR="00F51C11" w:rsidRPr="00F51C11">
        <w:t xml:space="preserve"> </w:t>
      </w:r>
      <w:r>
        <w:t>resort encouraged a</w:t>
      </w:r>
      <w:r w:rsidR="00F51C11">
        <w:t xml:space="preserve"> behaviour</w:t>
      </w:r>
      <w:r>
        <w:t>al norm</w:t>
      </w:r>
      <w:r w:rsidR="00F51C11">
        <w:t>,</w:t>
      </w:r>
      <w:r w:rsidR="00F51C11" w:rsidRPr="00F51C11">
        <w:t xml:space="preserve"> focused on leisure </w:t>
      </w:r>
      <w:r w:rsidR="005E6435" w:rsidRPr="00F51C11">
        <w:t>activities that</w:t>
      </w:r>
      <w:r w:rsidR="00F51C11" w:rsidRPr="00F51C11">
        <w:t xml:space="preserve"> </w:t>
      </w:r>
      <w:r>
        <w:t>distracted from guests potential controversial, political and moral offensive acts</w:t>
      </w:r>
      <w:r w:rsidR="00F51C11">
        <w:t>.</w:t>
      </w:r>
      <w:r w:rsidR="002F536C">
        <w:rPr>
          <w:rStyle w:val="FootnoteReference"/>
        </w:rPr>
        <w:footnoteReference w:id="209"/>
      </w:r>
      <w:r w:rsidR="002F536C">
        <w:t xml:space="preserve"> </w:t>
      </w:r>
    </w:p>
    <w:p w14:paraId="478433B6" w14:textId="77777777" w:rsidR="002F536C" w:rsidRDefault="004D0C71" w:rsidP="002F536C">
      <w:r>
        <w:t>The resort was labelled “Sin City”</w:t>
      </w:r>
      <w:r w:rsidR="002F536C">
        <w:t xml:space="preserve">, by the media and tourists. It was a place </w:t>
      </w:r>
      <w:r w:rsidR="00107822">
        <w:t xml:space="preserve">where </w:t>
      </w:r>
      <w:r w:rsidR="008F4DEF">
        <w:t>several</w:t>
      </w:r>
      <w:r w:rsidR="00107822">
        <w:t xml:space="preserve"> activities were </w:t>
      </w:r>
      <w:r w:rsidR="002F536C">
        <w:t xml:space="preserve">accepted and encouraged as part of the tourist experience. These included gambling, interracial sex, prostitution, revue shows and excessive consumption of alcohol. These activities were the biggest draw-card for Sun City, and they stood in direct contrast to the moral compass of apartheid. However, the activities at Sun City could only be enjoyed through disregarding racial segregation; Sun City’s location in Bophuthatswana, technically a racially integrated space, as well as events such as the revue shows, </w:t>
      </w:r>
      <w:r w:rsidR="00107822">
        <w:t>in which black and white girls</w:t>
      </w:r>
      <w:r w:rsidR="002F536C">
        <w:t xml:space="preserve"> performed alongside o</w:t>
      </w:r>
      <w:r w:rsidR="00107822">
        <w:t>ne another, directly contravening</w:t>
      </w:r>
      <w:r w:rsidR="002F536C">
        <w:t xml:space="preserve"> the policies of apartheid. Kerzner made it </w:t>
      </w:r>
      <w:r w:rsidR="002F536C">
        <w:rPr>
          <w:i/>
        </w:rPr>
        <w:t xml:space="preserve">in vogue </w:t>
      </w:r>
      <w:r w:rsidR="002F536C">
        <w:t xml:space="preserve">to engage in these behaviours. While prostitution was illegal in Bophuthatswana (as it was in South Africa), this did not stop white South Africans from engaging in interracial sex with sex workers. It must be noted that </w:t>
      </w:r>
      <w:r w:rsidR="008F4DEF">
        <w:t>most</w:t>
      </w:r>
      <w:r w:rsidR="002F536C">
        <w:t xml:space="preserve"> </w:t>
      </w:r>
      <w:r w:rsidR="00396630">
        <w:t xml:space="preserve">of </w:t>
      </w:r>
      <w:r w:rsidR="002F536C">
        <w:t xml:space="preserve">the interracial mixing that happened at Sun City occurred through interracial sex in the form of paid sex work. Pornographic film screenings and topless cabaret shows were popular activities at the resort. In 1995 a journalist for the UK </w:t>
      </w:r>
      <w:r w:rsidR="002F536C" w:rsidRPr="004531B4">
        <w:rPr>
          <w:i/>
        </w:rPr>
        <w:t>Independent</w:t>
      </w:r>
      <w:r w:rsidR="002F536C">
        <w:t xml:space="preserve"> wrote:</w:t>
      </w:r>
    </w:p>
    <w:p w14:paraId="35C0A875" w14:textId="77777777" w:rsidR="002F536C" w:rsidRDefault="002F536C" w:rsidP="002F536C">
      <w:pPr>
        <w:pStyle w:val="Subtitle"/>
      </w:pPr>
      <w:r>
        <w:rPr>
          <w:shd w:val="clear" w:color="auto" w:fill="FFFFFF"/>
        </w:rPr>
        <w:t xml:space="preserve">Under apartheid, when inter- racial sex was a crime, white men would drive to Bophuthatswana or Swaziland to watch pornographic films banned by their </w:t>
      </w:r>
      <w:r>
        <w:rPr>
          <w:shd w:val="clear" w:color="auto" w:fill="FFFFFF"/>
        </w:rPr>
        <w:lastRenderedPageBreak/>
        <w:t>Calvinist state, read the girlie magazines they could be fined for having in their own homes, and have sex with black girls.</w:t>
      </w:r>
      <w:r>
        <w:rPr>
          <w:rStyle w:val="FootnoteReference"/>
          <w:shd w:val="clear" w:color="auto" w:fill="FFFFFF"/>
        </w:rPr>
        <w:footnoteReference w:id="210"/>
      </w:r>
    </w:p>
    <w:p w14:paraId="3B0B5417" w14:textId="77777777" w:rsidR="002F536C" w:rsidRDefault="002F536C" w:rsidP="002F536C">
      <w:r>
        <w:t>Hazel Feldman, a Sun City entertainment producer, maintained that Sun City was successful because the average white South African was not interested in race and politics; they journeyed to Sun City in pursuit of entertainment and were not overly concerned by the race of those surrounding them. This argument is supported by numerous research interviews conducted with Sun City tourists from the 1980s. Cheryl B</w:t>
      </w:r>
      <w:r>
        <w:rPr>
          <w:rFonts w:cs="Times New Roman"/>
        </w:rPr>
        <w:t>ü</w:t>
      </w:r>
      <w:r>
        <w:t xml:space="preserve">hrer and </w:t>
      </w:r>
      <w:r w:rsidR="00107822">
        <w:t xml:space="preserve">Patricia Cackett, for example, </w:t>
      </w:r>
      <w:r>
        <w:t>were not concerned with the race of Sun City’s patrons, but noticed the lack of black tourists at the resort.</w:t>
      </w:r>
      <w:r>
        <w:rPr>
          <w:rStyle w:val="FootnoteReference"/>
        </w:rPr>
        <w:footnoteReference w:id="211"/>
      </w:r>
    </w:p>
    <w:p w14:paraId="3CA5CA0D" w14:textId="77777777" w:rsidR="002F536C" w:rsidRDefault="002F536C" w:rsidP="002F536C">
      <w:pPr>
        <w:pStyle w:val="Heading2"/>
        <w:numPr>
          <w:ilvl w:val="0"/>
          <w:numId w:val="0"/>
        </w:numPr>
        <w:ind w:left="578" w:hanging="578"/>
      </w:pPr>
      <w:bookmarkStart w:id="43" w:name="_Toc488481719"/>
      <w:r>
        <w:t>Race and Marketing</w:t>
      </w:r>
      <w:bookmarkEnd w:id="43"/>
    </w:p>
    <w:p w14:paraId="3F452A71" w14:textId="77777777" w:rsidR="002F536C" w:rsidRDefault="00331135" w:rsidP="002F536C">
      <w:r>
        <w:rPr>
          <w:noProof/>
          <w:lang w:val="en-ZA" w:eastAsia="en-ZA"/>
        </w:rPr>
        <w:drawing>
          <wp:anchor distT="0" distB="0" distL="114300" distR="114300" simplePos="0" relativeHeight="251645952" behindDoc="1" locked="0" layoutInCell="1" allowOverlap="1" wp14:anchorId="74EB0009" wp14:editId="766D5306">
            <wp:simplePos x="0" y="0"/>
            <wp:positionH relativeFrom="margin">
              <wp:posOffset>1148715</wp:posOffset>
            </wp:positionH>
            <wp:positionV relativeFrom="page">
              <wp:posOffset>4843145</wp:posOffset>
            </wp:positionV>
            <wp:extent cx="3395980" cy="3234055"/>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395980" cy="3234055"/>
                    </a:xfrm>
                    <a:prstGeom prst="rect">
                      <a:avLst/>
                    </a:prstGeom>
                    <a:noFill/>
                    <a:ln>
                      <a:noFill/>
                    </a:ln>
                  </pic:spPr>
                </pic:pic>
              </a:graphicData>
            </a:graphic>
          </wp:anchor>
        </w:drawing>
      </w:r>
      <w:r w:rsidR="002F536C">
        <w:t>Images from Sun City’s promotional material subtly signal that the resort welcomed and encouraged interracial leisure time. These images of interracial mingling, however, appear staged. This comes to the fore in the picture below, where a white and a black woman poses next to one a</w:t>
      </w:r>
      <w:r w:rsidR="006E44C2">
        <w:t>nother</w:t>
      </w:r>
      <w:r w:rsidR="002F536C">
        <w:t xml:space="preserve"> </w:t>
      </w:r>
      <w:r w:rsidR="008F4DEF">
        <w:t>(refer to F</w:t>
      </w:r>
      <w:r w:rsidR="00FD64F3">
        <w:t>igure 3</w:t>
      </w:r>
      <w:r w:rsidR="006E44C2">
        <w:t>).</w:t>
      </w:r>
    </w:p>
    <w:p w14:paraId="5B7A0319" w14:textId="77777777" w:rsidR="002F536C" w:rsidRDefault="002F536C" w:rsidP="002F536C"/>
    <w:p w14:paraId="72D5ABF2" w14:textId="77777777" w:rsidR="002F536C" w:rsidRDefault="002F536C" w:rsidP="002F536C"/>
    <w:p w14:paraId="0A326944" w14:textId="77777777" w:rsidR="002F536C" w:rsidRDefault="002F536C" w:rsidP="002F536C"/>
    <w:p w14:paraId="4AFCFD0A" w14:textId="77777777" w:rsidR="002F536C" w:rsidRDefault="002F536C" w:rsidP="002F536C"/>
    <w:p w14:paraId="66845055" w14:textId="77777777" w:rsidR="002F536C" w:rsidRDefault="002F536C" w:rsidP="002F536C"/>
    <w:p w14:paraId="7D0AB5B3" w14:textId="77777777" w:rsidR="002F536C" w:rsidRDefault="002F536C" w:rsidP="002F536C"/>
    <w:p w14:paraId="1EE998A7" w14:textId="77777777" w:rsidR="002F536C" w:rsidRDefault="002F536C" w:rsidP="002F536C"/>
    <w:p w14:paraId="029205A1" w14:textId="77777777" w:rsidR="002F536C" w:rsidRDefault="002F536C" w:rsidP="002F536C"/>
    <w:p w14:paraId="36EEA57D" w14:textId="77777777" w:rsidR="008F4DEF" w:rsidRDefault="008F4DEF" w:rsidP="008F4DEF">
      <w:pPr>
        <w:pStyle w:val="Subtitle"/>
        <w:spacing w:after="0"/>
        <w:ind w:left="0"/>
        <w:rPr>
          <w:color w:val="auto"/>
          <w:spacing w:val="0"/>
          <w:sz w:val="24"/>
        </w:rPr>
      </w:pPr>
    </w:p>
    <w:p w14:paraId="7C4F887F" w14:textId="77777777" w:rsidR="008F4DEF" w:rsidRDefault="008F4DEF" w:rsidP="008F4DEF">
      <w:pPr>
        <w:pStyle w:val="Subtitle"/>
        <w:spacing w:after="0"/>
        <w:ind w:left="0"/>
        <w:rPr>
          <w:color w:val="auto"/>
          <w:spacing w:val="0"/>
          <w:sz w:val="24"/>
        </w:rPr>
      </w:pPr>
    </w:p>
    <w:p w14:paraId="12346A0C" w14:textId="77777777" w:rsidR="002F536C" w:rsidRDefault="00FD64F3" w:rsidP="008F4DEF">
      <w:pPr>
        <w:pStyle w:val="Subtitle"/>
        <w:spacing w:after="120"/>
        <w:ind w:left="0"/>
        <w:jc w:val="center"/>
      </w:pPr>
      <w:r>
        <w:t>Figure 3</w:t>
      </w:r>
      <w:r w:rsidR="002F536C">
        <w:t xml:space="preserve">: Image taken from Ray Morgan’s promotional magazine on </w:t>
      </w:r>
      <w:r w:rsidR="002F536C" w:rsidRPr="008F4DEF">
        <w:rPr>
          <w:i/>
        </w:rPr>
        <w:t>Sun City</w:t>
      </w:r>
    </w:p>
    <w:p w14:paraId="7FD51636" w14:textId="77777777" w:rsidR="002F536C" w:rsidRDefault="002F536C" w:rsidP="008F4DEF">
      <w:pPr>
        <w:pStyle w:val="Subtitle"/>
        <w:spacing w:after="120"/>
        <w:jc w:val="center"/>
      </w:pPr>
      <w:r>
        <w:t xml:space="preserve">[Source: </w:t>
      </w:r>
      <w:r>
        <w:rPr>
          <w:i/>
        </w:rPr>
        <w:t>Sun City: Bophuthatswana Southern Africa</w:t>
      </w:r>
      <w:r w:rsidR="008F4DEF">
        <w:rPr>
          <w:i/>
        </w:rPr>
        <w:t xml:space="preserve">, </w:t>
      </w:r>
      <w:r w:rsidR="008F4DEF">
        <w:t>1984</w:t>
      </w:r>
      <w:r>
        <w:t>]</w:t>
      </w:r>
    </w:p>
    <w:p w14:paraId="2CC21D3D" w14:textId="77777777" w:rsidR="002F536C" w:rsidRPr="002F536C" w:rsidRDefault="002F536C" w:rsidP="002F536C"/>
    <w:p w14:paraId="2DE87E4F" w14:textId="77777777" w:rsidR="002F536C" w:rsidRDefault="002F536C" w:rsidP="002F536C">
      <w:r>
        <w:lastRenderedPageBreak/>
        <w:t xml:space="preserve">The image was the only </w:t>
      </w:r>
      <w:r w:rsidR="00DA45A5">
        <w:t xml:space="preserve">one </w:t>
      </w:r>
      <w:r>
        <w:t xml:space="preserve">of a black person in the 46-page promotional magazine entitled </w:t>
      </w:r>
      <w:r>
        <w:rPr>
          <w:i/>
        </w:rPr>
        <w:t>Sun City.</w:t>
      </w:r>
      <w:r>
        <w:t xml:space="preserve"> Nevertheless, the image, featured in the centre of a page and surrounded by other shots from Sun City, sends a subtle message that the resort was an interracial space. </w:t>
      </w:r>
      <w:r w:rsidR="008F4DEF">
        <w:t>Meanwhile, o</w:t>
      </w:r>
      <w:r>
        <w:t>vert marketing and presentation of black bodies might have prevented conservative white South Afr</w:t>
      </w:r>
      <w:r w:rsidR="008F4DEF">
        <w:t>icans from visiting Sun City.</w:t>
      </w:r>
    </w:p>
    <w:p w14:paraId="4B426BAC" w14:textId="77777777" w:rsidR="002F536C" w:rsidRDefault="002F536C" w:rsidP="002F536C"/>
    <w:p w14:paraId="4E29908E" w14:textId="77777777" w:rsidR="002F536C" w:rsidRDefault="008F4DEF" w:rsidP="002F536C">
      <w:r>
        <w:rPr>
          <w:noProof/>
          <w:lang w:val="en-ZA" w:eastAsia="en-ZA"/>
        </w:rPr>
        <w:drawing>
          <wp:anchor distT="0" distB="0" distL="114300" distR="114300" simplePos="0" relativeHeight="251654144" behindDoc="0" locked="0" layoutInCell="1" allowOverlap="1" wp14:anchorId="5B1713D3" wp14:editId="1F606F3B">
            <wp:simplePos x="0" y="0"/>
            <wp:positionH relativeFrom="margin">
              <wp:posOffset>947420</wp:posOffset>
            </wp:positionH>
            <wp:positionV relativeFrom="paragraph">
              <wp:posOffset>316865</wp:posOffset>
            </wp:positionV>
            <wp:extent cx="3852579" cy="2557429"/>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3852579" cy="2557429"/>
                    </a:xfrm>
                    <a:prstGeom prst="rect">
                      <a:avLst/>
                    </a:prstGeom>
                    <a:noFill/>
                    <a:ln>
                      <a:noFill/>
                    </a:ln>
                  </pic:spPr>
                </pic:pic>
              </a:graphicData>
            </a:graphic>
          </wp:anchor>
        </w:drawing>
      </w:r>
    </w:p>
    <w:p w14:paraId="2B9B8715" w14:textId="77777777" w:rsidR="002F536C" w:rsidRDefault="002F536C" w:rsidP="002F536C"/>
    <w:p w14:paraId="0899EEE6" w14:textId="77777777" w:rsidR="002F536C" w:rsidRDefault="002F536C" w:rsidP="002F536C"/>
    <w:p w14:paraId="146E9EDC" w14:textId="77777777" w:rsidR="002F536C" w:rsidRDefault="002F536C" w:rsidP="002F536C"/>
    <w:p w14:paraId="72D12553" w14:textId="77777777" w:rsidR="002F536C" w:rsidRDefault="002F536C" w:rsidP="002F536C"/>
    <w:p w14:paraId="5C91E553" w14:textId="77777777" w:rsidR="002F536C" w:rsidRDefault="002F536C" w:rsidP="002F536C"/>
    <w:p w14:paraId="64178AE0" w14:textId="77777777" w:rsidR="002F536C" w:rsidRDefault="002F536C" w:rsidP="002F536C"/>
    <w:p w14:paraId="76379886" w14:textId="77777777" w:rsidR="002F536C" w:rsidRDefault="002F536C" w:rsidP="002F536C"/>
    <w:p w14:paraId="4DE35520" w14:textId="77777777" w:rsidR="002F536C" w:rsidRPr="0071685A" w:rsidRDefault="002F536C" w:rsidP="002F536C"/>
    <w:p w14:paraId="25457DA0" w14:textId="77777777" w:rsidR="002F536C" w:rsidRPr="00F60CB9" w:rsidRDefault="002F536C" w:rsidP="002F536C"/>
    <w:p w14:paraId="75F12429" w14:textId="77777777" w:rsidR="002F536C" w:rsidRPr="00116DC6" w:rsidRDefault="00FD64F3" w:rsidP="008F4DEF">
      <w:pPr>
        <w:pStyle w:val="Subtitle"/>
        <w:spacing w:after="120"/>
        <w:jc w:val="center"/>
      </w:pPr>
      <w:r>
        <w:t>Figure 4</w:t>
      </w:r>
      <w:r w:rsidR="002F536C" w:rsidRPr="00116DC6">
        <w:t xml:space="preserve">: </w:t>
      </w:r>
      <w:r w:rsidR="002F536C">
        <w:t xml:space="preserve">Advertisement from </w:t>
      </w:r>
      <w:r w:rsidR="008F4DEF">
        <w:rPr>
          <w:i/>
        </w:rPr>
        <w:t>BopTour</w:t>
      </w:r>
    </w:p>
    <w:p w14:paraId="3F052C36" w14:textId="77777777" w:rsidR="002F536C" w:rsidRDefault="002F536C" w:rsidP="008F4DEF">
      <w:pPr>
        <w:pStyle w:val="Subtitle"/>
        <w:spacing w:after="120"/>
        <w:jc w:val="center"/>
      </w:pPr>
      <w:r>
        <w:t xml:space="preserve">[Source: </w:t>
      </w:r>
      <w:r w:rsidR="008F4DEF">
        <w:rPr>
          <w:i/>
        </w:rPr>
        <w:t>BopTour</w:t>
      </w:r>
      <w:r w:rsidR="008F4DEF">
        <w:t>, 1986</w:t>
      </w:r>
      <w:r>
        <w:t>]</w:t>
      </w:r>
    </w:p>
    <w:p w14:paraId="447DDC13" w14:textId="77777777" w:rsidR="008F4DEF" w:rsidRPr="008F4DEF" w:rsidRDefault="008F4DEF" w:rsidP="008F4DEF"/>
    <w:p w14:paraId="2B70912E" w14:textId="77777777" w:rsidR="002F536C" w:rsidRPr="000C0673" w:rsidRDefault="006E44C2" w:rsidP="002F536C">
      <w:r>
        <w:t xml:space="preserve">The </w:t>
      </w:r>
      <w:r w:rsidR="002F536C">
        <w:t>advert</w:t>
      </w:r>
      <w:r>
        <w:t xml:space="preserve"> feature above was</w:t>
      </w:r>
      <w:r w:rsidR="002F536C">
        <w:t xml:space="preserve"> found in a magazine entitled </w:t>
      </w:r>
      <w:r w:rsidR="002F536C">
        <w:rPr>
          <w:i/>
        </w:rPr>
        <w:t xml:space="preserve">BopTour, </w:t>
      </w:r>
      <w:r w:rsidR="002F536C">
        <w:t>published in 1986</w:t>
      </w:r>
      <w:r w:rsidR="00FD64F3">
        <w:t xml:space="preserve"> (refer to Figure 4</w:t>
      </w:r>
      <w:r>
        <w:t>)</w:t>
      </w:r>
      <w:r w:rsidR="002F536C">
        <w:t>. The advert was included on the back cover of the magazine and features an interracial couple holding hands against the background of an African sunset. The slogan “Visit Bophuthatswana. Find your place in the sun and experience the magic of Africa” is broadcast across the advertisement.</w:t>
      </w:r>
      <w:r w:rsidR="002F536C">
        <w:rPr>
          <w:rStyle w:val="FootnoteReference"/>
        </w:rPr>
        <w:footnoteReference w:id="212"/>
      </w:r>
      <w:r w:rsidR="0047182B">
        <w:t xml:space="preserve">  T</w:t>
      </w:r>
      <w:r w:rsidR="002F536C">
        <w:t>his advert seeks to position Bophuthatswana, and by extension Sun City, which is featured extensively in the promotional magazine, as an integrated and multi-racial space. Advertisements such as these stand in sharp contrast to the overwhelming absence of black bodies in the magazines.</w:t>
      </w:r>
    </w:p>
    <w:p w14:paraId="187E681B" w14:textId="77777777" w:rsidR="002F536C" w:rsidRPr="00AC403A" w:rsidRDefault="002F536C" w:rsidP="002F536C">
      <w:r>
        <w:lastRenderedPageBreak/>
        <w:t xml:space="preserve">The advertisements and marketing campaigns for Sun City promoted the casino resort as </w:t>
      </w:r>
      <w:r w:rsidR="0047182B">
        <w:t>a luxurious and exclusive space</w:t>
      </w:r>
      <w:r>
        <w:t xml:space="preserve"> where</w:t>
      </w:r>
      <w:r w:rsidR="0047182B">
        <w:t>,</w:t>
      </w:r>
      <w:r>
        <w:t xml:space="preserve"> at the same time</w:t>
      </w:r>
      <w:r w:rsidR="0047182B">
        <w:t>,</w:t>
      </w:r>
      <w:r>
        <w:t xml:space="preserve"> everyone was welcome. The contradiction aimed to establish Sun City as space that was both high-class and accessible. Welcoming all classes and races, Sun City could be experienced by</w:t>
      </w:r>
      <w:r w:rsidR="0047182B">
        <w:t xml:space="preserve"> white</w:t>
      </w:r>
      <w:r>
        <w:t xml:space="preserve"> middle class South Africans, who constituted </w:t>
      </w:r>
      <w:r w:rsidR="00FA6A91">
        <w:t>most</w:t>
      </w:r>
      <w:r>
        <w:t xml:space="preserve"> its guests, at an affordable rate. While black guests were welcome to the resort in principle, it seems that it was mostly the wealthy bantustan elite that could afford to stay at Sun City</w:t>
      </w:r>
      <w:r w:rsidR="008F4DEF">
        <w:t>,</w:t>
      </w:r>
      <w:r>
        <w:t xml:space="preserve"> and members of Mangope’s government that were given discounted rates by Southern Sun. There are newspaper reports of black patrons being bussed in from Soweto to gamble at the casino, but the frequency of these trips is unsubstantiated.</w:t>
      </w:r>
      <w:r>
        <w:rPr>
          <w:rStyle w:val="FootnoteReference"/>
        </w:rPr>
        <w:footnoteReference w:id="213"/>
      </w:r>
      <w:r>
        <w:t xml:space="preserve"> By portraying the resort as racially inclusive, Southern Sun sought to dista</w:t>
      </w:r>
      <w:r w:rsidR="00202C82">
        <w:t xml:space="preserve">nce it from the </w:t>
      </w:r>
      <w:r w:rsidR="0047182B">
        <w:t>NP’s</w:t>
      </w:r>
      <w:r>
        <w:t xml:space="preserve"> apartheid policies. However, anti-apartheid organisations criticised Kerzner and his mega-resort for profiting from apartheid and for his dealings with government figures in South Africa and Bophuthatswana. </w:t>
      </w:r>
      <w:r>
        <w:rPr>
          <w:shd w:val="clear" w:color="auto" w:fill="FFFFFF"/>
        </w:rPr>
        <w:t xml:space="preserve">Frank Partrdige, a travel journalist for the </w:t>
      </w:r>
      <w:r w:rsidRPr="002E00DE">
        <w:rPr>
          <w:shd w:val="clear" w:color="auto" w:fill="FFFFFF"/>
        </w:rPr>
        <w:t>UK</w:t>
      </w:r>
      <w:r w:rsidRPr="007B3E58">
        <w:rPr>
          <w:i/>
          <w:shd w:val="clear" w:color="auto" w:fill="FFFFFF"/>
        </w:rPr>
        <w:t xml:space="preserve"> Independent</w:t>
      </w:r>
      <w:r>
        <w:rPr>
          <w:i/>
          <w:shd w:val="clear" w:color="auto" w:fill="FFFFFF"/>
        </w:rPr>
        <w:t xml:space="preserve"> </w:t>
      </w:r>
      <w:r>
        <w:rPr>
          <w:shd w:val="clear" w:color="auto" w:fill="FFFFFF"/>
        </w:rPr>
        <w:t>newspaper who</w:t>
      </w:r>
      <w:r>
        <w:rPr>
          <w:i/>
          <w:shd w:val="clear" w:color="auto" w:fill="FFFFFF"/>
        </w:rPr>
        <w:t xml:space="preserve"> </w:t>
      </w:r>
      <w:r>
        <w:rPr>
          <w:shd w:val="clear" w:color="auto" w:fill="FFFFFF"/>
        </w:rPr>
        <w:t>travelled to Sun City in 1985, recently remembered</w:t>
      </w:r>
    </w:p>
    <w:p w14:paraId="446C97D8" w14:textId="77777777" w:rsidR="002F536C" w:rsidRDefault="002F536C" w:rsidP="002F536C">
      <w:pPr>
        <w:pStyle w:val="Subtitle"/>
        <w:rPr>
          <w:shd w:val="clear" w:color="auto" w:fill="FFFFFF"/>
        </w:rPr>
      </w:pPr>
      <w:r>
        <w:rPr>
          <w:shd w:val="clear" w:color="auto" w:fill="FFFFFF"/>
        </w:rPr>
        <w:t>being shocked by the subservience of the predominantly black staff to the exclusively white clientele, presumably because the resort represented their best hope of a living wage.</w:t>
      </w:r>
      <w:r>
        <w:rPr>
          <w:rStyle w:val="FootnoteReference"/>
          <w:shd w:val="clear" w:color="auto" w:fill="FFFFFF"/>
        </w:rPr>
        <w:footnoteReference w:id="214"/>
      </w:r>
    </w:p>
    <w:p w14:paraId="150A109D" w14:textId="77777777" w:rsidR="002F536C" w:rsidRDefault="002F536C" w:rsidP="002F536C">
      <w:r>
        <w:t>This environment did potentially present a challenge for average South Africans, who were used to imparting orders to their black counterparts, were now encouraged to interact with potential fellow black tourists. The potential benefit of employment from Sun City was the system that cemented the racial hierarchy at Sun City.</w:t>
      </w:r>
      <w:r>
        <w:rPr>
          <w:rStyle w:val="FootnoteReference"/>
        </w:rPr>
        <w:footnoteReference w:id="215"/>
      </w:r>
      <w:r>
        <w:t xml:space="preserve"> Employment of Bophuthatswana’s residents may have provided some financial relief, but it also conformed to apartheid’s racial hierarchies in the resort where black workers waited on whites. Different races and demographics received different wages for the same employment levels at Sun City (</w:t>
      </w:r>
      <w:r w:rsidR="006E44C2">
        <w:t>refer to</w:t>
      </w:r>
      <w:r w:rsidR="009B5C43">
        <w:t xml:space="preserve"> C</w:t>
      </w:r>
      <w:r w:rsidR="0047182B">
        <w:t>hapter 2</w:t>
      </w:r>
      <w:r>
        <w:t>).</w:t>
      </w:r>
      <w:r>
        <w:rPr>
          <w:rStyle w:val="FootnoteReference"/>
        </w:rPr>
        <w:footnoteReference w:id="216"/>
      </w:r>
    </w:p>
    <w:p w14:paraId="3E2C1407" w14:textId="77777777" w:rsidR="002F536C" w:rsidRDefault="002F536C" w:rsidP="002F536C">
      <w:pPr>
        <w:pStyle w:val="Heading2"/>
        <w:numPr>
          <w:ilvl w:val="0"/>
          <w:numId w:val="0"/>
        </w:numPr>
      </w:pPr>
      <w:bookmarkStart w:id="44" w:name="_Toc488481720"/>
      <w:r>
        <w:t>Gambling at Sin City</w:t>
      </w:r>
      <w:bookmarkEnd w:id="44"/>
    </w:p>
    <w:p w14:paraId="3C0924D6" w14:textId="77777777" w:rsidR="002F536C" w:rsidRDefault="002F536C" w:rsidP="002F536C">
      <w:r>
        <w:t>Guests could arrive at the resort through various modes of transport; every day thousands of guests made their way through Sun City’s gate into an oasis, which stood in sharp contrast to its surrounding impoverished communities.</w:t>
      </w:r>
      <w:r>
        <w:rPr>
          <w:rStyle w:val="FootnoteReference"/>
        </w:rPr>
        <w:footnoteReference w:id="217"/>
      </w:r>
      <w:r>
        <w:t xml:space="preserve"> As can be seen below, a train service was </w:t>
      </w:r>
      <w:r>
        <w:lastRenderedPageBreak/>
        <w:t>introduced shortly after the resort opened in 1979 to bring passengers from Pretoria to Sun City, but it did not operate for an extended period</w:t>
      </w:r>
      <w:r w:rsidR="00784692">
        <w:t xml:space="preserve"> (refer to Figure </w:t>
      </w:r>
      <w:r w:rsidR="00B8198E">
        <w:t>5</w:t>
      </w:r>
      <w:r w:rsidR="00784692">
        <w:t>)</w:t>
      </w:r>
      <w:r>
        <w:t>. The train lines were built with a tourist railway in mind; however, due to its lack of popularity the route was closed shortly after it was opened. For overnight and day visitors, travel by car or bus proved to be the most popular. Day visitors would leave their cars in the large parking areas near the entrance gate and make their way to the monorail SkyTrain. This monorail system could transport 4000 guests an hour to the Cascades Hotel and the trips’ duration measured at approximately seven minutes.</w:t>
      </w:r>
      <w:r>
        <w:rPr>
          <w:rStyle w:val="FootnoteReference"/>
        </w:rPr>
        <w:footnoteReference w:id="218"/>
      </w:r>
      <w:r>
        <w:t xml:space="preserve"> </w:t>
      </w:r>
    </w:p>
    <w:p w14:paraId="45D70CD8" w14:textId="77777777" w:rsidR="002F536C" w:rsidRDefault="00784692" w:rsidP="002F536C">
      <w:r w:rsidRPr="00B5465A">
        <w:rPr>
          <w:noProof/>
          <w:lang w:val="en-ZA" w:eastAsia="en-ZA"/>
        </w:rPr>
        <w:drawing>
          <wp:anchor distT="0" distB="0" distL="114300" distR="114300" simplePos="0" relativeHeight="251640832" behindDoc="0" locked="0" layoutInCell="1" allowOverlap="1" wp14:anchorId="5197DB49" wp14:editId="49C469D8">
            <wp:simplePos x="0" y="0"/>
            <wp:positionH relativeFrom="margin">
              <wp:posOffset>1614739</wp:posOffset>
            </wp:positionH>
            <wp:positionV relativeFrom="paragraph">
              <wp:posOffset>17566</wp:posOffset>
            </wp:positionV>
            <wp:extent cx="2469515" cy="3600450"/>
            <wp:effectExtent l="0" t="0" r="6985" b="0"/>
            <wp:wrapSquare wrapText="bothSides"/>
            <wp:docPr id="8" name="Picture 8" descr="C:\Users\Nicola van der Merwe\Documents\Masters\Photos\unnamed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ola van der Merwe\Documents\Masters\Photos\unnamed (4).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69515" cy="3600450"/>
                    </a:xfrm>
                    <a:prstGeom prst="rect">
                      <a:avLst/>
                    </a:prstGeom>
                    <a:noFill/>
                    <a:ln>
                      <a:noFill/>
                    </a:ln>
                  </pic:spPr>
                </pic:pic>
              </a:graphicData>
            </a:graphic>
          </wp:anchor>
        </w:drawing>
      </w:r>
    </w:p>
    <w:p w14:paraId="661491E8" w14:textId="77777777" w:rsidR="002F536C" w:rsidRDefault="002F536C" w:rsidP="002F536C"/>
    <w:p w14:paraId="3E2E7083" w14:textId="77777777" w:rsidR="002F536C" w:rsidRDefault="002F536C" w:rsidP="002F536C"/>
    <w:p w14:paraId="169F1567" w14:textId="77777777" w:rsidR="002F536C" w:rsidRDefault="002F536C" w:rsidP="002F536C"/>
    <w:p w14:paraId="7004D2A7" w14:textId="77777777" w:rsidR="002F536C" w:rsidRDefault="002F536C" w:rsidP="002F536C"/>
    <w:p w14:paraId="04124064" w14:textId="77777777" w:rsidR="002F536C" w:rsidRDefault="002F536C" w:rsidP="002F536C"/>
    <w:p w14:paraId="4B3CE936" w14:textId="77777777" w:rsidR="002F536C" w:rsidRDefault="002F536C" w:rsidP="002F536C"/>
    <w:p w14:paraId="7ACB8EE3" w14:textId="77777777" w:rsidR="002F536C" w:rsidRDefault="002F536C" w:rsidP="002F536C"/>
    <w:p w14:paraId="6E35853C" w14:textId="77777777" w:rsidR="002F536C" w:rsidRDefault="002F536C" w:rsidP="002F536C">
      <w:pPr>
        <w:spacing w:after="0" w:line="240" w:lineRule="auto"/>
        <w:jc w:val="center"/>
        <w:rPr>
          <w:sz w:val="20"/>
          <w:szCs w:val="20"/>
        </w:rPr>
      </w:pPr>
    </w:p>
    <w:p w14:paraId="164548DC" w14:textId="77777777" w:rsidR="002F536C" w:rsidRDefault="002F536C" w:rsidP="002F536C">
      <w:pPr>
        <w:spacing w:after="0" w:line="240" w:lineRule="auto"/>
        <w:jc w:val="center"/>
        <w:rPr>
          <w:sz w:val="20"/>
          <w:szCs w:val="20"/>
        </w:rPr>
      </w:pPr>
    </w:p>
    <w:p w14:paraId="7B08CF59" w14:textId="77777777" w:rsidR="002F536C" w:rsidRDefault="002F536C" w:rsidP="002F536C">
      <w:pPr>
        <w:spacing w:after="0" w:line="240" w:lineRule="auto"/>
        <w:jc w:val="center"/>
        <w:rPr>
          <w:sz w:val="20"/>
          <w:szCs w:val="20"/>
        </w:rPr>
      </w:pPr>
    </w:p>
    <w:p w14:paraId="1C0788B6" w14:textId="77777777" w:rsidR="002F536C" w:rsidRDefault="002F536C" w:rsidP="002F536C">
      <w:pPr>
        <w:spacing w:after="0" w:line="240" w:lineRule="auto"/>
        <w:jc w:val="center"/>
        <w:rPr>
          <w:sz w:val="20"/>
          <w:szCs w:val="20"/>
        </w:rPr>
      </w:pPr>
    </w:p>
    <w:p w14:paraId="68147FDD" w14:textId="77777777" w:rsidR="002F536C" w:rsidRDefault="002F536C" w:rsidP="002F536C">
      <w:pPr>
        <w:spacing w:after="0" w:line="240" w:lineRule="auto"/>
        <w:jc w:val="center"/>
        <w:rPr>
          <w:sz w:val="20"/>
          <w:szCs w:val="20"/>
        </w:rPr>
      </w:pPr>
    </w:p>
    <w:p w14:paraId="757A21A4" w14:textId="77777777" w:rsidR="002F536C" w:rsidRDefault="002F536C" w:rsidP="002F536C">
      <w:pPr>
        <w:spacing w:after="0" w:line="240" w:lineRule="auto"/>
        <w:jc w:val="center"/>
        <w:rPr>
          <w:sz w:val="20"/>
          <w:szCs w:val="20"/>
        </w:rPr>
      </w:pPr>
    </w:p>
    <w:p w14:paraId="6969810B" w14:textId="77777777" w:rsidR="002F536C" w:rsidRDefault="00B8198E" w:rsidP="00784692">
      <w:pPr>
        <w:pStyle w:val="Subtitle"/>
        <w:spacing w:after="120"/>
        <w:ind w:left="0"/>
        <w:jc w:val="center"/>
      </w:pPr>
      <w:r>
        <w:t>Figure 5</w:t>
      </w:r>
      <w:r w:rsidR="002F536C">
        <w:t>: Two women about to board the Sun City train at Pretoria Station</w:t>
      </w:r>
    </w:p>
    <w:p w14:paraId="0F887591" w14:textId="77777777" w:rsidR="002F536C" w:rsidRDefault="002F536C" w:rsidP="00784692">
      <w:pPr>
        <w:spacing w:after="120" w:line="240" w:lineRule="auto"/>
        <w:jc w:val="center"/>
        <w:rPr>
          <w:sz w:val="20"/>
          <w:szCs w:val="20"/>
        </w:rPr>
      </w:pPr>
      <w:r>
        <w:rPr>
          <w:sz w:val="20"/>
          <w:szCs w:val="20"/>
        </w:rPr>
        <w:t>[Source: Copyright Wessel Oosthu</w:t>
      </w:r>
      <w:r w:rsidR="006F3AD9">
        <w:rPr>
          <w:sz w:val="20"/>
          <w:szCs w:val="20"/>
        </w:rPr>
        <w:t>ise</w:t>
      </w:r>
      <w:r>
        <w:rPr>
          <w:sz w:val="20"/>
          <w:szCs w:val="20"/>
        </w:rPr>
        <w:t>n]</w:t>
      </w:r>
    </w:p>
    <w:p w14:paraId="0112E4BE" w14:textId="77777777" w:rsidR="002F536C" w:rsidRDefault="002F536C" w:rsidP="002F536C"/>
    <w:p w14:paraId="4CDDEED1" w14:textId="77777777" w:rsidR="002F536C" w:rsidRDefault="002F536C" w:rsidP="002F536C">
      <w:r>
        <w:t>Since its inception, the overwhelming majority of Sun City’s guests have been South Africans, accompanied by a smaller but steady flow of international tourists. According to employees at Sun City, many of the families that visit Sun City today have been loyal customers since it first opened.</w:t>
      </w:r>
      <w:r>
        <w:rPr>
          <w:rStyle w:val="FootnoteReference"/>
        </w:rPr>
        <w:footnoteReference w:id="219"/>
      </w:r>
      <w:r>
        <w:t xml:space="preserve"> The demographics of visitors changed after the end of apartheid, when black families began to afford the rates at Sun City and they have been regular patrons of the resort. The international tourist trade also picked up after 1994 as the </w:t>
      </w:r>
      <w:r>
        <w:lastRenderedPageBreak/>
        <w:t xml:space="preserve">fall of apartheid </w:t>
      </w:r>
      <w:r w:rsidR="00784692">
        <w:t>opened</w:t>
      </w:r>
      <w:r>
        <w:t xml:space="preserve"> the South African tourism market. When the casino market was extended to the rest of South Africa from 1996, Sun International saw a drop in the international tourist trade; this affected Sun City, but not as much as other former homeland casinos.</w:t>
      </w:r>
      <w:r>
        <w:rPr>
          <w:rStyle w:val="FootnoteReference"/>
        </w:rPr>
        <w:footnoteReference w:id="220"/>
      </w:r>
    </w:p>
    <w:p w14:paraId="791F9EB1" w14:textId="77777777" w:rsidR="002F536C" w:rsidRDefault="002F536C" w:rsidP="002F536C">
      <w:r>
        <w:t>Sun City promoted gambling as the racial equa</w:t>
      </w:r>
      <w:r w:rsidR="000C57FE">
        <w:t>lise</w:t>
      </w:r>
      <w:r>
        <w:t xml:space="preserve">r, where everyone, regardless of colour, would be subject to fortune. Kerzner provided a scarce product to an eager and wealthy client base. His profits hinged on the illegality of gambling in South Africa. However, Kerzner downplayed the relevance of gambling as the resort’s drawcard to the press. </w:t>
      </w:r>
    </w:p>
    <w:p w14:paraId="4D17DEA4" w14:textId="77777777" w:rsidR="002F536C" w:rsidRDefault="002F536C" w:rsidP="002F536C">
      <w:r>
        <w:t>Since the mid-</w:t>
      </w:r>
      <w:r w:rsidR="007E613D">
        <w:t>20th</w:t>
      </w:r>
      <w:r>
        <w:t xml:space="preserve"> century, casinos have offered a crucial stream of revenue for South African hotels and resorts. Rising costs in hotel construction often necessitated the addition of a casino. Gambling is marketed as a form of relaxation; one experiences great thrills, hours pass as do any problems one may have. The casino at the Sun City hotel was one of the largest in the world when it first opened its doors in 1979. It contained 48 gaming tables; 30 American roulette, 13 blackjack, 4 punto banco and 1 chemin de far. The casino’s popularity and overcrowding soon made it apparent that more tables were needed to cope with the influx of gamblers. The existing floor area did not allow for more tables to be added so a new addition was built and took the form of the Salon Priv</w:t>
      </w:r>
      <w:r>
        <w:rPr>
          <w:rFonts w:cs="Times New Roman"/>
        </w:rPr>
        <w:t>é in 1984</w:t>
      </w:r>
      <w:r>
        <w:t xml:space="preserve">. This private area catered for Sun City’s loyal customers and high rollers. Once the area was completed the number of tables increased to 68, with 36 roulette, 23 blackjack, 6 punto banco and 2 dice. In 1985, Sun City had a total of 747 slot machines with 284 of the machines in the main hotel’s casino and the remaining 463 held in the Entertainment Centre. </w:t>
      </w:r>
    </w:p>
    <w:p w14:paraId="27C51A9D" w14:textId="77777777" w:rsidR="002F536C" w:rsidRPr="0084630F" w:rsidRDefault="002F536C" w:rsidP="002F536C">
      <w:pPr>
        <w:rPr>
          <w:rFonts w:cs="Times New Roman"/>
          <w:szCs w:val="24"/>
        </w:rPr>
      </w:pPr>
      <w:r>
        <w:t>Publishing the names of big winners in magazines and newspapers throughout South Africa was used to advertise the casino and</w:t>
      </w:r>
      <w:r>
        <w:rPr>
          <w:rFonts w:cs="Times New Roman"/>
          <w:szCs w:val="24"/>
        </w:rPr>
        <w:t xml:space="preserve"> drew large crowds to the casino floor. On 20 February 1989 Richard Ferrell from Henley-on-Klip took R100 to the casino at Sun City to play on the famous Dream Machine. Just after midnight he won a R2 623 746 jackpot - tax free. Ferrell was the first Sun City slot machine millionaire. </w:t>
      </w:r>
      <w:r w:rsidR="0047182B">
        <w:rPr>
          <w:rFonts w:cs="Times New Roman"/>
          <w:szCs w:val="24"/>
        </w:rPr>
        <w:t xml:space="preserve">Quoted in a promotional magazine, Ferrell commented: </w:t>
      </w:r>
      <w:r>
        <w:rPr>
          <w:rFonts w:cs="Times New Roman"/>
          <w:szCs w:val="24"/>
        </w:rPr>
        <w:t>“I was absolutely stunned. It’s such a lot of money it’s going to change my life forever. In its way it’s such a stressful experience. I still can’t believe it’s really true.”</w:t>
      </w:r>
      <w:r>
        <w:rPr>
          <w:rStyle w:val="FootnoteReference"/>
          <w:rFonts w:cs="Times New Roman"/>
          <w:szCs w:val="24"/>
        </w:rPr>
        <w:footnoteReference w:id="221"/>
      </w:r>
      <w:r>
        <w:rPr>
          <w:rFonts w:cs="Times New Roman"/>
          <w:szCs w:val="24"/>
        </w:rPr>
        <w:t xml:space="preserve"> Jimmy Baird and his wife travelled to Sun City in 1983 as part of a South African road trip. Never having been much of gambler, Baird finally worked up the courage to walk into the </w:t>
      </w:r>
      <w:r>
        <w:rPr>
          <w:rFonts w:cs="Times New Roman"/>
          <w:szCs w:val="24"/>
        </w:rPr>
        <w:lastRenderedPageBreak/>
        <w:t>casino on their last night. He had no gambling knowledge and recalls how the teller laughed at him. He sat down at the roulette table and within ten minutes made approximately R1000. Within the next minute his stack had halved, he decided to call it quits and walked away with enough money to pay for his holiday.</w:t>
      </w:r>
      <w:r>
        <w:rPr>
          <w:rStyle w:val="FootnoteReference"/>
          <w:rFonts w:cs="Times New Roman"/>
          <w:szCs w:val="24"/>
        </w:rPr>
        <w:footnoteReference w:id="222"/>
      </w:r>
      <w:r>
        <w:rPr>
          <w:rFonts w:cs="Times New Roman"/>
          <w:szCs w:val="24"/>
        </w:rPr>
        <w:t xml:space="preserve"> Gambling was an attraction to </w:t>
      </w:r>
      <w:r w:rsidR="00784692">
        <w:rPr>
          <w:rFonts w:cs="Times New Roman"/>
          <w:szCs w:val="24"/>
        </w:rPr>
        <w:t>most</w:t>
      </w:r>
      <w:r>
        <w:rPr>
          <w:rFonts w:cs="Times New Roman"/>
          <w:szCs w:val="24"/>
        </w:rPr>
        <w:t xml:space="preserve"> Sun City tourists, with the resort offering a unique form of entertainment for the South African tourist as it</w:t>
      </w:r>
    </w:p>
    <w:p w14:paraId="4F9AB521" w14:textId="77777777" w:rsidR="002F536C" w:rsidRDefault="002F536C" w:rsidP="002F536C">
      <w:pPr>
        <w:pStyle w:val="Subtitle"/>
      </w:pPr>
      <w:r>
        <w:t>offered an added ingredient – the hint, in a rigid caste-bound society enforcing the Immorality Act, of illicit, weekend sex across the so-called race boundaries; escape from the Calvinistic Sunday, escape from the rigid conformity of Apartheid South Africa.</w:t>
      </w:r>
      <w:r>
        <w:rPr>
          <w:rStyle w:val="FootnoteReference"/>
        </w:rPr>
        <w:footnoteReference w:id="223"/>
      </w:r>
    </w:p>
    <w:p w14:paraId="7D238063" w14:textId="77777777" w:rsidR="002F536C" w:rsidRPr="00CD24C0" w:rsidRDefault="002F536C" w:rsidP="002F536C">
      <w:pPr>
        <w:pStyle w:val="Heading2"/>
        <w:numPr>
          <w:ilvl w:val="0"/>
          <w:numId w:val="0"/>
        </w:numPr>
        <w:ind w:left="578" w:hanging="578"/>
      </w:pPr>
      <w:bookmarkStart w:id="45" w:name="_Toc488481721"/>
      <w:r>
        <w:t>Sex Work and Revue Shows</w:t>
      </w:r>
      <w:bookmarkEnd w:id="45"/>
    </w:p>
    <w:p w14:paraId="56014828" w14:textId="77777777" w:rsidR="00F45430" w:rsidRDefault="002F536C" w:rsidP="002F536C">
      <w:r>
        <w:t xml:space="preserve">In 1950 South Africa introduced the </w:t>
      </w:r>
      <w:r w:rsidR="0047182B">
        <w:t>first Mixed Marriages Act whi</w:t>
      </w:r>
      <w:r>
        <w:t>ch prohibited sexual intercourse between different races – this was entirely unique to South Africa. Under the Immorality Act 23 of 1957, otherwise known as the Sexual Offences Act, prostitution, unlawful sexual intercourse and the creation and operation of brothels was prohibited in South Africa.</w:t>
      </w:r>
      <w:r>
        <w:rPr>
          <w:rStyle w:val="FootnoteReference"/>
        </w:rPr>
        <w:footnoteReference w:id="224"/>
      </w:r>
      <w:r>
        <w:t xml:space="preserve"> This ruli</w:t>
      </w:r>
      <w:r w:rsidR="00202C82">
        <w:t xml:space="preserve">ng followed the </w:t>
      </w:r>
      <w:r w:rsidR="00756A84">
        <w:t>NP</w:t>
      </w:r>
      <w:r w:rsidR="00202C82">
        <w:t xml:space="preserve"> government’s</w:t>
      </w:r>
      <w:r>
        <w:t xml:space="preserve"> ideology of promoting a morally pure population. It was not unusual, as sex work was prohibited in most countries. These stringent laws, however, did not a</w:t>
      </w:r>
      <w:r w:rsidR="004D0C71">
        <w:t>pply across the border</w:t>
      </w:r>
      <w:r>
        <w:t xml:space="preserve"> in Bophuthatswana.  While miscegenation, pornography and revue shows were legal, sex work was</w:t>
      </w:r>
      <w:r w:rsidR="0047182B">
        <w:t xml:space="preserve"> also illegal in the bantustans, t</w:t>
      </w:r>
      <w:r>
        <w:t>hese</w:t>
      </w:r>
      <w:r w:rsidR="0047182B">
        <w:t xml:space="preserve"> activities</w:t>
      </w:r>
      <w:r>
        <w:t xml:space="preserve"> provided a large entertainment attraction for Sun City’s tourists with prostitution being largely uncontrolled. As Saayman and Smalberger have noted, this type of market is notoriously difficult to research due to its transient and illegal nature.</w:t>
      </w:r>
      <w:r>
        <w:rPr>
          <w:rStyle w:val="FootnoteReference"/>
        </w:rPr>
        <w:footnoteReference w:id="225"/>
      </w:r>
      <w:r>
        <w:t xml:space="preserve"> Research participants for this study have been unwilling to discuss the topic, as have representatives of Sun International. However, travelling to Sun City in search of </w:t>
      </w:r>
      <w:r w:rsidR="005E6435">
        <w:t>prostitutes was</w:t>
      </w:r>
      <w:r>
        <w:t xml:space="preserve"> one of the notorious attractions for the white male South African population (as well as international tourists).</w:t>
      </w:r>
      <w:r w:rsidR="00F45430">
        <w:t xml:space="preserve"> However, stories regaled from this era may have been overstated, it did </w:t>
      </w:r>
      <w:r>
        <w:t>le</w:t>
      </w:r>
      <w:r w:rsidR="00F45430">
        <w:t>a</w:t>
      </w:r>
      <w:r>
        <w:t xml:space="preserve">d to a growth in prostitution in the area. </w:t>
      </w:r>
    </w:p>
    <w:p w14:paraId="0A39F97B" w14:textId="77777777" w:rsidR="002F536C" w:rsidRDefault="00DA45A5" w:rsidP="002F536C">
      <w:r>
        <w:t>Sannar stated that s</w:t>
      </w:r>
      <w:r w:rsidR="002F536C">
        <w:t xml:space="preserve">upporters of Sun City defend the resort by suggesting that the inter-racial mixing at Sun City led to changes in the attitudes of white South Africans and to eventual </w:t>
      </w:r>
      <w:r w:rsidR="002F536C">
        <w:lastRenderedPageBreak/>
        <w:t>change in the country.</w:t>
      </w:r>
      <w:r w:rsidR="002F536C">
        <w:rPr>
          <w:rStyle w:val="FootnoteReference"/>
        </w:rPr>
        <w:footnoteReference w:id="226"/>
      </w:r>
      <w:r w:rsidR="002F536C">
        <w:t xml:space="preserve"> However, this is a drastic oversimplification of the downfall of apartheid </w:t>
      </w:r>
      <w:r w:rsidR="002F536C" w:rsidRPr="00784692">
        <w:t xml:space="preserve">and </w:t>
      </w:r>
      <w:r w:rsidR="0047182B" w:rsidRPr="00784692">
        <w:t>insult</w:t>
      </w:r>
      <w:r w:rsidR="002F536C" w:rsidRPr="00784692">
        <w:t xml:space="preserve"> </w:t>
      </w:r>
      <w:r w:rsidR="002F536C">
        <w:t>to the struggle fought by the oppressed black population.</w:t>
      </w:r>
      <w:r w:rsidR="002F536C">
        <w:rPr>
          <w:rStyle w:val="FootnoteReference"/>
        </w:rPr>
        <w:footnoteReference w:id="227"/>
      </w:r>
      <w:r w:rsidR="004D0C71">
        <w:t xml:space="preserve"> “Casual integrated sex”</w:t>
      </w:r>
      <w:r w:rsidR="002F536C">
        <w:t>, as it was labelled, was a euphemism for prostitution and the sale of black female bodies.</w:t>
      </w:r>
      <w:r w:rsidR="002F536C">
        <w:rPr>
          <w:rStyle w:val="FootnoteReference"/>
        </w:rPr>
        <w:footnoteReference w:id="228"/>
      </w:r>
      <w:r w:rsidR="002F536C">
        <w:t xml:space="preserve"> </w:t>
      </w:r>
    </w:p>
    <w:p w14:paraId="6D249A14" w14:textId="77777777" w:rsidR="002F536C" w:rsidRDefault="002F536C" w:rsidP="002F536C">
      <w:r>
        <w:t xml:space="preserve">Sun City became an erotic </w:t>
      </w:r>
      <w:r w:rsidRPr="004B0D00">
        <w:t>Disneyland</w:t>
      </w:r>
      <w:r>
        <w:rPr>
          <w:i/>
        </w:rPr>
        <w:t xml:space="preserve"> </w:t>
      </w:r>
      <w:r>
        <w:t>for adults, with a variety of women in varying</w:t>
      </w:r>
      <w:r w:rsidR="00107822">
        <w:t xml:space="preserve"> degrees</w:t>
      </w:r>
      <w:r>
        <w:t xml:space="preserve"> of nudity on offer. Live casino entertainment was offered in the form of a dance group known as </w:t>
      </w:r>
      <w:r w:rsidRPr="00784692">
        <w:rPr>
          <w:i/>
        </w:rPr>
        <w:t>Legs 11</w:t>
      </w:r>
      <w:r>
        <w:rPr>
          <w:i/>
        </w:rPr>
        <w:t xml:space="preserve">. </w:t>
      </w:r>
      <w:r>
        <w:t xml:space="preserve">Three girls - Lisa, Antoinette and Jeanine - performed dance routines in skin tight costumes and often ventured into the audience. The description in Sun City’s </w:t>
      </w:r>
      <w:r>
        <w:rPr>
          <w:i/>
        </w:rPr>
        <w:t xml:space="preserve">Slot Gazette </w:t>
      </w:r>
      <w:r>
        <w:t>magazine</w:t>
      </w:r>
      <w:r>
        <w:rPr>
          <w:i/>
        </w:rPr>
        <w:t xml:space="preserve"> </w:t>
      </w:r>
      <w:r>
        <w:t>is vaguely reminiscent of a strip show.</w:t>
      </w:r>
      <w:r>
        <w:rPr>
          <w:rStyle w:val="FootnoteReference"/>
        </w:rPr>
        <w:footnoteReference w:id="229"/>
      </w:r>
      <w:r>
        <w:t xml:space="preserve"> The Extravaganza Theatre in the foyer of the Sun City hotel seated 630 people and in the 1980s the shows were compared to theatres of Las Vegas, Reno and Paris.</w:t>
      </w:r>
      <w:r>
        <w:rPr>
          <w:rStyle w:val="FootnoteReference"/>
        </w:rPr>
        <w:footnoteReference w:id="230"/>
      </w:r>
      <w:r>
        <w:t xml:space="preserve"> According to Sannar,</w:t>
      </w:r>
    </w:p>
    <w:p w14:paraId="3037EC86" w14:textId="77777777" w:rsidR="002F536C" w:rsidRPr="001851DD" w:rsidRDefault="002F536C" w:rsidP="002F536C">
      <w:pPr>
        <w:pStyle w:val="Subtitle"/>
        <w:rPr>
          <w:lang w:val="en-US"/>
        </w:rPr>
      </w:pPr>
      <w:r>
        <w:rPr>
          <w:lang w:val="en-US"/>
        </w:rPr>
        <w:t xml:space="preserve">The Extravaganzas celebrated an erotic and racial fluidity that taunted the relative conservatism of their audiences. Such challenges, flirts, and teases with a South African status quo titillated tourists, who gladly paid for such experiences. The spectacles, filled with innuendo and occasionally frank portrayals of lesbianism, polygamy, miscegenation, bestiality, and even interstellar robot sex, fostered an environment of eroticism and exoticism at Sun City. Simultaneously, they evidenced South Africa’s developing moral liberalism in contrast to the dogmatic restrictions on social and sexual behavior imposed by the </w:t>
      </w:r>
      <w:r w:rsidR="00756A84">
        <w:rPr>
          <w:lang w:val="en-US"/>
        </w:rPr>
        <w:t>NP</w:t>
      </w:r>
      <w:r>
        <w:rPr>
          <w:lang w:val="en-US"/>
        </w:rPr>
        <w:t xml:space="preserve"> government.</w:t>
      </w:r>
      <w:r>
        <w:rPr>
          <w:rStyle w:val="FootnoteReference"/>
          <w:lang w:val="en-US"/>
        </w:rPr>
        <w:footnoteReference w:id="231"/>
      </w:r>
    </w:p>
    <w:p w14:paraId="6C79A2E0" w14:textId="77777777" w:rsidR="002F536C" w:rsidRDefault="002F536C" w:rsidP="002F536C">
      <w:r>
        <w:t>The success of the Extravaganza Shows at Sun City rested on sex, shock and scope.  The performances on stage presented their audiences with an alternative to everyday life under apartheid, with public displays of racial integration in an environment where the sexual was not taboo. The significance of an interracial stage performance where black bodies were on display did not have immediate political or cultural bearing because such rea</w:t>
      </w:r>
      <w:r w:rsidR="006F3AD9">
        <w:t>lisa</w:t>
      </w:r>
      <w:r>
        <w:t>tions were not openly acknowledged by audience members. The promotional material marketed bla</w:t>
      </w:r>
      <w:r w:rsidR="004D0C71">
        <w:t>ck revue dancers as the exotic “other”</w:t>
      </w:r>
      <w:r w:rsidR="009D1A58">
        <w:t xml:space="preserve"> </w:t>
      </w:r>
      <w:r w:rsidR="00B8198E">
        <w:t>(refer to Figure 6</w:t>
      </w:r>
      <w:r w:rsidR="00784692">
        <w:t>).</w:t>
      </w:r>
      <w:r>
        <w:t xml:space="preserve"> </w:t>
      </w:r>
      <w:r>
        <w:rPr>
          <w:rStyle w:val="FootnoteReference"/>
        </w:rPr>
        <w:footnoteReference w:id="232"/>
      </w:r>
    </w:p>
    <w:p w14:paraId="116A4F2F" w14:textId="77777777" w:rsidR="002F536C" w:rsidRDefault="002F536C" w:rsidP="002F536C"/>
    <w:p w14:paraId="366C6F74" w14:textId="77777777" w:rsidR="002F536C" w:rsidRDefault="002F536C" w:rsidP="002F536C"/>
    <w:p w14:paraId="78FC8383" w14:textId="77777777" w:rsidR="002F536C" w:rsidRDefault="002F536C" w:rsidP="002F536C"/>
    <w:p w14:paraId="0A4E38A5" w14:textId="77777777" w:rsidR="002F536C" w:rsidRDefault="002F536C" w:rsidP="002F536C"/>
    <w:p w14:paraId="75DFD5C0" w14:textId="77777777" w:rsidR="002F536C" w:rsidRDefault="00784692" w:rsidP="002F536C">
      <w:r>
        <w:rPr>
          <w:noProof/>
          <w:lang w:val="en-ZA" w:eastAsia="en-ZA"/>
        </w:rPr>
        <w:drawing>
          <wp:anchor distT="0" distB="0" distL="114300" distR="114300" simplePos="0" relativeHeight="251660288" behindDoc="1" locked="0" layoutInCell="1" allowOverlap="1" wp14:anchorId="0F1D53A5" wp14:editId="731EA20D">
            <wp:simplePos x="0" y="0"/>
            <wp:positionH relativeFrom="margin">
              <wp:posOffset>1496060</wp:posOffset>
            </wp:positionH>
            <wp:positionV relativeFrom="paragraph">
              <wp:posOffset>11430</wp:posOffset>
            </wp:positionV>
            <wp:extent cx="1871980" cy="3159760"/>
            <wp:effectExtent l="0" t="0" r="0" b="254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71980" cy="3159760"/>
                    </a:xfrm>
                    <a:prstGeom prst="rect">
                      <a:avLst/>
                    </a:prstGeom>
                    <a:noFill/>
                    <a:ln>
                      <a:noFill/>
                    </a:ln>
                  </pic:spPr>
                </pic:pic>
              </a:graphicData>
            </a:graphic>
          </wp:anchor>
        </w:drawing>
      </w:r>
    </w:p>
    <w:p w14:paraId="27180F5A" w14:textId="77777777" w:rsidR="002F536C" w:rsidRDefault="002F536C" w:rsidP="002F536C"/>
    <w:p w14:paraId="6111B90C" w14:textId="77777777" w:rsidR="002F536C" w:rsidRDefault="002F536C" w:rsidP="002F536C"/>
    <w:p w14:paraId="7FF4FAE4" w14:textId="77777777" w:rsidR="002F536C" w:rsidRDefault="002F536C" w:rsidP="002F536C"/>
    <w:p w14:paraId="7449EE7E" w14:textId="77777777" w:rsidR="002F536C" w:rsidRDefault="002F536C" w:rsidP="002F536C"/>
    <w:p w14:paraId="534F46BE" w14:textId="77777777" w:rsidR="002F536C" w:rsidRDefault="002F536C" w:rsidP="002F536C">
      <w:pPr>
        <w:pStyle w:val="Subtitle"/>
        <w:spacing w:after="0"/>
        <w:jc w:val="center"/>
      </w:pPr>
    </w:p>
    <w:p w14:paraId="2359C150" w14:textId="77777777" w:rsidR="002F536C" w:rsidRDefault="002F536C" w:rsidP="002F536C">
      <w:pPr>
        <w:pStyle w:val="Subtitle"/>
        <w:spacing w:after="0"/>
        <w:jc w:val="center"/>
      </w:pPr>
    </w:p>
    <w:p w14:paraId="4559EF2E" w14:textId="77777777" w:rsidR="002F536C" w:rsidRDefault="002F536C" w:rsidP="002F536C">
      <w:pPr>
        <w:pStyle w:val="Subtitle"/>
        <w:spacing w:after="0"/>
        <w:jc w:val="center"/>
      </w:pPr>
    </w:p>
    <w:p w14:paraId="26399EBD" w14:textId="77777777" w:rsidR="002F536C" w:rsidRDefault="002F536C" w:rsidP="002F536C">
      <w:pPr>
        <w:pStyle w:val="Subtitle"/>
        <w:spacing w:after="0"/>
        <w:jc w:val="center"/>
      </w:pPr>
    </w:p>
    <w:p w14:paraId="0B8B8923" w14:textId="77777777" w:rsidR="002F536C" w:rsidRDefault="002F536C" w:rsidP="002F536C">
      <w:pPr>
        <w:pStyle w:val="Subtitle"/>
        <w:spacing w:after="0"/>
        <w:ind w:left="0"/>
        <w:jc w:val="center"/>
      </w:pPr>
    </w:p>
    <w:p w14:paraId="0318BA57" w14:textId="77777777" w:rsidR="002F536C" w:rsidRDefault="002F536C" w:rsidP="002F536C">
      <w:pPr>
        <w:pStyle w:val="Subtitle"/>
        <w:spacing w:after="0"/>
        <w:ind w:left="0"/>
        <w:jc w:val="center"/>
      </w:pPr>
    </w:p>
    <w:p w14:paraId="66B15F0A" w14:textId="77777777" w:rsidR="00784692" w:rsidRPr="00784692" w:rsidRDefault="00784692" w:rsidP="00784692"/>
    <w:p w14:paraId="3D97EEC2" w14:textId="77777777" w:rsidR="002F536C" w:rsidRDefault="002F536C" w:rsidP="002F536C">
      <w:pPr>
        <w:pStyle w:val="Subtitle"/>
        <w:spacing w:after="0"/>
        <w:ind w:left="0"/>
        <w:jc w:val="center"/>
      </w:pPr>
    </w:p>
    <w:p w14:paraId="08AF5714" w14:textId="77777777" w:rsidR="002F536C" w:rsidRDefault="00B8198E" w:rsidP="00784692">
      <w:pPr>
        <w:pStyle w:val="Subtitle"/>
        <w:spacing w:after="120"/>
        <w:ind w:left="0"/>
        <w:jc w:val="center"/>
      </w:pPr>
      <w:r>
        <w:t>Figure 6</w:t>
      </w:r>
      <w:r w:rsidR="002F536C">
        <w:t>: Revue dancer performing at Sun City 1982</w:t>
      </w:r>
    </w:p>
    <w:p w14:paraId="49AC627F" w14:textId="77777777" w:rsidR="002F536C" w:rsidRDefault="002F536C" w:rsidP="00784692">
      <w:pPr>
        <w:pStyle w:val="Subtitle"/>
        <w:spacing w:after="120"/>
        <w:jc w:val="center"/>
      </w:pPr>
      <w:r>
        <w:t>[Source: Extravaganza Show programme.]</w:t>
      </w:r>
    </w:p>
    <w:p w14:paraId="754B7FDE" w14:textId="77777777" w:rsidR="002F536C" w:rsidRPr="00F313D9" w:rsidRDefault="002F536C" w:rsidP="002F536C"/>
    <w:p w14:paraId="6C7570C4" w14:textId="77777777" w:rsidR="002F536C" w:rsidRDefault="002F536C" w:rsidP="002F536C">
      <w:r>
        <w:t xml:space="preserve">The above pictures </w:t>
      </w:r>
      <w:r w:rsidR="00784692">
        <w:t>demonstrate</w:t>
      </w:r>
      <w:r>
        <w:t xml:space="preserve"> the display of interracial, exotic mixing with feathers, glittery outfits and topless girls that was a consistent theme throughout all of Sun City’s Extravaganza performances from the first show in 1980 right through to the early 1990s.</w:t>
      </w:r>
      <w:r>
        <w:rPr>
          <w:rStyle w:val="FootnoteReference"/>
        </w:rPr>
        <w:footnoteReference w:id="233"/>
      </w:r>
      <w:r>
        <w:t xml:space="preserve"> According to Andre Kemp, a producer of the Sun City revue shows,</w:t>
      </w:r>
    </w:p>
    <w:p w14:paraId="7073F8A0" w14:textId="77777777" w:rsidR="002F536C" w:rsidRDefault="002F536C" w:rsidP="002F536C">
      <w:pPr>
        <w:pStyle w:val="Subtitle"/>
      </w:pPr>
      <w:r>
        <w:t>Like all other shows, Sun City Extravaganza’s [sic] [were] subject to the vagaries of public taste, but South African audiences have been consistent in their pleasures. South African men are not slavering perverts with beer bellies, bad attitudes and secret feather fetishes… It’s about the glamour, and the tits and feather business provides that.</w:t>
      </w:r>
      <w:r>
        <w:rPr>
          <w:rStyle w:val="FootnoteReference"/>
        </w:rPr>
        <w:footnoteReference w:id="234"/>
      </w:r>
    </w:p>
    <w:p w14:paraId="2C1601D8" w14:textId="77777777" w:rsidR="002F536C" w:rsidRPr="00125E07" w:rsidRDefault="00784692" w:rsidP="002F536C">
      <w:r>
        <w:t xml:space="preserve">However, </w:t>
      </w:r>
      <w:r w:rsidR="002F536C">
        <w:t>Nixon argues that the mixed race setting at Sun City was an attempt to distract global attention from the segregated world that existed outside the resort’s walls.</w:t>
      </w:r>
      <w:r w:rsidR="002F536C">
        <w:rPr>
          <w:rStyle w:val="FootnoteReference"/>
        </w:rPr>
        <w:footnoteReference w:id="235"/>
      </w:r>
      <w:r w:rsidR="002F536C">
        <w:t xml:space="preserve"> </w:t>
      </w:r>
    </w:p>
    <w:p w14:paraId="63518EB6" w14:textId="77777777" w:rsidR="00784692" w:rsidRDefault="00784692" w:rsidP="002F536C">
      <w:pPr>
        <w:pStyle w:val="Heading2"/>
        <w:numPr>
          <w:ilvl w:val="0"/>
          <w:numId w:val="0"/>
        </w:numPr>
      </w:pPr>
      <w:bookmarkStart w:id="46" w:name="_Toc459702970"/>
    </w:p>
    <w:p w14:paraId="4ADCD4C0" w14:textId="77777777" w:rsidR="00784692" w:rsidRDefault="00784692">
      <w:pPr>
        <w:spacing w:line="259" w:lineRule="auto"/>
        <w:jc w:val="left"/>
        <w:rPr>
          <w:rFonts w:eastAsiaTheme="majorEastAsia" w:cstheme="majorBidi"/>
          <w:b/>
          <w:bCs/>
          <w:smallCaps/>
          <w:color w:val="000000" w:themeColor="text1"/>
          <w:szCs w:val="28"/>
        </w:rPr>
      </w:pPr>
      <w:r>
        <w:br w:type="page"/>
      </w:r>
    </w:p>
    <w:p w14:paraId="14DAB487" w14:textId="77777777" w:rsidR="002F536C" w:rsidRDefault="002F536C" w:rsidP="002F536C">
      <w:pPr>
        <w:pStyle w:val="Heading2"/>
        <w:numPr>
          <w:ilvl w:val="0"/>
          <w:numId w:val="0"/>
        </w:numPr>
      </w:pPr>
      <w:bookmarkStart w:id="47" w:name="_Toc488481722"/>
      <w:r>
        <w:lastRenderedPageBreak/>
        <w:t>The Pilanesberg</w:t>
      </w:r>
      <w:bookmarkEnd w:id="46"/>
      <w:bookmarkEnd w:id="47"/>
    </w:p>
    <w:p w14:paraId="254C4C4D" w14:textId="77777777" w:rsidR="002F536C" w:rsidRDefault="002F536C" w:rsidP="002F536C">
      <w:pPr>
        <w:pStyle w:val="Subtitle"/>
      </w:pPr>
      <w:r>
        <w:t>A national game park would ease the Tswana into a place of respectability in the international community.</w:t>
      </w:r>
      <w:r>
        <w:rPr>
          <w:rStyle w:val="FootnoteReference"/>
        </w:rPr>
        <w:footnoteReference w:id="236"/>
      </w:r>
    </w:p>
    <w:p w14:paraId="7B17F4B8" w14:textId="77777777" w:rsidR="002F536C" w:rsidRPr="004562C4" w:rsidRDefault="002F536C" w:rsidP="002F536C">
      <w:pPr>
        <w:pStyle w:val="ListParagraph"/>
        <w:numPr>
          <w:ilvl w:val="0"/>
          <w:numId w:val="19"/>
        </w:numPr>
        <w:jc w:val="right"/>
        <w:rPr>
          <w:sz w:val="20"/>
          <w:szCs w:val="20"/>
        </w:rPr>
      </w:pPr>
      <w:r w:rsidRPr="004562C4">
        <w:rPr>
          <w:sz w:val="20"/>
          <w:szCs w:val="20"/>
        </w:rPr>
        <w:t>Report by University of Potchefstroom academic</w:t>
      </w:r>
      <w:r>
        <w:rPr>
          <w:sz w:val="20"/>
          <w:szCs w:val="20"/>
        </w:rPr>
        <w:t>s</w:t>
      </w:r>
      <w:r w:rsidRPr="004562C4">
        <w:rPr>
          <w:sz w:val="20"/>
          <w:szCs w:val="20"/>
        </w:rPr>
        <w:t xml:space="preserve"> in 1969</w:t>
      </w:r>
    </w:p>
    <w:p w14:paraId="6114335F" w14:textId="77777777" w:rsidR="002F536C" w:rsidRDefault="002F536C" w:rsidP="002F536C">
      <w:r>
        <w:t>In 1969 a team of apartheid social engineers at the University of Potchefstroom that were commissioned to establish ways of improving the economic feasibility of the proposed Bophuthatswana bantustan suggested the creation of a national park.</w:t>
      </w:r>
      <w:r>
        <w:rPr>
          <w:rStyle w:val="FootnoteReference"/>
        </w:rPr>
        <w:footnoteReference w:id="237"/>
      </w:r>
      <w:r>
        <w:t xml:space="preserve"> This suggestion was based on the premise that if the bantustans were financially independent, they would be able to sustain a larger</w:t>
      </w:r>
      <w:r w:rsidR="00AA0B14">
        <w:t xml:space="preserve"> number of their own nationals</w:t>
      </w:r>
      <w:r>
        <w:t xml:space="preserve"> outside of white South Africa, with the eventual aim of complete and permanent separation. The suggestion from Potchefstroom pertained to the Pilanesberg mountain range, and proposed that the crater at the centre of the mountains be shaped into a recreation resort and nature reserve that would serve as a tourist attraction. However, at the time, nothing materialised from this suggestion. </w:t>
      </w:r>
    </w:p>
    <w:p w14:paraId="5F03BF84" w14:textId="77777777" w:rsidR="002F536C" w:rsidRDefault="002F536C" w:rsidP="002F536C">
      <w:r>
        <w:t>Following the introduction of the Bantu Homelands Constitution Act, No. 21 of 1971, which allowed for bantustan independence, Mangope ordered a feasibility study in 1974.</w:t>
      </w:r>
      <w:r>
        <w:rPr>
          <w:rStyle w:val="FootnoteReference"/>
        </w:rPr>
        <w:footnoteReference w:id="238"/>
      </w:r>
      <w:r>
        <w:t xml:space="preserve"> The idea of a nature reserve in the Pilanesberg Mountains received a boost as Sol Kerzner, who had a close friendship with Lucas Mangope, decided to build a mega resort, with accompanying casino, in the Pilanesberg area. An interviewee who was involved in the development of Sun City stated that the friendship between Kerzner and Mangope meant that the Bophuthatswana government elite were extremely supportive of the casino development. However, this support also extended across the border into South Africa, as the </w:t>
      </w:r>
      <w:r w:rsidR="00756A84">
        <w:t>NP</w:t>
      </w:r>
      <w:r w:rsidR="00202C82">
        <w:t xml:space="preserve"> government</w:t>
      </w:r>
      <w:r>
        <w:t xml:space="preserve"> had lent financial support for the business venture despite their moral reproach of gambling (</w:t>
      </w:r>
      <w:r w:rsidR="009B5C43">
        <w:t>refer to C</w:t>
      </w:r>
      <w:r w:rsidR="006E44C2">
        <w:t>hapter</w:t>
      </w:r>
      <w:r w:rsidR="009B5C43">
        <w:t xml:space="preserve"> 1</w:t>
      </w:r>
      <w:r>
        <w:t xml:space="preserve">). </w:t>
      </w:r>
      <w:r>
        <w:rPr>
          <w:rStyle w:val="FootnoteReference"/>
        </w:rPr>
        <w:footnoteReference w:id="239"/>
      </w:r>
      <w:r>
        <w:t xml:space="preserve"> </w:t>
      </w:r>
    </w:p>
    <w:p w14:paraId="2DD71C65" w14:textId="77777777" w:rsidR="002F536C" w:rsidRDefault="002F536C" w:rsidP="002F536C">
      <w:pPr>
        <w:rPr>
          <w:i/>
        </w:rPr>
      </w:pPr>
      <w:r>
        <w:t>With Sun City attracting a large tourist base, the proposition of a game park adjacent to the resort would provide an extra attraction for tourists. Game reserves such as the Kruger National Park were too far given the stringent petrol and speed restrictions (</w:t>
      </w:r>
      <w:r w:rsidR="009B5C43">
        <w:t>refer to C</w:t>
      </w:r>
      <w:r w:rsidR="006E44C2">
        <w:t>hapter</w:t>
      </w:r>
      <w:r w:rsidR="009B5C43">
        <w:t xml:space="preserve"> 1</w:t>
      </w:r>
      <w:r>
        <w:t>).</w:t>
      </w:r>
      <w:r>
        <w:rPr>
          <w:rStyle w:val="FootnoteReference"/>
        </w:rPr>
        <w:footnoteReference w:id="240"/>
      </w:r>
      <w:r>
        <w:t xml:space="preserve"> The area was also a malaria free zone, which served as an added attraction. The two establishments were to develop a mutually beneficial relationship, each acting as a draw card </w:t>
      </w:r>
      <w:r>
        <w:lastRenderedPageBreak/>
        <w:t>for the other and creating a combination holiday destination. Together Sun City and the Pilanesberg National Park became known as ‘</w:t>
      </w:r>
      <w:r w:rsidRPr="00CB363F">
        <w:t>Africa’s Kingdom of Pleasure</w:t>
      </w:r>
      <w:r>
        <w:t>’</w:t>
      </w:r>
      <w:r w:rsidRPr="00744351">
        <w:rPr>
          <w:i/>
        </w:rPr>
        <w:t>.</w:t>
      </w:r>
      <w:r w:rsidRPr="00CB363F">
        <w:rPr>
          <w:rStyle w:val="FootnoteReference"/>
        </w:rPr>
        <w:footnoteReference w:id="241"/>
      </w:r>
    </w:p>
    <w:p w14:paraId="306928AE" w14:textId="77777777" w:rsidR="002F536C" w:rsidRPr="00744351" w:rsidRDefault="002F536C" w:rsidP="002F536C">
      <w:pPr>
        <w:rPr>
          <w:i/>
        </w:rPr>
      </w:pPr>
      <w:r>
        <w:t>In 1976, at the request of the South African Department of Bantu Affairs, a section of the Pilanesberg was set aside for the establishment of the game reserve, which would encompass 60, 000 ha of the Pilanesberg mountain range. In 1992, the Director of the Bophutha</w:t>
      </w:r>
      <w:r w:rsidR="000A67CB">
        <w:t>tswana nation</w:t>
      </w:r>
      <w:r>
        <w:t>al Parks Board, Roger Collinson, said that if they had not exploited the full tourism and economic potential of the homeland, it would have been foolish. The Parks Board saw itself</w:t>
      </w:r>
      <w:r w:rsidR="0047182B">
        <w:t xml:space="preserve"> </w:t>
      </w:r>
      <w:r>
        <w:t>as a major player in the economic development of the area, especially given the number of jobs it</w:t>
      </w:r>
      <w:r w:rsidR="0047182B">
        <w:t xml:space="preserve"> </w:t>
      </w:r>
      <w:r>
        <w:t>supplied, between approximately 500 and 600 in 1985.</w:t>
      </w:r>
      <w:r>
        <w:rPr>
          <w:rStyle w:val="FootnoteReference"/>
        </w:rPr>
        <w:footnoteReference w:id="242"/>
      </w:r>
      <w:r>
        <w:t xml:space="preserve"> Collinson urged that the establishment of such enterprises was a vital part of the bantustan’s economy and its growth. He cautioned against seeing the developments as an extravagant and unnecessary luxury.</w:t>
      </w:r>
      <w:r>
        <w:rPr>
          <w:rStyle w:val="FootnoteReference"/>
        </w:rPr>
        <w:footnoteReference w:id="243"/>
      </w:r>
    </w:p>
    <w:p w14:paraId="4D4A7AD2" w14:textId="77777777" w:rsidR="002F536C" w:rsidRDefault="002F536C" w:rsidP="002F536C">
      <w:r>
        <w:t>However, the land used for the development was not uninhabited at the time and was home to the communities of baKgatla-ba-Kgafela as well as farms such as Schaapkraal and Welgeval and sections of farms from the following communities: Legkraal, Koedoesfontein, Kruidfontein, Saulspoort, Rooderand and Doornpoort. Small groups of African farmworkers lived on these farms with the land totalling 8, 500 ha, while white farm</w:t>
      </w:r>
      <w:r w:rsidR="0047182B">
        <w:t>s</w:t>
      </w:r>
      <w:r>
        <w:t xml:space="preserve"> occupied land encompassing 46, 000 ha.</w:t>
      </w:r>
      <w:r>
        <w:rPr>
          <w:rStyle w:val="FootnoteReference"/>
        </w:rPr>
        <w:footnoteReference w:id="244"/>
      </w:r>
      <w:r>
        <w:t xml:space="preserve"> Forced removals ensued, with little empathy from officials who viewed the inhabitants of the bushveld as bankrupt farmers and unemployed villagers.</w:t>
      </w:r>
      <w:r>
        <w:rPr>
          <w:rStyle w:val="FootnoteReference"/>
        </w:rPr>
        <w:footnoteReference w:id="245"/>
      </w:r>
      <w:r>
        <w:t xml:space="preserve"> From 1979 a series of meetings were held between the baKgatla and their chief, Tidimane Pilane, the Pilanesberg National Park’s representatives and members of Mangope’s government. How voluntary these relocations were</w:t>
      </w:r>
      <w:r w:rsidR="00107822">
        <w:t>,</w:t>
      </w:r>
      <w:r>
        <w:t xml:space="preserve"> has been hotly debated, with reports circulating that in these meetings Bophuthatswana officials coerced the baKgatla into relocation.</w:t>
      </w:r>
      <w:r>
        <w:rPr>
          <w:rStyle w:val="FootnoteReference"/>
        </w:rPr>
        <w:footnoteReference w:id="246"/>
      </w:r>
      <w:r>
        <w:t xml:space="preserve"> The Keenan report, published in 1984, testified that Pilane and his followers had no choice but to surrender their land, approximately 9,000 ha, to the Pilanesberg National Park. Claims later surfaced that Mangope’s representatives blackmailed, threatened and </w:t>
      </w:r>
      <w:r w:rsidR="00FA6A91">
        <w:t>intimidated them</w:t>
      </w:r>
      <w:r>
        <w:t xml:space="preserve"> into accepting the deal.</w:t>
      </w:r>
      <w:r>
        <w:rPr>
          <w:rStyle w:val="FootnoteReference"/>
        </w:rPr>
        <w:footnoteReference w:id="247"/>
      </w:r>
      <w:r>
        <w:t xml:space="preserve">  The president attempted to compensate those displaced through land and monetary reparation. However, they felt the amount of R1, 472 </w:t>
      </w:r>
      <w:r>
        <w:lastRenderedPageBreak/>
        <w:t>per displaced family was not sufficient.</w:t>
      </w:r>
      <w:r>
        <w:rPr>
          <w:rStyle w:val="FootnoteReference"/>
        </w:rPr>
        <w:footnoteReference w:id="248"/>
      </w:r>
      <w:r>
        <w:t xml:space="preserve"> Compensation was given to 104 </w:t>
      </w:r>
      <w:r w:rsidRPr="00744351">
        <w:rPr>
          <w:i/>
        </w:rPr>
        <w:t xml:space="preserve">oorlamse </w:t>
      </w:r>
      <w:r>
        <w:t>families who resided on the Welgeval farm for over a century - they were given R230 000 for the demolition of their church, school and houses and an additional R153 000 for the land itself. This was considered inadequate by the displaced people.</w:t>
      </w:r>
      <w:r>
        <w:rPr>
          <w:rStyle w:val="FootnoteReference"/>
        </w:rPr>
        <w:footnoteReference w:id="249"/>
      </w:r>
      <w:r>
        <w:t xml:space="preserve"> </w:t>
      </w:r>
    </w:p>
    <w:p w14:paraId="3D569B70" w14:textId="77777777" w:rsidR="002F536C" w:rsidRDefault="002F536C" w:rsidP="002F536C">
      <w:r>
        <w:t>Pilane believed that Sun City held no benefit to the local communities or to his people as employment would go to outsiders (employment at Sun City did benefit individuals from outside of Bophuthatswana more). This view was not only held by him, but also by the neighbouring community of the Bakubung. Time proved Pilane correct, and the revenue the communities received from tourism was minimal, despite promises from Bophuthatswana and Pilanesberg National Park officials. No monetary compensation for the displacement of people was given to the community, despite assurances from Mangope and the Parks Board.</w:t>
      </w:r>
      <w:r>
        <w:rPr>
          <w:rStyle w:val="FootnoteReference"/>
        </w:rPr>
        <w:footnoteReference w:id="250"/>
      </w:r>
    </w:p>
    <w:p w14:paraId="3E95E6AA" w14:textId="77777777" w:rsidR="002F536C" w:rsidRDefault="002F536C" w:rsidP="002F536C">
      <w:r>
        <w:t>The addition of a national game park to Bophuthatswana’s list of tourist attractions earned the bantustan acclaim within environmentalist circles.</w:t>
      </w:r>
      <w:r>
        <w:rPr>
          <w:rStyle w:val="FootnoteReference"/>
        </w:rPr>
        <w:footnoteReference w:id="251"/>
      </w:r>
      <w:r>
        <w:t xml:space="preserve"> The Pilanesberg National Park filled the hopes of Mangope that “[Bophuthatswana may] emerge as the shining example of how wildlife management should be practiced in Africa”. </w:t>
      </w:r>
      <w:r>
        <w:rPr>
          <w:rStyle w:val="FootnoteReference"/>
        </w:rPr>
        <w:footnoteReference w:id="252"/>
      </w:r>
      <w:r>
        <w:t xml:space="preserve"> There was significant international exposure for the region. However, it would be incorrect to associate the Pilanesberg National Park solely with its successful ecological project, for its local legacy reflects a history of land dispossession and forced removals, as noted above.</w:t>
      </w:r>
      <w:r>
        <w:rPr>
          <w:rStyle w:val="FootnoteReference"/>
        </w:rPr>
        <w:footnoteReference w:id="253"/>
      </w:r>
      <w:r>
        <w:t xml:space="preserve"> At the same time, the creation of tourist businesses has resulted in many African communities </w:t>
      </w:r>
      <w:r w:rsidR="0037261F">
        <w:t>settling</w:t>
      </w:r>
      <w:r>
        <w:t xml:space="preserve"> in the area with the hope of finding employment from either Sun City or the national park. Following this policy, the baKgatla earn a 5% share of the daily gate profits. </w:t>
      </w:r>
    </w:p>
    <w:p w14:paraId="17BECC78" w14:textId="77777777" w:rsidR="002F536C" w:rsidRPr="00E011BF" w:rsidRDefault="002F536C" w:rsidP="002F536C">
      <w:r>
        <w:t>Sun City and the Pilanesberg National Park boosted development in the Pilanesberg area through the growth of infrastructure and influx of tourists</w:t>
      </w:r>
      <w:r w:rsidR="00107822">
        <w:t>.</w:t>
      </w:r>
      <w:r>
        <w:t xml:space="preserve"> The park was responsible for the paving of the road from The Bakgatla gate into Saulspoort, which serves many tourists. The renovation of the baKgatla Mphebatho Musuem in Moruleng in the 1990s was sponsored by the national park and Sun City.</w:t>
      </w:r>
      <w:r>
        <w:rPr>
          <w:rStyle w:val="FootnoteReference"/>
        </w:rPr>
        <w:footnoteReference w:id="254"/>
      </w:r>
      <w:r>
        <w:t xml:space="preserve"> However, the displacement of local communities and the </w:t>
      </w:r>
      <w:r>
        <w:lastRenderedPageBreak/>
        <w:t>continued prolonged fight for compensation has limited the benefits of the tourist developments. The park did not provide income for the communities as promised.</w:t>
      </w:r>
    </w:p>
    <w:p w14:paraId="0DB6E0BA" w14:textId="77777777" w:rsidR="002F536C" w:rsidRDefault="002F536C" w:rsidP="002F536C">
      <w:pPr>
        <w:pStyle w:val="Heading2"/>
        <w:numPr>
          <w:ilvl w:val="0"/>
          <w:numId w:val="0"/>
        </w:numPr>
        <w:ind w:left="578" w:hanging="578"/>
      </w:pPr>
      <w:bookmarkStart w:id="48" w:name="_Toc459702971"/>
      <w:bookmarkStart w:id="49" w:name="_Toc488481723"/>
      <w:r>
        <w:t>Conclusion</w:t>
      </w:r>
      <w:bookmarkEnd w:id="48"/>
      <w:bookmarkEnd w:id="49"/>
    </w:p>
    <w:p w14:paraId="3BD7FDD6" w14:textId="77777777" w:rsidR="00DA0DFD" w:rsidRDefault="002F536C" w:rsidP="002F536C">
      <w:r>
        <w:t xml:space="preserve">There were a host of attractions that brought tourists, both local and international, through the gates of Sun City during its first decade and a half of operation. There were a variety of </w:t>
      </w:r>
      <w:r w:rsidR="0037261F" w:rsidRPr="0037261F">
        <w:t>salacious plea</w:t>
      </w:r>
      <w:r w:rsidR="0037261F">
        <w:t xml:space="preserve">sures </w:t>
      </w:r>
      <w:r>
        <w:t xml:space="preserve">on offer, from the illicit sale of black bodies, on stage in revue shows and through prostitution, to gambling. Despite the racially integrated policies of Bophuthatswana and Sun City, </w:t>
      </w:r>
      <w:r w:rsidR="00DA0DFD">
        <w:t>most</w:t>
      </w:r>
      <w:r>
        <w:t xml:space="preserve"> Sun City’s visitors were white South Africans and the number of black guests was limited to the black elite and members of Mangope’s government. However, there is some evidence of day visitors from Bophuthatswana and </w:t>
      </w:r>
      <w:r w:rsidR="0037261F">
        <w:t xml:space="preserve">South Africa </w:t>
      </w:r>
      <w:r w:rsidR="00107822">
        <w:t>during the 1980</w:t>
      </w:r>
      <w:r>
        <w:t xml:space="preserve">s. </w:t>
      </w:r>
    </w:p>
    <w:p w14:paraId="6831D268" w14:textId="77777777" w:rsidR="002F536C" w:rsidRDefault="002F536C" w:rsidP="002F536C">
      <w:r>
        <w:t xml:space="preserve">The gambling facilities proved to be the biggest attraction at Sun City, with large crowds also drawn to the topless revue shows. Sun City, as a unique tourist venue, provided a space for white South Africans to engage in activities that both promoted their national identity and questioned its foundation. As one of the apartheid era’s most popular tourist venues, Sun City encouraged its South African patrons to negotiate their identity and experiment with racial integration. However, this was limited as </w:t>
      </w:r>
      <w:r w:rsidR="00DA0DFD">
        <w:t>most</w:t>
      </w:r>
      <w:r>
        <w:t xml:space="preserve"> tourists were white South Africans, who interacted primarily with black service industry personnel. Sun City projected an image of racial integration, but most</w:t>
      </w:r>
      <w:r w:rsidR="00DA0DFD">
        <w:t xml:space="preserve"> </w:t>
      </w:r>
      <w:r>
        <w:t xml:space="preserve">of this occurred through illegal interracial sex work. </w:t>
      </w:r>
      <w:r w:rsidR="00F850DB">
        <w:t xml:space="preserve">It is difficult to quantify the levels of illicit sexual contact, due to the nature of sex work. Further, the premise of Sun City as integrated space may have been a marketing gimmick employed by Southern Sun. </w:t>
      </w:r>
      <w:r>
        <w:t xml:space="preserve">The Pilanesberg National Park also provided another attraction to the area. Sun City and the Pilanesberg National Park formed a mutually beneficial relationship drawing tourists with the hopes of a combination holiday. Both sites had promised to provide large-scale employment and develop infrastructure for the area; however, the 1984 Keenan report showed that the former had not been realised. </w:t>
      </w:r>
    </w:p>
    <w:p w14:paraId="5A61CD8D" w14:textId="77777777" w:rsidR="002F536C" w:rsidRDefault="002F536C" w:rsidP="002F536C"/>
    <w:p w14:paraId="75177808" w14:textId="77777777" w:rsidR="002F536C" w:rsidRDefault="002F536C" w:rsidP="002F536C"/>
    <w:p w14:paraId="2064B4A2" w14:textId="77777777" w:rsidR="002F536C" w:rsidRDefault="002F536C" w:rsidP="002F536C"/>
    <w:p w14:paraId="527269B7" w14:textId="77777777" w:rsidR="002F536C" w:rsidRDefault="002F536C" w:rsidP="002F536C"/>
    <w:p w14:paraId="0A4E7A89" w14:textId="77777777" w:rsidR="002F536C" w:rsidRPr="000716F5" w:rsidRDefault="002F536C" w:rsidP="000C462B">
      <w:pPr>
        <w:pStyle w:val="Heading1"/>
        <w:numPr>
          <w:ilvl w:val="0"/>
          <w:numId w:val="0"/>
        </w:numPr>
        <w:jc w:val="center"/>
        <w:rPr>
          <w:i/>
        </w:rPr>
      </w:pPr>
      <w:bookmarkStart w:id="50" w:name="_Toc488481724"/>
      <w:r>
        <w:lastRenderedPageBreak/>
        <w:t xml:space="preserve">CHAPTER FOUR: </w:t>
      </w:r>
      <w:r>
        <w:rPr>
          <w:i/>
        </w:rPr>
        <w:t>Boycotting Sin City</w:t>
      </w:r>
      <w:bookmarkEnd w:id="50"/>
    </w:p>
    <w:p w14:paraId="7FBF8034" w14:textId="77777777" w:rsidR="002F536C" w:rsidRDefault="002F536C" w:rsidP="002F536C">
      <w:pPr>
        <w:pStyle w:val="Heading2"/>
        <w:numPr>
          <w:ilvl w:val="0"/>
          <w:numId w:val="0"/>
        </w:numPr>
        <w:ind w:left="578" w:hanging="578"/>
      </w:pPr>
      <w:bookmarkStart w:id="51" w:name="_Toc459702973"/>
      <w:bookmarkStart w:id="52" w:name="_Toc488481725"/>
      <w:bookmarkStart w:id="53" w:name="_Toc441506833"/>
      <w:r>
        <w:t>Introduction</w:t>
      </w:r>
      <w:bookmarkEnd w:id="51"/>
      <w:bookmarkEnd w:id="52"/>
    </w:p>
    <w:p w14:paraId="70A6520F" w14:textId="77777777" w:rsidR="002F536C" w:rsidRDefault="002F536C" w:rsidP="002F536C">
      <w:pPr>
        <w:pStyle w:val="Subtitle"/>
      </w:pPr>
      <w:r w:rsidRPr="006C0F59">
        <w:t>The [Million Dollar] golf tournament was aimed at acquainting more of the world with Sun City - not with its golfing facilities but with its gaming tables ‘and other attractions.’ It's an old gimmick of the casino operators: get the celebrities in for the publicity they generate</w:t>
      </w:r>
      <w:r w:rsidRPr="00D63745">
        <w:t>.</w:t>
      </w:r>
    </w:p>
    <w:p w14:paraId="37A6FD5D" w14:textId="77777777" w:rsidR="002F536C" w:rsidRDefault="002F536C" w:rsidP="002F536C">
      <w:pPr>
        <w:pStyle w:val="Subtitle"/>
        <w:jc w:val="right"/>
        <w:rPr>
          <w:lang w:val="en-US"/>
        </w:rPr>
      </w:pPr>
      <w:r>
        <w:rPr>
          <w:lang w:val="en-US"/>
        </w:rPr>
        <w:t xml:space="preserve"> ‘The Tempting Invitations of Sun City.’ </w:t>
      </w:r>
      <w:r>
        <w:rPr>
          <w:i/>
          <w:lang w:val="en-US"/>
        </w:rPr>
        <w:t xml:space="preserve">The Washington Post, </w:t>
      </w:r>
      <w:r>
        <w:rPr>
          <w:lang w:val="en-US"/>
        </w:rPr>
        <w:t>1983.</w:t>
      </w:r>
    </w:p>
    <w:p w14:paraId="1C52B2A0" w14:textId="77777777" w:rsidR="002F536C" w:rsidRDefault="00505A1B" w:rsidP="002F536C">
      <w:r>
        <w:t>South Africa</w:t>
      </w:r>
      <w:r w:rsidR="002F536C">
        <w:t xml:space="preserve"> had been subject to a sports boycott since 1963, when it was first banned from the Olympic Games. The boycott of South Africa extended to a cultural moratorium on artists and musicians, economic sanctions (which restricted South African economic growth after the 1960s) and an arms and oil embargo. Sun City provided white South Africans with an opportunity to escape the increasing isolation they felt from the international community.  E.S. Reddy, Director of the UN Centre Against Apartheid, stated that</w:t>
      </w:r>
    </w:p>
    <w:p w14:paraId="2B9B75CC" w14:textId="77777777" w:rsidR="002F536C" w:rsidRDefault="002F536C" w:rsidP="002F536C">
      <w:pPr>
        <w:pStyle w:val="Subtitle"/>
      </w:pPr>
      <w:r>
        <w:t>The issue of apartheid in sport is certainly not the most crucial - like the military and economic collaboration with the racist regime - but has a special significance.</w:t>
      </w:r>
      <w:r>
        <w:rPr>
          <w:rStyle w:val="FootnoteReference"/>
        </w:rPr>
        <w:footnoteReference w:id="255"/>
      </w:r>
    </w:p>
    <w:p w14:paraId="0602EC81" w14:textId="77777777" w:rsidR="002F536C" w:rsidRPr="00B82754" w:rsidRDefault="002F536C" w:rsidP="002F536C">
      <w:pPr>
        <w:rPr>
          <w:lang w:val="en-US"/>
        </w:rPr>
      </w:pPr>
      <w:r>
        <w:rPr>
          <w:lang w:val="en-US"/>
        </w:rPr>
        <w:t>T</w:t>
      </w:r>
      <w:r w:rsidR="00202C82">
        <w:rPr>
          <w:lang w:val="en-US"/>
        </w:rPr>
        <w:t>he South African and Afrikaner n</w:t>
      </w:r>
      <w:r>
        <w:rPr>
          <w:lang w:val="en-US"/>
        </w:rPr>
        <w:t>ationalist identities have historically been centered on the love of sports and sporting team</w:t>
      </w:r>
      <w:r w:rsidR="00FA40DD">
        <w:rPr>
          <w:lang w:val="en-US"/>
        </w:rPr>
        <w:t>s</w:t>
      </w:r>
      <w:r>
        <w:rPr>
          <w:lang w:val="en-US"/>
        </w:rPr>
        <w:t xml:space="preserve">. Nixon </w:t>
      </w:r>
      <w:r>
        <w:t>explains that the apartheid sporting isolation caused immense frustration. National rugby, cricket and soccer teams were denied national representation, where international sporting competitions serve as a means of national redefinition and pride.</w:t>
      </w:r>
      <w:r>
        <w:rPr>
          <w:rStyle w:val="FootnoteReference"/>
        </w:rPr>
        <w:footnoteReference w:id="256"/>
      </w:r>
      <w:r>
        <w:rPr>
          <w:lang w:val="en-US"/>
        </w:rPr>
        <w:t xml:space="preserve"> </w:t>
      </w:r>
      <w:r>
        <w:t xml:space="preserve">A major tourist drawcard for Bophuthatswana and </w:t>
      </w:r>
      <w:r w:rsidRPr="00214A42">
        <w:t>Sun</w:t>
      </w:r>
      <w:r>
        <w:t xml:space="preserve"> City, aside from gambling, was its entertainment and sporting attractions. From international music personalities to heavyweight boxing champions and the world’s best golfers, Kerzner managed to skirt around South Africa’s sanctions and sports, cultural and academic boycotts to bring global entertainment to the South African bushveld. President Lucas Mangope utilised the opportunity to promote the myth of the bantustan’s sovereignty and independence. </w:t>
      </w:r>
    </w:p>
    <w:p w14:paraId="3937B8BA" w14:textId="77777777" w:rsidR="002F536C" w:rsidRPr="00B82754" w:rsidRDefault="002F536C" w:rsidP="002F536C">
      <w:pPr>
        <w:tabs>
          <w:tab w:val="left" w:pos="2835"/>
        </w:tabs>
      </w:pPr>
      <w:r>
        <w:t xml:space="preserve">As international artists, such </w:t>
      </w:r>
      <w:r w:rsidR="00396630">
        <w:t xml:space="preserve">as </w:t>
      </w:r>
      <w:r>
        <w:t xml:space="preserve">Frank Sinatra, </w:t>
      </w:r>
      <w:r w:rsidR="006F3AD9">
        <w:t>Lisa</w:t>
      </w:r>
      <w:r>
        <w:t xml:space="preserve"> Minelli, Queen, and high stakes international sporting competitions took places at Sun City, the UN and international human rights organisations banded together in response. From the United Kingdom to the United States, it</w:t>
      </w:r>
      <w:r w:rsidR="00505A1B">
        <w:t xml:space="preserve"> had</w:t>
      </w:r>
      <w:r>
        <w:t xml:space="preserve"> become </w:t>
      </w:r>
      <w:r>
        <w:rPr>
          <w:i/>
        </w:rPr>
        <w:t xml:space="preserve">in vogue </w:t>
      </w:r>
      <w:r>
        <w:t xml:space="preserve">to be anti-apartheid during the 1980s. </w:t>
      </w:r>
    </w:p>
    <w:p w14:paraId="29B68353" w14:textId="77777777" w:rsidR="002F536C" w:rsidRDefault="002F536C" w:rsidP="002F536C">
      <w:r>
        <w:lastRenderedPageBreak/>
        <w:t xml:space="preserve">This chapter outlines the cultural and sporting boycotts South Africa faced in relation to Sun City. Firstly, its analyses the international responses to music events at Sun City and the </w:t>
      </w:r>
      <w:r w:rsidR="00FA40DD">
        <w:t>way</w:t>
      </w:r>
      <w:r>
        <w:t xml:space="preserve"> the cultural boycott was used to place pressure on the apartheid government and, Sun International. Secondly, it looks at the variety of sporting events hosted at Sun City and how this was used to promote both Sun City and Bophuthatswana. It analyses the condemnation of athletes</w:t>
      </w:r>
      <w:r w:rsidR="00505A1B">
        <w:t xml:space="preserve"> and artists</w:t>
      </w:r>
      <w:r>
        <w:t xml:space="preserve"> who chose to compete</w:t>
      </w:r>
      <w:r w:rsidR="00505A1B">
        <w:t xml:space="preserve"> and perform</w:t>
      </w:r>
      <w:r>
        <w:t xml:space="preserve"> at Sun City. This chapter relies heavily on oral sources and archival documents from the</w:t>
      </w:r>
      <w:r w:rsidRPr="00401855">
        <w:t xml:space="preserve"> African Activist Archive </w:t>
      </w:r>
      <w:r>
        <w:t xml:space="preserve">at Michigan State University’s archive. </w:t>
      </w:r>
    </w:p>
    <w:p w14:paraId="59D8D321" w14:textId="77777777" w:rsidR="002F536C" w:rsidRDefault="002F536C" w:rsidP="002F536C">
      <w:pPr>
        <w:pStyle w:val="Heading2"/>
        <w:numPr>
          <w:ilvl w:val="0"/>
          <w:numId w:val="0"/>
        </w:numPr>
        <w:ind w:left="578" w:hanging="578"/>
      </w:pPr>
      <w:bookmarkStart w:id="54" w:name="_Toc488481726"/>
      <w:bookmarkEnd w:id="53"/>
      <w:r>
        <w:t>Performing at the Superbowl</w:t>
      </w:r>
      <w:bookmarkEnd w:id="54"/>
    </w:p>
    <w:p w14:paraId="6E2879DE" w14:textId="77777777" w:rsidR="002F536C" w:rsidRDefault="002F536C" w:rsidP="002F536C">
      <w:r>
        <w:t>Research by Martha Evan</w:t>
      </w:r>
      <w:r w:rsidR="00505A1B">
        <w:t>s</w:t>
      </w:r>
      <w:r>
        <w:t xml:space="preserve"> </w:t>
      </w:r>
      <w:r w:rsidR="00505A1B">
        <w:t>illustrated</w:t>
      </w:r>
      <w:r>
        <w:t xml:space="preserve"> that protests and appeals for non-racialism in sport in South Africa </w:t>
      </w:r>
      <w:r w:rsidR="00FA40DD">
        <w:t>dates to</w:t>
      </w:r>
      <w:r>
        <w:t xml:space="preserve"> the 1950s, with the formation of organisations such as the Committee for International Recognition for Black Sportsmen in 1955 and the South African Sports Association (SASA) in 1958. Meanwhile, international pressure was mounting from sporting federations for South Africa to be excluded from international competitions. However, mass action bega</w:t>
      </w:r>
      <w:r w:rsidR="00505A1B">
        <w:t>n in 1963 when the South Africa</w:t>
      </w:r>
      <w:r>
        <w:t xml:space="preserve"> Non-Racial Olympic Committee (SAN-ROC) was formed in South Africa. While their activities were limited to the borders of South Africa, the British Anti-Apartheid Movement (AAM) began to lobby for the international exclusion of South Africa from sport. In 1964 South </w:t>
      </w:r>
      <w:r w:rsidRPr="003C4B06">
        <w:t>Africa w</w:t>
      </w:r>
      <w:r>
        <w:t>as</w:t>
      </w:r>
      <w:r w:rsidRPr="003C4B06">
        <w:t xml:space="preserve"> forced to withdra</w:t>
      </w:r>
      <w:r>
        <w:t>w from the Tokyo Olympics.</w:t>
      </w:r>
      <w:r>
        <w:rPr>
          <w:rStyle w:val="FootnoteReference"/>
        </w:rPr>
        <w:footnoteReference w:id="257"/>
      </w:r>
      <w:r>
        <w:t xml:space="preserve"> South Africa was admitted to the following Olympics held in Mexico, </w:t>
      </w:r>
      <w:r w:rsidR="00FA40DD">
        <w:t>even though</w:t>
      </w:r>
      <w:r>
        <w:t xml:space="preserve"> the team South African put forward was multiracial, fellow competing nations threatened to boycott over the Olympic committee’s decision to readmit South Africa into the competition. South Africa was still a racially divided country and the proposed multiracial team would have been chosen at segregated trials. South Africa was denied entry to the Olympic games in 1968.</w:t>
      </w:r>
      <w:r>
        <w:rPr>
          <w:rStyle w:val="FootnoteReference"/>
        </w:rPr>
        <w:footnoteReference w:id="258"/>
      </w:r>
      <w:r>
        <w:t xml:space="preserve"> </w:t>
      </w:r>
    </w:p>
    <w:p w14:paraId="21D83488" w14:textId="77777777" w:rsidR="002F536C" w:rsidRDefault="002F536C" w:rsidP="002F536C">
      <w:r>
        <w:t>In 1980 the United Nations passed resolution 25/206 which stated:</w:t>
      </w:r>
    </w:p>
    <w:p w14:paraId="7E641B0C" w14:textId="77777777" w:rsidR="002F536C" w:rsidRDefault="002F536C" w:rsidP="002F536C">
      <w:pPr>
        <w:pStyle w:val="Subtitle"/>
      </w:pPr>
      <w:r>
        <w:rPr>
          <w:shd w:val="clear" w:color="auto" w:fill="FFFFFF"/>
        </w:rPr>
        <w:t>The United Nations General Assembly requests all states to prevent all cultural, academic, sporting and other exchanges with South Africa. Appeals to writers, artists, musicians and other personalities to boycott South Africa. Urges all academic and cultural institutions to terminate all links with South</w:t>
      </w:r>
      <w:r>
        <w:rPr>
          <w:rStyle w:val="apple-converted-space"/>
          <w:rFonts w:ascii="Georgia" w:hAnsi="Georgia"/>
          <w:color w:val="333333"/>
          <w:sz w:val="27"/>
          <w:szCs w:val="27"/>
          <w:shd w:val="clear" w:color="auto" w:fill="FFFFFF"/>
        </w:rPr>
        <w:t> </w:t>
      </w:r>
      <w:hyperlink r:id="rId20" w:history="1">
        <w:r w:rsidRPr="008E3944">
          <w:t>Africa</w:t>
        </w:r>
      </w:hyperlink>
      <w:r w:rsidRPr="008E3944">
        <w:t>.</w:t>
      </w:r>
      <w:r>
        <w:rPr>
          <w:rStyle w:val="FootnoteReference"/>
        </w:rPr>
        <w:footnoteReference w:id="259"/>
      </w:r>
    </w:p>
    <w:p w14:paraId="616E8CCD" w14:textId="77777777" w:rsidR="002F536C" w:rsidRDefault="002F536C" w:rsidP="002F536C">
      <w:r>
        <w:lastRenderedPageBreak/>
        <w:t>This resolution include</w:t>
      </w:r>
      <w:r w:rsidR="00505A1B">
        <w:t>d</w:t>
      </w:r>
      <w:r>
        <w:t xml:space="preserve"> a cultural boycott and sought to keep a record of all artists and athletes who broke the boycott. The UN sanctioned boycott forced Kerzner to pay millions of dollars to attract international entertainers to Sun City. In July 1981, he paid Frank Sinatra $2 million for nine shows at Sun City, charging an average of $45 a seat. </w:t>
      </w:r>
      <w:r w:rsidR="00C51543">
        <w:t xml:space="preserve">Sinatra was the first international star to perform at Sun City. </w:t>
      </w:r>
      <w:r>
        <w:t>Multiple coaches and aeroplanes were filled daily and shuttled people over to Sun City as white South Africans were desperate to r</w:t>
      </w:r>
      <w:r w:rsidR="00AA0B14">
        <w:t>eceive a taste of life “outside”</w:t>
      </w:r>
      <w:r>
        <w:t xml:space="preserve"> of South Africa. </w:t>
      </w:r>
    </w:p>
    <w:p w14:paraId="691C6E9C" w14:textId="77777777" w:rsidR="002F536C" w:rsidRDefault="002F536C" w:rsidP="002F536C">
      <w:r>
        <w:t>The first UN register of artists that had performed in South Africa was published in 1983 and was designed to publicly shame performers who broke the boycott. The following year, in 1984, the United Kingdom had 127 names on the UN collaborators’ list and the United States followed with an additional 103 names. The artists included Elton John, Shirley Bassey, Cliff Richard and many more. Other artists elected to write an admission of misjudgement and a pledge not to return to South Africa and Sun City – this saw their names removed from the list. Celebrities who followed this route included Goldie Hawn and Tina Turner, amongst others.</w:t>
      </w:r>
      <w:r>
        <w:rPr>
          <w:rStyle w:val="FootnoteReference"/>
        </w:rPr>
        <w:footnoteReference w:id="260"/>
      </w:r>
      <w:r>
        <w:t xml:space="preserve"> </w:t>
      </w:r>
    </w:p>
    <w:p w14:paraId="02CC4439" w14:textId="77777777" w:rsidR="002F536C" w:rsidRDefault="002F536C" w:rsidP="002F536C">
      <w:r>
        <w:t>The Azanian People’s Organisation (AZAPO), a black consciousness aligned organisatio</w:t>
      </w:r>
      <w:r w:rsidR="00AA0B14">
        <w:t>n, was renowned for its strict “</w:t>
      </w:r>
      <w:r>
        <w:t>isolate South Africa</w:t>
      </w:r>
      <w:r w:rsidR="00AA0B14">
        <w:t>”</w:t>
      </w:r>
      <w:r>
        <w:t xml:space="preserve"> philosophy, which they applied to touring groups such as the British soccer team and Frank Sinatra. Khehla Mthembu, AZAPO’s president, said that it did not matter whether Sinatra’s concerts were in Bophuthatswana or in South Africa, and that all South Africans had to make sacrifices and forgo entertainment for a greater cause. He stated in 1981 that the UN and various organisations in the United States had been fighting against apartheid, but it was time that South Africans fought for their own cause. He urged South Africans to boycott Frank Sinatra’s concerts in July 1981.</w:t>
      </w:r>
      <w:r>
        <w:rPr>
          <w:rStyle w:val="FootnoteReference"/>
        </w:rPr>
        <w:footnoteReference w:id="261"/>
      </w:r>
    </w:p>
    <w:p w14:paraId="7161E13F" w14:textId="77777777" w:rsidR="002F536C" w:rsidRDefault="002F536C" w:rsidP="002F536C">
      <w:r>
        <w:t xml:space="preserve">The request for the boycott came from black South Africans </w:t>
      </w:r>
      <w:r w:rsidR="008841AB">
        <w:t>themselves, that</w:t>
      </w:r>
      <w:r>
        <w:t xml:space="preserve"> is those directly affected by apartheid. They did not want international artists to perform in South Africa, in the bantustans, in Sun City and be entertained </w:t>
      </w:r>
      <w:r w:rsidR="00FA6A91">
        <w:t>during</w:t>
      </w:r>
      <w:r>
        <w:t xml:space="preserve"> the oppression. This applied to their </w:t>
      </w:r>
      <w:r w:rsidR="00AA0B14">
        <w:t>oppressors too. It was seen as “entertaining apartheid”</w:t>
      </w:r>
      <w:r>
        <w:t>.</w:t>
      </w:r>
      <w:r>
        <w:rPr>
          <w:rStyle w:val="FootnoteReference"/>
        </w:rPr>
        <w:footnoteReference w:id="262"/>
      </w:r>
      <w:r>
        <w:t xml:space="preserve"> </w:t>
      </w:r>
    </w:p>
    <w:p w14:paraId="530B23FA" w14:textId="77777777" w:rsidR="00C51543" w:rsidRDefault="002F536C" w:rsidP="002F536C">
      <w:r>
        <w:lastRenderedPageBreak/>
        <w:t xml:space="preserve">Sinatra’s choice to perform in a space that the UN did not recognise as a sovereign nation harmed his reputation. Global reaction to the announcement of Sinatra’s appearance at Sun City was almost immediate. A press release by Sinatra’s team stated that his performance at Sun City would encourage other artists to travel to the bantustan. This was due to the perception that Bophuthatswana was located within South Africa, Sinatra hoped that his performance would educate other artists. Sinatra’s PR representative clearly delineated Bophuthatswana as a separate territory from South Africa. The lack of political awareness demonstrated by Sinatra and his agent angered many. Anti-apartheid groups felt that Sinatra’s visit to Bophuthatswana would encourage artists to venture across the homelands’ borders and perpetuate the illusion of bantustans as legitimate states. </w:t>
      </w:r>
    </w:p>
    <w:p w14:paraId="6D700290" w14:textId="77777777" w:rsidR="002F536C" w:rsidRDefault="002F536C" w:rsidP="002F536C">
      <w:r>
        <w:t>Through Sinatra, Mangope achieved what he hoped Sun City and the various events would achieve - Bophuthatswana received an endorsement from an internationally renowned figure. The interracial audience to which Sinatra’s press agent referred was often misleadingly organised by Sun City to give audiences the perception of an integrated audience.</w:t>
      </w:r>
      <w:r>
        <w:rPr>
          <w:rStyle w:val="FootnoteReference"/>
        </w:rPr>
        <w:footnoteReference w:id="263"/>
      </w:r>
      <w:r>
        <w:t xml:space="preserve"> </w:t>
      </w:r>
      <w:r w:rsidR="005D7B1E" w:rsidRPr="005D7B1E">
        <w:t xml:space="preserve"> While a small number of black attended out of their own choice</w:t>
      </w:r>
      <w:r w:rsidR="005D7B1E">
        <w:t>, i</w:t>
      </w:r>
      <w:r>
        <w:t>n reality, several tickets were provided to black people to attend concerts and increase the quotas, providing the correct image.</w:t>
      </w:r>
      <w:r>
        <w:rPr>
          <w:rStyle w:val="FootnoteReference"/>
        </w:rPr>
        <w:footnoteReference w:id="264"/>
      </w:r>
      <w:r>
        <w:t xml:space="preserve"> Liberal white South Africans travelling to Sun City could also assuage themselves that although they were supporting artists that defied the cultural boycott, they were doing so in an integrated environment. This tactic employed by Sinatra to stave off criticism for playing in the pseudo-state, was also used by many artists who claimed they were playing to a multiracial audience. </w:t>
      </w:r>
      <w:r w:rsidR="00FA6A91">
        <w:t>Most</w:t>
      </w:r>
      <w:r>
        <w:t xml:space="preserve"> of Bophuthatswana’s residents could not afford high-ticket prices</w:t>
      </w:r>
      <w:r>
        <w:rPr>
          <w:rStyle w:val="FootnoteReference"/>
        </w:rPr>
        <w:footnoteReference w:id="265"/>
      </w:r>
      <w:r>
        <w:t xml:space="preserve"> </w:t>
      </w:r>
    </w:p>
    <w:p w14:paraId="7D1F38DB" w14:textId="77777777" w:rsidR="002F536C" w:rsidRDefault="002F536C" w:rsidP="002F536C">
      <w:r>
        <w:t xml:space="preserve">Singer </w:t>
      </w:r>
      <w:r w:rsidR="006F3AD9">
        <w:t>Lisa</w:t>
      </w:r>
      <w:r>
        <w:t xml:space="preserve"> Minelli also attracted large audiences just fourteen months after Sinatra graced the Superbowl stage. Tickets retailed for approximately $45, but it was only part of the night’s expenses for many who also gambled at the resort’s casinos. The Friday night concert was sold out, with mostly white South Africans in attendance and less than 200 black people in the 6,000-seater auditorium. Southern Sun admitted to handing out a few cheap seats located at the </w:t>
      </w:r>
      <w:r w:rsidR="00C51543">
        <w:t>back</w:t>
      </w:r>
      <w:r>
        <w:t xml:space="preserve"> to black people. Minelli pleaded ignorance and a representative stated that </w:t>
      </w:r>
      <w:r>
        <w:lastRenderedPageBreak/>
        <w:t>she knew nothing about the South African tribal bantustans; Sun City was just a performance.</w:t>
      </w:r>
      <w:r>
        <w:rPr>
          <w:rStyle w:val="FootnoteReference"/>
        </w:rPr>
        <w:footnoteReference w:id="266"/>
      </w:r>
      <w:r>
        <w:t xml:space="preserve"> </w:t>
      </w:r>
    </w:p>
    <w:p w14:paraId="31D53527" w14:textId="77777777" w:rsidR="002F536C" w:rsidRDefault="002F536C" w:rsidP="002F536C">
      <w:r>
        <w:t>The rock band Queen travelled to Bophuthatswana in 1985 to play a series of shows to their die-hard fans. The band justified their trip to the homeland by claiming that they were apolitical and they would travel wherever their fans wanted them. Their shows at Sun City landed them on the UN list of blacklisted artists until apartheid ended nearly a decade later. The British Musicians’ Union fined the band and Queen were seen by many as pariahs.</w:t>
      </w:r>
      <w:r>
        <w:rPr>
          <w:rStyle w:val="FootnoteReference"/>
        </w:rPr>
        <w:footnoteReference w:id="267"/>
      </w:r>
      <w:r>
        <w:t xml:space="preserve"> </w:t>
      </w:r>
    </w:p>
    <w:p w14:paraId="5B64DBED" w14:textId="77777777" w:rsidR="002F536C" w:rsidRDefault="002F536C" w:rsidP="002F536C">
      <w:r>
        <w:t>Black artists such as Tina Turner, The O’Jays, Curtis Mayfield, and Kool and the Gang ignored the boycott and travelled to Bophuthatswana to perform at Sun City. The era in which Sun City began to offer black artists a chance to perform was a pivotal time period of protest against the United States government, given the Re</w:t>
      </w:r>
      <w:r w:rsidR="00396630">
        <w:t>a</w:t>
      </w:r>
      <w:r>
        <w:t xml:space="preserve">gan’s administration soft stance on apartheid. The end of the 1970s was a period in which black musicians </w:t>
      </w:r>
      <w:r w:rsidR="00FA6A91">
        <w:t>could</w:t>
      </w:r>
      <w:r>
        <w:t xml:space="preserve"> charge far higher prices and were making more money than ever before. In contrast to South Africa’s political and cultural isolation, Sol Kerzner’s offers were lucrative for a few nights’ performances in what was being promoted as a racially integrated and independent state. Many artists were ignorant of South African politics and the complexities of bantustan policies. Tina Turner, for example, deeply regretted her decision to perform at Sun City and la</w:t>
      </w:r>
      <w:r w:rsidR="00AA0B14">
        <w:t>ter admitted her naivety about African</w:t>
      </w:r>
      <w:r>
        <w:t xml:space="preserve"> politics.</w:t>
      </w:r>
      <w:r>
        <w:rPr>
          <w:rStyle w:val="FootnoteReference"/>
        </w:rPr>
        <w:footnoteReference w:id="268"/>
      </w:r>
    </w:p>
    <w:p w14:paraId="47560D3B" w14:textId="77777777" w:rsidR="002F536C" w:rsidRDefault="002F536C" w:rsidP="002F536C">
      <w:r>
        <w:t>There was immense pressure on African American artists to make a moral choice and support their brethren.  A number of black artists, including Roberta Flack, Gladys Knight, Joe Williams and the Jackson Five, turned down lucrative offers to perform at the Sun City Superbowl.</w:t>
      </w:r>
      <w:r>
        <w:rPr>
          <w:rStyle w:val="FootnoteReference"/>
        </w:rPr>
        <w:footnoteReference w:id="269"/>
      </w:r>
    </w:p>
    <w:p w14:paraId="4B466D1F" w14:textId="77777777" w:rsidR="002F536C" w:rsidRDefault="002F536C" w:rsidP="002F536C">
      <w:r>
        <w:t xml:space="preserve">In New York, the Patrice Lumumba Coalition (PLC, a segment of the Liberation Support Committee) organised protests against artists who had performed at Sun City. This African-American organisation, which took its name from the assassinated first Prime Minister of the Democratic Republic of the Congo, actively supported a cohort of a liberation movements such as the ANC (South Africa), SWAPO (Namibia), MPLA (Angola), FRELIMO </w:t>
      </w:r>
      <w:r>
        <w:lastRenderedPageBreak/>
        <w:t>(Mozambique) and ZANU (Zimbabwe).</w:t>
      </w:r>
      <w:r>
        <w:rPr>
          <w:rStyle w:val="FootnoteReference"/>
        </w:rPr>
        <w:footnoteReference w:id="270"/>
      </w:r>
      <w:r>
        <w:t xml:space="preserve"> The PLC took a strong stand on black artists and athletes among whom they felt that they </w:t>
      </w:r>
      <w:r w:rsidR="00FA6A91">
        <w:t>could</w:t>
      </w:r>
      <w:r>
        <w:t xml:space="preserve"> make an impact. The PLC felt that images depicted on television and newspapers, popular trends and superstars </w:t>
      </w:r>
      <w:r w:rsidR="00FA6A91">
        <w:t>can</w:t>
      </w:r>
      <w:r>
        <w:t xml:space="preserve"> influence public opinion and that black artists had a responsibility to fully expose apartheid.</w:t>
      </w:r>
      <w:r>
        <w:rPr>
          <w:rStyle w:val="FootnoteReference"/>
        </w:rPr>
        <w:footnoteReference w:id="271"/>
      </w:r>
      <w:r>
        <w:t xml:space="preserve"> It was these black artists that earned the most publicity, especially when they broke UN sanctions and were labelled </w:t>
      </w:r>
      <w:r w:rsidR="00AA0B14">
        <w:t>“</w:t>
      </w:r>
      <w:r>
        <w:t>collaborators</w:t>
      </w:r>
      <w:r w:rsidR="00AA0B14">
        <w:t>”</w:t>
      </w:r>
      <w:r>
        <w:t xml:space="preserve"> with the apartheid state and shamed for their lack of solidarity with their black brothers and sisters.</w:t>
      </w:r>
      <w:r>
        <w:rPr>
          <w:rStyle w:val="FootnoteReference"/>
        </w:rPr>
        <w:footnoteReference w:id="272"/>
      </w:r>
      <w:r>
        <w:t xml:space="preserve"> </w:t>
      </w:r>
    </w:p>
    <w:p w14:paraId="67D50C2F" w14:textId="77777777" w:rsidR="00C51543" w:rsidRDefault="002F536C" w:rsidP="002F536C">
      <w:pPr>
        <w:rPr>
          <w:rStyle w:val="SubtitleChar"/>
        </w:rPr>
      </w:pPr>
      <w:r>
        <w:t xml:space="preserve">Research by Freeman on black artists and Sun City focused on the formation of the </w:t>
      </w:r>
      <w:r w:rsidRPr="00323820">
        <w:t>Artists and Athletes Against Apartheid</w:t>
      </w:r>
      <w:r>
        <w:t>. The organisation was founded in September 1983 by African-American attorney Randall Robinson, and two other influential African American celebrities, Harry Belafonte</w:t>
      </w:r>
      <w:r w:rsidR="00C51543">
        <w:t>,</w:t>
      </w:r>
      <w:r>
        <w:t xml:space="preserve"> and tennis pro</w:t>
      </w:r>
      <w:r w:rsidR="00C51543">
        <w:t>,</w:t>
      </w:r>
      <w:r>
        <w:t xml:space="preserve"> Arthur Ashe</w:t>
      </w:r>
      <w:r w:rsidR="00C51543">
        <w:t>,</w:t>
      </w:r>
      <w:r>
        <w:t xml:space="preserve"> largely aimed at boycotting Sun City. This organisation made a significant statement about touring black sportsmen and artists to Sun City. Belafonte was especially outspoken and urged people of colour not go to South Africa; </w:t>
      </w:r>
    </w:p>
    <w:p w14:paraId="734163AD" w14:textId="77777777" w:rsidR="00C51543" w:rsidRDefault="00C51543" w:rsidP="00C51543">
      <w:pPr>
        <w:pStyle w:val="Subtitle"/>
      </w:pPr>
      <w:r>
        <w:rPr>
          <w:rStyle w:val="SubtitleChar"/>
        </w:rPr>
        <w:t>I</w:t>
      </w:r>
      <w:r w:rsidR="002F536C" w:rsidRPr="00C51543">
        <w:rPr>
          <w:rStyle w:val="SubtitleChar"/>
        </w:rPr>
        <w:t>f you go to Johannesburg or Sun City and play to audiences, extracting inordinate amounts of money for your services and leaving little behind, but your presence,</w:t>
      </w:r>
      <w:r>
        <w:rPr>
          <w:rStyle w:val="SubtitleChar"/>
        </w:rPr>
        <w:t xml:space="preserve"> you are encouraging apartheid.</w:t>
      </w:r>
      <w:r w:rsidR="002F536C" w:rsidRPr="00C51543">
        <w:rPr>
          <w:rStyle w:val="SubtitleChar"/>
          <w:vertAlign w:val="superscript"/>
        </w:rPr>
        <w:footnoteReference w:id="273"/>
      </w:r>
      <w:r w:rsidR="002F536C" w:rsidRPr="00C51543">
        <w:rPr>
          <w:vertAlign w:val="superscript"/>
        </w:rPr>
        <w:t xml:space="preserve"> </w:t>
      </w:r>
    </w:p>
    <w:p w14:paraId="2E99E6AD" w14:textId="77777777" w:rsidR="002F536C" w:rsidRDefault="002F536C" w:rsidP="002F536C">
      <w:r>
        <w:t>The group argued that the money artists earned in Sun City upheld apartheid as it institutionalised white control over black populations.</w:t>
      </w:r>
      <w:r>
        <w:rPr>
          <w:rStyle w:val="FootnoteReference"/>
        </w:rPr>
        <w:footnoteReference w:id="274"/>
      </w:r>
      <w:r>
        <w:t xml:space="preserve"> </w:t>
      </w:r>
    </w:p>
    <w:p w14:paraId="61333404" w14:textId="77777777" w:rsidR="002F536C" w:rsidRDefault="002F536C" w:rsidP="002F536C">
      <w:pPr>
        <w:pStyle w:val="Heading2"/>
        <w:numPr>
          <w:ilvl w:val="0"/>
          <w:numId w:val="0"/>
        </w:numPr>
        <w:ind w:left="578" w:hanging="578"/>
      </w:pPr>
      <w:bookmarkStart w:id="55" w:name="_Toc488481727"/>
      <w:r>
        <w:t xml:space="preserve">Protest Music: </w:t>
      </w:r>
      <w:r w:rsidR="008841AB">
        <w:t>‘</w:t>
      </w:r>
      <w:r w:rsidRPr="00C51543">
        <w:t>Sun City</w:t>
      </w:r>
      <w:r w:rsidR="008841AB">
        <w:t>’</w:t>
      </w:r>
      <w:bookmarkEnd w:id="55"/>
    </w:p>
    <w:p w14:paraId="045F6E00" w14:textId="77777777" w:rsidR="002F536C" w:rsidRPr="00492DDD" w:rsidRDefault="00492DDD" w:rsidP="002F536C">
      <w:pPr>
        <w:rPr>
          <w:rFonts w:cs="Times New Roman"/>
        </w:rPr>
      </w:pPr>
      <w:r>
        <w:rPr>
          <w:rFonts w:cs="Times New Roman"/>
        </w:rPr>
        <w:t>The era of</w:t>
      </w:r>
      <w:r w:rsidRPr="00776282">
        <w:rPr>
          <w:rFonts w:cs="Times New Roman"/>
        </w:rPr>
        <w:t xml:space="preserve"> anti-establishment music and movements, </w:t>
      </w:r>
      <w:r>
        <w:rPr>
          <w:rFonts w:cs="Times New Roman"/>
        </w:rPr>
        <w:t>such</w:t>
      </w:r>
      <w:r w:rsidRPr="00776282">
        <w:rPr>
          <w:rFonts w:cs="Times New Roman"/>
        </w:rPr>
        <w:t xml:space="preserve"> as Band Aid and ‘We are the World’</w:t>
      </w:r>
      <w:r>
        <w:rPr>
          <w:rFonts w:cs="Times New Roman"/>
        </w:rPr>
        <w:t xml:space="preserve">, </w:t>
      </w:r>
      <w:r w:rsidRPr="00776282">
        <w:rPr>
          <w:rFonts w:cs="Times New Roman"/>
        </w:rPr>
        <w:t>focused musical and media attention on war, poverty and famine</w:t>
      </w:r>
      <w:r>
        <w:rPr>
          <w:rFonts w:cs="Times New Roman"/>
        </w:rPr>
        <w:t xml:space="preserve">. In the same mould, </w:t>
      </w:r>
      <w:r w:rsidRPr="00776282">
        <w:rPr>
          <w:rFonts w:cs="Times New Roman"/>
        </w:rPr>
        <w:t>apartheid also took centre stage</w:t>
      </w:r>
      <w:r>
        <w:rPr>
          <w:rFonts w:cs="Times New Roman"/>
        </w:rPr>
        <w:t xml:space="preserve"> in the ‘Sun City’ protest song, which </w:t>
      </w:r>
      <w:r w:rsidRPr="00776282">
        <w:rPr>
          <w:rFonts w:cs="Times New Roman"/>
        </w:rPr>
        <w:t>called for political action instead of charitable donations.</w:t>
      </w:r>
      <w:r w:rsidRPr="00776282">
        <w:rPr>
          <w:rStyle w:val="FootnoteReference"/>
          <w:rFonts w:cs="Times New Roman"/>
        </w:rPr>
        <w:footnoteReference w:id="275"/>
      </w:r>
      <w:r>
        <w:rPr>
          <w:rFonts w:cs="Times New Roman"/>
        </w:rPr>
        <w:t xml:space="preserve"> </w:t>
      </w:r>
      <w:r w:rsidR="002F536C">
        <w:t>Many musicians attacked apartheid through their music. Stevie Wonder wrote and sang ‘</w:t>
      </w:r>
      <w:r w:rsidR="002F536C" w:rsidRPr="00323820">
        <w:t>It’s Wrong</w:t>
      </w:r>
      <w:r w:rsidR="002F536C">
        <w:t>’</w:t>
      </w:r>
      <w:r w:rsidR="002F536C">
        <w:rPr>
          <w:i/>
        </w:rPr>
        <w:t xml:space="preserve">, </w:t>
      </w:r>
      <w:r w:rsidR="002F536C">
        <w:t>Peter Gabriel released a powerful song on Steve Biko and Jerry Dammers and the Special AKA produced the protest song ‘</w:t>
      </w:r>
      <w:r w:rsidR="002F536C" w:rsidRPr="00323820">
        <w:t>(Free) Nelson Mandela</w:t>
      </w:r>
      <w:r w:rsidR="002F536C">
        <w:t>’</w:t>
      </w:r>
      <w:r w:rsidR="002F536C">
        <w:rPr>
          <w:i/>
        </w:rPr>
        <w:t xml:space="preserve">. </w:t>
      </w:r>
      <w:r w:rsidR="002F536C">
        <w:t xml:space="preserve">A cohort of international musicians came together and declared that </w:t>
      </w:r>
      <w:r w:rsidR="002F536C">
        <w:lastRenderedPageBreak/>
        <w:t>millions of dollars would not sway their conscience to play in Sun City.</w:t>
      </w:r>
      <w:r w:rsidR="002F536C">
        <w:rPr>
          <w:rStyle w:val="FootnoteReference"/>
        </w:rPr>
        <w:footnoteReference w:id="276"/>
      </w:r>
      <w:r w:rsidR="002F536C">
        <w:t xml:space="preserve"> </w:t>
      </w:r>
      <w:r>
        <w:t>‘</w:t>
      </w:r>
      <w:r w:rsidR="002F536C" w:rsidRPr="00492DDD">
        <w:t>Sun City</w:t>
      </w:r>
      <w:r>
        <w:t>’</w:t>
      </w:r>
      <w:r w:rsidR="002F536C">
        <w:rPr>
          <w:i/>
        </w:rPr>
        <w:t xml:space="preserve">, </w:t>
      </w:r>
      <w:r w:rsidR="002F536C">
        <w:t xml:space="preserve">the song, received a lot of media coverage in the United States.  </w:t>
      </w:r>
    </w:p>
    <w:p w14:paraId="5C0BA2BB" w14:textId="77777777" w:rsidR="002F536C" w:rsidRDefault="002F536C" w:rsidP="002F536C">
      <w:r>
        <w:t xml:space="preserve">At the time when Frank Sinatra, </w:t>
      </w:r>
      <w:r w:rsidR="00492DDD">
        <w:t>Liza Minelli,</w:t>
      </w:r>
      <w:r>
        <w:t xml:space="preserve"> and other musicians accepted Kerzner’s lucrative offers to perform at Sun City - and thereby p</w:t>
      </w:r>
      <w:r w:rsidR="00492DDD">
        <w:t>romote Bophuthatswana’s image -</w:t>
      </w:r>
      <w:r>
        <w:t xml:space="preserve"> the cultural boycott reached a boiling point. By 1985, anti-apartheid resistance in the West was at its highest and two musical projects were released in quick succession to promote awareness of the anti-apartheid boycotts. This was only achievable in the MTV age where music was quickly and easily disseminated to millions of viewers.</w:t>
      </w:r>
      <w:r>
        <w:rPr>
          <w:rStyle w:val="FootnoteReference"/>
        </w:rPr>
        <w:footnoteReference w:id="277"/>
      </w:r>
    </w:p>
    <w:p w14:paraId="456ECAA2" w14:textId="77777777" w:rsidR="002F536C" w:rsidRDefault="002F536C" w:rsidP="002F536C">
      <w:r>
        <w:t>The first of these projects was the 1985 song ‘</w:t>
      </w:r>
      <w:r w:rsidRPr="00323820">
        <w:t>Sun City</w:t>
      </w:r>
      <w:r>
        <w:t>’</w:t>
      </w:r>
      <w:r>
        <w:rPr>
          <w:i/>
        </w:rPr>
        <w:t xml:space="preserve"> </w:t>
      </w:r>
      <w:r>
        <w:t>which</w:t>
      </w:r>
      <w:r>
        <w:rPr>
          <w:i/>
        </w:rPr>
        <w:t xml:space="preserve"> </w:t>
      </w:r>
      <w:r>
        <w:t>was created by a group of musicians, led by E-Street band member Steven van Zandt, who called themselves Artists United Against Apartheid. They produced the song to highlight the importance of boycotting South Africa and the bantustans and declared that they would not play at Sun City.</w:t>
      </w:r>
      <w:r>
        <w:rPr>
          <w:rStyle w:val="FootnoteReference"/>
        </w:rPr>
        <w:footnoteReference w:id="278"/>
      </w:r>
      <w:r>
        <w:t xml:space="preserve"> </w:t>
      </w:r>
    </w:p>
    <w:p w14:paraId="46607581" w14:textId="77777777" w:rsidR="002F536C" w:rsidRPr="000224C2" w:rsidRDefault="002F536C" w:rsidP="002F536C">
      <w:pPr>
        <w:pStyle w:val="NoSpacing"/>
        <w:ind w:left="360" w:right="360"/>
        <w:rPr>
          <w:rFonts w:cs="Times New Roman"/>
        </w:rPr>
      </w:pPr>
      <w:r w:rsidRPr="000224C2">
        <w:t xml:space="preserve">We’re here to talk about South Africa, we don’t like what’s going on </w:t>
      </w:r>
      <w:r>
        <w:rPr>
          <w:rFonts w:cs="Times New Roman"/>
        </w:rPr>
        <w:t xml:space="preserve">(Melle Mel &amp; Duke </w:t>
      </w:r>
      <w:r w:rsidRPr="000224C2">
        <w:rPr>
          <w:rFonts w:cs="Times New Roman"/>
        </w:rPr>
        <w:t>Bootee)</w:t>
      </w:r>
    </w:p>
    <w:p w14:paraId="7D88A8BB" w14:textId="77777777" w:rsidR="002F536C" w:rsidRPr="000224C2" w:rsidRDefault="002F536C" w:rsidP="002F536C">
      <w:pPr>
        <w:pStyle w:val="NoSpacing"/>
        <w:ind w:left="360" w:right="360"/>
        <w:rPr>
          <w:rFonts w:cs="Times New Roman"/>
        </w:rPr>
      </w:pPr>
      <w:r w:rsidRPr="000224C2">
        <w:t xml:space="preserve">It’s time for some justice, it’s time for the truth </w:t>
      </w:r>
      <w:r w:rsidRPr="000224C2">
        <w:rPr>
          <w:rFonts w:cs="Times New Roman"/>
        </w:rPr>
        <w:t>(Afrika Bambaataa &amp; Kurtis Blow)</w:t>
      </w:r>
    </w:p>
    <w:p w14:paraId="7EBE0A16" w14:textId="77777777" w:rsidR="002F536C" w:rsidRPr="000224C2" w:rsidRDefault="002F536C" w:rsidP="002F536C">
      <w:pPr>
        <w:pStyle w:val="NoSpacing"/>
        <w:ind w:left="360" w:right="360"/>
        <w:rPr>
          <w:rFonts w:cs="Times New Roman"/>
        </w:rPr>
      </w:pPr>
      <w:r w:rsidRPr="000224C2">
        <w:t>We’ve rea</w:t>
      </w:r>
      <w:r w:rsidR="000C57FE">
        <w:t>lise</w:t>
      </w:r>
      <w:r w:rsidRPr="000224C2">
        <w:t xml:space="preserve">d there’s only one thing we can do </w:t>
      </w:r>
      <w:r w:rsidRPr="000224C2">
        <w:rPr>
          <w:rFonts w:cs="Times New Roman"/>
        </w:rPr>
        <w:t>(Big Youth &amp; all rappers)</w:t>
      </w:r>
    </w:p>
    <w:p w14:paraId="5B95ED72" w14:textId="77777777" w:rsidR="002F536C" w:rsidRPr="000224C2" w:rsidRDefault="002F536C" w:rsidP="002F536C">
      <w:pPr>
        <w:pStyle w:val="NoSpacing"/>
        <w:ind w:left="360" w:right="360"/>
      </w:pPr>
      <w:r w:rsidRPr="000224C2">
        <w:t>I ain’t gonna play Sun City</w:t>
      </w:r>
    </w:p>
    <w:p w14:paraId="21C30735" w14:textId="77777777" w:rsidR="002F536C" w:rsidRPr="000224C2" w:rsidRDefault="002F536C" w:rsidP="002F536C">
      <w:pPr>
        <w:pStyle w:val="NoSpacing"/>
        <w:ind w:left="360" w:right="360"/>
        <w:rPr>
          <w:rFonts w:cs="Times New Roman"/>
        </w:rPr>
      </w:pPr>
      <w:r w:rsidRPr="000224C2">
        <w:t xml:space="preserve">Relocation to phony homelands </w:t>
      </w:r>
      <w:r w:rsidRPr="000224C2">
        <w:rPr>
          <w:rFonts w:cs="Times New Roman"/>
        </w:rPr>
        <w:t>(David Ruffin)</w:t>
      </w:r>
    </w:p>
    <w:p w14:paraId="51F83918" w14:textId="77777777" w:rsidR="002F536C" w:rsidRPr="000224C2" w:rsidRDefault="002F536C" w:rsidP="002F536C">
      <w:pPr>
        <w:pStyle w:val="NoSpacing"/>
        <w:ind w:left="360" w:right="360"/>
        <w:rPr>
          <w:rFonts w:cs="Times New Roman"/>
        </w:rPr>
      </w:pPr>
      <w:r w:rsidRPr="000224C2">
        <w:t xml:space="preserve">Separation of families I can’t understand </w:t>
      </w:r>
      <w:r w:rsidRPr="000224C2">
        <w:rPr>
          <w:rFonts w:cs="Times New Roman"/>
        </w:rPr>
        <w:t>(Pat Benatar)</w:t>
      </w:r>
    </w:p>
    <w:p w14:paraId="3AB33A71" w14:textId="77777777" w:rsidR="002F536C" w:rsidRPr="000224C2" w:rsidRDefault="002F536C" w:rsidP="002F536C">
      <w:pPr>
        <w:pStyle w:val="NoSpacing"/>
        <w:ind w:left="360" w:right="360"/>
        <w:rPr>
          <w:rFonts w:cs="Times New Roman"/>
        </w:rPr>
      </w:pPr>
      <w:r w:rsidRPr="000224C2">
        <w:t xml:space="preserve">23 million can’t vote because they’re black </w:t>
      </w:r>
      <w:r w:rsidRPr="000224C2">
        <w:rPr>
          <w:rFonts w:cs="Times New Roman"/>
        </w:rPr>
        <w:t>(Eddie Kendricks)</w:t>
      </w:r>
    </w:p>
    <w:p w14:paraId="08D5CA09" w14:textId="77777777" w:rsidR="002F536C" w:rsidRPr="000224C2" w:rsidRDefault="002F536C" w:rsidP="002F536C">
      <w:pPr>
        <w:pStyle w:val="NoSpacing"/>
        <w:ind w:left="360" w:right="360"/>
        <w:rPr>
          <w:rFonts w:cs="Times New Roman"/>
        </w:rPr>
      </w:pPr>
      <w:r w:rsidRPr="000224C2">
        <w:t xml:space="preserve">We’re stabbing our brothers and sisters in the back </w:t>
      </w:r>
      <w:r w:rsidRPr="000224C2">
        <w:rPr>
          <w:rFonts w:cs="Times New Roman"/>
        </w:rPr>
        <w:t>(Bruce Springsteen)</w:t>
      </w:r>
    </w:p>
    <w:p w14:paraId="0CB46B9A" w14:textId="77777777" w:rsidR="002F536C" w:rsidRPr="000224C2" w:rsidRDefault="002F536C" w:rsidP="002F536C">
      <w:pPr>
        <w:pStyle w:val="NoSpacing"/>
        <w:ind w:left="360" w:right="360"/>
      </w:pPr>
      <w:r w:rsidRPr="000224C2">
        <w:t>I ain’t gonna play Sun City</w:t>
      </w:r>
    </w:p>
    <w:p w14:paraId="0090AC7F" w14:textId="77777777" w:rsidR="002F536C" w:rsidRPr="000224C2" w:rsidRDefault="002F536C" w:rsidP="002F536C">
      <w:pPr>
        <w:pStyle w:val="NoSpacing"/>
        <w:ind w:left="360" w:right="360"/>
        <w:rPr>
          <w:rFonts w:cs="Times New Roman"/>
        </w:rPr>
      </w:pPr>
      <w:r w:rsidRPr="000224C2">
        <w:t xml:space="preserve">Our government tells us we’re doing all we can </w:t>
      </w:r>
      <w:r w:rsidRPr="000224C2">
        <w:rPr>
          <w:rFonts w:cs="Times New Roman"/>
        </w:rPr>
        <w:t>(George Clinton)</w:t>
      </w:r>
    </w:p>
    <w:p w14:paraId="4936246E" w14:textId="77777777" w:rsidR="002F536C" w:rsidRPr="000224C2" w:rsidRDefault="002F536C" w:rsidP="002F536C">
      <w:pPr>
        <w:pStyle w:val="NoSpacing"/>
        <w:ind w:left="360" w:right="360"/>
        <w:rPr>
          <w:rFonts w:cs="Times New Roman"/>
        </w:rPr>
      </w:pPr>
      <w:r w:rsidRPr="000224C2">
        <w:t xml:space="preserve">Constructive engagement is Ronald Reagan’s plan </w:t>
      </w:r>
      <w:r w:rsidRPr="000224C2">
        <w:rPr>
          <w:rFonts w:cs="Times New Roman"/>
        </w:rPr>
        <w:t>(Joey Ramone)</w:t>
      </w:r>
    </w:p>
    <w:p w14:paraId="3D2074D1" w14:textId="77777777" w:rsidR="002F536C" w:rsidRPr="000224C2" w:rsidRDefault="002F536C" w:rsidP="002F536C">
      <w:pPr>
        <w:pStyle w:val="NoSpacing"/>
        <w:ind w:left="360" w:right="360"/>
        <w:rPr>
          <w:rFonts w:cs="Times New Roman"/>
        </w:rPr>
      </w:pPr>
      <w:r w:rsidRPr="000224C2">
        <w:t xml:space="preserve">Meanwhile people are dying and giving up hope </w:t>
      </w:r>
      <w:r w:rsidRPr="000224C2">
        <w:rPr>
          <w:rFonts w:cs="Times New Roman"/>
        </w:rPr>
        <w:t>(Jimmy Cliff &amp; Daryl Hall)</w:t>
      </w:r>
    </w:p>
    <w:p w14:paraId="212E479A" w14:textId="77777777" w:rsidR="002F536C" w:rsidRPr="000224C2" w:rsidRDefault="002F536C" w:rsidP="002F536C">
      <w:pPr>
        <w:pStyle w:val="NoSpacing"/>
        <w:ind w:left="360" w:right="360"/>
        <w:rPr>
          <w:rFonts w:cs="Times New Roman"/>
        </w:rPr>
      </w:pPr>
      <w:r w:rsidRPr="000224C2">
        <w:t xml:space="preserve">This quiet diplomacy ain’t nothing but a joke </w:t>
      </w:r>
      <w:r w:rsidRPr="000224C2">
        <w:rPr>
          <w:rFonts w:cs="Times New Roman"/>
        </w:rPr>
        <w:t>(Darlene Love)</w:t>
      </w:r>
    </w:p>
    <w:p w14:paraId="077D91FA" w14:textId="77777777" w:rsidR="002F536C" w:rsidRPr="000224C2" w:rsidRDefault="002F536C" w:rsidP="002F536C">
      <w:pPr>
        <w:pStyle w:val="NoSpacing"/>
        <w:ind w:left="360" w:right="360"/>
      </w:pPr>
      <w:r w:rsidRPr="000224C2">
        <w:t>I ain’t gonna play Sun City</w:t>
      </w:r>
    </w:p>
    <w:p w14:paraId="7755CBAE" w14:textId="77777777" w:rsidR="002F536C" w:rsidRPr="000224C2" w:rsidRDefault="002F536C" w:rsidP="002F536C">
      <w:pPr>
        <w:pStyle w:val="NoSpacing"/>
        <w:ind w:left="360" w:right="360"/>
        <w:rPr>
          <w:rFonts w:cs="Times New Roman"/>
        </w:rPr>
      </w:pPr>
      <w:r w:rsidRPr="000224C2">
        <w:t xml:space="preserve">It’s time to accept our responsibility </w:t>
      </w:r>
      <w:r w:rsidRPr="000224C2">
        <w:rPr>
          <w:rFonts w:cs="Times New Roman"/>
        </w:rPr>
        <w:t>(Bonnie Raitt)</w:t>
      </w:r>
    </w:p>
    <w:p w14:paraId="3173C454" w14:textId="77777777" w:rsidR="002F536C" w:rsidRPr="000224C2" w:rsidRDefault="002F536C" w:rsidP="002F536C">
      <w:pPr>
        <w:pStyle w:val="NoSpacing"/>
        <w:ind w:left="360" w:right="360"/>
        <w:rPr>
          <w:rFonts w:cs="Times New Roman"/>
        </w:rPr>
      </w:pPr>
      <w:r w:rsidRPr="000224C2">
        <w:t xml:space="preserve">Freedom is a privilege, nobody rides for free </w:t>
      </w:r>
      <w:r w:rsidRPr="000224C2">
        <w:rPr>
          <w:rFonts w:cs="Times New Roman"/>
        </w:rPr>
        <w:t>(Ruben Blades &amp; John Oates)</w:t>
      </w:r>
    </w:p>
    <w:p w14:paraId="413F9691" w14:textId="77777777" w:rsidR="002F536C" w:rsidRPr="000224C2" w:rsidRDefault="002F536C" w:rsidP="002F536C">
      <w:pPr>
        <w:pStyle w:val="NoSpacing"/>
        <w:ind w:left="360" w:right="360"/>
        <w:rPr>
          <w:rFonts w:cs="Times New Roman"/>
        </w:rPr>
      </w:pPr>
      <w:r w:rsidRPr="000224C2">
        <w:t xml:space="preserve">Look around the world baby it can’t be denied </w:t>
      </w:r>
      <w:r w:rsidRPr="000224C2">
        <w:rPr>
          <w:rFonts w:cs="Times New Roman"/>
        </w:rPr>
        <w:t>(Lou Reed)</w:t>
      </w:r>
    </w:p>
    <w:p w14:paraId="3F802087" w14:textId="77777777" w:rsidR="002F536C" w:rsidRPr="000224C2" w:rsidRDefault="002F536C" w:rsidP="002F536C">
      <w:pPr>
        <w:pStyle w:val="NoSpacing"/>
        <w:ind w:left="360" w:right="360"/>
        <w:rPr>
          <w:rFonts w:cs="Times New Roman"/>
        </w:rPr>
      </w:pPr>
      <w:r w:rsidRPr="000224C2">
        <w:t xml:space="preserve">Why are we always on the wrong side </w:t>
      </w:r>
      <w:r w:rsidRPr="000224C2">
        <w:rPr>
          <w:rFonts w:cs="Times New Roman"/>
        </w:rPr>
        <w:t>(Bobby Womack)</w:t>
      </w:r>
    </w:p>
    <w:p w14:paraId="316CAB71" w14:textId="77777777" w:rsidR="002F536C" w:rsidRPr="000224C2" w:rsidRDefault="002F536C" w:rsidP="002F536C">
      <w:pPr>
        <w:pStyle w:val="NoSpacing"/>
        <w:ind w:left="360" w:right="360"/>
      </w:pPr>
      <w:r w:rsidRPr="000224C2">
        <w:t>I ain’t gonna play Sun City</w:t>
      </w:r>
    </w:p>
    <w:p w14:paraId="30F9E412" w14:textId="77777777" w:rsidR="002F536C" w:rsidRPr="000224C2" w:rsidRDefault="002F536C" w:rsidP="002F536C">
      <w:pPr>
        <w:pStyle w:val="NoSpacing"/>
        <w:ind w:left="360" w:right="360"/>
        <w:rPr>
          <w:rFonts w:cs="Times New Roman"/>
        </w:rPr>
      </w:pPr>
      <w:r w:rsidRPr="000224C2">
        <w:t xml:space="preserve">Bophuthatswana is far away </w:t>
      </w:r>
      <w:r w:rsidRPr="000224C2">
        <w:rPr>
          <w:rFonts w:cs="Times New Roman"/>
        </w:rPr>
        <w:t>(Run-DMC)</w:t>
      </w:r>
    </w:p>
    <w:p w14:paraId="7DAF4E18" w14:textId="77777777" w:rsidR="002F536C" w:rsidRPr="000224C2" w:rsidRDefault="002F536C" w:rsidP="002F536C">
      <w:pPr>
        <w:pStyle w:val="NoSpacing"/>
        <w:ind w:left="360" w:right="360"/>
        <w:rPr>
          <w:rFonts w:cs="Times New Roman"/>
        </w:rPr>
      </w:pPr>
      <w:r w:rsidRPr="000224C2">
        <w:t xml:space="preserve">But we know it’s in South Africa no matter what they say </w:t>
      </w:r>
      <w:r w:rsidRPr="000224C2">
        <w:rPr>
          <w:rFonts w:cs="Times New Roman"/>
        </w:rPr>
        <w:t>(Kurtis Blow &amp; Africa Bambaataa)</w:t>
      </w:r>
    </w:p>
    <w:p w14:paraId="4953DA77" w14:textId="77777777" w:rsidR="002F536C" w:rsidRPr="000224C2" w:rsidRDefault="002F536C" w:rsidP="002F536C">
      <w:pPr>
        <w:pStyle w:val="NoSpacing"/>
        <w:ind w:left="360" w:right="360"/>
        <w:rPr>
          <w:rFonts w:cs="Times New Roman"/>
        </w:rPr>
      </w:pPr>
      <w:r w:rsidRPr="000224C2">
        <w:t xml:space="preserve">You can’t buy me, I don’t care what you pay </w:t>
      </w:r>
      <w:r w:rsidRPr="000224C2">
        <w:rPr>
          <w:rFonts w:cs="Times New Roman"/>
        </w:rPr>
        <w:t>(Duke Bootee, Melle Mel &amp; Afrika Bambaataa)</w:t>
      </w:r>
    </w:p>
    <w:p w14:paraId="30F0E8DD" w14:textId="77777777" w:rsidR="002F536C" w:rsidRPr="000224C2" w:rsidRDefault="002F536C" w:rsidP="002F536C">
      <w:pPr>
        <w:pStyle w:val="NoSpacing"/>
        <w:ind w:left="360" w:right="360"/>
        <w:rPr>
          <w:rFonts w:cs="Times New Roman"/>
        </w:rPr>
      </w:pPr>
      <w:r w:rsidRPr="000224C2">
        <w:t xml:space="preserve">Don’t ask me Sun City because I ain’t gonna play </w:t>
      </w:r>
      <w:r w:rsidRPr="000224C2">
        <w:rPr>
          <w:rFonts w:cs="Times New Roman"/>
        </w:rPr>
        <w:t>(Linton Kwesi Johnson &amp; all rappers)</w:t>
      </w:r>
    </w:p>
    <w:p w14:paraId="252233C3" w14:textId="77777777" w:rsidR="002F536C" w:rsidRPr="000224C2" w:rsidRDefault="002F536C" w:rsidP="002F536C">
      <w:pPr>
        <w:pStyle w:val="NoSpacing"/>
        <w:ind w:left="360" w:right="360"/>
        <w:rPr>
          <w:rFonts w:cs="Times New Roman"/>
        </w:rPr>
      </w:pPr>
      <w:r w:rsidRPr="000224C2">
        <w:t xml:space="preserve">Relocation to phony homelands </w:t>
      </w:r>
      <w:r w:rsidRPr="000224C2">
        <w:rPr>
          <w:rFonts w:cs="Times New Roman"/>
        </w:rPr>
        <w:t>(Jackson Browne &amp; Bob Dylan)</w:t>
      </w:r>
    </w:p>
    <w:p w14:paraId="2C2892A3" w14:textId="77777777" w:rsidR="002F536C" w:rsidRPr="000224C2" w:rsidRDefault="002F536C" w:rsidP="002F536C">
      <w:pPr>
        <w:pStyle w:val="NoSpacing"/>
        <w:ind w:left="360" w:right="360"/>
        <w:rPr>
          <w:rFonts w:cs="Times New Roman"/>
        </w:rPr>
      </w:pPr>
      <w:r w:rsidRPr="000224C2">
        <w:t xml:space="preserve">Separation of families I can’t understand </w:t>
      </w:r>
      <w:r w:rsidRPr="000224C2">
        <w:rPr>
          <w:rFonts w:cs="Times New Roman"/>
        </w:rPr>
        <w:t>(Peter Garrett)</w:t>
      </w:r>
    </w:p>
    <w:p w14:paraId="2B8E460A" w14:textId="77777777" w:rsidR="002F536C" w:rsidRPr="000224C2" w:rsidRDefault="002F536C" w:rsidP="002F536C">
      <w:pPr>
        <w:pStyle w:val="NoSpacing"/>
        <w:ind w:left="360" w:right="360"/>
        <w:rPr>
          <w:rFonts w:cs="Times New Roman"/>
        </w:rPr>
      </w:pPr>
      <w:r w:rsidRPr="000224C2">
        <w:t xml:space="preserve">23 million can’t vote because they’re black </w:t>
      </w:r>
      <w:r w:rsidRPr="000224C2">
        <w:rPr>
          <w:rFonts w:cs="Times New Roman"/>
        </w:rPr>
        <w:t>(Nona Hendryx &amp; Kashif)</w:t>
      </w:r>
    </w:p>
    <w:p w14:paraId="0C21CAC6" w14:textId="77777777" w:rsidR="002F536C" w:rsidRDefault="002F536C" w:rsidP="002F536C">
      <w:pPr>
        <w:pStyle w:val="NoSpacing"/>
        <w:ind w:left="360" w:right="360"/>
        <w:rPr>
          <w:rFonts w:cs="Times New Roman"/>
        </w:rPr>
      </w:pPr>
      <w:r w:rsidRPr="000224C2">
        <w:t xml:space="preserve">We’re stabbing our brothers and sisters in the back </w:t>
      </w:r>
      <w:r w:rsidRPr="000224C2">
        <w:rPr>
          <w:rFonts w:cs="Times New Roman"/>
        </w:rPr>
        <w:t>(Bono)</w:t>
      </w:r>
      <w:r w:rsidRPr="000224C2">
        <w:rPr>
          <w:rStyle w:val="FootnoteReference"/>
          <w:rFonts w:cs="Times New Roman"/>
          <w:i/>
          <w:color w:val="000000"/>
          <w:szCs w:val="20"/>
          <w:shd w:val="clear" w:color="auto" w:fill="FFFFFF"/>
        </w:rPr>
        <w:footnoteReference w:id="279"/>
      </w:r>
    </w:p>
    <w:p w14:paraId="076CB8F1" w14:textId="77777777" w:rsidR="002F536C" w:rsidRDefault="002F536C" w:rsidP="002F536C">
      <w:pPr>
        <w:pStyle w:val="NoSpacing"/>
        <w:ind w:left="360" w:right="360"/>
        <w:rPr>
          <w:rFonts w:cs="Times New Roman"/>
        </w:rPr>
      </w:pPr>
    </w:p>
    <w:p w14:paraId="70FFB310" w14:textId="77777777" w:rsidR="002F536C" w:rsidRDefault="002F536C" w:rsidP="002F536C">
      <w:r>
        <w:t xml:space="preserve">According to an article in </w:t>
      </w:r>
      <w:r>
        <w:rPr>
          <w:i/>
        </w:rPr>
        <w:t xml:space="preserve">Time Magazine, </w:t>
      </w:r>
      <w:r>
        <w:t>the song brought hard rock and facts together with a little bit of rap and human, emotional connection.</w:t>
      </w:r>
      <w:r>
        <w:rPr>
          <w:rStyle w:val="FootnoteReference"/>
        </w:rPr>
        <w:footnoteReference w:id="280"/>
      </w:r>
      <w:r>
        <w:t xml:space="preserve"> The lyrics not only declared that the artists were not going to perform at Sun City with “I ain’t gonna play Sun City”, but the song also took a stand against the bantustan system through reference to “phony homelands”.</w:t>
      </w:r>
      <w:r>
        <w:rPr>
          <w:rStyle w:val="FootnoteReference"/>
        </w:rPr>
        <w:footnoteReference w:id="281"/>
      </w:r>
      <w:r>
        <w:t xml:space="preserve"> Van Zandt came up with the concept for the single whilst sitting in a cinema listening to Peter Gabriel’s song ‘</w:t>
      </w:r>
      <w:r w:rsidRPr="00323820">
        <w:t>Biko</w:t>
      </w:r>
      <w:r>
        <w:t>’</w:t>
      </w:r>
      <w:r>
        <w:rPr>
          <w:i/>
        </w:rPr>
        <w:t xml:space="preserve">, </w:t>
      </w:r>
      <w:r>
        <w:t xml:space="preserve">which eulogises the deceased activist Steve Biko. He was </w:t>
      </w:r>
      <w:r w:rsidR="009C6C37">
        <w:t>appalled</w:t>
      </w:r>
      <w:r>
        <w:t xml:space="preserve"> by apartheid and began to write an anthem based on the resort Sun City. Although Kerzner and his executives regularly attempted to downplay the realities of the apartheid regime in the media, </w:t>
      </w:r>
      <w:r w:rsidR="009C6C37">
        <w:t>“</w:t>
      </w:r>
      <w:r>
        <w:t>Sun City</w:t>
      </w:r>
      <w:r w:rsidR="009C6C37">
        <w:t>”</w:t>
      </w:r>
      <w:r>
        <w:t xml:space="preserve"> had become a signifier of the abundance and lavish lifestyles that the white population enjoyed at the expense of their fellow black South Africans.</w:t>
      </w:r>
      <w:r>
        <w:rPr>
          <w:rStyle w:val="FootnoteReference"/>
        </w:rPr>
        <w:footnoteReference w:id="282"/>
      </w:r>
      <w:r>
        <w:t xml:space="preserve"> The song was released as a joint </w:t>
      </w:r>
      <w:r w:rsidRPr="0095424B">
        <w:t>anthem with more than fifty musicians contributing to the song,</w:t>
      </w:r>
      <w:r>
        <w:t xml:space="preserve"> including</w:t>
      </w:r>
      <w:r w:rsidRPr="0095424B">
        <w:t xml:space="preserve"> Bruce Springsteen, Jackson Browne, Gil Scott-Heron, Grandmaster Melle Mel, Bonnie Raitt, Lou Reed, David Ruffin, Run-D.M.C., Ringo Starr, Pete Townshend</w:t>
      </w:r>
      <w:r>
        <w:t>, Keith Richards, Bob Dylan,</w:t>
      </w:r>
      <w:r w:rsidRPr="0095424B">
        <w:t xml:space="preserve"> Bobby Womack</w:t>
      </w:r>
      <w:r>
        <w:t xml:space="preserve"> and members of U2. </w:t>
      </w:r>
      <w:r w:rsidR="00492DDD">
        <w:t xml:space="preserve">Bono, frontman of the band </w:t>
      </w:r>
      <w:r>
        <w:t xml:space="preserve">U2, </w:t>
      </w:r>
      <w:r w:rsidR="00492DDD">
        <w:t>was</w:t>
      </w:r>
      <w:r>
        <w:t xml:space="preserve"> asked about </w:t>
      </w:r>
      <w:r w:rsidR="00492DDD">
        <w:t>his motivations behind the song and</w:t>
      </w:r>
      <w:r>
        <w:t xml:space="preserve"> </w:t>
      </w:r>
      <w:r w:rsidR="00492DDD">
        <w:t>responded</w:t>
      </w:r>
      <w:r>
        <w:t xml:space="preserve"> that it was not propaganda, or about the left or the right. To him it did not matter about sides, it was common sense and apolitical.</w:t>
      </w:r>
      <w:r>
        <w:rPr>
          <w:rStyle w:val="FootnoteReference"/>
        </w:rPr>
        <w:footnoteReference w:id="283"/>
      </w:r>
      <w:r>
        <w:t xml:space="preserve"> Freeman argues that the song made a strong, level headed case to its American audience for boycotting the entertainment resort.</w:t>
      </w:r>
      <w:r>
        <w:rPr>
          <w:rStyle w:val="FootnoteReference"/>
        </w:rPr>
        <w:footnoteReference w:id="284"/>
      </w:r>
    </w:p>
    <w:p w14:paraId="1C8571E3" w14:textId="77777777" w:rsidR="002F536C" w:rsidRDefault="002F536C" w:rsidP="002F536C">
      <w:r>
        <w:t xml:space="preserve">Despite a </w:t>
      </w:r>
      <w:r w:rsidR="008A6C6F">
        <w:t>star-studded</w:t>
      </w:r>
      <w:r>
        <w:t xml:space="preserve"> line up, the song never became a radio hit. Some attributed this to the reluctance of station managers to play a song with a strong political message. However, this did not stop </w:t>
      </w:r>
      <w:r w:rsidR="008841AB">
        <w:t>‘</w:t>
      </w:r>
      <w:r w:rsidRPr="00323820">
        <w:t>Sun City</w:t>
      </w:r>
      <w:r w:rsidR="008841AB">
        <w:t>’</w:t>
      </w:r>
      <w:r>
        <w:rPr>
          <w:i/>
        </w:rPr>
        <w:t xml:space="preserve"> </w:t>
      </w:r>
      <w:r>
        <w:t>from reaching the public domain.</w:t>
      </w:r>
      <w:r>
        <w:rPr>
          <w:rStyle w:val="FootnoteReference"/>
        </w:rPr>
        <w:footnoteReference w:id="285"/>
      </w:r>
      <w:r>
        <w:t xml:space="preserve"> This was largely achieved thanks to a music video, a mini-documentary style video filled with stark images of the realities of life under apartheid, through which the anti-apartheid message was disseminated. It featured the performers alongside crosscuts of South African unrest and images of leaders like Nelson Mandela and Neil Aggett, contrasted with the opulence of Sun City. Footage of the 1960s civil rights struggles in the United States also featured in the video and further drive home the </w:t>
      </w:r>
      <w:r>
        <w:lastRenderedPageBreak/>
        <w:t xml:space="preserve">reality of apartheid for American viewers. The video was widely broadcast by MTV and other cable networks and helped raise awareness of the illegitimacy of the bantustan states. </w:t>
      </w:r>
    </w:p>
    <w:p w14:paraId="466EDBB8" w14:textId="77777777" w:rsidR="002F536C" w:rsidRDefault="002F536C" w:rsidP="002F536C">
      <w:r>
        <w:t>The ‘</w:t>
      </w:r>
      <w:r w:rsidRPr="00323820">
        <w:t>Sun City</w:t>
      </w:r>
      <w:r>
        <w:t>’</w:t>
      </w:r>
      <w:r>
        <w:rPr>
          <w:i/>
        </w:rPr>
        <w:t xml:space="preserve"> </w:t>
      </w:r>
      <w:r>
        <w:t>single was sold on an album that was accompanied by four songs and features which included speeches by Nelson Mandela and Desmond Tutu. The royalties from the sale of the Sun City album, totalling more than $500,000, were donated to the Africa Fund, which was administered by the American Committee on Africa. The proceeds from the Africa Fund went to political prisoners in South Africa and to anti-apartheid groups.</w:t>
      </w:r>
      <w:r>
        <w:rPr>
          <w:rStyle w:val="FootnoteReference"/>
        </w:rPr>
        <w:footnoteReference w:id="286"/>
      </w:r>
      <w:r>
        <w:t xml:space="preserve"> It did “pack an effective political punch” in convincing artists not to perform at the Sun City resort and dented Bophuthatswana’s image in the international media.</w:t>
      </w:r>
      <w:r>
        <w:rPr>
          <w:rStyle w:val="FootnoteReference"/>
        </w:rPr>
        <w:footnoteReference w:id="287"/>
      </w:r>
      <w:r>
        <w:t xml:space="preserve"> Many artists that played at Sun City used the excuse that they were unaware of the political situation and did not know that Bophuthatswana was not an independent state. </w:t>
      </w:r>
      <w:r w:rsidR="00492DDD">
        <w:t>However,</w:t>
      </w:r>
      <w:r>
        <w:t xml:space="preserve"> after the release of Van Zandt’s political single, this kind of naivety was no longer an acceptable excuse.</w:t>
      </w:r>
      <w:r>
        <w:rPr>
          <w:rStyle w:val="FootnoteReference"/>
        </w:rPr>
        <w:footnoteReference w:id="288"/>
      </w:r>
      <w:r>
        <w:t xml:space="preserve">  </w:t>
      </w:r>
    </w:p>
    <w:p w14:paraId="25EFFBE9" w14:textId="77777777" w:rsidR="002F536C" w:rsidRDefault="002F536C" w:rsidP="002F536C">
      <w:r w:rsidRPr="005132B7">
        <w:t>There is a juxtaposition between the use of the resort Sun City by Bophuthatswana officials to sanction the homeland’s existence and the song ‘Sun City’</w:t>
      </w:r>
      <w:r w:rsidRPr="005132B7">
        <w:rPr>
          <w:i/>
        </w:rPr>
        <w:t xml:space="preserve"> </w:t>
      </w:r>
      <w:r w:rsidRPr="005132B7">
        <w:t xml:space="preserve">which aims to deny the area sovereignty. When measuring the single in terms of its propensity to garner political and civil activism, </w:t>
      </w:r>
      <w:r w:rsidR="00492DDD">
        <w:t>‘</w:t>
      </w:r>
      <w:r w:rsidRPr="005132B7">
        <w:t>Sun City</w:t>
      </w:r>
      <w:r w:rsidR="00492DDD">
        <w:t>’</w:t>
      </w:r>
      <w:r w:rsidRPr="005132B7">
        <w:rPr>
          <w:i/>
        </w:rPr>
        <w:t xml:space="preserve"> </w:t>
      </w:r>
      <w:r w:rsidRPr="005132B7">
        <w:t>was a success. It sparked anti-apartheid movements in the U.S. and in Britain, and germinated several associated organisations that target</w:t>
      </w:r>
      <w:r>
        <w:t>ed</w:t>
      </w:r>
      <w:r w:rsidRPr="005132B7">
        <w:t xml:space="preserve"> South Africa’s </w:t>
      </w:r>
      <w:r>
        <w:t xml:space="preserve">apartheid </w:t>
      </w:r>
      <w:r w:rsidRPr="005132B7">
        <w:t>ideology.</w:t>
      </w:r>
      <w:r w:rsidRPr="005132B7">
        <w:rPr>
          <w:rStyle w:val="FootnoteReference"/>
        </w:rPr>
        <w:footnoteReference w:id="289"/>
      </w:r>
      <w:r w:rsidRPr="005132B7">
        <w:t xml:space="preserve"> It took Sun City off the performance circuit and sent a clear message about the success of the anti-apartheid campaign.</w:t>
      </w:r>
      <w:r w:rsidRPr="005132B7">
        <w:rPr>
          <w:rStyle w:val="FootnoteReference"/>
        </w:rPr>
        <w:footnoteReference w:id="290"/>
      </w:r>
      <w:r w:rsidRPr="005132B7">
        <w:t xml:space="preserve"> </w:t>
      </w:r>
    </w:p>
    <w:p w14:paraId="029FD9DD" w14:textId="77777777" w:rsidR="002F536C" w:rsidRDefault="002F536C" w:rsidP="002F536C">
      <w:pPr>
        <w:pStyle w:val="Heading2"/>
        <w:numPr>
          <w:ilvl w:val="0"/>
          <w:numId w:val="0"/>
        </w:numPr>
        <w:ind w:left="578" w:hanging="578"/>
      </w:pPr>
      <w:bookmarkStart w:id="56" w:name="_Toc441506835"/>
      <w:bookmarkStart w:id="57" w:name="_Toc459702975"/>
      <w:bookmarkStart w:id="58" w:name="_Toc488481728"/>
      <w:r>
        <w:t>Legitimising the State</w:t>
      </w:r>
      <w:bookmarkEnd w:id="56"/>
      <w:bookmarkEnd w:id="57"/>
      <w:r w:rsidR="007E45C8">
        <w:t xml:space="preserve"> through Sport</w:t>
      </w:r>
      <w:bookmarkEnd w:id="58"/>
    </w:p>
    <w:p w14:paraId="497599F3" w14:textId="77777777" w:rsidR="002F536C" w:rsidRPr="00DE526F" w:rsidRDefault="002F536C" w:rsidP="002F536C">
      <w:pPr>
        <w:rPr>
          <w:shd w:val="clear" w:color="auto" w:fill="FFFFFF"/>
        </w:rPr>
      </w:pPr>
      <w:r>
        <w:t>In 1970, a survey found that white South Africans felt that the lack of international sports was one of the three worst consequences of apartheid.</w:t>
      </w:r>
      <w:r>
        <w:rPr>
          <w:rStyle w:val="FootnoteReference"/>
        </w:rPr>
        <w:footnoteReference w:id="291"/>
      </w:r>
      <w:r>
        <w:t xml:space="preserve"> </w:t>
      </w:r>
      <w:r w:rsidR="008A6C6F">
        <w:t>(</w:t>
      </w:r>
      <w:r>
        <w:t>Had black South Africans been included in the poll, the statistics would have looked very different.</w:t>
      </w:r>
      <w:r w:rsidR="008A6C6F">
        <w:t>)</w:t>
      </w:r>
      <w:r>
        <w:t xml:space="preserve"> The arrival of television in 1976 was a joyous occasion for South Africans, but it was a bitter-sweet event as they realised the realities of their own absence from international sports events as a result of the sports boycott.</w:t>
      </w:r>
      <w:r>
        <w:rPr>
          <w:rStyle w:val="FootnoteReference"/>
        </w:rPr>
        <w:footnoteReference w:id="292"/>
      </w:r>
      <w:r>
        <w:t xml:space="preserve"> However, the boycott did not stop all sportspeople from travelling to South Africa </w:t>
      </w:r>
      <w:r>
        <w:lastRenderedPageBreak/>
        <w:t>and the rare athlete visiting was treated as royalty, with a spread in the newspapers, no matter how marginal their talent.</w:t>
      </w:r>
      <w:r>
        <w:rPr>
          <w:rStyle w:val="FootnoteReference"/>
        </w:rPr>
        <w:footnoteReference w:id="293"/>
      </w:r>
      <w:r>
        <w:t xml:space="preserve"> Many athletes were tempted through huge sums of money to take part in exhibition matches at Sun City. The international exposure Sun City gained through such events was another way through which Mangope sought to achieve international recognition for his pseudo state. </w:t>
      </w:r>
    </w:p>
    <w:p w14:paraId="3F9FCEA1" w14:textId="77777777" w:rsidR="002F536C" w:rsidRDefault="002F536C" w:rsidP="002F536C">
      <w:r>
        <w:t>Bophuthatswana first welcomed sportsmen and fans to the World Boxing Championships on 26 August 1978</w:t>
      </w:r>
      <w:r w:rsidR="007E45C8">
        <w:t>,</w:t>
      </w:r>
      <w:r>
        <w:t xml:space="preserve"> when Colombian boxer Antonio Cervantes successfully defended his Junior Welterweight Title against South African Norman Sekgapane.</w:t>
      </w:r>
      <w:r>
        <w:rPr>
          <w:rStyle w:val="FootnoteReference"/>
        </w:rPr>
        <w:footnoteReference w:id="294"/>
      </w:r>
      <w:r>
        <w:t xml:space="preserve"> From then on, Bophuthatswana, with the help of Sun City, quickly earned an international reputation as a venue for premier boxing events. Boxing events became an opportunity to showcase Bophuthatswana internationally to seek validation for the bantustan from other countries which had been reluctant to recognise it as a sovereign nation. A letter from the president’s office dated 1984 stated that at a recent world boxing match held in Mmabatho Mangope </w:t>
      </w:r>
      <w:r w:rsidR="00FA6A91">
        <w:t>could</w:t>
      </w:r>
      <w:r>
        <w:t xml:space="preserve"> showcase the “freedom, goodwill, peace and stability” he was establishing in Bophuthatswana.</w:t>
      </w:r>
      <w:r>
        <w:rPr>
          <w:rStyle w:val="FootnoteReference"/>
        </w:rPr>
        <w:footnoteReference w:id="295"/>
      </w:r>
    </w:p>
    <w:p w14:paraId="70C6CEAD" w14:textId="77777777" w:rsidR="002F536C" w:rsidRDefault="002F536C" w:rsidP="002F536C">
      <w:r>
        <w:t>In 1980 South African boxer, Kallie Knoetze, fought against heavyweight American boxer Mike Weaver for the world title at Sun City. Coetzee won in the 13</w:t>
      </w:r>
      <w:r w:rsidRPr="004104A4">
        <w:rPr>
          <w:vertAlign w:val="superscript"/>
        </w:rPr>
        <w:t>th</w:t>
      </w:r>
      <w:r>
        <w:t xml:space="preserve"> round after a gruelling and exciting contest.</w:t>
      </w:r>
      <w:r>
        <w:rPr>
          <w:rStyle w:val="FootnoteReference"/>
        </w:rPr>
        <w:footnoteReference w:id="296"/>
      </w:r>
      <w:r>
        <w:t xml:space="preserve"> After his appearance in the Sun City ring, Weaver was publicly called out for his callous ignorance of the sports boycott. His name was one of the first to be placed on the UN list of athletes that had defied sanctions against South Africa.</w:t>
      </w:r>
      <w:r>
        <w:rPr>
          <w:rStyle w:val="FootnoteReference"/>
        </w:rPr>
        <w:footnoteReference w:id="297"/>
      </w:r>
      <w:r>
        <w:t xml:space="preserve"> In Coetzee’s first title defence, which took place at Sun City in December 1984, he fought </w:t>
      </w:r>
      <w:r w:rsidR="007E45C8">
        <w:t xml:space="preserve">Greg Page, an </w:t>
      </w:r>
      <w:r>
        <w:t>African-American boxer</w:t>
      </w:r>
      <w:r w:rsidR="007E45C8">
        <w:t>,</w:t>
      </w:r>
      <w:r>
        <w:t xml:space="preserve"> and lost in a controversial 8</w:t>
      </w:r>
      <w:r w:rsidRPr="00464FD4">
        <w:rPr>
          <w:vertAlign w:val="superscript"/>
        </w:rPr>
        <w:t>th</w:t>
      </w:r>
      <w:r>
        <w:t xml:space="preserve"> round extra </w:t>
      </w:r>
      <w:r w:rsidR="007E45C8">
        <w:t xml:space="preserve">time where he was knocked out (refer to Figure </w:t>
      </w:r>
      <w:r w:rsidR="00B8198E">
        <w:t>7</w:t>
      </w:r>
      <w:r w:rsidR="007E45C8">
        <w:t xml:space="preserve">). </w:t>
      </w:r>
      <w:r>
        <w:t xml:space="preserve">However, Coetzee earned an $800, 000 paycheck for the </w:t>
      </w:r>
      <w:r>
        <w:lastRenderedPageBreak/>
        <w:t xml:space="preserve">fight. Boxing proved to be a popular sport that attracted the attention of an international audience with the big pay </w:t>
      </w:r>
      <w:r w:rsidR="007E45C8">
        <w:t xml:space="preserve">days </w:t>
      </w:r>
      <w:r>
        <w:t>and even bigger name</w:t>
      </w:r>
      <w:r w:rsidR="00362B7F">
        <w:t>s fighting in the Sun City ring</w:t>
      </w:r>
      <w:r>
        <w:t>.</w:t>
      </w:r>
      <w:r>
        <w:rPr>
          <w:rStyle w:val="FootnoteReference"/>
        </w:rPr>
        <w:footnoteReference w:id="298"/>
      </w:r>
      <w:r>
        <w:t xml:space="preserve"> </w:t>
      </w:r>
    </w:p>
    <w:p w14:paraId="15F3BB09" w14:textId="77777777" w:rsidR="002F536C" w:rsidRDefault="007E45C8" w:rsidP="002F536C">
      <w:r w:rsidRPr="004104A4">
        <w:rPr>
          <w:noProof/>
          <w:lang w:val="en-ZA" w:eastAsia="en-ZA"/>
        </w:rPr>
        <w:drawing>
          <wp:anchor distT="0" distB="0" distL="114300" distR="114300" simplePos="0" relativeHeight="251665408" behindDoc="1" locked="0" layoutInCell="1" allowOverlap="1" wp14:anchorId="793BC701" wp14:editId="054E5BFD">
            <wp:simplePos x="0" y="0"/>
            <wp:positionH relativeFrom="margin">
              <wp:posOffset>429393</wp:posOffset>
            </wp:positionH>
            <wp:positionV relativeFrom="paragraph">
              <wp:posOffset>4473</wp:posOffset>
            </wp:positionV>
            <wp:extent cx="4862195" cy="3239770"/>
            <wp:effectExtent l="0" t="0" r="0" b="0"/>
            <wp:wrapTight wrapText="bothSides">
              <wp:wrapPolygon edited="0">
                <wp:start x="0" y="0"/>
                <wp:lineTo x="0" y="21465"/>
                <wp:lineTo x="21496" y="21465"/>
                <wp:lineTo x="21496" y="0"/>
                <wp:lineTo x="0" y="0"/>
              </wp:wrapPolygon>
            </wp:wrapTight>
            <wp:docPr id="9" name="Picture 9" descr="C:\Users\Nicola van der Merwe\Documents\Masters\Photos\unname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ola van der Merwe\Documents\Masters\Photos\unnamed (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862195" cy="3239770"/>
                    </a:xfrm>
                    <a:prstGeom prst="rect">
                      <a:avLst/>
                    </a:prstGeom>
                    <a:noFill/>
                    <a:ln>
                      <a:noFill/>
                    </a:ln>
                  </pic:spPr>
                </pic:pic>
              </a:graphicData>
            </a:graphic>
          </wp:anchor>
        </w:drawing>
      </w:r>
    </w:p>
    <w:p w14:paraId="425B093C" w14:textId="77777777" w:rsidR="002F536C" w:rsidRDefault="002F536C" w:rsidP="002F536C"/>
    <w:p w14:paraId="397E08C8" w14:textId="77777777" w:rsidR="002F536C" w:rsidRDefault="002F536C" w:rsidP="002F536C"/>
    <w:p w14:paraId="3323AD29" w14:textId="77777777" w:rsidR="002F536C" w:rsidRDefault="002F536C" w:rsidP="002F536C"/>
    <w:p w14:paraId="7AB6C2D3" w14:textId="77777777" w:rsidR="002F536C" w:rsidRDefault="002F536C" w:rsidP="002F536C"/>
    <w:p w14:paraId="505D1D0D" w14:textId="77777777" w:rsidR="002F536C" w:rsidRDefault="002F536C" w:rsidP="002F536C"/>
    <w:p w14:paraId="1F305411" w14:textId="77777777" w:rsidR="002F536C" w:rsidRDefault="002F536C" w:rsidP="002F536C"/>
    <w:p w14:paraId="1C15C993" w14:textId="77777777" w:rsidR="002F536C" w:rsidRDefault="002F536C" w:rsidP="002F536C"/>
    <w:p w14:paraId="0AE2C520" w14:textId="77777777" w:rsidR="002F536C" w:rsidRDefault="002F536C" w:rsidP="002F536C">
      <w:pPr>
        <w:spacing w:after="240" w:line="240" w:lineRule="auto"/>
        <w:jc w:val="center"/>
        <w:rPr>
          <w:sz w:val="20"/>
          <w:szCs w:val="20"/>
        </w:rPr>
      </w:pPr>
    </w:p>
    <w:p w14:paraId="38B1235C" w14:textId="77777777" w:rsidR="002F536C" w:rsidRDefault="002F536C" w:rsidP="002F536C">
      <w:pPr>
        <w:spacing w:after="240" w:line="240" w:lineRule="auto"/>
        <w:jc w:val="center"/>
        <w:rPr>
          <w:sz w:val="20"/>
          <w:szCs w:val="20"/>
        </w:rPr>
      </w:pPr>
    </w:p>
    <w:p w14:paraId="7EA645E0" w14:textId="77777777" w:rsidR="002F536C" w:rsidRDefault="00B8198E" w:rsidP="002F536C">
      <w:pPr>
        <w:spacing w:after="120" w:line="240" w:lineRule="auto"/>
        <w:jc w:val="center"/>
        <w:rPr>
          <w:sz w:val="20"/>
          <w:szCs w:val="20"/>
        </w:rPr>
      </w:pPr>
      <w:r>
        <w:rPr>
          <w:sz w:val="20"/>
          <w:szCs w:val="20"/>
        </w:rPr>
        <w:t>Figure 7</w:t>
      </w:r>
      <w:r w:rsidR="002F536C">
        <w:rPr>
          <w:sz w:val="20"/>
          <w:szCs w:val="20"/>
        </w:rPr>
        <w:t>: Gerrie Coetzee knocked out by Greg Page in the 8</w:t>
      </w:r>
      <w:r w:rsidR="002F536C" w:rsidRPr="0095693D">
        <w:rPr>
          <w:sz w:val="20"/>
          <w:szCs w:val="20"/>
          <w:vertAlign w:val="superscript"/>
        </w:rPr>
        <w:t>th</w:t>
      </w:r>
      <w:r w:rsidR="002F536C">
        <w:rPr>
          <w:sz w:val="20"/>
          <w:szCs w:val="20"/>
        </w:rPr>
        <w:t xml:space="preserve"> round of the WPA Heavyweight World Championship at Sun City in 1984</w:t>
      </w:r>
    </w:p>
    <w:p w14:paraId="4BD3B130" w14:textId="77777777" w:rsidR="002F536C" w:rsidRDefault="002F536C" w:rsidP="002F536C">
      <w:pPr>
        <w:spacing w:after="120" w:line="240" w:lineRule="auto"/>
        <w:jc w:val="center"/>
        <w:rPr>
          <w:sz w:val="20"/>
          <w:szCs w:val="20"/>
        </w:rPr>
      </w:pPr>
      <w:r>
        <w:rPr>
          <w:sz w:val="20"/>
          <w:szCs w:val="20"/>
        </w:rPr>
        <w:t>[Source: Wessel Oosthu</w:t>
      </w:r>
      <w:r w:rsidR="006F3AD9">
        <w:rPr>
          <w:sz w:val="20"/>
          <w:szCs w:val="20"/>
        </w:rPr>
        <w:t>ise</w:t>
      </w:r>
      <w:r>
        <w:rPr>
          <w:sz w:val="20"/>
          <w:szCs w:val="20"/>
        </w:rPr>
        <w:t>n]</w:t>
      </w:r>
    </w:p>
    <w:p w14:paraId="1341605F" w14:textId="77777777" w:rsidR="002F536C" w:rsidRPr="004104A4" w:rsidRDefault="002F536C" w:rsidP="002F536C">
      <w:pPr>
        <w:spacing w:after="120" w:line="240" w:lineRule="auto"/>
        <w:jc w:val="center"/>
        <w:rPr>
          <w:sz w:val="20"/>
          <w:szCs w:val="20"/>
        </w:rPr>
      </w:pPr>
    </w:p>
    <w:p w14:paraId="4E1ADF7F" w14:textId="77777777" w:rsidR="002F536C" w:rsidRDefault="002F536C" w:rsidP="002F536C">
      <w:r>
        <w:t>However, boxing was not the only sport that put Bophuthatswana on the global map. Sun City is home to two Gary Player-designed 18-hole golf courses</w:t>
      </w:r>
      <w:r w:rsidR="00362B7F">
        <w:t xml:space="preserve"> and</w:t>
      </w:r>
      <w:r>
        <w:t xml:space="preserve"> the </w:t>
      </w:r>
      <w:r w:rsidR="00362B7F">
        <w:t>Nedbank</w:t>
      </w:r>
      <w:r>
        <w:t xml:space="preserve"> Golf Challenge. The current orga</w:t>
      </w:r>
      <w:r w:rsidR="000C57FE">
        <w:t>nise</w:t>
      </w:r>
      <w:r>
        <w:t>r of the Nedbank Golf Challenge, Simphiwe Buthelezi, said that the event has now become a staple of the Sun City calendar and is a sporting institution in South Africa. He continued to say that Sol Kerzner, a sports fan of not just boxing, originally arranged the Million Dollar, as the tournament is colloquially known, to overcome South Africa’s sporting isolation by bringing the world’s top golfers to Bophuthatswana. It was the only opportunity South African golfing fans had to see the likes of Johnny Miller and Raymond Floyd play live. With a $1 million pr</w:t>
      </w:r>
      <w:r w:rsidR="006F3AD9">
        <w:t>i</w:t>
      </w:r>
      <w:r w:rsidR="00396630">
        <w:t>z</w:t>
      </w:r>
      <w:r w:rsidR="006F3AD9">
        <w:t>e</w:t>
      </w:r>
      <w:r>
        <w:t xml:space="preserve"> pool, it had the largest pr</w:t>
      </w:r>
      <w:r w:rsidR="006F3AD9">
        <w:t>i</w:t>
      </w:r>
      <w:r w:rsidR="00396630">
        <w:t>z</w:t>
      </w:r>
      <w:r w:rsidR="006F3AD9">
        <w:t>e</w:t>
      </w:r>
      <w:r>
        <w:t xml:space="preserve"> money of any tournament in the world.</w:t>
      </w:r>
      <w:r>
        <w:rPr>
          <w:rStyle w:val="FootnoteReference"/>
        </w:rPr>
        <w:footnoteReference w:id="299"/>
      </w:r>
      <w:r>
        <w:t xml:space="preserve"> </w:t>
      </w:r>
    </w:p>
    <w:p w14:paraId="77FCF3CF" w14:textId="77777777" w:rsidR="002F536C" w:rsidRDefault="002F536C" w:rsidP="002F536C">
      <w:r>
        <w:lastRenderedPageBreak/>
        <w:t>In 1987, Welsh golfer Ian Woosman took home the trophy for the Million Dollar Challenge and was highly criticised in the international media for breaking the sports boycott. In a post tournament interview, he said that everyone dreams of being a millionaire and that he had done it. Money proved more alluring than political correctness. A reporter from a newspaper in the United States attacked Woosman for his seemingly detached remark and stated that in South Africa black people dreamt of being able to vote and not being imprisoned for their political beliefs.</w:t>
      </w:r>
      <w:r>
        <w:rPr>
          <w:rStyle w:val="FootnoteReference"/>
        </w:rPr>
        <w:footnoteReference w:id="300"/>
      </w:r>
      <w:r>
        <w:t xml:space="preserve"> He sought to make an effective and stark contrast between the two worlds of the professional golfer breaking the international sports boycott for a big pay and the politically disenfranchised average black South African. However, Woosman was far from being the only golfer who could not resist the temptation of Sun City. Before the end of apartheid, the Million Dollar provided Bophuthatswana with an opportunity to perform on the world stage with high profile golfers ignoring sports boycott</w:t>
      </w:r>
      <w:r w:rsidR="00362B7F">
        <w:t xml:space="preserve">. </w:t>
      </w:r>
      <w:r>
        <w:t>Buthelezi said in his interview that Bophuthatswana could not have hoped for better publicity.</w:t>
      </w:r>
      <w:r>
        <w:rPr>
          <w:rStyle w:val="FootnoteReference"/>
        </w:rPr>
        <w:footnoteReference w:id="301"/>
      </w:r>
      <w:r>
        <w:t xml:space="preserve"> </w:t>
      </w:r>
    </w:p>
    <w:p w14:paraId="3E2242E3" w14:textId="77777777" w:rsidR="002F536C" w:rsidRDefault="002F536C" w:rsidP="002F536C">
      <w:r>
        <w:t xml:space="preserve">Golfer Lanny Wadkins won $150, 000 for his </w:t>
      </w:r>
      <w:r w:rsidR="00362B7F">
        <w:t>second-place</w:t>
      </w:r>
      <w:r>
        <w:t xml:space="preserve"> finish at Sun City. Criticised by Artists United Against Apartheid, he defended his actions in these terms: “there’s no apartheid [at Sun City]. There were black people at the next table in the restaurants and black people in the gambling casino and on the tennis courts.”</w:t>
      </w:r>
      <w:r>
        <w:rPr>
          <w:rStyle w:val="FootnoteReference"/>
        </w:rPr>
        <w:footnoteReference w:id="302"/>
      </w:r>
      <w:r>
        <w:t xml:space="preserve"> However, Wadkins was criticised by journalists for having never ventured outside of Sun City and thus failed to grasp how the </w:t>
      </w:r>
      <w:r w:rsidR="00FA6A91">
        <w:t>clear majority</w:t>
      </w:r>
      <w:r>
        <w:t xml:space="preserve"> of black South Africans lived. Instead he chose to focus on the minority that could afford the luxuries of Sun City. </w:t>
      </w:r>
    </w:p>
    <w:p w14:paraId="436CCD84" w14:textId="77777777" w:rsidR="002F536C" w:rsidRPr="008951AF" w:rsidRDefault="002F536C" w:rsidP="002F536C">
      <w:r>
        <w:t>Lee Elder, the first black player to be admitted into the Master’s tournament in 1975, one of the four major golfing tournaments, criticised Wadkins for his involvement in the Sun City Million Dollar.</w:t>
      </w:r>
      <w:r>
        <w:rPr>
          <w:rStyle w:val="FootnoteReference"/>
        </w:rPr>
        <w:footnoteReference w:id="303"/>
      </w:r>
      <w:r>
        <w:t xml:space="preserve"> The Professional Golfers’ Association of America (PGA) was largely blamed for not stepping in and regulating their players. All others sports were controlled and their players prohibited from playing at Sun City. However, the Million Dollar Challenge would employ underhand tactics and only announce the players participating in the tournament at the last minute. This limited the extent to which the PGA could intervene and inform their players about the sports boycott and their moral responsibilities.</w:t>
      </w:r>
      <w:r>
        <w:rPr>
          <w:rStyle w:val="FootnoteReference"/>
        </w:rPr>
        <w:footnoteReference w:id="304"/>
      </w:r>
      <w:r>
        <w:t xml:space="preserve">  </w:t>
      </w:r>
    </w:p>
    <w:p w14:paraId="40150CA2" w14:textId="77777777" w:rsidR="002F536C" w:rsidRDefault="002F536C" w:rsidP="002F536C">
      <w:r>
        <w:lastRenderedPageBreak/>
        <w:t>By the 1980s South African sports was more isolated than ever. The Springboks had nowhere to play and the only sportsmen entering South Africa where those dubbed ‘rebels’ who accepted blood money from the likes of Kerzner. While Kerzner managed to lure some big boxing names and create an impressive golfing tournament with a huge pr</w:t>
      </w:r>
      <w:r w:rsidR="006F3AD9">
        <w:t>i</w:t>
      </w:r>
      <w:r w:rsidR="00396630">
        <w:t>z</w:t>
      </w:r>
      <w:r w:rsidR="006F3AD9">
        <w:t>e</w:t>
      </w:r>
      <w:r>
        <w:t xml:space="preserve"> pool, he failed to break into mainstream sport. He could not sway the conscience of the top players from the West Indies, Sri Lanka, New Zealand, Australia and England in sports such as cricket and rugby. Those Caribbean sportsmen who were bribed into performing felt such a stigma that some even emigrated.</w:t>
      </w:r>
      <w:r>
        <w:rPr>
          <w:rStyle w:val="FootnoteReference"/>
        </w:rPr>
        <w:footnoteReference w:id="305"/>
      </w:r>
      <w:r>
        <w:t xml:space="preserve"> Evans</w:t>
      </w:r>
      <w:r w:rsidR="00362B7F">
        <w:t xml:space="preserve"> </w:t>
      </w:r>
      <w:r>
        <w:t>said in her interview that the attempt by Kerzner to appease South Africans’ need for international sporting participation and to feel included was somewhat successful. The ability to see international sporting legends compete at Sun City was a way to control South Africans’ feeling of isolation, whilst Kerzner directly profited from the boycotts. He could secure a monopoly on white South African’s entertainment and access to the international world.</w:t>
      </w:r>
      <w:r>
        <w:rPr>
          <w:rStyle w:val="FootnoteReference"/>
        </w:rPr>
        <w:footnoteReference w:id="306"/>
      </w:r>
    </w:p>
    <w:p w14:paraId="029267DD" w14:textId="77777777" w:rsidR="002F536C" w:rsidRDefault="002F536C" w:rsidP="002F536C">
      <w:r>
        <w:t>By 1985, the cultural and sporting boycott had reached  its peak, with virtually no artists touring to Sun City.</w:t>
      </w:r>
      <w:r>
        <w:rPr>
          <w:rStyle w:val="FootnoteReference"/>
        </w:rPr>
        <w:footnoteReference w:id="307"/>
      </w:r>
      <w:r>
        <w:t xml:space="preserve"> A close friend and business partner of Kerzner’s said in an interview  that “Mr Kerzner could pay anyone he wanted to perform at Sun City.”</w:t>
      </w:r>
      <w:r>
        <w:rPr>
          <w:rStyle w:val="FootnoteReference"/>
        </w:rPr>
        <w:footnoteReference w:id="308"/>
      </w:r>
      <w:r>
        <w:t xml:space="preserve"> The man, who wished to remain anonymous, felt that money spoke louder than politics.</w:t>
      </w:r>
      <w:r>
        <w:rPr>
          <w:rStyle w:val="FootnoteReference"/>
        </w:rPr>
        <w:footnoteReference w:id="309"/>
      </w:r>
      <w:r>
        <w:t xml:space="preserve"> However, despite the large sums of money that Kerzner could offer artists and sportsmen, the boycott was successful. Herliane Portenschaleger said that Kerzner continued to place pressure on his public relations team. He was eternal</w:t>
      </w:r>
      <w:r w:rsidR="00362B7F">
        <w:t xml:space="preserve">ly hungry for the limelight, </w:t>
      </w:r>
      <w:r>
        <w:t>publicity</w:t>
      </w:r>
      <w:r w:rsidR="00362B7F">
        <w:t xml:space="preserve"> and</w:t>
      </w:r>
      <w:r>
        <w:t xml:space="preserve"> the next big event to bring the world’s attention to Sun City. It was not only the celebrities and performers who needed to be invited and enticed to Bophuthatswana but the media as well.</w:t>
      </w:r>
      <w:r>
        <w:rPr>
          <w:rStyle w:val="FootnoteReference"/>
        </w:rPr>
        <w:footnoteReference w:id="310"/>
      </w:r>
      <w:r>
        <w:t xml:space="preserve"> However, as the UN boycott list grew and the boycott began to gain traction, it became more and more difficult for Kerzner to entice musicians to play within the famed walls of the Sun City Superbowl. </w:t>
      </w:r>
    </w:p>
    <w:p w14:paraId="45A747ED" w14:textId="77777777" w:rsidR="00362B7F" w:rsidRDefault="00362B7F" w:rsidP="002F536C">
      <w:pPr>
        <w:pStyle w:val="Heading2"/>
        <w:numPr>
          <w:ilvl w:val="0"/>
          <w:numId w:val="0"/>
        </w:numPr>
        <w:ind w:left="578" w:hanging="578"/>
      </w:pPr>
    </w:p>
    <w:p w14:paraId="3D7F233F" w14:textId="77777777" w:rsidR="002F536C" w:rsidRDefault="002F536C" w:rsidP="002F536C">
      <w:pPr>
        <w:pStyle w:val="Heading2"/>
        <w:numPr>
          <w:ilvl w:val="0"/>
          <w:numId w:val="0"/>
        </w:numPr>
        <w:ind w:left="578" w:hanging="578"/>
      </w:pPr>
      <w:bookmarkStart w:id="59" w:name="_Toc488481729"/>
      <w:r>
        <w:t>Conclusion</w:t>
      </w:r>
      <w:bookmarkEnd w:id="59"/>
    </w:p>
    <w:p w14:paraId="5177F1B1" w14:textId="77777777" w:rsidR="002F536C" w:rsidRPr="0018489B" w:rsidRDefault="002F536C" w:rsidP="002F536C">
      <w:r>
        <w:t>The sporting and cultural boycotts were felt throughout South Africa. By taking advantage of Bophuthatswana’s nominal independence, Sun City attempted to circumnavigate international isolation imposed by the boycotts. In terms of its ability to garner political and civil activism against itself, Sun City was a success. The cultural and sporting boycotts, which the liberation movement asked the world to observe, were supported by many international human rights organisations as well as artists and athletes. Artists Against Apartheid, for example, mobilised huge support and awareness against apartheid and educated artists and athletes about Sun City through their song, ‘</w:t>
      </w:r>
      <w:r w:rsidRPr="00143BD0">
        <w:t>Sun City</w:t>
      </w:r>
      <w:r>
        <w:t>’</w:t>
      </w:r>
      <w:r>
        <w:rPr>
          <w:i/>
        </w:rPr>
        <w:t xml:space="preserve">. </w:t>
      </w:r>
      <w:r>
        <w:t>Whilst Kerzner lured athletes and artists to Sun City, the international press and the United Nations turned them into pariahs upon their return.</w:t>
      </w:r>
    </w:p>
    <w:p w14:paraId="017FE9EC" w14:textId="77777777" w:rsidR="002F536C" w:rsidRDefault="002F536C" w:rsidP="002F536C"/>
    <w:p w14:paraId="233DB550" w14:textId="77777777" w:rsidR="002F536C" w:rsidRDefault="002F536C" w:rsidP="002F536C"/>
    <w:p w14:paraId="116188D8" w14:textId="77777777" w:rsidR="002F536C" w:rsidRDefault="002F536C" w:rsidP="002F536C"/>
    <w:p w14:paraId="65CB9015" w14:textId="77777777" w:rsidR="002F536C" w:rsidRDefault="002F536C" w:rsidP="002F536C"/>
    <w:p w14:paraId="4D63745F" w14:textId="77777777" w:rsidR="002F536C" w:rsidRDefault="002F536C" w:rsidP="002F536C"/>
    <w:p w14:paraId="7B743088" w14:textId="77777777" w:rsidR="002F536C" w:rsidRDefault="002F536C" w:rsidP="002F536C"/>
    <w:p w14:paraId="3376D14F" w14:textId="77777777" w:rsidR="002F536C" w:rsidRDefault="002F536C" w:rsidP="002F536C"/>
    <w:p w14:paraId="70489FEF" w14:textId="77777777" w:rsidR="002F536C" w:rsidRDefault="002F536C" w:rsidP="002F536C"/>
    <w:p w14:paraId="2D2C84AB" w14:textId="77777777" w:rsidR="002F536C" w:rsidRDefault="002F536C" w:rsidP="002F536C"/>
    <w:p w14:paraId="1FEA5CE1" w14:textId="77777777" w:rsidR="002F536C" w:rsidRDefault="002F536C" w:rsidP="002F536C"/>
    <w:p w14:paraId="7CF9E586" w14:textId="77777777" w:rsidR="002F536C" w:rsidRDefault="002F536C" w:rsidP="002F536C"/>
    <w:p w14:paraId="19E731F4" w14:textId="77777777" w:rsidR="002F536C" w:rsidRDefault="002F536C" w:rsidP="002F536C"/>
    <w:p w14:paraId="5574233F" w14:textId="77777777" w:rsidR="002F536C" w:rsidRDefault="002F536C" w:rsidP="002F536C"/>
    <w:p w14:paraId="63791E46" w14:textId="77777777" w:rsidR="002F536C" w:rsidRDefault="002F536C" w:rsidP="002F536C"/>
    <w:p w14:paraId="388B3CF8" w14:textId="77777777" w:rsidR="002F536C" w:rsidRDefault="002F536C" w:rsidP="002F536C"/>
    <w:p w14:paraId="50AED241" w14:textId="77777777" w:rsidR="002F536C" w:rsidRDefault="002F536C" w:rsidP="002F536C">
      <w:pPr>
        <w:pStyle w:val="Heading1"/>
        <w:numPr>
          <w:ilvl w:val="0"/>
          <w:numId w:val="0"/>
        </w:numPr>
        <w:ind w:left="432" w:hanging="432"/>
        <w:jc w:val="center"/>
      </w:pPr>
      <w:bookmarkStart w:id="60" w:name="_Toc488481730"/>
      <w:bookmarkStart w:id="61" w:name="_Toc459702976"/>
      <w:r>
        <w:lastRenderedPageBreak/>
        <w:t xml:space="preserve">CHAPTER FIVE: </w:t>
      </w:r>
      <w:r w:rsidR="00EA4779">
        <w:t>A Transition</w:t>
      </w:r>
      <w:r>
        <w:t xml:space="preserve"> Period</w:t>
      </w:r>
      <w:r w:rsidR="0029052C">
        <w:t xml:space="preserve"> -</w:t>
      </w:r>
      <w:r w:rsidR="00EA4779">
        <w:t xml:space="preserve"> 1990 onwards</w:t>
      </w:r>
      <w:bookmarkEnd w:id="60"/>
    </w:p>
    <w:p w14:paraId="5DC4F17C" w14:textId="77777777" w:rsidR="002F536C" w:rsidRDefault="002F536C" w:rsidP="002F536C">
      <w:pPr>
        <w:pStyle w:val="Heading2"/>
        <w:numPr>
          <w:ilvl w:val="0"/>
          <w:numId w:val="0"/>
        </w:numPr>
        <w:ind w:left="578" w:hanging="578"/>
      </w:pPr>
      <w:bookmarkStart w:id="62" w:name="_Toc488481731"/>
      <w:r>
        <w:t>Introduction</w:t>
      </w:r>
      <w:bookmarkEnd w:id="62"/>
    </w:p>
    <w:p w14:paraId="67711522" w14:textId="77777777" w:rsidR="002F536C" w:rsidRDefault="002F536C" w:rsidP="002F536C">
      <w:r>
        <w:t xml:space="preserve">Following the release of Nelson Mandela from prison on 11 February 1990 and the announcement of the unbanning of political organisations such as the ANC, South Africa entered a transition period with the end goal of becoming a democratic nation. This was not a simple process; it was time filled with violence and political turmoil. International pressure was placed on the country to ensure that the end goal was reached, and with the as little violence as possible. As the homeland system and Bophuthatswana crumbled, the world of gambling in South Africa changed. </w:t>
      </w:r>
      <w:r w:rsidR="00362B7F">
        <w:t xml:space="preserve">President </w:t>
      </w:r>
      <w:r>
        <w:t xml:space="preserve">Lucas Mangope was ousted from power on 12 March 1994 and Bophuthatswana was set to be reincorporated into the body of South Africa. Interim gambling laws were instituted in 1993, until a </w:t>
      </w:r>
      <w:r w:rsidR="00362B7F">
        <w:t xml:space="preserve">new </w:t>
      </w:r>
      <w:r>
        <w:t>gambling act could be drafted and finalised. The transition period from 1990-1994 was an uncertain</w:t>
      </w:r>
      <w:r w:rsidR="00EA4779">
        <w:t xml:space="preserve"> one for Sun International and </w:t>
      </w:r>
      <w:r>
        <w:t xml:space="preserve">Sol Kerzner, as his monopoly rested on the continuation of gambling. </w:t>
      </w:r>
      <w:r w:rsidR="00362B7F">
        <w:t>Additionally, the period proved to be</w:t>
      </w:r>
      <w:r w:rsidR="00EA4779" w:rsidRPr="00362B7F">
        <w:t xml:space="preserve"> an uncertain time for the homeland of Bophuthatswana.</w:t>
      </w:r>
      <w:r w:rsidR="00EA4779" w:rsidRPr="00EA4779">
        <w:rPr>
          <w:color w:val="FF0000"/>
        </w:rPr>
        <w:t xml:space="preserve"> </w:t>
      </w:r>
    </w:p>
    <w:p w14:paraId="7844B98D" w14:textId="77777777" w:rsidR="002F536C" w:rsidRPr="00554751" w:rsidRDefault="002F536C" w:rsidP="002F536C">
      <w:r>
        <w:t xml:space="preserve">During this </w:t>
      </w:r>
      <w:r w:rsidR="00362B7F">
        <w:t>period</w:t>
      </w:r>
      <w:r>
        <w:t xml:space="preserve">, Kerzner hosted the Miss World competition at Sun City, which bought international focus onto the country. South Africa </w:t>
      </w:r>
      <w:r w:rsidR="0029052C">
        <w:t xml:space="preserve">had </w:t>
      </w:r>
      <w:r>
        <w:t>experienced a complex and turbulent history with beauty pageants since the mid-20</w:t>
      </w:r>
      <w:r w:rsidRPr="00554751">
        <w:rPr>
          <w:vertAlign w:val="superscript"/>
        </w:rPr>
        <w:t>th</w:t>
      </w:r>
      <w:r>
        <w:t xml:space="preserve"> century, where South Africa</w:t>
      </w:r>
      <w:r w:rsidR="0029052C">
        <w:t xml:space="preserve"> was bann</w:t>
      </w:r>
      <w:r>
        <w:t xml:space="preserve">ed was entering </w:t>
      </w:r>
      <w:r w:rsidR="0029052C">
        <w:t xml:space="preserve">the </w:t>
      </w:r>
      <w:r>
        <w:t>competitions</w:t>
      </w:r>
      <w:r w:rsidR="0029052C">
        <w:t>,</w:t>
      </w:r>
      <w:r>
        <w:t xml:space="preserve"> such as Miss World</w:t>
      </w:r>
      <w:r w:rsidR="0029052C">
        <w:t>,</w:t>
      </w:r>
      <w:r>
        <w:t xml:space="preserve"> due to the apartheid policies. </w:t>
      </w:r>
    </w:p>
    <w:p w14:paraId="7F8F4E41" w14:textId="77777777" w:rsidR="002F536C" w:rsidRDefault="002F536C" w:rsidP="002F536C">
      <w:r>
        <w:t>This chapter seeks to analyse the history of the Miss South Africa and Miss World competition in relation to Sun City. It will determine, how during South Africa’s transition period, the beauty pageants helped alter public perception towards Sun</w:t>
      </w:r>
      <w:r w:rsidR="0029052C">
        <w:t xml:space="preserve"> City</w:t>
      </w:r>
      <w:r>
        <w:t>. Secondly, it contextua</w:t>
      </w:r>
      <w:r w:rsidR="000C57FE">
        <w:t>lise</w:t>
      </w:r>
      <w:r>
        <w:t xml:space="preserve">s this thesis within the broader context of the 1990-1994 transitory period. </w:t>
      </w:r>
      <w:r w:rsidR="0029052C">
        <w:t>Additionally, t</w:t>
      </w:r>
      <w:r>
        <w:t xml:space="preserve">he collapse of the homeland policy, reincorporation of bantustan, Kerzner’s bribery charges and the institution of new gambling policy will be discussed. </w:t>
      </w:r>
    </w:p>
    <w:p w14:paraId="37BA1384" w14:textId="77777777" w:rsidR="002F536C" w:rsidRPr="00C30D98" w:rsidRDefault="002F536C" w:rsidP="00EA4779">
      <w:pPr>
        <w:pStyle w:val="Heading2"/>
        <w:numPr>
          <w:ilvl w:val="0"/>
          <w:numId w:val="0"/>
        </w:numPr>
        <w:ind w:left="578" w:hanging="578"/>
      </w:pPr>
      <w:bookmarkStart w:id="63" w:name="_Toc488481732"/>
      <w:bookmarkEnd w:id="61"/>
      <w:r>
        <w:t>Political context: 1990-1994</w:t>
      </w:r>
      <w:bookmarkEnd w:id="63"/>
    </w:p>
    <w:p w14:paraId="788B8B30" w14:textId="77777777" w:rsidR="002F536C" w:rsidRDefault="002F536C" w:rsidP="002F536C">
      <w:r>
        <w:t xml:space="preserve">In early 1990, F.W. de Klerk announced the release of </w:t>
      </w:r>
      <w:r w:rsidR="0029052C">
        <w:t xml:space="preserve">Nelson Mandela from prison, however, </w:t>
      </w:r>
      <w:r>
        <w:t>this would not secure the end of the apartheid and the advent of a democratic government.</w:t>
      </w:r>
      <w:r w:rsidR="0029052C">
        <w:t xml:space="preserve"> Instead a long path would be followed before democratic elections were held. </w:t>
      </w:r>
      <w:r>
        <w:t xml:space="preserve"> Through a series of negotiations, such as Convention for a Democratic South Africa (CODESA) I and II, the transitory process of South Africa began. The</w:t>
      </w:r>
      <w:r w:rsidR="00AA0B14">
        <w:t>se negotiations often involved “talks about talks”</w:t>
      </w:r>
      <w:r>
        <w:t xml:space="preserve"> and routinely broke down. This period, from 1990-1994, was </w:t>
      </w:r>
      <w:r>
        <w:lastRenderedPageBreak/>
        <w:t>marked by an escalation of violence in South Africa and its homeland territory. The violence whi</w:t>
      </w:r>
      <w:r w:rsidR="00AA0B14">
        <w:t>ch became known as “Third Force”</w:t>
      </w:r>
      <w:r>
        <w:t xml:space="preserve"> and was a struggle between the ANC and supporters of KwaZulu leader, Mangosuthu Buthelezi. Buthelezi had launched a political party, the Inkatha Freedom Party (IFP) in July 1990</w:t>
      </w:r>
      <w:r w:rsidR="0029052C">
        <w:t>,</w:t>
      </w:r>
      <w:r>
        <w:t xml:space="preserve"> in</w:t>
      </w:r>
      <w:r w:rsidR="00EA4779">
        <w:t xml:space="preserve"> to</w:t>
      </w:r>
      <w:r>
        <w:t xml:space="preserve"> response Mandela’s</w:t>
      </w:r>
      <w:r w:rsidR="0029052C">
        <w:t xml:space="preserve"> signing of the Pretoria Minute.</w:t>
      </w:r>
      <w:r w:rsidR="0029052C">
        <w:rPr>
          <w:rStyle w:val="FootnoteReference"/>
        </w:rPr>
        <w:footnoteReference w:id="311"/>
      </w:r>
      <w:r w:rsidR="0029052C">
        <w:t xml:space="preserve"> </w:t>
      </w:r>
      <w:r>
        <w:t xml:space="preserve">This allowed for the unilateral suspension of the armed struggle and simultaneously triggered Third Force violence between the ANC and the IFP for control of democratic South Africa. Bophuthatswana never fully engaged in the negotiation settlements following the release of Nelson Mandela from prison; the bantustan also refused to sign the National Peace Accord in 1991 and did not attend the first CODESA talks. Rather, Mangope tried to delay the reincorporation of the bantustans into South Africa as he fought to maintain power. This was in direct contrast to the desires of the people of </w:t>
      </w:r>
      <w:r w:rsidR="00FA6A91">
        <w:t>Bophuthatswana</w:t>
      </w:r>
      <w:r>
        <w:t xml:space="preserve">, who favoured reincorporation into South Africa. </w:t>
      </w:r>
    </w:p>
    <w:p w14:paraId="1C67A148" w14:textId="77777777" w:rsidR="002F536C" w:rsidRPr="00C30D98" w:rsidRDefault="002F536C" w:rsidP="002F536C">
      <w:r>
        <w:t>Academics argue that that despite the unbanning of the ANC in South Africa in 1990, Mangope controlled the activities of the political organisation within Bophuthatswana, forcing them operate in an informal and clandestine manner. During the period 1990-1994, ANC operatives in Bophuthatswana were harassed and detained. Mangope had adopted a hard-line approach to negotiations with the ANC and reincorporation into South Africa, popular resistance to Mangope grew stronger as he fought to keep his political capital. In 1990, a year-long state of emergency was imposed on Bophuthatswana to curtail political uprising. What followed was a period of onerous repression which culminated in a c</w:t>
      </w:r>
      <w:r w:rsidRPr="00822F7D">
        <w:t>oup d'état</w:t>
      </w:r>
      <w:r>
        <w:t xml:space="preserve"> against the Bophuthatswana government on 12 March 1994, where Mangope was ousted from power in favour of reincorporation with the imminent democratic South Africa. South Africa was due to hold </w:t>
      </w:r>
      <w:r w:rsidR="0067011F">
        <w:t>its</w:t>
      </w:r>
      <w:r>
        <w:t xml:space="preserve"> first free and fair democratic elections the next month.</w:t>
      </w:r>
      <w:r>
        <w:rPr>
          <w:rStyle w:val="FootnoteReference"/>
        </w:rPr>
        <w:footnoteReference w:id="312"/>
      </w:r>
      <w:r>
        <w:t xml:space="preserve">  </w:t>
      </w:r>
    </w:p>
    <w:p w14:paraId="4EA30FE9" w14:textId="77777777" w:rsidR="002F536C" w:rsidRPr="00C30D98" w:rsidRDefault="00B75EF6" w:rsidP="00EA4779">
      <w:pPr>
        <w:pStyle w:val="Heading2"/>
        <w:numPr>
          <w:ilvl w:val="0"/>
          <w:numId w:val="0"/>
        </w:numPr>
        <w:ind w:left="578" w:hanging="578"/>
      </w:pPr>
      <w:bookmarkStart w:id="64" w:name="_Toc488481733"/>
      <w:r>
        <w:t>Sun City and Beauty P</w:t>
      </w:r>
      <w:r w:rsidR="00EA4779">
        <w:t>ageants</w:t>
      </w:r>
      <w:bookmarkEnd w:id="64"/>
      <w:r w:rsidR="00EA4779">
        <w:t xml:space="preserve"> </w:t>
      </w:r>
    </w:p>
    <w:p w14:paraId="60A645CB" w14:textId="77777777" w:rsidR="002F536C" w:rsidRDefault="002F536C" w:rsidP="002F536C">
      <w:r>
        <w:t>Sun City and Sun International have become synonymous with the Miss South Africa beauty pageant competitions. From the early 1990s, the Superbowl hosted numerous Miss World, Miss South Africa and Miss South Africa Teen pageants.</w:t>
      </w:r>
      <w:r>
        <w:rPr>
          <w:rStyle w:val="FootnoteReference"/>
        </w:rPr>
        <w:footnoteReference w:id="313"/>
      </w:r>
      <w:r>
        <w:t xml:space="preserve"> Mark West, producer of over three dozen national beauty competitions as well as several Miss World pageants at Sun City, expressed in his interview that beauty pageants reflect the political era in which they take </w:t>
      </w:r>
      <w:r>
        <w:lastRenderedPageBreak/>
        <w:t>place.  A national beauty queen reflects a country’s relationship with cultural and religious mores, including their views on race.</w:t>
      </w:r>
      <w:r>
        <w:rPr>
          <w:rStyle w:val="FootnoteReference"/>
        </w:rPr>
        <w:footnoteReference w:id="314"/>
      </w:r>
      <w:r>
        <w:t xml:space="preserve"> Global beauty pageants, on the other hand, are an expression of prevailing political ideologies with regards to which countries can compete. South Africa’s involvement in Miss World pageant as well as Miss Universe competition revealed the world’s discomfor</w:t>
      </w:r>
      <w:r w:rsidR="0067011F">
        <w:t>t with South Africa’s apartheid, while the selection of the national beauty queen during the transition period provided a glimpse into the county’s racial ideology.</w:t>
      </w:r>
      <w:r>
        <w:rPr>
          <w:rStyle w:val="FootnoteReference"/>
        </w:rPr>
        <w:footnoteReference w:id="315"/>
      </w:r>
      <w:r>
        <w:t xml:space="preserve"> </w:t>
      </w:r>
    </w:p>
    <w:p w14:paraId="65D06904" w14:textId="77777777" w:rsidR="002F536C" w:rsidRDefault="002F536C" w:rsidP="002F536C">
      <w:r>
        <w:t>In her book on South African media and the end of apartheid, academic, Martha Evans, gives a detailed account of the Miss South Africa pageants trajectory to inclusivity.  The Miss World competition was started in 1951, with South Africa’s first entrance in 1956 and a first win two years later. During the years from 1970 to 1976, the pageant was under major pressure to allow black contestants to compete, South Africa sent two representatives to the Miss World competition - one white and one black. The white represen</w:t>
      </w:r>
      <w:r w:rsidR="00AA0B14">
        <w:t>tatives wore a sash which said “South Africa”</w:t>
      </w:r>
      <w:r>
        <w:t>, while</w:t>
      </w:r>
      <w:r w:rsidR="00AA0B14">
        <w:t xml:space="preserve"> the black entrant’s sash said “Africa South”</w:t>
      </w:r>
      <w:r>
        <w:t>. This move saw increased protest over the global beauty pageant. Feminist groups labelled t</w:t>
      </w:r>
      <w:r w:rsidR="00AA0B14">
        <w:t>he competition a “cattle market”</w:t>
      </w:r>
      <w:r>
        <w:t>, whilst anti-apartheid activists argued that the admittance of two South Africa competitors was an imbedded approval of apartheid policy. Through the admittance of two South African representatives, the pageant directors had hoped to quell protest but this only heightened international outrage and publicised apartheid further. However, in 1976 South Africa’s entry of two contestants found nine countries withdrawing from the competition and the following year ten more opted to withdraw.</w:t>
      </w:r>
      <w:r>
        <w:rPr>
          <w:rStyle w:val="FootnoteReference"/>
        </w:rPr>
        <w:footnoteReference w:id="316"/>
      </w:r>
      <w:r>
        <w:t xml:space="preserve"> In 1978 South Africa was finally banned from the beauty contest. </w:t>
      </w:r>
    </w:p>
    <w:p w14:paraId="0759AA5B" w14:textId="77777777" w:rsidR="002F536C" w:rsidRDefault="002F536C" w:rsidP="002F536C">
      <w:r>
        <w:t>The hosting of the Miss World competition was timed perfectly with the launch of Kerzner’s new Palace of the Lost City, which was completed in 1992. This was the perfect opportunity to showcase the R725 million hotel to a new international market.</w:t>
      </w:r>
      <w:r>
        <w:rPr>
          <w:rStyle w:val="FootnoteReference"/>
        </w:rPr>
        <w:footnoteReference w:id="317"/>
      </w:r>
      <w:r>
        <w:t xml:space="preserve"> Herliane Portschenlager </w:t>
      </w:r>
      <w:r w:rsidR="00EA4779">
        <w:t>suggested in her interview</w:t>
      </w:r>
      <w:r>
        <w:t xml:space="preserve"> that Kerzner was uncertain what the future held for Bophuthatswana and therefore for Sun City, the hosting of Miss World competition was an attempt to remain relevant.</w:t>
      </w:r>
      <w:r>
        <w:rPr>
          <w:rStyle w:val="FootnoteReference"/>
        </w:rPr>
        <w:footnoteReference w:id="318"/>
      </w:r>
      <w:r>
        <w:t xml:space="preserve"> The 1988 </w:t>
      </w:r>
      <w:r w:rsidRPr="00B80D26">
        <w:t>coup d'état</w:t>
      </w:r>
      <w:r>
        <w:t xml:space="preserve"> in Bophuthatswana </w:t>
      </w:r>
      <w:r w:rsidRPr="00C30D98">
        <w:t xml:space="preserve">where an attempt was made to oust president Lucas Mangope by the leader of Bophuthatswana’s </w:t>
      </w:r>
      <w:r>
        <w:t xml:space="preserve">People’s </w:t>
      </w:r>
      <w:r>
        <w:lastRenderedPageBreak/>
        <w:t>Progressive Party</w:t>
      </w:r>
      <w:r w:rsidRPr="00C30D98">
        <w:t>, Rocky Malebna-Metsing</w:t>
      </w:r>
      <w:r w:rsidR="00EA4779">
        <w:t xml:space="preserve"> had paved the way</w:t>
      </w:r>
      <w:r w:rsidR="0067011F">
        <w:t xml:space="preserve"> for political unrest</w:t>
      </w:r>
      <w:r w:rsidRPr="00C30D98">
        <w:t xml:space="preserve">. The Bophuthatswana military was released to disband the rebels </w:t>
      </w:r>
      <w:r>
        <w:t>and failed. This forced</w:t>
      </w:r>
      <w:r w:rsidRPr="00C30D98">
        <w:t xml:space="preserve"> the South African </w:t>
      </w:r>
      <w:r w:rsidR="00EA4779">
        <w:t>army</w:t>
      </w:r>
      <w:r w:rsidRPr="00C30D98">
        <w:t xml:space="preserve"> to intervene, revealing the fallacy of bantustan independence.</w:t>
      </w:r>
      <w:r w:rsidR="00EA4779">
        <w:rPr>
          <w:rStyle w:val="Hyperlink"/>
        </w:rPr>
        <w:t xml:space="preserve"> </w:t>
      </w:r>
      <w:r>
        <w:t xml:space="preserve">Mangope was unwilling to relinquish control of Bophuthatswana and wanted the territory to remain independent from South Africa, even as the country teetered towards democracy. Evans has </w:t>
      </w:r>
      <w:r w:rsidR="00EA4779">
        <w:t>thus</w:t>
      </w:r>
      <w:r>
        <w:t xml:space="preserve"> labelled t</w:t>
      </w:r>
      <w:r w:rsidRPr="00B80D26">
        <w:t>he</w:t>
      </w:r>
      <w:r>
        <w:t xml:space="preserve"> decision to host the international beauty competition in Bophuthatswana’s premier resort was as politically insensitive.</w:t>
      </w:r>
      <w:r>
        <w:rPr>
          <w:rStyle w:val="FootnoteReference"/>
        </w:rPr>
        <w:footnoteReference w:id="319"/>
      </w:r>
    </w:p>
    <w:p w14:paraId="15E907C1" w14:textId="77777777" w:rsidR="002F536C" w:rsidRDefault="002F536C" w:rsidP="002F536C">
      <w:r>
        <w:t xml:space="preserve">In 1991, Miss World was the first competitive body to allow South Africa back into the competition. Diana Tilden-Davis was the first Miss South Africa to compete at the Miss World competition, held in the United States, following the ban in 1978. She was a tall, blonde woman from a wealthy family and her sister had been crowned Miss South Africa three years previously. Whilst her crowning in South Africa did not create much stir, it was hardly representative of the democratic changes taking place in the country. Nelson Mandela had been released six months earlier and the CODESA talks were underway. However, when she placed third at the Miss World competition, the world displayed their disapproval over her admittance into the competition in the first place. Questions were raised over her cultural </w:t>
      </w:r>
      <w:r w:rsidR="00F756D6">
        <w:t>representativeness</w:t>
      </w:r>
      <w:r>
        <w:t xml:space="preserve"> given South Africa’s racial history.</w:t>
      </w:r>
      <w:r>
        <w:rPr>
          <w:rStyle w:val="FootnoteReference"/>
        </w:rPr>
        <w:footnoteReference w:id="320"/>
      </w:r>
      <w:r>
        <w:t xml:space="preserve"> </w:t>
      </w:r>
    </w:p>
    <w:p w14:paraId="27DB2E6A" w14:textId="77777777" w:rsidR="002F536C" w:rsidRPr="002E6991" w:rsidRDefault="002F536C" w:rsidP="002F536C">
      <w:r w:rsidRPr="00C30D98">
        <w:t>During South Africa’s political transition, the 1991 Miss World finalists were sponsored a trip to South Africa by an opposition</w:t>
      </w:r>
      <w:r>
        <w:t xml:space="preserve"> hotel</w:t>
      </w:r>
      <w:r w:rsidRPr="00C30D98">
        <w:t xml:space="preserve"> group to Sun International.</w:t>
      </w:r>
      <w:r>
        <w:t xml:space="preserve"> Kerzner saw an opportunity and decided to bring the entire pageant to Sun City as part of a long-term marketing strategy to out-market his opposition.</w:t>
      </w:r>
      <w:r>
        <w:rPr>
          <w:rStyle w:val="FootnoteReference"/>
        </w:rPr>
        <w:footnoteReference w:id="321"/>
      </w:r>
      <w:r>
        <w:t xml:space="preserve"> In 1992 the Miss World franchise signed a three-year contract with Sun International to host Miss World at Sun City. This was an interesting decision on the part of the </w:t>
      </w:r>
      <w:r w:rsidRPr="00EA4779">
        <w:t>Morely’s</w:t>
      </w:r>
      <w:r>
        <w:t xml:space="preserve"> – South Africa was in its transitory phase and the reincorporation of the bantustans into South Africa was still hanging in the balance.</w:t>
      </w:r>
      <w:r w:rsidR="00EA4779">
        <w:rPr>
          <w:rStyle w:val="FootnoteReference"/>
        </w:rPr>
        <w:footnoteReference w:id="322"/>
      </w:r>
      <w:r>
        <w:t xml:space="preserve"> The </w:t>
      </w:r>
      <w:r w:rsidR="00756A84">
        <w:t>NP</w:t>
      </w:r>
      <w:r w:rsidR="00202C82">
        <w:t xml:space="preserve"> government</w:t>
      </w:r>
      <w:r>
        <w:t xml:space="preserve"> and Mangope still maintained power over their respective territories, whilst the notion of homeland policy still faced internal and international rebuke.  The hosting of the Miss World pageant at Sun City attracted the attention of millions of viewers and shone the spotlight squarely on Bophuthatswana as Mangope fought to keep his political capital.</w:t>
      </w:r>
      <w:r>
        <w:rPr>
          <w:rStyle w:val="FootnoteReference"/>
        </w:rPr>
        <w:footnoteReference w:id="323"/>
      </w:r>
      <w:r>
        <w:t xml:space="preserve"> The contract was mutually beneficial to both the Morley’s and Kerzner, which </w:t>
      </w:r>
      <w:r>
        <w:lastRenderedPageBreak/>
        <w:t>journalist Zoe Heller dubbed ‘the shared empathy of pariahs’.</w:t>
      </w:r>
      <w:r>
        <w:rPr>
          <w:rStyle w:val="FootnoteReference"/>
        </w:rPr>
        <w:footnoteReference w:id="324"/>
      </w:r>
      <w:r>
        <w:t xml:space="preserve"> </w:t>
      </w:r>
      <w:r w:rsidRPr="00E156C8">
        <w:t>It was hoped that Sun City’s location in Africa and Kerzner’s reputation for hosting successful and extravagant events would revive Miss World’s diminishing fame. Pageants hosted in previous years had lost money and the lavish and notorious Sun City presented many possibilities for the Morley’s to rejuvenate their brand</w:t>
      </w:r>
      <w:r>
        <w:t xml:space="preserve"> in an exotic setting. For Kerzner, on the other hand, three years of Miss World competitions would secure international marketing for Sun City, which he needed in the uncertain and tumultuous early 1990s in South Africa. West said that the budget was virtually unlimited and that the Sun International group poured a lot of capital into the successful hosting of the event.</w:t>
      </w:r>
      <w:r>
        <w:rPr>
          <w:rStyle w:val="FootnoteReference"/>
        </w:rPr>
        <w:footnoteReference w:id="325"/>
      </w:r>
      <w:r>
        <w:t xml:space="preserve"> </w:t>
      </w:r>
    </w:p>
    <w:p w14:paraId="1E904DEF" w14:textId="77777777" w:rsidR="002F536C" w:rsidRDefault="002F536C" w:rsidP="002F536C">
      <w:r>
        <w:t xml:space="preserve">On 12 and 19 September 1992, the adjudicators for Miss Bophuthatswana went to Phokeng, Taung and Mmabatho in search of 12 contestants to compete in the final at the Mmabatho Convention Centre on 12 October. It was advertised in </w:t>
      </w:r>
      <w:r>
        <w:rPr>
          <w:i/>
        </w:rPr>
        <w:t xml:space="preserve">The Mail </w:t>
      </w:r>
      <w:r>
        <w:t xml:space="preserve">that the winner would travel widely overseas, attend a variety of social functions during her reign and fundraise for charity as well as “promote Bophuthatswana.” </w:t>
      </w:r>
      <w:r>
        <w:rPr>
          <w:rStyle w:val="FootnoteReference"/>
        </w:rPr>
        <w:footnoteReference w:id="326"/>
      </w:r>
      <w:r>
        <w:t xml:space="preserve"> Miss Bophuthatswana wou</w:t>
      </w:r>
      <w:r w:rsidRPr="0085747D">
        <w:t>ld have an occasion to compete for the title of Miss World</w:t>
      </w:r>
      <w:r>
        <w:t>, providing the bantustan with</w:t>
      </w:r>
      <w:r w:rsidRPr="0085747D">
        <w:t xml:space="preserve"> an opportunity to receive global recognition as an independent territory.</w:t>
      </w:r>
      <w:r w:rsidRPr="0085747D">
        <w:rPr>
          <w:rStyle w:val="FootnoteReference"/>
        </w:rPr>
        <w:footnoteReference w:id="327"/>
      </w:r>
      <w:r w:rsidRPr="0085747D">
        <w:t xml:space="preserve">  However, Miss Bophuthatswana</w:t>
      </w:r>
      <w:r>
        <w:t xml:space="preserve"> was in the end excluded from the Miss World competition held at the Palace of the Lost City in 1992. Per the Bophuthatswana publication </w:t>
      </w:r>
      <w:r>
        <w:rPr>
          <w:i/>
        </w:rPr>
        <w:t xml:space="preserve">The Mail, </w:t>
      </w:r>
      <w:r>
        <w:t>the local residents felt that if Malebo Raditladi, Miss Bophuthatswana 1992, was excluded from the competition then tourists should be banned from entering the bantustan. Raditladi’s exclusion reflected the bantustan’s lack of international recognition.  Bophuthatswana residents queried why the competition could be held in the territory if it wasn’t recognised as a country.</w:t>
      </w:r>
      <w:r>
        <w:rPr>
          <w:rStyle w:val="FootnoteReference"/>
        </w:rPr>
        <w:footnoteReference w:id="328"/>
      </w:r>
      <w:r>
        <w:t xml:space="preserve"> </w:t>
      </w:r>
    </w:p>
    <w:p w14:paraId="210A90DC" w14:textId="77777777" w:rsidR="00EA4779" w:rsidRDefault="002F536C" w:rsidP="002F536C">
      <w:r>
        <w:t>The controversy around Miss World was exacerbated by a labour dispute between the</w:t>
      </w:r>
      <w:r w:rsidRPr="00FC1B0B">
        <w:t> Congress of South African Trade Unions</w:t>
      </w:r>
      <w:r>
        <w:t xml:space="preserve"> (COSATU) and Sun International, the Miss World franchise partner. COSATU demanded that Sun International recognise the South African Commercial, Caterers and Allied Workers’ Union in Bophuthatswana. Previously, Sun International had not recognised the union because Bophuthatswana prohibited the operation of trade unions within the homeland. However, following the release of Mandela </w:t>
      </w:r>
      <w:r>
        <w:lastRenderedPageBreak/>
        <w:t xml:space="preserve">from prison and the imminent changes in South Africa, COSATU was exerting pressure onto Sun International. </w:t>
      </w:r>
    </w:p>
    <w:p w14:paraId="2D6402E4" w14:textId="77777777" w:rsidR="00EA4779" w:rsidRDefault="002F536C" w:rsidP="002F536C">
      <w:r>
        <w:t>The labour dispute attracted media attention and COSATU soon rea</w:t>
      </w:r>
      <w:r w:rsidR="000C57FE">
        <w:t>lise</w:t>
      </w:r>
      <w:r>
        <w:t>d the potential for international media coverage and threatened to disrupt the 1992 Miss World pageant. In conjunction with this, the ANC planned a protest march from the Free State town of Botshabelo to the Bophuthatswana town of Thaba’Nchu. They used the international event to gather support and media coverage to demand the release of political prisoners in Bophuthatswana, the cancellation of the Miss World competition and to demand unrestricted political activity. Despite the unbanning of political parties in South Africa in 1991, political activities were still heavily restricted within Bophuthatswana. Mangope fought to maintain a tight grip on the bantustan.  Fearing a repeat of the events in Bisho of 7 September 1992, where 28 people were killed, the South African government declared the march illegal and riot police were installed at the border.</w:t>
      </w:r>
      <w:r>
        <w:rPr>
          <w:rStyle w:val="FootnoteReference"/>
        </w:rPr>
        <w:footnoteReference w:id="329"/>
      </w:r>
      <w:r>
        <w:t xml:space="preserve"> </w:t>
      </w:r>
    </w:p>
    <w:p w14:paraId="70CFBCCB" w14:textId="77777777" w:rsidR="002F536C" w:rsidRDefault="002F536C" w:rsidP="002F536C">
      <w:r>
        <w:t>In the end the Miss World competition went ahead with little disruption thanks to strict security measures and the closed environment imposed by Sun City.</w:t>
      </w:r>
      <w:r>
        <w:rPr>
          <w:rStyle w:val="FootnoteReference"/>
        </w:rPr>
        <w:footnoteReference w:id="330"/>
      </w:r>
      <w:r>
        <w:t xml:space="preserve"> While Mangope was in power, ANC political activities were remained illegal, even after the political party was unbanned in South Africa in 1991. According to a deported political analyst from Unibo, the ANC “never focused itself squarely on applying pressure on the Bophuthatswana regime”, this was despite clandestine activities in the bantustan. This explains why high profile sporting events and Miss World beauty competitions continued to be hosted at Sun City during 1990-1994, it was alleged that this was due to the focus of the ANC was on political negotiations with the </w:t>
      </w:r>
      <w:r w:rsidR="00756A84">
        <w:t>NP</w:t>
      </w:r>
      <w:r>
        <w:t xml:space="preserve"> government and the broader context of South Africa. In conjunction, the </w:t>
      </w:r>
      <w:r w:rsidR="00756A84">
        <w:t>NP</w:t>
      </w:r>
      <w:r w:rsidR="00202C82">
        <w:t xml:space="preserve"> government</w:t>
      </w:r>
      <w:r>
        <w:t xml:space="preserve"> saw Mangope as an ally against the ANC and therefore did not attempt to control his actions too aggressively.</w:t>
      </w:r>
      <w:r>
        <w:rPr>
          <w:rStyle w:val="FootnoteReference"/>
        </w:rPr>
        <w:footnoteReference w:id="331"/>
      </w:r>
    </w:p>
    <w:p w14:paraId="6C8A9B06" w14:textId="77777777" w:rsidR="002F536C" w:rsidRDefault="002F536C" w:rsidP="002F536C">
      <w:r>
        <w:t>In 1992, the Miss South Africa franchise crowned their first black woman, Amy Kleinhans. This was perceived as a positive move by the Miss South Africa judges, although a politically motivated one: with Bophuthatswana to host the Miss World competition, it was deemed necessary to have a black South African representative.</w:t>
      </w:r>
      <w:r>
        <w:rPr>
          <w:rStyle w:val="FootnoteReference"/>
        </w:rPr>
        <w:footnoteReference w:id="332"/>
      </w:r>
      <w:r>
        <w:t xml:space="preserve"> Lisa King, who was second runner up in 1992, recalls the pageant occurred in a very heated political context. The girls spent months before the pageant “studying politics” to ensure they were prepared for the question </w:t>
      </w:r>
      <w:r>
        <w:lastRenderedPageBreak/>
        <w:t>round of the pageant given the political climate the competition was hosted in.</w:t>
      </w:r>
      <w:r>
        <w:rPr>
          <w:rStyle w:val="FootnoteReference"/>
        </w:rPr>
        <w:footnoteReference w:id="333"/>
      </w:r>
      <w:r>
        <w:t xml:space="preserve"> The emphasis of the 1992 pageant was South Africa moving towards democracy and promoting the new South African nation.</w:t>
      </w:r>
      <w:r>
        <w:rPr>
          <w:rStyle w:val="FootnoteReference"/>
        </w:rPr>
        <w:footnoteReference w:id="334"/>
      </w:r>
      <w:r>
        <w:t xml:space="preserve"> Kleinhans recalled in her interview that the ANC was not supportive of the pageant. However, when she was crowned everyone was elated; she said that “it was almost proof of South Africa’s transition to the world.” The day following her win, she received a call from Mandela congratulating her and urging her to continue her work as a role model to young South Africans.</w:t>
      </w:r>
      <w:r>
        <w:rPr>
          <w:rStyle w:val="FootnoteReference"/>
        </w:rPr>
        <w:footnoteReference w:id="335"/>
      </w:r>
      <w:r>
        <w:t xml:space="preserve"> </w:t>
      </w:r>
    </w:p>
    <w:p w14:paraId="1C6A28F2" w14:textId="77777777" w:rsidR="002F536C" w:rsidRDefault="002F536C" w:rsidP="002F536C">
      <w:r>
        <w:t>Following Kleinhans’ crow</w:t>
      </w:r>
      <w:r w:rsidR="00EA4779">
        <w:t>n</w:t>
      </w:r>
      <w:r>
        <w:t>ing at Sun City, she and her mother drove back to Cape Town without stopping overnight because, as Coloureds, they were refused entry and not allowed to stay at any hotels. Kleinhans recalls that it was as if “there was no room at the inn”.</w:t>
      </w:r>
      <w:r>
        <w:rPr>
          <w:rStyle w:val="FootnoteReference"/>
        </w:rPr>
        <w:footnoteReference w:id="336"/>
      </w:r>
      <w:r>
        <w:t xml:space="preserve"> For members of the Miss World community, it was shocking to see how little South Africa had really changed.</w:t>
      </w:r>
      <w:r>
        <w:rPr>
          <w:rStyle w:val="FootnoteReference"/>
        </w:rPr>
        <w:footnoteReference w:id="337"/>
      </w:r>
      <w:r>
        <w:t xml:space="preserve"> However, a few weeks later Pik Botha, the South African Minister of Foreign Affairs, called Kleinhans regarding a political matter. Egypt was in the midst of an anti-apartheid action and was preventing </w:t>
      </w:r>
      <w:r w:rsidRPr="00143BD0">
        <w:t>South African Airways’</w:t>
      </w:r>
      <w:r>
        <w:t xml:space="preserve"> planes from landing in Cairo. Botha asked Kleinhans to fly to </w:t>
      </w:r>
      <w:r w:rsidR="00F52C79">
        <w:t>Egypt</w:t>
      </w:r>
      <w:r>
        <w:t xml:space="preserve"> to talk to Hosni Mubarak, Egypt’s military and political leader, about his boycott of airspace.</w:t>
      </w:r>
      <w:r>
        <w:rPr>
          <w:rStyle w:val="FootnoteReference"/>
        </w:rPr>
        <w:footnoteReference w:id="338"/>
      </w:r>
      <w:r>
        <w:t xml:space="preserve"> Weeks earlier Kleinhans’ skin colour was a major factor that had prevented her from sleeping at a hotel in the Free State, but now her darker skin was of value to the </w:t>
      </w:r>
      <w:r w:rsidR="00756A84">
        <w:t>NP</w:t>
      </w:r>
      <w:r>
        <w:t>.</w:t>
      </w:r>
      <w:r>
        <w:rPr>
          <w:rStyle w:val="FootnoteReference"/>
        </w:rPr>
        <w:footnoteReference w:id="339"/>
      </w:r>
      <w:r>
        <w:t xml:space="preserve"> Kleinhans spent a day with Pik Botha learning about the Foreign Affairs department in South Africa before she was sent off to Egypt. Amy Kleinhans remembers the experience as one of inclusivity and as evidence that the </w:t>
      </w:r>
      <w:r w:rsidR="00756A84">
        <w:t>NP</w:t>
      </w:r>
      <w:r w:rsidR="00202C82">
        <w:t xml:space="preserve"> </w:t>
      </w:r>
      <w:r>
        <w:t>had come to accept the changes that were taking place in the country.</w:t>
      </w:r>
      <w:r>
        <w:rPr>
          <w:rStyle w:val="FootnoteReference"/>
        </w:rPr>
        <w:footnoteReference w:id="340"/>
      </w:r>
    </w:p>
    <w:p w14:paraId="2FB197D1" w14:textId="77777777" w:rsidR="002F536C" w:rsidRPr="00E0283F" w:rsidRDefault="002F536C" w:rsidP="002F536C">
      <w:pPr>
        <w:rPr>
          <w:highlight w:val="yellow"/>
        </w:rPr>
      </w:pPr>
      <w:r>
        <w:t xml:space="preserve">King </w:t>
      </w:r>
      <w:r w:rsidRPr="002D528B">
        <w:t>said that she</w:t>
      </w:r>
      <w:r>
        <w:t xml:space="preserve"> worked at a lot of functions, judged competitions</w:t>
      </w:r>
      <w:r w:rsidR="00396630">
        <w:t>,</w:t>
      </w:r>
      <w:r>
        <w:t xml:space="preserve"> and modelled in excess that year. While Kleinhans was occupied with charity and diplomatic work, the Afrikaner and conservative communities steered </w:t>
      </w:r>
      <w:r w:rsidR="00396630">
        <w:t xml:space="preserve">work </w:t>
      </w:r>
      <w:r>
        <w:t xml:space="preserve">towards King. </w:t>
      </w:r>
      <w:r w:rsidR="00396630">
        <w:t>She stated that p</w:t>
      </w:r>
      <w:r>
        <w:t>erhaps it was too early for them to accept a Coloured Miss South Africa.</w:t>
      </w:r>
      <w:r>
        <w:rPr>
          <w:rStyle w:val="FootnoteReference"/>
        </w:rPr>
        <w:footnoteReference w:id="341"/>
      </w:r>
      <w:r>
        <w:t xml:space="preserve"> </w:t>
      </w:r>
    </w:p>
    <w:p w14:paraId="4B1A06D7" w14:textId="77777777" w:rsidR="002F536C" w:rsidRDefault="002F536C" w:rsidP="002F536C"/>
    <w:p w14:paraId="40853EBF" w14:textId="77777777" w:rsidR="002F536C" w:rsidRDefault="00F756D6" w:rsidP="002F536C">
      <w:r>
        <w:rPr>
          <w:noProof/>
          <w:lang w:val="en-ZA" w:eastAsia="en-ZA"/>
        </w:rPr>
        <w:lastRenderedPageBreak/>
        <w:drawing>
          <wp:anchor distT="0" distB="0" distL="114300" distR="114300" simplePos="0" relativeHeight="251678720" behindDoc="1" locked="0" layoutInCell="1" allowOverlap="1" wp14:anchorId="2A2BBEAC" wp14:editId="6B3E8414">
            <wp:simplePos x="0" y="0"/>
            <wp:positionH relativeFrom="column">
              <wp:posOffset>1552353</wp:posOffset>
            </wp:positionH>
            <wp:positionV relativeFrom="page">
              <wp:posOffset>574158</wp:posOffset>
            </wp:positionV>
            <wp:extent cx="2617470" cy="3488055"/>
            <wp:effectExtent l="0" t="0" r="0" b="0"/>
            <wp:wrapNone/>
            <wp:docPr id="7" name="Picture 7" descr="https://postapartheidlyptic.files.wordpress.com/2012/12/amy-kleinh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ostapartheidlyptic.files.wordpress.com/2012/12/amy-kleinhans.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17470" cy="3488055"/>
                    </a:xfrm>
                    <a:prstGeom prst="rect">
                      <a:avLst/>
                    </a:prstGeom>
                    <a:noFill/>
                    <a:ln>
                      <a:noFill/>
                    </a:ln>
                  </pic:spPr>
                </pic:pic>
              </a:graphicData>
            </a:graphic>
          </wp:anchor>
        </w:drawing>
      </w:r>
    </w:p>
    <w:p w14:paraId="52C4FAA7" w14:textId="77777777" w:rsidR="002F536C" w:rsidRDefault="002F536C" w:rsidP="002F536C"/>
    <w:p w14:paraId="69D0CDA1" w14:textId="77777777" w:rsidR="002F536C" w:rsidRDefault="002F536C" w:rsidP="002F536C"/>
    <w:p w14:paraId="0A6D8816" w14:textId="77777777" w:rsidR="002F536C" w:rsidRDefault="002F536C" w:rsidP="002F536C"/>
    <w:p w14:paraId="270A6B5E" w14:textId="77777777" w:rsidR="002F536C" w:rsidRDefault="002F536C" w:rsidP="002F536C"/>
    <w:p w14:paraId="55C5B18A" w14:textId="77777777" w:rsidR="002F536C" w:rsidRDefault="002F536C" w:rsidP="002F536C"/>
    <w:p w14:paraId="1C38E469" w14:textId="77777777" w:rsidR="002F536C" w:rsidRDefault="002F536C" w:rsidP="002F536C"/>
    <w:p w14:paraId="4D9F4B7D" w14:textId="77777777" w:rsidR="002F536C" w:rsidRDefault="002F536C" w:rsidP="002F536C">
      <w:pPr>
        <w:pStyle w:val="Subtitle"/>
        <w:spacing w:after="0"/>
        <w:ind w:left="0"/>
        <w:rPr>
          <w:color w:val="auto"/>
          <w:spacing w:val="0"/>
          <w:sz w:val="24"/>
        </w:rPr>
      </w:pPr>
    </w:p>
    <w:p w14:paraId="731FCEDA" w14:textId="77777777" w:rsidR="002F536C" w:rsidRDefault="002F536C" w:rsidP="002F536C">
      <w:pPr>
        <w:pStyle w:val="Subtitle"/>
        <w:spacing w:after="0"/>
        <w:ind w:left="0"/>
        <w:rPr>
          <w:color w:val="auto"/>
          <w:spacing w:val="0"/>
          <w:sz w:val="24"/>
        </w:rPr>
      </w:pPr>
    </w:p>
    <w:p w14:paraId="264F763C" w14:textId="77777777" w:rsidR="002F536C" w:rsidRDefault="002F536C" w:rsidP="002F536C">
      <w:pPr>
        <w:pStyle w:val="Subtitle"/>
        <w:spacing w:after="0"/>
        <w:ind w:left="0"/>
        <w:rPr>
          <w:color w:val="auto"/>
          <w:spacing w:val="0"/>
          <w:sz w:val="24"/>
        </w:rPr>
      </w:pPr>
    </w:p>
    <w:p w14:paraId="5177AB25" w14:textId="77777777" w:rsidR="002F536C" w:rsidRDefault="002F536C" w:rsidP="002F536C">
      <w:pPr>
        <w:pStyle w:val="Subtitle"/>
        <w:spacing w:after="0"/>
        <w:ind w:left="0"/>
        <w:rPr>
          <w:color w:val="auto"/>
          <w:spacing w:val="0"/>
          <w:sz w:val="24"/>
        </w:rPr>
      </w:pPr>
    </w:p>
    <w:p w14:paraId="76ED91FD" w14:textId="77777777" w:rsidR="002F536C" w:rsidRDefault="00B8198E" w:rsidP="00F52C79">
      <w:pPr>
        <w:pStyle w:val="Subtitle"/>
        <w:spacing w:after="120"/>
        <w:ind w:left="0"/>
        <w:jc w:val="center"/>
      </w:pPr>
      <w:r>
        <w:t>Figure 8</w:t>
      </w:r>
      <w:r w:rsidR="002F536C" w:rsidRPr="002E6991">
        <w:t xml:space="preserve">: </w:t>
      </w:r>
      <w:r w:rsidR="002F536C">
        <w:t>Amy Kleinhans at Miss World 1992 Sun City</w:t>
      </w:r>
    </w:p>
    <w:p w14:paraId="1306982A" w14:textId="77777777" w:rsidR="002F536C" w:rsidRDefault="002F536C" w:rsidP="00F52C79">
      <w:pPr>
        <w:pStyle w:val="Subtitle"/>
        <w:spacing w:after="120"/>
        <w:jc w:val="center"/>
      </w:pPr>
      <w:r>
        <w:t>[Source: Amy Kleinhans-Curds via Newsclip Media Monitoring]</w:t>
      </w:r>
    </w:p>
    <w:p w14:paraId="7F084378" w14:textId="77777777" w:rsidR="00F52C79" w:rsidRPr="00F52C79" w:rsidRDefault="00F52C79" w:rsidP="00F52C79">
      <w:pPr>
        <w:spacing w:line="240" w:lineRule="auto"/>
      </w:pPr>
    </w:p>
    <w:p w14:paraId="7B1145FB" w14:textId="77777777" w:rsidR="002F536C" w:rsidRDefault="002F536C" w:rsidP="002F536C">
      <w:r>
        <w:t>Amy Kleinhans went on to represent South Africa at the Miss World competition at Sun City in 1992</w:t>
      </w:r>
      <w:r w:rsidR="00F52C79">
        <w:t xml:space="preserve"> (refer to Figure </w:t>
      </w:r>
      <w:r w:rsidR="00B8198E">
        <w:t>8</w:t>
      </w:r>
      <w:r w:rsidR="00F52C79">
        <w:t>)</w:t>
      </w:r>
      <w:r>
        <w:t>. Controversially, she chose not to compete under the South African flag. South Africa was in transition and a new flag had not yet been chosen. All the Miss World contestants had arrived with their flags, which were to be placed around the stage in the Superbowl after a national pride parade.</w:t>
      </w:r>
      <w:r>
        <w:rPr>
          <w:rStyle w:val="FootnoteReference"/>
        </w:rPr>
        <w:footnoteReference w:id="342"/>
      </w:r>
      <w:r>
        <w:t xml:space="preserve"> In a meeting with Kerzner, pageant producers and organisers, Kleinha</w:t>
      </w:r>
      <w:r w:rsidR="00F52C79">
        <w:t>n</w:t>
      </w:r>
      <w:r>
        <w:t xml:space="preserve">s had voiced her concerns and </w:t>
      </w:r>
      <w:r w:rsidRPr="002D528B">
        <w:t>state</w:t>
      </w:r>
      <w:r>
        <w:t xml:space="preserve">d that she would not carry the racist symbol of the old South African flag, with its ardent Afrikaner nationalist heritage. She recalled that “like a flash, Sol Kerzner suggested [they] use the Sun International flag, as the true marketing genius that he is.” </w:t>
      </w:r>
      <w:r>
        <w:rPr>
          <w:rStyle w:val="FootnoteReference"/>
        </w:rPr>
        <w:footnoteReference w:id="343"/>
      </w:r>
      <w:r>
        <w:t xml:space="preserve"> The </w:t>
      </w:r>
      <w:r w:rsidRPr="00B87B8E">
        <w:rPr>
          <w:i/>
        </w:rPr>
        <w:t>oranje-blanje-blou</w:t>
      </w:r>
      <w:r>
        <w:t>,</w:t>
      </w:r>
      <w:r w:rsidR="00170C43">
        <w:t xml:space="preserve"> </w:t>
      </w:r>
      <w:r>
        <w:t>(</w:t>
      </w:r>
      <w:r w:rsidR="00B8198E">
        <w:t>refer to Figure 9</w:t>
      </w:r>
      <w:r>
        <w:t>) as the apartheid South African flag was colloquially known, was discarded by Kleinhans in favour of the Miss World and Sun International flags, in which she claimed an apolitical stance.</w:t>
      </w:r>
      <w:r>
        <w:rPr>
          <w:rStyle w:val="FootnoteReference"/>
        </w:rPr>
        <w:footnoteReference w:id="344"/>
      </w:r>
      <w:r>
        <w:t xml:space="preserve"> Her decision drew attention to the country’s transitory state and led to an increased debate about the suitability of the nation’s flag.</w:t>
      </w:r>
      <w:r>
        <w:rPr>
          <w:rStyle w:val="FootnoteReference"/>
        </w:rPr>
        <w:footnoteReference w:id="345"/>
      </w:r>
    </w:p>
    <w:p w14:paraId="60B6A3E5" w14:textId="77777777" w:rsidR="002F536C" w:rsidRDefault="002F536C" w:rsidP="002F536C"/>
    <w:p w14:paraId="59BA6FD1" w14:textId="77777777" w:rsidR="002F536C" w:rsidRDefault="002F536C" w:rsidP="002F536C">
      <w:pPr>
        <w:pStyle w:val="Subtitle"/>
        <w:ind w:left="0"/>
        <w:jc w:val="center"/>
      </w:pPr>
    </w:p>
    <w:p w14:paraId="606086C8" w14:textId="77777777" w:rsidR="002F536C" w:rsidRDefault="00F756D6" w:rsidP="002F536C">
      <w:pPr>
        <w:pStyle w:val="Subtitle"/>
        <w:ind w:left="0"/>
        <w:jc w:val="center"/>
      </w:pPr>
      <w:r>
        <w:rPr>
          <w:noProof/>
          <w:lang w:val="en-ZA" w:eastAsia="en-ZA"/>
        </w:rPr>
        <w:lastRenderedPageBreak/>
        <w:drawing>
          <wp:anchor distT="0" distB="0" distL="114300" distR="114300" simplePos="0" relativeHeight="251672576" behindDoc="1" locked="0" layoutInCell="1" allowOverlap="1" wp14:anchorId="585DEAED" wp14:editId="260A6316">
            <wp:simplePos x="0" y="0"/>
            <wp:positionH relativeFrom="column">
              <wp:posOffset>1552353</wp:posOffset>
            </wp:positionH>
            <wp:positionV relativeFrom="page">
              <wp:posOffset>786809</wp:posOffset>
            </wp:positionV>
            <wp:extent cx="2619375" cy="1743075"/>
            <wp:effectExtent l="0" t="0" r="0" b="0"/>
            <wp:wrapNone/>
            <wp:docPr id="11" name="Picture 11" descr="C:\Users\1082426\Downloads\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082426\Downloads\download.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19375" cy="1743075"/>
                    </a:xfrm>
                    <a:prstGeom prst="rect">
                      <a:avLst/>
                    </a:prstGeom>
                    <a:noFill/>
                    <a:ln>
                      <a:noFill/>
                    </a:ln>
                  </pic:spPr>
                </pic:pic>
              </a:graphicData>
            </a:graphic>
          </wp:anchor>
        </w:drawing>
      </w:r>
    </w:p>
    <w:p w14:paraId="721F8909" w14:textId="77777777" w:rsidR="002F536C" w:rsidRDefault="002F536C" w:rsidP="002F536C">
      <w:pPr>
        <w:pStyle w:val="Subtitle"/>
        <w:ind w:left="0"/>
        <w:jc w:val="center"/>
      </w:pPr>
    </w:p>
    <w:p w14:paraId="3ED90B11" w14:textId="77777777" w:rsidR="002F536C" w:rsidRDefault="002F536C" w:rsidP="002F536C">
      <w:pPr>
        <w:pStyle w:val="Subtitle"/>
        <w:ind w:left="0"/>
        <w:jc w:val="center"/>
      </w:pPr>
    </w:p>
    <w:p w14:paraId="278A5B20" w14:textId="77777777" w:rsidR="002F536C" w:rsidRDefault="002F536C" w:rsidP="002F536C">
      <w:pPr>
        <w:pStyle w:val="Subtitle"/>
        <w:ind w:left="0"/>
        <w:jc w:val="center"/>
      </w:pPr>
    </w:p>
    <w:p w14:paraId="01D6AD33" w14:textId="77777777" w:rsidR="002F536C" w:rsidRDefault="002F536C" w:rsidP="002F536C">
      <w:pPr>
        <w:pStyle w:val="Subtitle"/>
        <w:ind w:left="0"/>
        <w:jc w:val="center"/>
      </w:pPr>
    </w:p>
    <w:p w14:paraId="23BF3773" w14:textId="77777777" w:rsidR="002F536C" w:rsidRDefault="002F536C" w:rsidP="002F536C">
      <w:pPr>
        <w:pStyle w:val="Subtitle"/>
        <w:ind w:left="0"/>
        <w:jc w:val="center"/>
      </w:pPr>
    </w:p>
    <w:p w14:paraId="79BEF9EA" w14:textId="77777777" w:rsidR="002F536C" w:rsidRDefault="00B8198E" w:rsidP="002F536C">
      <w:pPr>
        <w:pStyle w:val="Subtitle"/>
        <w:ind w:left="0"/>
        <w:jc w:val="center"/>
      </w:pPr>
      <w:r>
        <w:t>Figure 9</w:t>
      </w:r>
      <w:r w:rsidR="002F536C">
        <w:t>: Old South African flag</w:t>
      </w:r>
    </w:p>
    <w:p w14:paraId="2E866D43" w14:textId="77777777" w:rsidR="002F536C" w:rsidRDefault="002F536C" w:rsidP="002F536C">
      <w:r>
        <w:t>The celebrities that attended the Miss World pageants did so without international criticism and included Donald and Ivana Trump, Jerry Hall, Joan Collins, Grace Jones, Sidney Sheldon and Billy Dee Williams. Within a week of the launch of the Palace of the Lost City, Sun City played host to the Elton John’s performance in the Valley of the Waves, Jean Michelle Jarre performed a light spectacle and it all culminated with the Miss World pageant. It was an unusual week for white South Africans, as the restraints of the boycotts and isolations began to loosen. West specified that the extraordinary budgets allowed Sun City to put on a real spectacle for their guests and international audiences. However, he continued to say that the violence and protest was kept far away from Sun City and the Miss World contestants and guests.</w:t>
      </w:r>
      <w:r>
        <w:rPr>
          <w:rStyle w:val="FootnoteReference"/>
        </w:rPr>
        <w:footnoteReference w:id="346"/>
      </w:r>
    </w:p>
    <w:p w14:paraId="761A6280" w14:textId="77777777" w:rsidR="002F536C" w:rsidRDefault="002F536C" w:rsidP="002F536C">
      <w:pPr>
        <w:rPr>
          <w:shd w:val="clear" w:color="auto" w:fill="FFFFFF"/>
        </w:rPr>
      </w:pPr>
      <w:r>
        <w:t>In 1993, the ANC began to look more favourably towards the Miss World pageant. Evans suggests that this was due to the publicity the competition had garnered for the emerging democracy, whilst West suggests that the crowning of the</w:t>
      </w:r>
      <w:r>
        <w:rPr>
          <w:shd w:val="clear" w:color="auto" w:fill="FFFFFF"/>
        </w:rPr>
        <w:t xml:space="preserve"> first black Miss South Africa, Jacqui Mofokeng</w:t>
      </w:r>
      <w:r w:rsidR="00396630">
        <w:rPr>
          <w:shd w:val="clear" w:color="auto" w:fill="FFFFFF"/>
        </w:rPr>
        <w:t>,</w:t>
      </w:r>
      <w:r>
        <w:rPr>
          <w:shd w:val="clear" w:color="auto" w:fill="FFFFFF"/>
        </w:rPr>
        <w:t xml:space="preserve"> </w:t>
      </w:r>
      <w:r>
        <w:t>had much to do with it.</w:t>
      </w:r>
      <w:r>
        <w:rPr>
          <w:rStyle w:val="FootnoteReference"/>
        </w:rPr>
        <w:footnoteReference w:id="347"/>
      </w:r>
      <w:r>
        <w:t xml:space="preserve"> Sun City’s hosting of the event within South African borders forced the ANC to acknowledge it. </w:t>
      </w:r>
      <w:r>
        <w:rPr>
          <w:shd w:val="clear" w:color="auto" w:fill="FFFFFF"/>
        </w:rPr>
        <w:t>West said that Jacqui Mofokeng’s reign brought a sense of elation to transitioning South Africa, but it was not felt by all. She dealt with an abundance of criticism from white South Africans, who phoned into radio call stations to insult her. Her win was perceived as a token to pacify racial quotas and for her to be a symbol of change in South Africa.</w:t>
      </w:r>
      <w:r>
        <w:rPr>
          <w:rStyle w:val="FootnoteReference"/>
          <w:shd w:val="clear" w:color="auto" w:fill="FFFFFF"/>
        </w:rPr>
        <w:footnoteReference w:id="348"/>
      </w:r>
      <w:r w:rsidR="00F52C79">
        <w:rPr>
          <w:shd w:val="clear" w:color="auto" w:fill="FFFFFF"/>
        </w:rPr>
        <w:t xml:space="preserve"> However, her win did create</w:t>
      </w:r>
      <w:r>
        <w:rPr>
          <w:shd w:val="clear" w:color="auto" w:fill="FFFFFF"/>
        </w:rPr>
        <w:t xml:space="preserve"> a closer relationship between the ANC and the Miss World franchise. The contest was once again held in the conflict-plagued Bophuthatswana, where Mangope was fighting to maintain control of a territory that wanted to be reincorporated into South Africa with the democratic election scheduled for April 1994. However, Sun City stood out from this as an oasis with guests </w:t>
      </w:r>
      <w:r>
        <w:rPr>
          <w:shd w:val="clear" w:color="auto" w:fill="FFFFFF"/>
        </w:rPr>
        <w:lastRenderedPageBreak/>
        <w:t>shielded from protest and political upheaval. This time the ANC endorsed the competition and Mandela posed with Mofokeng in photos, defending her honour and claiming her as an ambassador for South Africa.</w:t>
      </w:r>
      <w:r>
        <w:rPr>
          <w:rStyle w:val="FootnoteReference"/>
          <w:shd w:val="clear" w:color="auto" w:fill="FFFFFF"/>
        </w:rPr>
        <w:footnoteReference w:id="349"/>
      </w:r>
      <w:r>
        <w:rPr>
          <w:shd w:val="clear" w:color="auto" w:fill="FFFFFF"/>
        </w:rPr>
        <w:t xml:space="preserve"> During the transition period, the ANC progressively associated itself with world media events, which heightened their own standing and approval. The Miss World competition was an unmissable marketing opportunity for them and one they could not disregard. </w:t>
      </w:r>
      <w:r>
        <w:rPr>
          <w:rStyle w:val="FootnoteReference"/>
          <w:shd w:val="clear" w:color="auto" w:fill="FFFFFF"/>
        </w:rPr>
        <w:footnoteReference w:id="350"/>
      </w:r>
      <w:r>
        <w:rPr>
          <w:shd w:val="clear" w:color="auto" w:fill="FFFFFF"/>
        </w:rPr>
        <w:t xml:space="preserve"> </w:t>
      </w:r>
    </w:p>
    <w:p w14:paraId="6D41CD6C" w14:textId="77777777" w:rsidR="002F536C" w:rsidRDefault="002F536C" w:rsidP="002F536C">
      <w:pPr>
        <w:rPr>
          <w:shd w:val="clear" w:color="auto" w:fill="FFFFFF"/>
        </w:rPr>
      </w:pPr>
      <w:r>
        <w:rPr>
          <w:shd w:val="clear" w:color="auto" w:fill="FFFFFF"/>
        </w:rPr>
        <w:t>The following year, Basetsana Kumalo became the face of t</w:t>
      </w:r>
      <w:r w:rsidR="00F52C79">
        <w:rPr>
          <w:shd w:val="clear" w:color="auto" w:fill="FFFFFF"/>
        </w:rPr>
        <w:t xml:space="preserve">he new South African democracy and </w:t>
      </w:r>
      <w:r>
        <w:rPr>
          <w:shd w:val="clear" w:color="auto" w:fill="FFFFFF"/>
        </w:rPr>
        <w:t>West described her as “Madiba’s girl”.</w:t>
      </w:r>
      <w:r>
        <w:rPr>
          <w:rStyle w:val="FootnoteReference"/>
          <w:shd w:val="clear" w:color="auto" w:fill="FFFFFF"/>
        </w:rPr>
        <w:footnoteReference w:id="351"/>
      </w:r>
      <w:r>
        <w:rPr>
          <w:shd w:val="clear" w:color="auto" w:fill="FFFFFF"/>
        </w:rPr>
        <w:t xml:space="preserve"> By 1994, the Morley’s venture into Africa had been successful and the Miss World franchise had reaped the benefits from South Afri</w:t>
      </w:r>
      <w:r w:rsidR="00AA0B14">
        <w:rPr>
          <w:shd w:val="clear" w:color="auto" w:fill="FFFFFF"/>
        </w:rPr>
        <w:t>ca’s new found reputation as a “</w:t>
      </w:r>
      <w:r>
        <w:rPr>
          <w:shd w:val="clear" w:color="auto" w:fill="FFFFFF"/>
        </w:rPr>
        <w:t>rainbow mirac</w:t>
      </w:r>
      <w:r w:rsidR="00AA0B14">
        <w:rPr>
          <w:shd w:val="clear" w:color="auto" w:fill="FFFFFF"/>
        </w:rPr>
        <w:t>le nation”</w:t>
      </w:r>
      <w:r>
        <w:rPr>
          <w:shd w:val="clear" w:color="auto" w:fill="FFFFFF"/>
        </w:rPr>
        <w:t xml:space="preserve"> along with the extraordinary publicity garnered from Nelson Mandela’s inauguration. Bophuthatswana was no more and had become part of the North-West province of the newly formed South Africa. In 1994 and 1995, the Miss World contestants were bussed to the Union Buildings in Pretoria to meet Mandela. He personally welcomed the Miss World contestants and this marked the beginning a new relationship with the contest. For the remainder of his life Mandela sent congratulatory messages to every Miss World finalist.</w:t>
      </w:r>
      <w:r>
        <w:rPr>
          <w:rStyle w:val="FootnoteReference"/>
          <w:shd w:val="clear" w:color="auto" w:fill="FFFFFF"/>
        </w:rPr>
        <w:footnoteReference w:id="352"/>
      </w:r>
      <w:r>
        <w:rPr>
          <w:shd w:val="clear" w:color="auto" w:fill="FFFFFF"/>
        </w:rPr>
        <w:t xml:space="preserve"> </w:t>
      </w:r>
    </w:p>
    <w:p w14:paraId="10728B11" w14:textId="77777777" w:rsidR="002F536C" w:rsidRDefault="002F536C" w:rsidP="002F536C">
      <w:r>
        <w:t>Evans directly compares the choice to host Miss World at Sun City with the decision to host the 1995 Rugby World Cup. Despite criticism that is often lashed out at a nation’s decision to host such a beauty competition, it is an important event for national pride and unity. The Miss World competition was an opportunity for South Africa to gain international approval after being shunned and isolated for decades. Mandela’s involvement in these events was particularly important to gain national approval, particularly among white South Africans. However, Evans denotes that the choice to host Miss World was premature and peculiar given Sun City’s location in Bophuthatswana and the political instability in the region. She surmised that the average international audience member would not have understood the complexities of the homeland system and would have equated Bophuthatswana with South Africa. The choice of Sun City was a joint commercial decision between various parties (Sun International and the Morley’s) to gain international promotion. Evans alleged that;</w:t>
      </w:r>
    </w:p>
    <w:p w14:paraId="154DD522" w14:textId="77777777" w:rsidR="002F536C" w:rsidRDefault="002F536C" w:rsidP="002F536C">
      <w:pPr>
        <w:spacing w:line="240" w:lineRule="auto"/>
        <w:ind w:left="360" w:right="360"/>
      </w:pPr>
      <w:r w:rsidRPr="00FA3758">
        <w:rPr>
          <w:rStyle w:val="SubtitleChar"/>
        </w:rPr>
        <w:lastRenderedPageBreak/>
        <w:t>Mandela was a master of delivering the right message to the right audience and he knew that in order to appeal to the Western audience as well the white South Africans, he had to support reintegration into world pop culture and sporting events.</w:t>
      </w:r>
      <w:r>
        <w:rPr>
          <w:rStyle w:val="FootnoteReference"/>
        </w:rPr>
        <w:footnoteReference w:id="353"/>
      </w:r>
      <w:r>
        <w:t xml:space="preserve"> </w:t>
      </w:r>
    </w:p>
    <w:p w14:paraId="65F6378A" w14:textId="77777777" w:rsidR="002F536C" w:rsidRPr="003F7947" w:rsidRDefault="002F536C" w:rsidP="002F536C">
      <w:pPr>
        <w:rPr>
          <w:lang w:val="en-US"/>
        </w:rPr>
      </w:pPr>
      <w:r>
        <w:t xml:space="preserve">Mandela achieved such global popularity that he could act unilaterally, sometimes his actions went so far as to conflict with those of the ANC, particularly around the cultural and sporting boycotts. Kleinhans credits Nelson Mandela with bringing South Africans together through entertainment and sports – separate from politics – and the hosting of Miss World competitions at Sun City was integral to this process. She </w:t>
      </w:r>
      <w:r w:rsidRPr="003F7947">
        <w:t>illustrated</w:t>
      </w:r>
      <w:r>
        <w:t xml:space="preserve"> that the pageants were an opportunity for South Africans, young and old of every colour, to unite behind their beauty queen. It was especially important that it was hosted at Sun City, as the home ground advantage played into South Africans’ national pride in a similar way to the 1995 Rugby World Cup, albeit on a much smaller scale.</w:t>
      </w:r>
      <w:r>
        <w:rPr>
          <w:rStyle w:val="FootnoteReference"/>
        </w:rPr>
        <w:footnoteReference w:id="354"/>
      </w:r>
      <w:r>
        <w:t xml:space="preserve"> </w:t>
      </w:r>
      <w:r>
        <w:rPr>
          <w:shd w:val="clear" w:color="auto" w:fill="FFFFFF"/>
        </w:rPr>
        <w:t>By 1995, former pariah of the world, South Africa, had become the centre of the beauty world’s attention. The Miss World franchise helped market the new South Africa to the rest of the world, with a black beauty queen as the centre piece. West suggests that the Miss South African pageant eased the white South African public into a democratic, racially equal setting. In 1991, Diana Tilden-Davis, a white blonde haired girl was crowned. The following year, Amy Kleinhans, a Coloured girl, won the pageant and this was followed by two successive black winners.</w:t>
      </w:r>
      <w:r>
        <w:rPr>
          <w:rStyle w:val="FootnoteReference"/>
          <w:shd w:val="clear" w:color="auto" w:fill="FFFFFF"/>
        </w:rPr>
        <w:footnoteReference w:id="355"/>
      </w:r>
    </w:p>
    <w:p w14:paraId="31BDA032" w14:textId="77777777" w:rsidR="002F536C" w:rsidRDefault="002F536C" w:rsidP="002F536C">
      <w:bookmarkStart w:id="65" w:name="_Toc441506837"/>
      <w:r>
        <w:t>Kleinhans has become a prominent businesswoman and philanthropist in South Africa. She speaks very positively about Sun City and commends the resort, and Sol Kerzner, for their contribution to South Africa’s cultural and sporting scene through events such as the Million Dollar Golf and Miss World. However, Kleinhans appears to ignore that Kerzner achieved success and wealth through the homeland system. When asked how, as a woman of colour, she felt competing in Bophuthatswana at Sun City in the early 1990s, Kleinhans said she had no issue with Sun City, further she stated that she never supported the homeland system and does not believe that her competing at Sun City in 1991 and 1992 meant she endorsed the bantustans. She expressed the sentiment that Kerzner created “an oasis out of nothing” –a tourist destination that has provided thousands of people with employment and training with a percentage of the profits channelled into community upliftment.</w:t>
      </w:r>
      <w:r>
        <w:rPr>
          <w:rStyle w:val="FootnoteReference"/>
        </w:rPr>
        <w:footnoteReference w:id="356"/>
      </w:r>
      <w:r>
        <w:t xml:space="preserve"> </w:t>
      </w:r>
    </w:p>
    <w:p w14:paraId="52B769B1" w14:textId="77777777" w:rsidR="002F536C" w:rsidRDefault="00170C43" w:rsidP="002F536C">
      <w:pPr>
        <w:pStyle w:val="Heading2"/>
        <w:numPr>
          <w:ilvl w:val="0"/>
          <w:numId w:val="0"/>
        </w:numPr>
        <w:ind w:left="578" w:hanging="578"/>
      </w:pPr>
      <w:bookmarkStart w:id="66" w:name="_Toc488481734"/>
      <w:r>
        <w:lastRenderedPageBreak/>
        <w:t>Sun International</w:t>
      </w:r>
      <w:r w:rsidR="001C54BB">
        <w:t xml:space="preserve"> -</w:t>
      </w:r>
      <w:r w:rsidR="002F536C">
        <w:t xml:space="preserve"> Post 1994</w:t>
      </w:r>
      <w:bookmarkEnd w:id="66"/>
    </w:p>
    <w:p w14:paraId="615E88BC" w14:textId="77777777" w:rsidR="002F536C" w:rsidRPr="00C07011" w:rsidRDefault="002F536C" w:rsidP="002F536C">
      <w:r>
        <w:t xml:space="preserve">Prior to 1994, Sun International held a massive monopoly on the southern African hotel and casino market, with Sun City </w:t>
      </w:r>
      <w:r w:rsidR="00AE5D5C">
        <w:t xml:space="preserve">at </w:t>
      </w:r>
      <w:r>
        <w:t xml:space="preserve">the epicentre of that monopoly. However, </w:t>
      </w:r>
      <w:r w:rsidR="00AE5D5C">
        <w:t xml:space="preserve">that </w:t>
      </w:r>
      <w:r>
        <w:t>was to dramatically change as the new ANC run government elected to distribute 40 new casino licences throughout South Africa in 1995, some of which Sun International would bid for and win.</w:t>
      </w:r>
      <w:r>
        <w:rPr>
          <w:rStyle w:val="FootnoteReference"/>
        </w:rPr>
        <w:footnoteReference w:id="357"/>
      </w:r>
    </w:p>
    <w:p w14:paraId="02B0818C" w14:textId="77777777" w:rsidR="00170C43" w:rsidRDefault="002F536C" w:rsidP="002F536C">
      <w:bookmarkStart w:id="67" w:name="_Toc459702982"/>
      <w:bookmarkStart w:id="68" w:name="_Toc459702977"/>
      <w:r>
        <w:t>As apartheid ended and negotiations were underway, the incorporation of the bantustans into South Africa was an overwhelming task presenting many challenges. Amongst the issues were discrepancies between the Gambling Act of 1965 and the gambling laws of the bantustans</w:t>
      </w:r>
      <w:r w:rsidR="00AE5D5C">
        <w:t>,</w:t>
      </w:r>
      <w:r>
        <w:t xml:space="preserve"> which posed significant legal challenges. There were legal ambiguities in the temporary gambling laws which allowed for slot machines and poker tables in bars and gambling dens to appear in the suburban areas of South Africa, as well as charities to organise bingo nights and lotteries. South Africans appeared to be in a gambling frenzy. The Wiehahn Commission estimated in 1995 that there were between 2 000 and 4 000 illegal casinos and </w:t>
      </w:r>
      <w:r w:rsidR="00AE5D5C">
        <w:t>150 000</w:t>
      </w:r>
      <w:r>
        <w:t xml:space="preserve"> illicit slot machines across South Africa.</w:t>
      </w:r>
      <w:r>
        <w:rPr>
          <w:rStyle w:val="FootnoteReference"/>
        </w:rPr>
        <w:footnoteReference w:id="358"/>
      </w:r>
      <w:r>
        <w:t xml:space="preserve"> </w:t>
      </w:r>
    </w:p>
    <w:p w14:paraId="486684E4" w14:textId="77777777" w:rsidR="002F536C" w:rsidRDefault="002F536C" w:rsidP="002F536C">
      <w:r>
        <w:t>There was mounting pressure from religious organisations, gambling entrepreneurs</w:t>
      </w:r>
      <w:r w:rsidR="00AE5D5C">
        <w:t>,</w:t>
      </w:r>
      <w:r>
        <w:t xml:space="preserve"> and politicians on the government to render a cohesive national gambling strategy.</w:t>
      </w:r>
      <w:r>
        <w:rPr>
          <w:rStyle w:val="FootnoteReference"/>
        </w:rPr>
        <w:footnoteReference w:id="359"/>
      </w:r>
      <w:r>
        <w:t xml:space="preserve"> Two committees were appointed to investigate and make recommendations regarding a national gambling industry. The 1992 Howard Commission and the 1995 Wiehahn Commission found that the </w:t>
      </w:r>
      <w:r w:rsidR="00756A84">
        <w:t>NP</w:t>
      </w:r>
      <w:r w:rsidR="00202C82">
        <w:t xml:space="preserve"> government</w:t>
      </w:r>
      <w:r>
        <w:t xml:space="preserve"> instituted</w:t>
      </w:r>
      <w:r w:rsidR="00AE5D5C">
        <w:t xml:space="preserve"> </w:t>
      </w:r>
      <w:r>
        <w:t>1965 Gambling Act was no longer relevant and did not reflect the moral proclivity of South Africans.</w:t>
      </w:r>
      <w:r>
        <w:rPr>
          <w:rStyle w:val="FootnoteReference"/>
        </w:rPr>
        <w:footnoteReference w:id="360"/>
      </w:r>
      <w:r>
        <w:t xml:space="preserve"> It was suggested that the government legalise gambling and institute a national lottery to create 100 000 jobs by 1997, as well as stimulate related industries, economic growth</w:t>
      </w:r>
      <w:r w:rsidR="00AE5D5C">
        <w:t>,</w:t>
      </w:r>
      <w:r>
        <w:t xml:space="preserve"> and human capital. It was also noted that through taxation the government would generate revenue.</w:t>
      </w:r>
      <w:r>
        <w:rPr>
          <w:rStyle w:val="FootnoteReference"/>
        </w:rPr>
        <w:footnoteReference w:id="361"/>
      </w:r>
      <w:r>
        <w:t xml:space="preserve"> The negative outcomes identified by the commission included the possibility that personal savings accounts and </w:t>
      </w:r>
      <w:r>
        <w:lastRenderedPageBreak/>
        <w:t>consumer spending would decrease should individuals choose to spend their surplus money on gambling.</w:t>
      </w:r>
      <w:r>
        <w:rPr>
          <w:rStyle w:val="FootnoteReference"/>
        </w:rPr>
        <w:footnoteReference w:id="362"/>
      </w:r>
      <w:r>
        <w:t xml:space="preserve"> </w:t>
      </w:r>
    </w:p>
    <w:p w14:paraId="2004FF0A" w14:textId="77777777" w:rsidR="002F536C" w:rsidRDefault="002F536C" w:rsidP="002F536C">
      <w:r>
        <w:t xml:space="preserve">The 1993 </w:t>
      </w:r>
      <w:r w:rsidRPr="00C344B4">
        <w:t>Lotteries and Gambling Board Ac</w:t>
      </w:r>
      <w:r>
        <w:t>t proposal was drawn up as an interim policy, but it lay for several months with Justice Department before a decision was reached and the act was only passed in late January 1994.</w:t>
      </w:r>
      <w:r>
        <w:rPr>
          <w:rStyle w:val="FootnoteReference"/>
        </w:rPr>
        <w:footnoteReference w:id="363"/>
      </w:r>
      <w:r>
        <w:t xml:space="preserve"> The act provided for the establishment of a board to oversee the implementation of lotteries and gambling activities in South Africa. It prescribed that any person or entity that was legally operating gambling or lottery facilities in the bantustan areas had fourteen days to register their activities with the Lotteries and Gambling Board to continue their business operation. They would be granted temporary immunity until a decision had been made on gambling licences and casinos had been given the opportunity to bid for licences.</w:t>
      </w:r>
      <w:r>
        <w:rPr>
          <w:rStyle w:val="FootnoteReference"/>
        </w:rPr>
        <w:footnoteReference w:id="364"/>
      </w:r>
      <w:r>
        <w:t xml:space="preserve"> </w:t>
      </w:r>
    </w:p>
    <w:p w14:paraId="7AB8F5CD" w14:textId="77777777" w:rsidR="002F536C" w:rsidRDefault="002F536C" w:rsidP="002F536C">
      <w:r>
        <w:t xml:space="preserve">Grant Kaplan, gambling law expert, said in 1994 that the South African state was not ready to regulate gambling and expressed the belief that provincial bodies were naïve about the gambling industry; more information needed to be gained to legislate the industry. Warning against the problem of foreign investors, he specified that there was a host of international companies waiting to invest in the South African gambling industry and with South Africa in a delicate </w:t>
      </w:r>
      <w:r w:rsidR="0041602A" w:rsidRPr="0041602A">
        <w:t>fluid</w:t>
      </w:r>
      <w:r w:rsidR="0041602A">
        <w:t xml:space="preserve"> </w:t>
      </w:r>
      <w:r>
        <w:t>situation and territories such as Bophuthatswana in political upheaval, there was the potential for the “financial rape of the country and [in 1994] there was no protection against this”.</w:t>
      </w:r>
      <w:r>
        <w:rPr>
          <w:rStyle w:val="FootnoteReference"/>
        </w:rPr>
        <w:footnoteReference w:id="365"/>
      </w:r>
      <w:r>
        <w:t xml:space="preserve"> </w:t>
      </w:r>
      <w:r w:rsidRPr="0082105F">
        <w:rPr>
          <w:i/>
        </w:rPr>
        <w:t>Finance Week</w:t>
      </w:r>
      <w:r>
        <w:t xml:space="preserve"> agreed with Kaplan and criticised gambling operators for “holding a gun to the head of government”. The publication stated that gambling investors were using community development projects as a way to convince government to grant gambling licences. Government and gambling investors were accused of littering cities with casinos and gambling halls. The </w:t>
      </w:r>
      <w:r w:rsidR="00AE5D5C">
        <w:t xml:space="preserve">previous </w:t>
      </w:r>
      <w:r>
        <w:t>Eastern Transvaal Premier, Matthew Phosa, accused Kaplan of being overzealous in his criticism of the South African gambling industry as government were fully aware of potential pitfalls as detailed in the Howard report. Phosa said that competition for new casino licences was stiff and Sun International would have to prove its worth if Kerzner wanted to maintain the monopoly he was accustomed</w:t>
      </w:r>
      <w:r w:rsidR="00170C43">
        <w:t xml:space="preserve"> to. He continued to state that</w:t>
      </w:r>
    </w:p>
    <w:p w14:paraId="24BAAB24" w14:textId="77777777" w:rsidR="002F536C" w:rsidRPr="00331135" w:rsidRDefault="002F536C" w:rsidP="002F536C">
      <w:pPr>
        <w:pStyle w:val="Subtitle"/>
        <w:rPr>
          <w:shd w:val="clear" w:color="auto" w:fill="FFFFFF"/>
        </w:rPr>
      </w:pPr>
      <w:r>
        <w:rPr>
          <w:shd w:val="clear" w:color="auto" w:fill="FFFFFF"/>
        </w:rPr>
        <w:lastRenderedPageBreak/>
        <w:t xml:space="preserve">In bidding for licences, people should be able to offer investment that generates </w:t>
      </w:r>
      <w:r w:rsidRPr="00331135">
        <w:rPr>
          <w:shd w:val="clear" w:color="auto" w:fill="FFFFFF"/>
        </w:rPr>
        <w:t>revenue which can be taxed by the state. The development should attract tourism and have a beneficial effect on the community.</w:t>
      </w:r>
      <w:r w:rsidRPr="00331135">
        <w:rPr>
          <w:rStyle w:val="FootnoteReference"/>
          <w:shd w:val="clear" w:color="auto" w:fill="FFFFFF"/>
        </w:rPr>
        <w:footnoteReference w:id="366"/>
      </w:r>
    </w:p>
    <w:p w14:paraId="28444CAF" w14:textId="77777777" w:rsidR="00170C43" w:rsidRPr="00331135" w:rsidRDefault="002F536C" w:rsidP="002F536C">
      <w:r w:rsidRPr="00331135">
        <w:t>The 1996 National Gambling Act legalised gambling and implemented a gambling board that was to be overseen by a minister of parliament. The Lotteries and Gambling Act of 1993 was repealed and the 1996 act mandated that no single gambling company may operate more than 16 licences in South Africa, or more than two licences per province. The new act aimed to break previous gambling monopolies.</w:t>
      </w:r>
      <w:r w:rsidRPr="00331135">
        <w:rPr>
          <w:rStyle w:val="FootnoteReference"/>
        </w:rPr>
        <w:footnoteReference w:id="367"/>
      </w:r>
      <w:r w:rsidRPr="00331135">
        <w:t xml:space="preserve"> Sun International was awarded a casino licence for Sun City but was forced to reposition its assets; disposing of some, restructuring others and forcing Sun International to compete with other companies for casino licences. Successful restructuring resulted in the movement of Sun International from the periphery of South Africa’s landscape to the urban centres with new casino constructions such as Carnival City and Monte Casino</w:t>
      </w:r>
      <w:r w:rsidR="00170C43" w:rsidRPr="00331135">
        <w:t>.</w:t>
      </w:r>
      <w:r w:rsidRPr="00331135">
        <w:rPr>
          <w:rStyle w:val="FootnoteReference"/>
        </w:rPr>
        <w:footnoteReference w:id="368"/>
      </w:r>
      <w:r w:rsidRPr="00331135">
        <w:t xml:space="preserve"> </w:t>
      </w:r>
    </w:p>
    <w:p w14:paraId="5F3EAFC9" w14:textId="77777777" w:rsidR="002F536C" w:rsidRPr="00331135" w:rsidRDefault="002F536C" w:rsidP="002F536C">
      <w:r w:rsidRPr="00331135">
        <w:t xml:space="preserve">However, Sun City </w:t>
      </w:r>
      <w:r w:rsidR="00170C43" w:rsidRPr="00331135">
        <w:t>had to</w:t>
      </w:r>
      <w:r w:rsidRPr="00331135">
        <w:t xml:space="preserve"> alter its target market, which up until this point had largely been gamblers, and initiate a fresh strategy that would not erode </w:t>
      </w:r>
      <w:r w:rsidR="00331135" w:rsidRPr="00331135">
        <w:t xml:space="preserve">its </w:t>
      </w:r>
      <w:r w:rsidRPr="00331135">
        <w:t>domination of the resort industry. There is a marketing strategy which states it is more efficient to elicit higher spending from an existent base of repeat customers than it is to generate a new base of clientele. With this strategy in mind, Sun International began exploring avenues by which to extract higher revenues from already loyal customers, without relying on gambling and their position within Bophuthatswana.</w:t>
      </w:r>
      <w:r w:rsidRPr="00331135">
        <w:rPr>
          <w:rStyle w:val="FootnoteReference"/>
        </w:rPr>
        <w:footnoteReference w:id="369"/>
      </w:r>
      <w:r w:rsidRPr="00331135">
        <w:t xml:space="preserve"> Sun International instituted large-scale operational restructuring </w:t>
      </w:r>
      <w:r w:rsidR="00AA0B14" w:rsidRPr="00331135">
        <w:t>in the 1990s which they termed “</w:t>
      </w:r>
      <w:r w:rsidRPr="00331135">
        <w:t>business process re-engineerin</w:t>
      </w:r>
      <w:r w:rsidR="00AA0B14" w:rsidRPr="00331135">
        <w:t>g”</w:t>
      </w:r>
      <w:r w:rsidRPr="00331135">
        <w:t xml:space="preserve">. The company investigated </w:t>
      </w:r>
      <w:r w:rsidR="00331135" w:rsidRPr="00331135">
        <w:t xml:space="preserve">its </w:t>
      </w:r>
      <w:r w:rsidRPr="00331135">
        <w:t>operations which resulted in the reduction of direct employment of staff and the outsourcing of employees. Employee numbers dropped from 12 000 in 1994, to 8 800 in 1999. This was largely achieved through the outsourcing of employees</w:t>
      </w:r>
      <w:r w:rsidR="00331135" w:rsidRPr="00331135">
        <w:t xml:space="preserve">, including </w:t>
      </w:r>
      <w:r w:rsidRPr="00331135">
        <w:t>security to a large security company in the 1990s after a decade and a half of in house training and employment for security personnel.</w:t>
      </w:r>
      <w:r w:rsidRPr="00331135">
        <w:rPr>
          <w:rStyle w:val="FootnoteReference"/>
        </w:rPr>
        <w:footnoteReference w:id="370"/>
      </w:r>
      <w:r w:rsidRPr="00331135">
        <w:t xml:space="preserve"> </w:t>
      </w:r>
    </w:p>
    <w:p w14:paraId="02EAA689" w14:textId="77777777" w:rsidR="002F536C" w:rsidRPr="003A42F2" w:rsidRDefault="002F536C" w:rsidP="002F536C">
      <w:r w:rsidRPr="00331135">
        <w:t xml:space="preserve">Given the delay in instituting a unified gambling legislation, the new nine provinces of South Africa went about creating their own legalisation to control the gambling craze that had set up camp in each jurisdiction. However, this only further complicated the plight of the National Gambling Board (NGB) in establishing a set legal charter on gambling. The NGB </w:t>
      </w:r>
      <w:r w:rsidRPr="00331135">
        <w:lastRenderedPageBreak/>
        <w:t>was first established as the Lotteries and Gambling Board in 1996 and was renamed in 1998.</w:t>
      </w:r>
      <w:r w:rsidRPr="00331135">
        <w:rPr>
          <w:rStyle w:val="FootnoteReference"/>
        </w:rPr>
        <w:footnoteReference w:id="371"/>
      </w:r>
      <w:r w:rsidRPr="00331135">
        <w:t xml:space="preserve"> Research by Chipkin and Meny-Gibert demonstrate</w:t>
      </w:r>
      <w:r w:rsidR="00170C43" w:rsidRPr="00331135">
        <w:t>d</w:t>
      </w:r>
      <w:r w:rsidRPr="00331135">
        <w:t xml:space="preserve"> the difficulties in creating new provinces and in setting up government and provincial administrations based on democratic principles during this time. The newly democratic South African state inherited poorly trained bantustan government officials into public sector positions and corruption ran rampant. </w:t>
      </w:r>
      <w:r w:rsidRPr="00331135">
        <w:rPr>
          <w:rStyle w:val="FootnoteReference"/>
          <w:rFonts w:cs="Times New Roman"/>
        </w:rPr>
        <w:footnoteReference w:id="372"/>
      </w:r>
    </w:p>
    <w:bookmarkEnd w:id="67"/>
    <w:p w14:paraId="7F039A8D" w14:textId="77777777" w:rsidR="002F536C" w:rsidRDefault="0041602A" w:rsidP="002F536C">
      <w:pPr>
        <w:rPr>
          <w:lang w:val="en-US"/>
        </w:rPr>
      </w:pPr>
      <w:r w:rsidRPr="0041602A">
        <w:t>The dawning of democracy also threw a spotli</w:t>
      </w:r>
      <w:r>
        <w:t>ght on the role of Sol Kerzner.</w:t>
      </w:r>
      <w:r w:rsidRPr="0041602A">
        <w:t xml:space="preserve"> </w:t>
      </w:r>
      <w:r w:rsidR="002F536C">
        <w:t>In 1988 rumours surfaced of Kerzner bribing his way into the homelands. Sun International and Kerzner vehemently denied allegations of bribery and forced one newspaper to withdraw their allegations and apologise. The following year, Kerzner openly admitted to bribing Transkeian leaders, the Matatimza brothers, in front of the Harms Commission, which was tasked with investigating corruption in the Transkei homeland in 1989. He admitted to a payment of R2 million to secure casino rights in the T</w:t>
      </w:r>
      <w:r w:rsidR="00FA6A91">
        <w:t>ranskei. The companies that Ker</w:t>
      </w:r>
      <w:r w:rsidR="002F536C">
        <w:t>z</w:t>
      </w:r>
      <w:r w:rsidR="00FA6A91">
        <w:t>n</w:t>
      </w:r>
      <w:r w:rsidR="002F536C">
        <w:t>er served as a member of the board stated they would support him, whilst the Johannesburg Stock Exchange (JSE) indicated that no charges would be pursued against the hotel magnate. Kerzner argued that fraud and corruption had become so rampant in the bantustans that his actions were norma</w:t>
      </w:r>
      <w:r w:rsidR="000C57FE">
        <w:t>lise</w:t>
      </w:r>
      <w:r w:rsidR="002F536C">
        <w:t xml:space="preserve">d in the context of the homelands’ political climate.  </w:t>
      </w:r>
      <w:r w:rsidR="002F536C">
        <w:rPr>
          <w:i/>
        </w:rPr>
        <w:t xml:space="preserve">The Mail and Guardian </w:t>
      </w:r>
      <w:r w:rsidR="002F536C">
        <w:t>published an art</w:t>
      </w:r>
      <w:r w:rsidR="00AA0B14">
        <w:t>icle in 1989 with the headline “</w:t>
      </w:r>
      <w:r w:rsidR="002F536C" w:rsidRPr="00CF7CBD">
        <w:t>A lesson from Sol: it's OK if it's over the Kei</w:t>
      </w:r>
      <w:r w:rsidR="00AA0B14">
        <w:t>”</w:t>
      </w:r>
      <w:r w:rsidR="002F536C">
        <w:t>. The article argued that any actions in the bantustans, even illegal ones, were perceived to reasonable by political leaders and business entrepreneurs.</w:t>
      </w:r>
      <w:r w:rsidR="002F536C">
        <w:rPr>
          <w:rStyle w:val="FootnoteReference"/>
        </w:rPr>
        <w:footnoteReference w:id="373"/>
      </w:r>
    </w:p>
    <w:p w14:paraId="484D09B0" w14:textId="77777777" w:rsidR="002F536C" w:rsidRDefault="002F536C" w:rsidP="002F536C">
      <w:pPr>
        <w:rPr>
          <w:rStyle w:val="apple-converted-space"/>
          <w:rFonts w:ascii="Arial" w:hAnsi="Arial" w:cs="Arial"/>
          <w:color w:val="000000"/>
          <w:sz w:val="27"/>
          <w:szCs w:val="27"/>
          <w:shd w:val="clear" w:color="auto" w:fill="FFFFFF"/>
        </w:rPr>
      </w:pPr>
      <w:r>
        <w:rPr>
          <w:lang w:val="en-US"/>
        </w:rPr>
        <w:t xml:space="preserve">Kerzner argued in his defense, stating that making a payment to a </w:t>
      </w:r>
      <w:r>
        <w:rPr>
          <w:shd w:val="clear" w:color="auto" w:fill="FFFFFF"/>
        </w:rPr>
        <w:t xml:space="preserve">"foreign official" was not illegal and that in terms of South </w:t>
      </w:r>
      <w:r w:rsidR="006F3AD9">
        <w:rPr>
          <w:shd w:val="clear" w:color="auto" w:fill="FFFFFF"/>
        </w:rPr>
        <w:t>African law it was not policy “</w:t>
      </w:r>
      <w:r>
        <w:rPr>
          <w:shd w:val="clear" w:color="auto" w:fill="FFFFFF"/>
        </w:rPr>
        <w:t>to regulate the affairs of a foreign state”.</w:t>
      </w:r>
      <w:r>
        <w:rPr>
          <w:rStyle w:val="FootnoteReference"/>
          <w:shd w:val="clear" w:color="auto" w:fill="FFFFFF"/>
        </w:rPr>
        <w:footnoteReference w:id="374"/>
      </w:r>
      <w:r>
        <w:rPr>
          <w:rStyle w:val="apple-converted-space"/>
          <w:rFonts w:ascii="Arial" w:hAnsi="Arial" w:cs="Arial"/>
          <w:color w:val="000000"/>
          <w:sz w:val="27"/>
          <w:szCs w:val="27"/>
          <w:shd w:val="clear" w:color="auto" w:fill="FFFFFF"/>
        </w:rPr>
        <w:t xml:space="preserve"> </w:t>
      </w:r>
      <w:r w:rsidRPr="006A0C3F">
        <w:t xml:space="preserve">In 1989 Kerzner still </w:t>
      </w:r>
      <w:r>
        <w:t xml:space="preserve">believed in apartheid South Africa’s </w:t>
      </w:r>
      <w:r w:rsidRPr="006A0C3F">
        <w:t>bantustan policy,</w:t>
      </w:r>
      <w:r>
        <w:t xml:space="preserve"> and</w:t>
      </w:r>
      <w:r w:rsidRPr="006A0C3F">
        <w:t xml:space="preserve"> his</w:t>
      </w:r>
      <w:r w:rsidRPr="005D3A78">
        <w:t xml:space="preserve"> defence argued that Bophuthatswana and other homelands were foreign nations</w:t>
      </w:r>
      <w:r>
        <w:t xml:space="preserve"> over which</w:t>
      </w:r>
      <w:r w:rsidRPr="005D3A78">
        <w:t xml:space="preserve"> South Africa had no jurisdiction.</w:t>
      </w:r>
      <w:r>
        <w:t xml:space="preserve"> He commented that corruption and bribery were the order of business in the</w:t>
      </w:r>
      <w:r w:rsidRPr="007D15CE">
        <w:t xml:space="preserve"> homelands, </w:t>
      </w:r>
      <w:r>
        <w:t xml:space="preserve">and that </w:t>
      </w:r>
      <w:r w:rsidRPr="007D15CE">
        <w:t>he just adjusted to the customs. However, at the time, Transkei authorities h</w:t>
      </w:r>
      <w:r w:rsidR="001C54BB">
        <w:t>oped to indict him on charges of</w:t>
      </w:r>
      <w:r w:rsidRPr="007D15CE">
        <w:t xml:space="preserve"> corruption, </w:t>
      </w:r>
      <w:r>
        <w:t xml:space="preserve">a </w:t>
      </w:r>
      <w:r w:rsidRPr="007D15CE">
        <w:t>territory that had extradition policies with South Africa.</w:t>
      </w:r>
      <w:r w:rsidRPr="00BD66CD">
        <w:rPr>
          <w:vertAlign w:val="superscript"/>
        </w:rPr>
        <w:footnoteReference w:id="375"/>
      </w:r>
      <w:r w:rsidRPr="007D15CE">
        <w:t xml:space="preserve"> </w:t>
      </w:r>
      <w:r>
        <w:t>Despite</w:t>
      </w:r>
      <w:r w:rsidRPr="007D15CE">
        <w:t xml:space="preserve"> numerous attempts by the Transkei </w:t>
      </w:r>
      <w:r w:rsidRPr="007D15CE">
        <w:lastRenderedPageBreak/>
        <w:t xml:space="preserve">authorities, Kerzner was never extradited. </w:t>
      </w:r>
      <w:r>
        <w:t xml:space="preserve">The </w:t>
      </w:r>
      <w:r w:rsidRPr="006D10C9">
        <w:rPr>
          <w:i/>
        </w:rPr>
        <w:t>Mail and Guardian</w:t>
      </w:r>
      <w:r>
        <w:t xml:space="preserve"> argued that h</w:t>
      </w:r>
      <w:r w:rsidRPr="007D15CE">
        <w:t>e a</w:t>
      </w:r>
      <w:r w:rsidR="001C54BB">
        <w:t>ppeared untouchable. In 1994</w:t>
      </w:r>
      <w:r w:rsidRPr="007D15CE">
        <w:t xml:space="preserve"> Nelson Mandela dismissed claims that a deal had been reached to help Kerzner avoid indictment.</w:t>
      </w:r>
      <w:r w:rsidRPr="00D953BA">
        <w:rPr>
          <w:vertAlign w:val="superscript"/>
        </w:rPr>
        <w:footnoteReference w:id="376"/>
      </w:r>
      <w:r w:rsidRPr="007D15CE">
        <w:t xml:space="preserve"> Mantazima </w:t>
      </w:r>
      <w:r>
        <w:t>became</w:t>
      </w:r>
      <w:r w:rsidRPr="007D15CE">
        <w:t xml:space="preserve"> a state witness in the prosecution against Kerzner and in his testimony proved to be </w:t>
      </w:r>
      <w:r w:rsidR="00AA0B14">
        <w:t>an “irredeemable and fickle witness”</w:t>
      </w:r>
      <w:r>
        <w:t xml:space="preserve">. </w:t>
      </w:r>
      <w:r w:rsidRPr="007D15CE">
        <w:t xml:space="preserve"> It was because of Mantazima himself that Kerzner was never prosecuted.</w:t>
      </w:r>
      <w:r>
        <w:rPr>
          <w:rStyle w:val="FootnoteReference"/>
        </w:rPr>
        <w:footnoteReference w:id="377"/>
      </w:r>
    </w:p>
    <w:p w14:paraId="4E797616" w14:textId="77777777" w:rsidR="002F536C" w:rsidRDefault="002F536C" w:rsidP="002F536C">
      <w:pPr>
        <w:rPr>
          <w:rStyle w:val="apple-converted-space"/>
          <w:rFonts w:ascii="Arial" w:hAnsi="Arial" w:cs="Arial"/>
          <w:color w:val="000000"/>
          <w:sz w:val="27"/>
          <w:szCs w:val="27"/>
          <w:shd w:val="clear" w:color="auto" w:fill="FFFFFF"/>
        </w:rPr>
      </w:pPr>
      <w:r>
        <w:t xml:space="preserve">Meanwhile, in 2006 </w:t>
      </w:r>
      <w:r w:rsidRPr="00E6719D">
        <w:t xml:space="preserve">documentation </w:t>
      </w:r>
      <w:r>
        <w:t xml:space="preserve">from Bophuthatswana </w:t>
      </w:r>
      <w:r w:rsidRPr="00E6719D">
        <w:t xml:space="preserve">was obtained which supported claims that Kerzner used his wealth to secure a business deal with Lucas Mangope. </w:t>
      </w:r>
      <w:r>
        <w:t>In a document dated 1987,</w:t>
      </w:r>
      <w:r w:rsidRPr="00E6719D">
        <w:t xml:space="preserve"> Mangope requested Kerzner subsid</w:t>
      </w:r>
      <w:r w:rsidR="006F3AD9">
        <w:t>ise</w:t>
      </w:r>
      <w:r w:rsidRPr="00E6719D">
        <w:t xml:space="preserve"> the salary increase for the Bophuthatswana finance minister, Leslie Young.</w:t>
      </w:r>
      <w:r>
        <w:t xml:space="preserve"> An</w:t>
      </w:r>
      <w:r w:rsidRPr="00E6719D">
        <w:t xml:space="preserve"> amount</w:t>
      </w:r>
      <w:r>
        <w:t xml:space="preserve"> </w:t>
      </w:r>
      <w:r w:rsidRPr="00E6719D">
        <w:t>of R20 000 l</w:t>
      </w:r>
      <w:r>
        <w:t>inked</w:t>
      </w:r>
      <w:r w:rsidRPr="00E6719D">
        <w:t xml:space="preserve"> Kerzner to Mangope </w:t>
      </w:r>
      <w:r w:rsidRPr="00D953BA">
        <w:rPr>
          <w:rFonts w:cs="Times New Roman"/>
          <w:szCs w:val="24"/>
        </w:rPr>
        <w:t>financially</w:t>
      </w:r>
      <w:r>
        <w:rPr>
          <w:rFonts w:cs="Times New Roman"/>
          <w:szCs w:val="24"/>
        </w:rPr>
        <w:t>.</w:t>
      </w:r>
      <w:r w:rsidRPr="00D953BA">
        <w:rPr>
          <w:rStyle w:val="FootnoteReference"/>
          <w:rFonts w:cs="Times New Roman"/>
          <w:color w:val="000000"/>
          <w:szCs w:val="24"/>
          <w:shd w:val="clear" w:color="auto" w:fill="FFFFFF"/>
        </w:rPr>
        <w:footnoteReference w:id="378"/>
      </w:r>
      <w:r w:rsidRPr="00D953BA">
        <w:rPr>
          <w:rStyle w:val="apple-converted-space"/>
          <w:rFonts w:cs="Times New Roman"/>
          <w:color w:val="000000"/>
          <w:szCs w:val="24"/>
          <w:shd w:val="clear" w:color="auto" w:fill="FFFFFF"/>
        </w:rPr>
        <w:t xml:space="preserve"> </w:t>
      </w:r>
      <w:r w:rsidRPr="007D15CE">
        <w:t>The Deputy chairperson of Sun International responded to Mangope in writing</w:t>
      </w:r>
      <w:r>
        <w:t>:</w:t>
      </w:r>
    </w:p>
    <w:p w14:paraId="24B3F8F8" w14:textId="77777777" w:rsidR="002F536C" w:rsidRDefault="002F536C" w:rsidP="002F536C">
      <w:pPr>
        <w:pStyle w:val="Subtitle"/>
      </w:pPr>
      <w:r>
        <w:t>We would certainly be prepared to contribute to the augmentation of Mr. Young’s salary…Upon receipt of the amount required each year and the desired manner of payments we will make the necessary arrangements.</w:t>
      </w:r>
      <w:r>
        <w:rPr>
          <w:rStyle w:val="FootnoteReference"/>
        </w:rPr>
        <w:footnoteReference w:id="379"/>
      </w:r>
    </w:p>
    <w:p w14:paraId="276306CE" w14:textId="77777777" w:rsidR="002F536C" w:rsidRDefault="001C54BB" w:rsidP="002F536C">
      <w:r>
        <w:t>Academic</w:t>
      </w:r>
      <w:r w:rsidR="002F536C">
        <w:t xml:space="preserve">, Jon Hyslop </w:t>
      </w:r>
      <w:r w:rsidR="00170C43">
        <w:t>examined</w:t>
      </w:r>
      <w:r w:rsidR="002F536C">
        <w:t xml:space="preserve"> the history of corruption in South Africa and argued that: </w:t>
      </w:r>
    </w:p>
    <w:p w14:paraId="1D08D5F8" w14:textId="77777777" w:rsidR="002F536C" w:rsidRPr="00A832DC" w:rsidRDefault="002F536C" w:rsidP="002F536C">
      <w:pPr>
        <w:spacing w:line="240" w:lineRule="auto"/>
        <w:ind w:left="360" w:right="360"/>
        <w:rPr>
          <w:rStyle w:val="SubtitleChar"/>
        </w:rPr>
      </w:pPr>
      <w:r w:rsidRPr="00A832DC">
        <w:rPr>
          <w:rStyle w:val="SubtitleChar"/>
        </w:rPr>
        <w:t>Homeland government became a by-word for corruption and incompetence. Official extortion in relation to everything from the issuing of trading permits upwards was rife. Homeland leaders presided over massive patronage networks.</w:t>
      </w:r>
      <w:r>
        <w:rPr>
          <w:rStyle w:val="FootnoteReference"/>
          <w:color w:val="000000" w:themeColor="text1"/>
          <w:spacing w:val="10"/>
          <w:sz w:val="20"/>
        </w:rPr>
        <w:footnoteReference w:id="380"/>
      </w:r>
    </w:p>
    <w:p w14:paraId="7705495B" w14:textId="77777777" w:rsidR="002F536C" w:rsidRPr="00773444" w:rsidRDefault="002F536C" w:rsidP="002F536C">
      <w:r>
        <w:t xml:space="preserve">As South Africa moved towards democracy, Kerzner continued to play the government elite. Kerzner and Sun International had always employed people who were politically acceptable to the government and sympathetic to their plight. In 1994, Phillipa Garson reported for the </w:t>
      </w:r>
      <w:r w:rsidRPr="00D953BA">
        <w:rPr>
          <w:i/>
        </w:rPr>
        <w:t>Mail and Guardian</w:t>
      </w:r>
      <w:r>
        <w:t xml:space="preserve"> that Kerzner had “wasted no time in acquainting himself wit</w:t>
      </w:r>
      <w:r w:rsidR="00756A84">
        <w:t>h Eastern Transvaal premier Mat</w:t>
      </w:r>
      <w:r>
        <w:t>hew</w:t>
      </w:r>
      <w:r w:rsidR="00756A84">
        <w:t>s</w:t>
      </w:r>
      <w:r>
        <w:t xml:space="preserve"> Phosa.” This, she wrote, was in pursuit of a R400 million casino wonderland situated between Witbank and Middelburg. The aim was to turn the Mpumalanga </w:t>
      </w:r>
      <w:r w:rsidR="00756A84">
        <w:t>province</w:t>
      </w:r>
      <w:r>
        <w:t xml:space="preserve"> into a one stop gambling metropole for Panorama Route and Kruger National Park holiday-makers. Development plans by Kerzner continued to include a casino in Hazyview right on the Kruger National Park’s boundary and a casino in Midrand close to the urban areas of Pretoria and Johannesburg.</w:t>
      </w:r>
      <w:r>
        <w:rPr>
          <w:rStyle w:val="FootnoteReference"/>
        </w:rPr>
        <w:footnoteReference w:id="381"/>
      </w:r>
      <w:r>
        <w:t xml:space="preserve"> Kerzner’s tactics were once again employed in 1995 when prominent Eastern Cape ANC members were appointed as directors of Sun </w:t>
      </w:r>
      <w:r>
        <w:lastRenderedPageBreak/>
        <w:t>International’s executive board. The same occurred in KwaZulu-Natal, where the new gambling consortium, Africa Sun International, was closely linked to the provincial government. The individuals included Mangosutho Buthelezi’s son, Zuzi, prominent anti-apartheid activist and ANC leader, Walter Sisulu, and a former aide to F.W. de Klerk.</w:t>
      </w:r>
      <w:r>
        <w:rPr>
          <w:rStyle w:val="FootnoteReference"/>
        </w:rPr>
        <w:footnoteReference w:id="382"/>
      </w:r>
      <w:r>
        <w:t xml:space="preserve"> </w:t>
      </w:r>
    </w:p>
    <w:p w14:paraId="20DC2617" w14:textId="77777777" w:rsidR="002F536C" w:rsidRPr="00554751" w:rsidRDefault="002F536C" w:rsidP="002F536C">
      <w:pPr>
        <w:pStyle w:val="Heading2"/>
        <w:numPr>
          <w:ilvl w:val="0"/>
          <w:numId w:val="0"/>
        </w:numPr>
        <w:ind w:left="578" w:hanging="578"/>
      </w:pPr>
      <w:bookmarkStart w:id="69" w:name="_Toc488481735"/>
      <w:r>
        <w:t>Conclusion</w:t>
      </w:r>
      <w:bookmarkEnd w:id="65"/>
      <w:bookmarkEnd w:id="68"/>
      <w:bookmarkEnd w:id="69"/>
    </w:p>
    <w:p w14:paraId="38AE07EA" w14:textId="77777777" w:rsidR="002F536C" w:rsidRDefault="002F536C" w:rsidP="002F536C">
      <w:pPr>
        <w:rPr>
          <w:rFonts w:eastAsiaTheme="majorEastAsia"/>
        </w:rPr>
      </w:pPr>
      <w:r>
        <w:rPr>
          <w:rFonts w:eastAsiaTheme="majorEastAsia"/>
        </w:rPr>
        <w:t>By the end of 1995, Sun International had once again secured a monopoly on the gambling industry in Southern Africa. This was achieved through the expansion of his hotel group, bribery, corruption and the hosting of several events at Sun City.</w:t>
      </w:r>
    </w:p>
    <w:p w14:paraId="07726165" w14:textId="77777777" w:rsidR="002F536C" w:rsidRDefault="002F536C" w:rsidP="002F536C">
      <w:pPr>
        <w:rPr>
          <w:rFonts w:eastAsiaTheme="majorEastAsia"/>
        </w:rPr>
      </w:pPr>
      <w:r>
        <w:rPr>
          <w:rFonts w:eastAsiaTheme="majorEastAsia"/>
        </w:rPr>
        <w:t>The joint venture between Sun International and Miss World secured a new era for Sun City. The tumultuous history between South Africa and international beauty pageants was over as South Africa had a unique opportunity to garner positive international media coverage through the hosting of the pageant at Sun City. While unions such as COSATU used the international pageant to further their political agenda</w:t>
      </w:r>
      <w:r w:rsidR="00756A84">
        <w:rPr>
          <w:rFonts w:eastAsiaTheme="majorEastAsia"/>
        </w:rPr>
        <w:t xml:space="preserve"> during the transition years</w:t>
      </w:r>
      <w:r>
        <w:rPr>
          <w:rFonts w:eastAsiaTheme="majorEastAsia"/>
        </w:rPr>
        <w:t>, the ANC did not embrace the Miss World pageant’s presence in a South African homeland. After the crowning of South African beauty queens of colour, the ANC and Nelson Mandela began to use the pageant to their advantage, hoping to secure the support of white South Africans.</w:t>
      </w:r>
      <w:r w:rsidRPr="00100C6A">
        <w:t xml:space="preserve"> </w:t>
      </w:r>
      <w:r>
        <w:t xml:space="preserve">The transition period from 1990-1994 was an uncertain </w:t>
      </w:r>
      <w:r w:rsidR="00396630">
        <w:t xml:space="preserve">time </w:t>
      </w:r>
      <w:r>
        <w:t>for Sun International and Sol Kerzner, as his monopoly rested on the continuation of gambling and new gambling licences became available within the South African borders.</w:t>
      </w:r>
      <w:r>
        <w:rPr>
          <w:rFonts w:eastAsiaTheme="majorEastAsia"/>
        </w:rPr>
        <w:t xml:space="preserve"> </w:t>
      </w:r>
    </w:p>
    <w:p w14:paraId="4A0F1ACF" w14:textId="77777777" w:rsidR="00F756D6" w:rsidRDefault="002F536C" w:rsidP="00F756D6">
      <w:pPr>
        <w:rPr>
          <w:rFonts w:eastAsiaTheme="majorEastAsia"/>
        </w:rPr>
      </w:pPr>
      <w:r>
        <w:t xml:space="preserve">The ousting of Lucas Mangope on 12 March 1994 </w:t>
      </w:r>
      <w:r w:rsidR="0041602A" w:rsidRPr="0041602A">
        <w:t>allowed Bophuthatswana</w:t>
      </w:r>
      <w:r w:rsidR="0041602A" w:rsidRPr="0041602A" w:rsidDel="0041602A">
        <w:t xml:space="preserve"> </w:t>
      </w:r>
      <w:r>
        <w:t xml:space="preserve">to be reincorporated into the body of South Africa. Interim gambling laws were instituted in 1993, until a gambling act could be drafted and finalised. </w:t>
      </w:r>
      <w:r>
        <w:rPr>
          <w:rFonts w:eastAsiaTheme="majorEastAsia"/>
        </w:rPr>
        <w:t xml:space="preserve"> There was much critique against government and gambling operators regarding the expansion and legalisation of gambling after 1994. Mandela was accused of colluding with Kerzer to allow the hotel magnate to escape charges of bribery in the Transkei</w:t>
      </w:r>
      <w:r w:rsidR="00756A84">
        <w:rPr>
          <w:rFonts w:eastAsiaTheme="majorEastAsia"/>
        </w:rPr>
        <w:t xml:space="preserve"> as </w:t>
      </w:r>
      <w:r>
        <w:rPr>
          <w:rFonts w:eastAsiaTheme="majorEastAsia"/>
        </w:rPr>
        <w:t xml:space="preserve">it emerged that Kerzner had bribed his way </w:t>
      </w:r>
      <w:r w:rsidR="00756A84">
        <w:rPr>
          <w:rFonts w:eastAsiaTheme="majorEastAsia"/>
        </w:rPr>
        <w:t>in</w:t>
      </w:r>
      <w:r>
        <w:rPr>
          <w:rFonts w:eastAsiaTheme="majorEastAsia"/>
        </w:rPr>
        <w:t xml:space="preserve">to several homelands. However, Kerzner and Sun International flourished </w:t>
      </w:r>
      <w:r w:rsidR="00756A84">
        <w:rPr>
          <w:rFonts w:eastAsiaTheme="majorEastAsia"/>
        </w:rPr>
        <w:t>expanded after</w:t>
      </w:r>
      <w:r>
        <w:rPr>
          <w:rFonts w:eastAsiaTheme="majorEastAsia"/>
        </w:rPr>
        <w:t xml:space="preserve"> 1994, with </w:t>
      </w:r>
      <w:r w:rsidR="00756A84">
        <w:rPr>
          <w:rFonts w:eastAsiaTheme="majorEastAsia"/>
        </w:rPr>
        <w:t>events such as</w:t>
      </w:r>
      <w:r>
        <w:rPr>
          <w:rFonts w:eastAsiaTheme="majorEastAsia"/>
        </w:rPr>
        <w:t xml:space="preserve"> the hosting of Miss World. The ANC and Kerzner developed a mutually beneficial relationship where Kerzner provided jobs to South Africans and generated positive media coverage for the country. In return, the Miss World competition ensured that Kerzner and Sun International remained relevant in the new democracy and Sun City was no longer a global outcast.</w:t>
      </w:r>
      <w:bookmarkStart w:id="70" w:name="_Toc459702985"/>
    </w:p>
    <w:p w14:paraId="40845D1A" w14:textId="77777777" w:rsidR="002F536C" w:rsidRPr="00F756D6" w:rsidRDefault="002F536C" w:rsidP="00F756D6">
      <w:pPr>
        <w:pStyle w:val="Heading1"/>
        <w:numPr>
          <w:ilvl w:val="0"/>
          <w:numId w:val="0"/>
        </w:numPr>
        <w:ind w:left="432" w:hanging="432"/>
        <w:jc w:val="center"/>
      </w:pPr>
      <w:bookmarkStart w:id="71" w:name="_Toc488481736"/>
      <w:r>
        <w:lastRenderedPageBreak/>
        <w:t>CONCLUSION</w:t>
      </w:r>
      <w:bookmarkEnd w:id="70"/>
      <w:bookmarkEnd w:id="71"/>
    </w:p>
    <w:p w14:paraId="30F4897C" w14:textId="77777777" w:rsidR="002F536C" w:rsidRDefault="002F536C" w:rsidP="002F536C"/>
    <w:p w14:paraId="304B2820" w14:textId="77777777" w:rsidR="002F536C" w:rsidRDefault="002F536C" w:rsidP="002F536C">
      <w:r>
        <w:t xml:space="preserve">In 1971, the </w:t>
      </w:r>
      <w:r w:rsidR="00756A84">
        <w:t>NP</w:t>
      </w:r>
      <w:r w:rsidR="00202C82">
        <w:t xml:space="preserve"> government</w:t>
      </w:r>
      <w:r>
        <w:t xml:space="preserve"> cemented </w:t>
      </w:r>
      <w:r w:rsidR="00756A84">
        <w:t xml:space="preserve">its </w:t>
      </w:r>
      <w:r>
        <w:t xml:space="preserve">homeland policy through the implementation of the Bantu Homelands Constitution Act. This allowed South Africa </w:t>
      </w:r>
      <w:r w:rsidR="003E525D">
        <w:t xml:space="preserve">to </w:t>
      </w:r>
      <w:r>
        <w:t xml:space="preserve">grant independence to the Transkei in </w:t>
      </w:r>
      <w:r w:rsidR="003E525D">
        <w:t>1976 and Bophuthatswana in 1977.</w:t>
      </w:r>
      <w:r>
        <w:t xml:space="preserve"> </w:t>
      </w:r>
      <w:r w:rsidR="003E525D">
        <w:t>S</w:t>
      </w:r>
      <w:r>
        <w:t>oon after Venda and Ciskei received self-rule in 1979 and 1981</w:t>
      </w:r>
      <w:r w:rsidR="003E525D">
        <w:t>,</w:t>
      </w:r>
      <w:r>
        <w:t xml:space="preserve"> respectively. This paved the way for a host of casino resorts to be built by casino mogul Sol Kerzner. Owner of the Southern Sun hotel group, Kerzner ventured into the homelands to expand his hotel monopoly. His concept of casino resorts was built in response to the </w:t>
      </w:r>
      <w:r w:rsidR="00756A84">
        <w:t>NP</w:t>
      </w:r>
      <w:r w:rsidR="00202C82">
        <w:t xml:space="preserve"> government’s</w:t>
      </w:r>
      <w:r>
        <w:t xml:space="preserve"> policies of restriction such as the 1965 Gambling Act, which prohibited gambling</w:t>
      </w:r>
      <w:r w:rsidR="003E525D">
        <w:t xml:space="preserve"> and casinos. </w:t>
      </w:r>
      <w:r>
        <w:t xml:space="preserve">Kerzner’s casino resort in Bophuthatswana, Sun City, was colloquially known as </w:t>
      </w:r>
      <w:r>
        <w:rPr>
          <w:i/>
        </w:rPr>
        <w:t xml:space="preserve">Sin City </w:t>
      </w:r>
      <w:r>
        <w:t xml:space="preserve">due to a variety of activities such as gambling, topless cabaret shows and prostitution. </w:t>
      </w:r>
    </w:p>
    <w:p w14:paraId="4E4F1171" w14:textId="77777777" w:rsidR="002F536C" w:rsidRDefault="002F536C" w:rsidP="002F536C">
      <w:r>
        <w:t>This thesis h</w:t>
      </w:r>
      <w:r w:rsidR="00756A84">
        <w:t>as shown that to build Sun City</w:t>
      </w:r>
      <w:r>
        <w:t xml:space="preserve"> Kerzner needed to gain the support of Bophuthatswana’s president, Lucas Mangope. In 1976, Southern Sun approached the Bophuthatswana government with the </w:t>
      </w:r>
      <w:r w:rsidR="003E525D">
        <w:t>proposal</w:t>
      </w:r>
      <w:r>
        <w:t xml:space="preserve"> of a casino resort, in line with Mangope’s ethno-nationalist project. Southern Sun (forerunner to Sun International) argued that a tourist industry would promote the new </w:t>
      </w:r>
      <w:r w:rsidR="000A67CB">
        <w:t>“Tswana nation”</w:t>
      </w:r>
      <w:r>
        <w:t xml:space="preserve">– which Bophuthatswana theoretically embodied - to the international community. </w:t>
      </w:r>
    </w:p>
    <w:p w14:paraId="4A5CF045" w14:textId="77777777" w:rsidR="002F536C" w:rsidRDefault="003E525D" w:rsidP="002F536C">
      <w:r>
        <w:t>T</w:t>
      </w:r>
      <w:r w:rsidR="002F536C">
        <w:t>he mega-resort in the Bophuthatswana bushveld of the Pilanesberg was a star studded and opulent multi-million-dollar resort built. The attractions at Sun City lured white South Africans, especially from the Transvaal, to take advantage of the bantustans open policies. White and black could mingle openly, gambling was encouraged, pornography accepted and the sports and cultural boycotts ignored. Kerzner attempted to recreate the mythology and heritage of Africa within the Bophuthatswana bushveld, but instead achieved the opulence of Las Vegas with an architectural eclectic medley.</w:t>
      </w:r>
    </w:p>
    <w:p w14:paraId="6A7A6732" w14:textId="77777777" w:rsidR="002F536C" w:rsidRPr="00690AF3" w:rsidRDefault="002F536C" w:rsidP="002F536C">
      <w:r>
        <w:t>Further</w:t>
      </w:r>
      <w:r w:rsidR="003E525D">
        <w:t>,</w:t>
      </w:r>
      <w:r>
        <w:t xml:space="preserve"> the thesis argued that, through Sun City, Kerzner hoped to expand his chain of hotels while Mangope aimed to market his territory as a sovereign nation. Bophuthatswana became a tourist destination in the 1980s as Kerzner cemented his hold on the South African tourist industry with the addition and expansion of facilities available at Sun City. The casino resort fed into the ideals of </w:t>
      </w:r>
      <w:r w:rsidR="00A4464C">
        <w:t>Mangope’s</w:t>
      </w:r>
      <w:r>
        <w:t xml:space="preserve"> ethno-nationalist project, as he hoped to promote Bophuthatswana, gain legitimacy and international acceptance for Bophuthatswana through </w:t>
      </w:r>
      <w:r>
        <w:lastRenderedPageBreak/>
        <w:t>the casino resort.  This was only partially achieved. In the beginning Kerzner lured international artists and sporting stars to Sun City to generate positive media coverage and promote the resort internationally, attempting to circumnavigate the imposed sanctions. However, by the mid-1980</w:t>
      </w:r>
      <w:r w:rsidR="002C70DB">
        <w:t>s, international commendation of</w:t>
      </w:r>
      <w:r>
        <w:t xml:space="preserve"> Kerzner, Bophut</w:t>
      </w:r>
      <w:r w:rsidR="002C70DB">
        <w:t>hatswana and Sun City had grown.</w:t>
      </w:r>
      <w:r>
        <w:t xml:space="preserve"> </w:t>
      </w:r>
      <w:r w:rsidR="002C70DB">
        <w:t>The UN had</w:t>
      </w:r>
      <w:r>
        <w:t xml:space="preserve"> implemented a black list to record those who transgressed the sanctions and the song </w:t>
      </w:r>
      <w:r w:rsidR="00756A84">
        <w:t>‘S</w:t>
      </w:r>
      <w:r w:rsidRPr="00756A84">
        <w:t>un City</w:t>
      </w:r>
      <w:r w:rsidR="00756A84">
        <w:t>’</w:t>
      </w:r>
      <w:r>
        <w:rPr>
          <w:i/>
        </w:rPr>
        <w:t xml:space="preserve"> </w:t>
      </w:r>
      <w:r>
        <w:t xml:space="preserve">further promoted the boycott of </w:t>
      </w:r>
      <w:r w:rsidR="002C70DB">
        <w:t>the resort</w:t>
      </w:r>
      <w:r>
        <w:t>,</w:t>
      </w:r>
      <w:r w:rsidR="002C70DB">
        <w:t xml:space="preserve"> educating the</w:t>
      </w:r>
      <w:r>
        <w:t xml:space="preserve"> global audience </w:t>
      </w:r>
      <w:r w:rsidR="002C70DB">
        <w:t>about</w:t>
      </w:r>
      <w:r>
        <w:t xml:space="preserve"> the </w:t>
      </w:r>
      <w:r w:rsidR="002C70DB">
        <w:t xml:space="preserve">racial </w:t>
      </w:r>
      <w:r>
        <w:t xml:space="preserve">crimes in South Africa. Kerzner’s attempt to promote Bophuthatswana had failed. </w:t>
      </w:r>
    </w:p>
    <w:p w14:paraId="74D5EB16" w14:textId="77777777" w:rsidR="002F536C" w:rsidRDefault="002F536C" w:rsidP="002F536C">
      <w:r>
        <w:t xml:space="preserve">Evidence has shown that Sun City was funded by three sources. The </w:t>
      </w:r>
      <w:r w:rsidR="002C70DB">
        <w:t xml:space="preserve">governments of </w:t>
      </w:r>
      <w:r>
        <w:t xml:space="preserve">Bophuthatswana and </w:t>
      </w:r>
      <w:r w:rsidR="002C70DB">
        <w:t>South Africa</w:t>
      </w:r>
      <w:r>
        <w:t xml:space="preserve"> provided a large portion of the funding, whilst private South African business such as </w:t>
      </w:r>
      <w:r w:rsidR="00756A84">
        <w:t>SAB</w:t>
      </w:r>
      <w:r>
        <w:t xml:space="preserve"> provided the rest. In other words, Kerzner could secure the support of the three major factions of apartheid capital </w:t>
      </w:r>
      <w:r w:rsidR="002C70DB">
        <w:t>to build his flagship resort</w:t>
      </w:r>
      <w:r>
        <w:t xml:space="preserve">. Sun City was jointly owned by Southern Sun and the </w:t>
      </w:r>
      <w:r w:rsidR="00756A84">
        <w:t>BND</w:t>
      </w:r>
      <w:r>
        <w:t>C</w:t>
      </w:r>
      <w:r w:rsidR="00756A84">
        <w:t>.</w:t>
      </w:r>
      <w:r>
        <w:t xml:space="preserve"> The funding from the </w:t>
      </w:r>
      <w:r w:rsidR="00756A84">
        <w:t>NP</w:t>
      </w:r>
      <w:r>
        <w:t xml:space="preserve"> government was largely spent on improving infrastructure surrounding the resorts such as roads, electricity, water supply and telecommunications. Southern Sun promoted Sun City as the provider of employment and improved infrastructure. However, the area surrounding the resort remains largely impoverished to this day – despite claims that Sun</w:t>
      </w:r>
      <w:r w:rsidR="002C70DB">
        <w:t xml:space="preserve"> City would generate employment. The local residents would not see any benefit from the millions of Rands poured into the area.</w:t>
      </w:r>
    </w:p>
    <w:p w14:paraId="4DA8A9D8" w14:textId="77777777" w:rsidR="002F536C" w:rsidRDefault="002F536C" w:rsidP="002F536C">
      <w:r>
        <w:t xml:space="preserve">Since its inception, Sun City has provided employment for thousands of individuals with a policy to employ persons from surrounding communities first. The casino resort claimed to help ease the unemployment rates in areas such as Ledig, Mogwase and Chaneng. However, this thesis has proved that many of the positions reserved for employees from surrounding communities were restricted to the service industry and were contract based work. Archival records indicate that majority of employees at Sun City were classified as Bophuthatswana </w:t>
      </w:r>
      <w:r w:rsidR="00E86F93">
        <w:t>citizens</w:t>
      </w:r>
      <w:r>
        <w:t>, but only one was employed in a management position. Most of the management positions were held by individuals from South Africa or abroad</w:t>
      </w:r>
      <w:r w:rsidR="00756A84">
        <w:t xml:space="preserve"> and </w:t>
      </w:r>
      <w:r>
        <w:t xml:space="preserve">white and Indian workers received higher salaries than Bophuthatswana workers employed in the same position. Interviews with Sun City employees revealed that residents of the surrounding towns are grateful for the tourism industry that Sun City has provided as well as the extensive training and experience the resort provides. However, many view the resort as a stepping stone towards better employment elsewhere. Moreover, labour disputes and have plagued Sun City since the 1980s, despite inclusivity statements from its managing directors. Sun City </w:t>
      </w:r>
      <w:r>
        <w:lastRenderedPageBreak/>
        <w:t xml:space="preserve">maintained the appearance of an integrated work space, but the complaints and allegations surrounding employment demonstrate that workers did not feel satisfied with the working conditions. The unequal pay scheme demonstrates </w:t>
      </w:r>
      <w:r w:rsidR="006E3B58">
        <w:t>that apartheid labour policies were functioning within the bantustans.</w:t>
      </w:r>
      <w:r>
        <w:t xml:space="preserve"> Many individuals, whilst appreciative of work experience and training, sought and continue to seek employment opportunities elsewhere. Thus, Sun City was not the employment centre of Bophuthatswana as promised and advertised by Kerzner.</w:t>
      </w:r>
    </w:p>
    <w:p w14:paraId="5A88B13D" w14:textId="77777777" w:rsidR="002F536C" w:rsidRDefault="002F536C" w:rsidP="002F536C">
      <w:r>
        <w:t xml:space="preserve">As South Africa moved towards democratic elections, Lucas Mangope fought to maintain control of his pseudo-state. With mounting support for the ANC and increasing internal discontent, he was finally ousted from power on 12 March 1994. After the election of the ANC to power in 1994, Kerzner quickly distanced himself from Mangope to fit in with the new democratic order. He bought the rights to host the Miss World pageant and following the wide publicity the </w:t>
      </w:r>
      <w:r w:rsidR="00A4464C">
        <w:t>pageants</w:t>
      </w:r>
      <w:r>
        <w:t xml:space="preserve"> garnered for the newly democratic South Africa, the international community no longer rebuked Sun City, with celebrities travelling to watch the pageant live. Sun City was no longer in exile, but a member of the emerging South African democracy.</w:t>
      </w:r>
    </w:p>
    <w:p w14:paraId="49044EF8" w14:textId="77777777" w:rsidR="006E3B58" w:rsidRDefault="002F536C" w:rsidP="002F536C">
      <w:r>
        <w:t xml:space="preserve">The changes in power, both in Bophuthatswana and South Africa, left a gap in the regulations surrounding gambling. The bantustans were set to be reincorporated into the body of South Africa. Gambling was legal in those areas, but not in South Africa. A temporary act was drawn up which loosely regulated gambling in 1993. This was repealed and replaced by the Gambling Act in 1996, which made provision for the issuing of casino licences. Kerzner was forced to restructure his hotels and casinos, with the Fish River Sun losing its casino licence and forced Sun City to retrench a large portion of its staff. </w:t>
      </w:r>
    </w:p>
    <w:p w14:paraId="455669D1" w14:textId="77777777" w:rsidR="002F536C" w:rsidRDefault="002F536C" w:rsidP="002F536C">
      <w:r>
        <w:t>Sol Kerzner faced charges of bribery and corruption in 1996 as he was accused of bribing his way into the homelands during the late 1970s. H</w:t>
      </w:r>
      <w:r w:rsidR="006E3B58">
        <w:t>owever, h</w:t>
      </w:r>
      <w:r>
        <w:t xml:space="preserve">e was never indicted. Soon thereafter he divested his stock in his South African companies and emigrated to the United Kingdom. Kerzner succeeded in his plans, whilst, Mangope failed. The hotel tycoon went on to secure a working relationship with Nelson Mandela as well as casino licences in the new South Africa. Sun City stands an iconic South African venue despite the tumultuous history, bribery and staff exploitation. </w:t>
      </w:r>
    </w:p>
    <w:p w14:paraId="1F265C15" w14:textId="77777777" w:rsidR="002F536C" w:rsidRDefault="002F536C" w:rsidP="002F536C"/>
    <w:p w14:paraId="1DA74D59" w14:textId="77777777" w:rsidR="002F536C" w:rsidRDefault="002F536C">
      <w:pPr>
        <w:spacing w:line="259" w:lineRule="auto"/>
        <w:jc w:val="left"/>
        <w:rPr>
          <w:rFonts w:eastAsiaTheme="majorEastAsia"/>
        </w:rPr>
      </w:pPr>
      <w:r>
        <w:rPr>
          <w:rFonts w:eastAsiaTheme="majorEastAsia"/>
        </w:rPr>
        <w:br w:type="page"/>
      </w:r>
    </w:p>
    <w:p w14:paraId="364F2041" w14:textId="77777777" w:rsidR="002F536C" w:rsidRDefault="002F536C" w:rsidP="002F536C">
      <w:pPr>
        <w:pStyle w:val="Heading1"/>
        <w:numPr>
          <w:ilvl w:val="0"/>
          <w:numId w:val="0"/>
        </w:numPr>
        <w:ind w:left="432"/>
        <w:jc w:val="center"/>
      </w:pPr>
      <w:bookmarkStart w:id="72" w:name="_Toc457484980"/>
      <w:bookmarkStart w:id="73" w:name="_Toc488481737"/>
      <w:r>
        <w:lastRenderedPageBreak/>
        <w:t xml:space="preserve">SELECT </w:t>
      </w:r>
      <w:bookmarkEnd w:id="72"/>
      <w:r>
        <w:t>BIBLIOGRAPHY</w:t>
      </w:r>
      <w:bookmarkEnd w:id="73"/>
    </w:p>
    <w:p w14:paraId="14953E0D" w14:textId="77777777" w:rsidR="002F536C" w:rsidRDefault="002F536C" w:rsidP="002F536C">
      <w:pPr>
        <w:pStyle w:val="Heading2"/>
        <w:numPr>
          <w:ilvl w:val="0"/>
          <w:numId w:val="13"/>
        </w:numPr>
      </w:pPr>
      <w:bookmarkStart w:id="74" w:name="_Toc457484981"/>
      <w:bookmarkStart w:id="75" w:name="_Toc488481738"/>
      <w:r>
        <w:t>Primary Sources</w:t>
      </w:r>
      <w:bookmarkEnd w:id="74"/>
      <w:bookmarkEnd w:id="75"/>
    </w:p>
    <w:p w14:paraId="3C7A236F" w14:textId="77777777" w:rsidR="002F536C" w:rsidRDefault="002F536C" w:rsidP="002F536C">
      <w:pPr>
        <w:pStyle w:val="Heading3"/>
        <w:numPr>
          <w:ilvl w:val="0"/>
          <w:numId w:val="0"/>
        </w:numPr>
        <w:ind w:left="720"/>
      </w:pPr>
      <w:bookmarkStart w:id="76" w:name="_Toc457484982"/>
      <w:bookmarkStart w:id="77" w:name="_Toc488481739"/>
      <w:r>
        <w:t>Michigan State University - African Activist Archive</w:t>
      </w:r>
      <w:bookmarkEnd w:id="76"/>
      <w:bookmarkEnd w:id="77"/>
      <w:r>
        <w:t xml:space="preserve"> </w:t>
      </w:r>
    </w:p>
    <w:p w14:paraId="34AE2155" w14:textId="77777777" w:rsidR="002F536C" w:rsidRPr="0098505F" w:rsidRDefault="002F536C" w:rsidP="002F536C">
      <w:r>
        <w:t xml:space="preserve">Artists Against Apartheid Collection </w:t>
      </w:r>
      <w:r w:rsidR="006E3B58">
        <w:t xml:space="preserve">- </w:t>
      </w:r>
      <w:r w:rsidR="006E3B58" w:rsidRPr="006E3B58">
        <w:t>http://africanactivist.msu.edu/</w:t>
      </w:r>
    </w:p>
    <w:p w14:paraId="174182B6" w14:textId="77777777" w:rsidR="002F536C" w:rsidRDefault="002F536C" w:rsidP="002F536C">
      <w:pPr>
        <w:pStyle w:val="Heading3"/>
        <w:numPr>
          <w:ilvl w:val="0"/>
          <w:numId w:val="0"/>
        </w:numPr>
        <w:ind w:left="720"/>
      </w:pPr>
      <w:bookmarkStart w:id="78" w:name="_Toc457484983"/>
      <w:bookmarkStart w:id="79" w:name="_Toc488481740"/>
      <w:r>
        <w:t>National Archives</w:t>
      </w:r>
      <w:r w:rsidR="006E3B58">
        <w:t xml:space="preserve"> of South Africa</w:t>
      </w:r>
      <w:r>
        <w:t xml:space="preserve"> – Pretoria</w:t>
      </w:r>
      <w:bookmarkEnd w:id="78"/>
      <w:bookmarkEnd w:id="79"/>
    </w:p>
    <w:p w14:paraId="474048DF" w14:textId="77777777" w:rsidR="002F536C" w:rsidRDefault="002F536C" w:rsidP="002F536C">
      <w:pPr>
        <w:spacing w:line="240" w:lineRule="auto"/>
      </w:pPr>
      <w:r>
        <w:t>Secretary of Foreign Affairs, Secretary of Home Affairs</w:t>
      </w:r>
    </w:p>
    <w:p w14:paraId="08387B2A" w14:textId="77777777" w:rsidR="002F536C" w:rsidRDefault="002F536C" w:rsidP="002F536C">
      <w:pPr>
        <w:spacing w:line="240" w:lineRule="auto"/>
      </w:pPr>
      <w:r w:rsidRPr="00154956">
        <w:t xml:space="preserve">Department </w:t>
      </w:r>
      <w:r>
        <w:t>of Co-Operation and Development</w:t>
      </w:r>
    </w:p>
    <w:p w14:paraId="79D9C02A" w14:textId="77777777" w:rsidR="002F536C" w:rsidRDefault="002F536C" w:rsidP="002F536C">
      <w:pPr>
        <w:spacing w:line="240" w:lineRule="auto"/>
      </w:pPr>
      <w:r w:rsidRPr="00154956">
        <w:t>Deci</w:t>
      </w:r>
      <w:r>
        <w:t>sions of the Executive Council</w:t>
      </w:r>
    </w:p>
    <w:p w14:paraId="31ADF728" w14:textId="77777777" w:rsidR="002F536C" w:rsidRDefault="002F536C" w:rsidP="002F536C">
      <w:pPr>
        <w:spacing w:line="240" w:lineRule="auto"/>
      </w:pPr>
      <w:r w:rsidRPr="00154956">
        <w:t>Ministry of Constitutional Development and Planning Research</w:t>
      </w:r>
      <w:r>
        <w:t xml:space="preserve"> </w:t>
      </w:r>
    </w:p>
    <w:p w14:paraId="79EF8295" w14:textId="77777777" w:rsidR="002F536C" w:rsidRPr="006F53F5" w:rsidRDefault="002F536C" w:rsidP="002F536C">
      <w:pPr>
        <w:spacing w:line="240" w:lineRule="auto"/>
      </w:pPr>
      <w:r>
        <w:t>Department of Native Administration and Development</w:t>
      </w:r>
    </w:p>
    <w:p w14:paraId="74719226" w14:textId="77777777" w:rsidR="002F536C" w:rsidRDefault="002F536C" w:rsidP="002F536C">
      <w:pPr>
        <w:pStyle w:val="Heading3"/>
        <w:numPr>
          <w:ilvl w:val="0"/>
          <w:numId w:val="0"/>
        </w:numPr>
        <w:ind w:left="720"/>
      </w:pPr>
      <w:bookmarkStart w:id="80" w:name="_Toc457484984"/>
      <w:bookmarkStart w:id="81" w:name="_Toc488481741"/>
      <w:r>
        <w:t xml:space="preserve">North-West </w:t>
      </w:r>
      <w:r w:rsidR="006E3B58">
        <w:t xml:space="preserve">Provincial </w:t>
      </w:r>
      <w:r>
        <w:t>Archives, Mafikeng</w:t>
      </w:r>
      <w:bookmarkEnd w:id="80"/>
      <w:bookmarkEnd w:id="81"/>
    </w:p>
    <w:p w14:paraId="4400BE1B" w14:textId="77777777" w:rsidR="002F536C" w:rsidRDefault="006E3B58" w:rsidP="002F536C">
      <w:r>
        <w:t xml:space="preserve">Bophuthatswana Papers, </w:t>
      </w:r>
      <w:r w:rsidR="002F536C">
        <w:t>Office of the President</w:t>
      </w:r>
    </w:p>
    <w:p w14:paraId="6B89E6DA" w14:textId="77777777" w:rsidR="002F536C" w:rsidRDefault="002F536C" w:rsidP="002F536C">
      <w:pPr>
        <w:pStyle w:val="Heading3"/>
        <w:numPr>
          <w:ilvl w:val="0"/>
          <w:numId w:val="0"/>
        </w:numPr>
        <w:ind w:left="720"/>
      </w:pPr>
      <w:bookmarkStart w:id="82" w:name="_Toc457484985"/>
      <w:bookmarkStart w:id="83" w:name="_Toc488481742"/>
      <w:r>
        <w:t>North-Western University Library and Online Archives</w:t>
      </w:r>
      <w:bookmarkEnd w:id="82"/>
      <w:bookmarkEnd w:id="83"/>
    </w:p>
    <w:p w14:paraId="246A1941" w14:textId="77777777" w:rsidR="002F536C" w:rsidRPr="0098505F" w:rsidRDefault="002F536C" w:rsidP="002F536C">
      <w:r>
        <w:t xml:space="preserve">Africana Collection </w:t>
      </w:r>
      <w:r w:rsidR="006E3B58">
        <w:t xml:space="preserve">- </w:t>
      </w:r>
      <w:r w:rsidR="006E3B58" w:rsidRPr="006E3B58">
        <w:t>http://www.library.northwestern.edu/libraries-collections</w:t>
      </w:r>
    </w:p>
    <w:p w14:paraId="1557A75C" w14:textId="77777777" w:rsidR="002F536C" w:rsidRDefault="002F536C" w:rsidP="002F536C">
      <w:pPr>
        <w:pStyle w:val="Heading3"/>
        <w:numPr>
          <w:ilvl w:val="0"/>
          <w:numId w:val="0"/>
        </w:numPr>
        <w:ind w:left="720"/>
        <w:rPr>
          <w:rFonts w:cs="Times New Roman"/>
        </w:rPr>
      </w:pPr>
      <w:bookmarkStart w:id="84" w:name="_Toc457484986"/>
      <w:bookmarkStart w:id="85" w:name="_Toc488481743"/>
      <w:r w:rsidRPr="00ED5552">
        <w:rPr>
          <w:rFonts w:cs="Times New Roman"/>
        </w:rPr>
        <w:t>Inter</w:t>
      </w:r>
      <w:r>
        <w:rPr>
          <w:rFonts w:cs="Times New Roman"/>
        </w:rPr>
        <w:t>views</w:t>
      </w:r>
      <w:bookmarkEnd w:id="84"/>
      <w:bookmarkEnd w:id="85"/>
    </w:p>
    <w:p w14:paraId="5EBC389B" w14:textId="77777777" w:rsidR="002F536C" w:rsidRPr="00A67935" w:rsidRDefault="002F536C" w:rsidP="002F536C">
      <w:pPr>
        <w:spacing w:line="240" w:lineRule="auto"/>
      </w:pPr>
      <w:r>
        <w:t>Anonymous 1: Interviewed by Nicola van der Merwe. Johannesburg, 15 April 2016.</w:t>
      </w:r>
      <w:hyperlink r:id="rId24" w:tooltip="Call via Hangouts" w:history="1"/>
    </w:p>
    <w:p w14:paraId="75D47762" w14:textId="77777777" w:rsidR="002F536C" w:rsidRDefault="002F536C" w:rsidP="002F536C">
      <w:pPr>
        <w:spacing w:line="240" w:lineRule="auto"/>
        <w:jc w:val="left"/>
      </w:pPr>
      <w:r>
        <w:t>Anonymous 2: Interviewed by Nicola van der Merwe. Ledig, 26 April 2016.</w:t>
      </w:r>
    </w:p>
    <w:p w14:paraId="72F4EC13" w14:textId="77777777" w:rsidR="002F536C" w:rsidRDefault="002F536C" w:rsidP="002F536C">
      <w:pPr>
        <w:spacing w:line="240" w:lineRule="auto"/>
        <w:jc w:val="left"/>
      </w:pPr>
      <w:r>
        <w:rPr>
          <w:lang w:val="en-US"/>
        </w:rPr>
        <w:t>Anonymous 3: Interviewed by Nicola van der Merwe. Johannesburg, 4 May 2016.</w:t>
      </w:r>
    </w:p>
    <w:p w14:paraId="3911904F" w14:textId="77777777" w:rsidR="002F536C" w:rsidRDefault="002F536C" w:rsidP="002F536C">
      <w:pPr>
        <w:spacing w:line="240" w:lineRule="auto"/>
        <w:jc w:val="left"/>
      </w:pPr>
      <w:r>
        <w:t>Anonymous 4: Interviewed by Nicola van der Merwe. Sun City, 6 May 2016.</w:t>
      </w:r>
    </w:p>
    <w:p w14:paraId="71DA06D4" w14:textId="77777777" w:rsidR="002F536C" w:rsidRDefault="002F536C" w:rsidP="002F536C">
      <w:pPr>
        <w:spacing w:line="240" w:lineRule="auto"/>
        <w:jc w:val="left"/>
      </w:pPr>
      <w:r>
        <w:t>Anonymous 5: Interviewed by Nicola van der Merwe. Ledig, 26 April 2016.</w:t>
      </w:r>
    </w:p>
    <w:p w14:paraId="5444F4F1" w14:textId="77777777" w:rsidR="002F536C" w:rsidRDefault="00355DF8" w:rsidP="002F536C">
      <w:pPr>
        <w:spacing w:line="240" w:lineRule="auto"/>
        <w:jc w:val="left"/>
      </w:pPr>
      <w:r>
        <w:t>Baird, J</w:t>
      </w:r>
      <w:r w:rsidR="002F536C">
        <w:t xml:space="preserve">: Interviewed by Nicola van der Merwe. Komatipoort, 29 April 2016. </w:t>
      </w:r>
    </w:p>
    <w:p w14:paraId="74759A30" w14:textId="77777777" w:rsidR="002F536C" w:rsidRDefault="00355DF8" w:rsidP="002F536C">
      <w:pPr>
        <w:spacing w:line="240" w:lineRule="auto"/>
        <w:jc w:val="left"/>
      </w:pPr>
      <w:r>
        <w:t>Baird, W</w:t>
      </w:r>
      <w:r w:rsidR="002F536C">
        <w:t xml:space="preserve">: Interviewed by Nicola van der Merwe. Komatipoort, 29 April 2016. </w:t>
      </w:r>
    </w:p>
    <w:p w14:paraId="5EA91F11" w14:textId="77777777" w:rsidR="002F536C" w:rsidRDefault="006E3B58" w:rsidP="002F536C">
      <w:pPr>
        <w:spacing w:line="240" w:lineRule="auto"/>
        <w:jc w:val="left"/>
      </w:pPr>
      <w:r>
        <w:t>B</w:t>
      </w:r>
      <w:r>
        <w:rPr>
          <w:rFonts w:cs="Times New Roman"/>
        </w:rPr>
        <w:t>ü</w:t>
      </w:r>
      <w:r w:rsidR="00355DF8">
        <w:t>hrer, C</w:t>
      </w:r>
      <w:r w:rsidR="002F536C">
        <w:t xml:space="preserve">: Interviewed by Nicola van der Merwe. Cape Town, 21 April 2016. </w:t>
      </w:r>
    </w:p>
    <w:p w14:paraId="1919C44B" w14:textId="77777777" w:rsidR="002F536C" w:rsidRDefault="00355DF8" w:rsidP="002F536C">
      <w:pPr>
        <w:spacing w:line="240" w:lineRule="auto"/>
        <w:jc w:val="left"/>
      </w:pPr>
      <w:r>
        <w:t>Buthelezi, S</w:t>
      </w:r>
      <w:r w:rsidR="002F536C">
        <w:t xml:space="preserve">: Interviewed by Nicola van der Merwe. Sun City, 6 May 2016. </w:t>
      </w:r>
    </w:p>
    <w:p w14:paraId="0C8C210E" w14:textId="77777777" w:rsidR="002F536C" w:rsidRDefault="00355DF8" w:rsidP="002F536C">
      <w:pPr>
        <w:spacing w:line="240" w:lineRule="auto"/>
        <w:jc w:val="left"/>
      </w:pPr>
      <w:r>
        <w:t>Cackett, P</w:t>
      </w:r>
      <w:r w:rsidR="002F536C">
        <w:t>: Interviewed by Nicola van der Merwe. Cape Town, 23 April 2016.</w:t>
      </w:r>
    </w:p>
    <w:p w14:paraId="76DCC536" w14:textId="77777777" w:rsidR="002F536C" w:rsidRDefault="00355DF8" w:rsidP="002F536C">
      <w:pPr>
        <w:spacing w:line="240" w:lineRule="auto"/>
        <w:jc w:val="left"/>
      </w:pPr>
      <w:r>
        <w:t>Dreyer, R</w:t>
      </w:r>
      <w:r w:rsidR="002F536C">
        <w:t xml:space="preserve">: Interviewed by Nicola van der Merwe. Johannesburg, 3 March 2016. </w:t>
      </w:r>
    </w:p>
    <w:p w14:paraId="0E86B27D" w14:textId="77777777" w:rsidR="002F536C" w:rsidRDefault="00355DF8" w:rsidP="002F536C">
      <w:pPr>
        <w:spacing w:line="240" w:lineRule="auto"/>
        <w:jc w:val="left"/>
      </w:pPr>
      <w:r>
        <w:t>Evans, M</w:t>
      </w:r>
      <w:r w:rsidR="002F536C">
        <w:t>: Interviewed by Nicola van der Merwe. University of Cape Town, 21 April 2016.</w:t>
      </w:r>
    </w:p>
    <w:p w14:paraId="607A2147" w14:textId="77777777" w:rsidR="002F536C" w:rsidRDefault="00355DF8" w:rsidP="002F536C">
      <w:pPr>
        <w:spacing w:line="240" w:lineRule="auto"/>
        <w:jc w:val="left"/>
      </w:pPr>
      <w:r>
        <w:t>King, L</w:t>
      </w:r>
      <w:r w:rsidR="002F536C">
        <w:t>: Interviewed by Nicola van der Merwe. Cape Town, 22 April 2016.</w:t>
      </w:r>
    </w:p>
    <w:p w14:paraId="485B7FA7" w14:textId="77777777" w:rsidR="002F536C" w:rsidRPr="000C26FA" w:rsidRDefault="00355DF8" w:rsidP="002F536C">
      <w:pPr>
        <w:spacing w:line="240" w:lineRule="auto"/>
      </w:pPr>
      <w:r>
        <w:t>Kleinhans-Curd, A</w:t>
      </w:r>
      <w:r w:rsidR="002F536C" w:rsidRPr="000C26FA">
        <w:t>: Interviewed by Nicola van der Merwe. Franschoek, 22 April 2016</w:t>
      </w:r>
      <w:r w:rsidR="002F536C">
        <w:t>.</w:t>
      </w:r>
      <w:r w:rsidR="002F536C">
        <w:rPr>
          <w:shd w:val="clear" w:color="auto" w:fill="FFFFFF"/>
        </w:rPr>
        <w:t xml:space="preserve">. </w:t>
      </w:r>
      <w:r w:rsidR="002F536C" w:rsidRPr="000C26FA">
        <w:rPr>
          <w:rStyle w:val="apple-converted-space"/>
          <w:rFonts w:cs="Times New Roman"/>
          <w:szCs w:val="24"/>
          <w:shd w:val="clear" w:color="auto" w:fill="FFFFFF"/>
        </w:rPr>
        <w:t> </w:t>
      </w:r>
    </w:p>
    <w:p w14:paraId="793D01DB" w14:textId="77777777" w:rsidR="002F536C" w:rsidRPr="00515766" w:rsidRDefault="002F536C" w:rsidP="002F536C">
      <w:pPr>
        <w:spacing w:line="240" w:lineRule="auto"/>
      </w:pPr>
      <w:r>
        <w:t>P</w:t>
      </w:r>
      <w:r w:rsidRPr="00754572">
        <w:t>ortenschlager</w:t>
      </w:r>
      <w:r w:rsidR="00355DF8">
        <w:t>, H</w:t>
      </w:r>
      <w:r>
        <w:t xml:space="preserve">: Interviewed by Nicola van der Merwe. Sun City, 6 May 2016. </w:t>
      </w:r>
    </w:p>
    <w:p w14:paraId="347D26BF" w14:textId="77777777" w:rsidR="002F536C" w:rsidRPr="00460385" w:rsidRDefault="00355DF8" w:rsidP="002F536C">
      <w:pPr>
        <w:spacing w:line="240" w:lineRule="auto"/>
        <w:jc w:val="left"/>
      </w:pPr>
      <w:r>
        <w:lastRenderedPageBreak/>
        <w:t>T. Tshepo</w:t>
      </w:r>
      <w:r w:rsidR="002F536C">
        <w:t xml:space="preserve">: Interviewed by Nicola van der Merwe. Sun City, 6 May 2016. </w:t>
      </w:r>
      <w:hyperlink r:id="rId25" w:tooltip="Call via Hangouts" w:history="1"/>
    </w:p>
    <w:p w14:paraId="40442E5A" w14:textId="77777777" w:rsidR="002F536C" w:rsidRDefault="00355DF8" w:rsidP="002F536C">
      <w:pPr>
        <w:spacing w:line="240" w:lineRule="auto"/>
        <w:jc w:val="left"/>
      </w:pPr>
      <w:r>
        <w:t>Van der Merwe, K</w:t>
      </w:r>
      <w:r w:rsidR="002F536C">
        <w:t xml:space="preserve">: Interviewed by Nicola van der Merwe. Grahamstown, 28 February 2015. </w:t>
      </w:r>
    </w:p>
    <w:p w14:paraId="12B2F8AE" w14:textId="77777777" w:rsidR="002F536C" w:rsidRDefault="00355DF8" w:rsidP="002F536C">
      <w:pPr>
        <w:spacing w:line="240" w:lineRule="auto"/>
        <w:jc w:val="left"/>
      </w:pPr>
      <w:r>
        <w:t>West, M</w:t>
      </w:r>
      <w:r w:rsidR="002F536C">
        <w:t xml:space="preserve">: Interviewed by Nicola van der Merwe. Saldhana Bay, 21 April 2016. </w:t>
      </w:r>
    </w:p>
    <w:p w14:paraId="76FAF7B6" w14:textId="77777777" w:rsidR="002F536C" w:rsidRPr="00283D63" w:rsidRDefault="002F536C" w:rsidP="002F536C">
      <w:pPr>
        <w:pStyle w:val="Heading3"/>
        <w:numPr>
          <w:ilvl w:val="0"/>
          <w:numId w:val="0"/>
        </w:numPr>
        <w:ind w:left="720"/>
        <w:rPr>
          <w:rFonts w:cstheme="minorBidi"/>
        </w:rPr>
      </w:pPr>
      <w:bookmarkStart w:id="86" w:name="_Toc457484987"/>
      <w:bookmarkStart w:id="87" w:name="_Toc488481744"/>
      <w:r w:rsidRPr="00246DA1">
        <w:t>Newspaper</w:t>
      </w:r>
      <w:r>
        <w:t>s</w:t>
      </w:r>
      <w:bookmarkEnd w:id="86"/>
      <w:bookmarkEnd w:id="87"/>
    </w:p>
    <w:p w14:paraId="14FDEC6B" w14:textId="77777777" w:rsidR="002F536C" w:rsidRDefault="002F536C" w:rsidP="002F536C">
      <w:pPr>
        <w:spacing w:line="240" w:lineRule="auto"/>
        <w:jc w:val="left"/>
      </w:pPr>
      <w:r>
        <w:rPr>
          <w:i/>
        </w:rPr>
        <w:t xml:space="preserve">Daily Maverick </w:t>
      </w:r>
      <w:r>
        <w:t>2012-2014</w:t>
      </w:r>
    </w:p>
    <w:p w14:paraId="6C637C8A" w14:textId="77777777" w:rsidR="002F536C" w:rsidRPr="00E11DF8" w:rsidRDefault="002F536C" w:rsidP="002F536C">
      <w:pPr>
        <w:spacing w:line="240" w:lineRule="auto"/>
        <w:jc w:val="left"/>
      </w:pPr>
      <w:r>
        <w:rPr>
          <w:i/>
        </w:rPr>
        <w:t xml:space="preserve">The Guardian UK </w:t>
      </w:r>
      <w:r>
        <w:t>2005-2015</w:t>
      </w:r>
    </w:p>
    <w:p w14:paraId="3FADB8C3" w14:textId="77777777" w:rsidR="002F536C" w:rsidRDefault="002F536C" w:rsidP="002F536C">
      <w:pPr>
        <w:spacing w:line="240" w:lineRule="auto"/>
      </w:pPr>
      <w:r>
        <w:rPr>
          <w:i/>
        </w:rPr>
        <w:t xml:space="preserve">LA Times </w:t>
      </w:r>
      <w:r>
        <w:t>1984-2002</w:t>
      </w:r>
    </w:p>
    <w:p w14:paraId="0695E9C9" w14:textId="77777777" w:rsidR="002F536C" w:rsidRDefault="002F536C" w:rsidP="002F536C">
      <w:pPr>
        <w:spacing w:line="240" w:lineRule="auto"/>
        <w:jc w:val="left"/>
      </w:pPr>
      <w:r>
        <w:rPr>
          <w:i/>
        </w:rPr>
        <w:t xml:space="preserve">Mail and Guardian </w:t>
      </w:r>
      <w:r>
        <w:t>1995-2015</w:t>
      </w:r>
    </w:p>
    <w:p w14:paraId="4036686F" w14:textId="77777777" w:rsidR="002F536C" w:rsidRDefault="002F536C" w:rsidP="002F536C">
      <w:pPr>
        <w:spacing w:line="240" w:lineRule="auto"/>
      </w:pPr>
      <w:r>
        <w:rPr>
          <w:i/>
          <w:lang w:val="en-US"/>
        </w:rPr>
        <w:t>Sunday Times</w:t>
      </w:r>
      <w:r>
        <w:rPr>
          <w:lang w:val="en-US"/>
        </w:rPr>
        <w:t xml:space="preserve"> 2011-2014</w:t>
      </w:r>
    </w:p>
    <w:p w14:paraId="02514ECF" w14:textId="77777777" w:rsidR="002F536C" w:rsidRPr="00E11DF8" w:rsidRDefault="002F536C" w:rsidP="002F536C">
      <w:pPr>
        <w:spacing w:line="240" w:lineRule="auto"/>
        <w:jc w:val="left"/>
      </w:pPr>
      <w:r>
        <w:rPr>
          <w:i/>
        </w:rPr>
        <w:t xml:space="preserve">Times Live </w:t>
      </w:r>
      <w:r>
        <w:t>2010</w:t>
      </w:r>
    </w:p>
    <w:p w14:paraId="0448FE92" w14:textId="77777777" w:rsidR="002F536C" w:rsidRDefault="002F536C" w:rsidP="002F536C">
      <w:pPr>
        <w:spacing w:line="240" w:lineRule="auto"/>
      </w:pPr>
      <w:r>
        <w:rPr>
          <w:i/>
        </w:rPr>
        <w:t>Time Magazine</w:t>
      </w:r>
      <w:r>
        <w:t xml:space="preserve"> 1952-2002</w:t>
      </w:r>
    </w:p>
    <w:p w14:paraId="7F5AD053" w14:textId="77777777" w:rsidR="002F536C" w:rsidRDefault="002F536C" w:rsidP="002F536C">
      <w:pPr>
        <w:spacing w:line="240" w:lineRule="auto"/>
      </w:pPr>
      <w:r>
        <w:rPr>
          <w:i/>
        </w:rPr>
        <w:t xml:space="preserve">The New York Times </w:t>
      </w:r>
      <w:r>
        <w:t>1983-2012</w:t>
      </w:r>
    </w:p>
    <w:p w14:paraId="59F6F435" w14:textId="77777777" w:rsidR="002F536C" w:rsidRPr="00E11DF8" w:rsidRDefault="002F536C" w:rsidP="002F536C">
      <w:pPr>
        <w:spacing w:line="240" w:lineRule="auto"/>
        <w:ind w:left="720" w:hanging="720"/>
        <w:jc w:val="left"/>
      </w:pPr>
      <w:r>
        <w:rPr>
          <w:i/>
        </w:rPr>
        <w:t xml:space="preserve">The Mail </w:t>
      </w:r>
      <w:r>
        <w:t>1986-1992</w:t>
      </w:r>
    </w:p>
    <w:p w14:paraId="72036DBE" w14:textId="77777777" w:rsidR="002F536C" w:rsidRPr="00A042DA" w:rsidRDefault="002F536C" w:rsidP="002F536C">
      <w:pPr>
        <w:spacing w:line="240" w:lineRule="auto"/>
        <w:ind w:left="720" w:hanging="720"/>
        <w:rPr>
          <w:i/>
        </w:rPr>
      </w:pPr>
      <w:r>
        <w:rPr>
          <w:i/>
        </w:rPr>
        <w:t xml:space="preserve">The Sowetan </w:t>
      </w:r>
      <w:r>
        <w:t>1981-</w:t>
      </w:r>
      <w:r>
        <w:rPr>
          <w:i/>
        </w:rPr>
        <w:t>2015</w:t>
      </w:r>
    </w:p>
    <w:p w14:paraId="0895FFB9" w14:textId="77777777" w:rsidR="002F536C" w:rsidRPr="0030269C" w:rsidRDefault="002F536C" w:rsidP="002F536C">
      <w:pPr>
        <w:spacing w:line="240" w:lineRule="auto"/>
        <w:ind w:left="720" w:hanging="720"/>
      </w:pPr>
      <w:r>
        <w:rPr>
          <w:i/>
        </w:rPr>
        <w:t xml:space="preserve">The Star </w:t>
      </w:r>
      <w:r>
        <w:t>2014-2015</w:t>
      </w:r>
    </w:p>
    <w:p w14:paraId="7D800CAF" w14:textId="77777777" w:rsidR="002F536C" w:rsidRDefault="002F536C" w:rsidP="002F536C">
      <w:pPr>
        <w:jc w:val="left"/>
      </w:pPr>
      <w:r>
        <w:br w:type="page"/>
      </w:r>
    </w:p>
    <w:p w14:paraId="3473836C" w14:textId="77777777" w:rsidR="002F536C" w:rsidRDefault="002F536C" w:rsidP="002F536C">
      <w:pPr>
        <w:pStyle w:val="Heading2"/>
        <w:numPr>
          <w:ilvl w:val="0"/>
          <w:numId w:val="13"/>
        </w:numPr>
      </w:pPr>
      <w:bookmarkStart w:id="88" w:name="_Toc457484988"/>
      <w:bookmarkStart w:id="89" w:name="_Toc488481745"/>
      <w:r>
        <w:lastRenderedPageBreak/>
        <w:t>Secondary Sources</w:t>
      </w:r>
      <w:bookmarkEnd w:id="88"/>
      <w:bookmarkEnd w:id="89"/>
    </w:p>
    <w:p w14:paraId="4E8584CD" w14:textId="77777777" w:rsidR="002F536C" w:rsidRDefault="002F536C" w:rsidP="002F536C">
      <w:pPr>
        <w:pStyle w:val="Heading3"/>
        <w:numPr>
          <w:ilvl w:val="0"/>
          <w:numId w:val="0"/>
        </w:numPr>
        <w:ind w:left="720"/>
      </w:pPr>
      <w:bookmarkStart w:id="90" w:name="_Toc457484989"/>
      <w:bookmarkStart w:id="91" w:name="_Toc488481746"/>
      <w:r>
        <w:t>Books</w:t>
      </w:r>
      <w:bookmarkEnd w:id="90"/>
      <w:bookmarkEnd w:id="91"/>
    </w:p>
    <w:p w14:paraId="734479A5" w14:textId="77777777" w:rsidR="002F536C" w:rsidRPr="005A25E6" w:rsidRDefault="00355DF8" w:rsidP="00DB7A22">
      <w:pPr>
        <w:spacing w:line="240" w:lineRule="auto"/>
        <w:jc w:val="left"/>
      </w:pPr>
      <w:r>
        <w:t>Chipkin, C.M</w:t>
      </w:r>
      <w:r w:rsidR="002F536C">
        <w:t xml:space="preserve">: </w:t>
      </w:r>
      <w:r w:rsidR="002F536C">
        <w:rPr>
          <w:i/>
        </w:rPr>
        <w:t xml:space="preserve">Johannesburg Transition – Architecture and Society from 1950. </w:t>
      </w:r>
      <w:r w:rsidR="002F536C">
        <w:t>STE Publishers, Johannesburg, 2008.</w:t>
      </w:r>
    </w:p>
    <w:p w14:paraId="24FBB298" w14:textId="77777777" w:rsidR="002F536C" w:rsidRDefault="00355DF8" w:rsidP="00DB7A22">
      <w:pPr>
        <w:spacing w:line="240" w:lineRule="auto"/>
        <w:jc w:val="left"/>
      </w:pPr>
      <w:r>
        <w:t>Collins, P</w:t>
      </w:r>
      <w:r w:rsidR="002F536C">
        <w:t xml:space="preserve">: </w:t>
      </w:r>
      <w:r w:rsidR="002F536C">
        <w:rPr>
          <w:i/>
        </w:rPr>
        <w:t>Gambling and the Public Interest.</w:t>
      </w:r>
      <w:r w:rsidR="002F536C">
        <w:t xml:space="preserve"> Praeger Publishers, Westport, 2003.</w:t>
      </w:r>
    </w:p>
    <w:p w14:paraId="66FF2A3D" w14:textId="77777777" w:rsidR="002F536C" w:rsidRDefault="00355DF8" w:rsidP="00DB7A22">
      <w:pPr>
        <w:spacing w:line="240" w:lineRule="auto"/>
        <w:jc w:val="left"/>
      </w:pPr>
      <w:r>
        <w:t>Comaroff, J. &amp; J</w:t>
      </w:r>
      <w:r w:rsidR="002F536C">
        <w:t xml:space="preserve">: </w:t>
      </w:r>
      <w:r w:rsidR="002F536C">
        <w:rPr>
          <w:i/>
        </w:rPr>
        <w:t xml:space="preserve">Ethnicity Inc. </w:t>
      </w:r>
      <w:r w:rsidR="002F536C">
        <w:t xml:space="preserve">The University of Chicago Press, Chicago, 2009.  </w:t>
      </w:r>
    </w:p>
    <w:p w14:paraId="660448C4" w14:textId="77777777" w:rsidR="002F536C" w:rsidRDefault="00355DF8" w:rsidP="00DB7A22">
      <w:pPr>
        <w:spacing w:line="240" w:lineRule="auto"/>
        <w:jc w:val="left"/>
      </w:pPr>
      <w:r>
        <w:t>Davenport, T.R.H</w:t>
      </w:r>
      <w:r w:rsidR="002F536C">
        <w:t xml:space="preserve">: </w:t>
      </w:r>
      <w:r w:rsidR="002F536C">
        <w:rPr>
          <w:i/>
        </w:rPr>
        <w:t xml:space="preserve">South Africa: A Modern History. </w:t>
      </w:r>
      <w:r w:rsidR="002F536C">
        <w:t>University of Toronto Press,</w:t>
      </w:r>
      <w:r w:rsidR="006E3B58">
        <w:t xml:space="preserve"> Toronto,</w:t>
      </w:r>
      <w:r w:rsidR="002F536C">
        <w:t xml:space="preserve"> 1987</w:t>
      </w:r>
    </w:p>
    <w:p w14:paraId="4D68628A" w14:textId="77777777" w:rsidR="002F536C" w:rsidRDefault="00355DF8" w:rsidP="00DB7A22">
      <w:pPr>
        <w:spacing w:line="240" w:lineRule="auto"/>
        <w:jc w:val="left"/>
      </w:pPr>
      <w:r>
        <w:t>Evans, M</w:t>
      </w:r>
      <w:r w:rsidR="002F536C">
        <w:t xml:space="preserve">: </w:t>
      </w:r>
      <w:r w:rsidR="002F536C">
        <w:rPr>
          <w:i/>
        </w:rPr>
        <w:t xml:space="preserve">Broadcasting the End of Apartheid: Live Television and the Birth of a New South Africa. </w:t>
      </w:r>
      <w:r w:rsidR="002F536C">
        <w:t>I.B. Tauris, London, 2014.</w:t>
      </w:r>
    </w:p>
    <w:p w14:paraId="38993215" w14:textId="77777777" w:rsidR="002F536C" w:rsidRPr="00FD1DCA" w:rsidRDefault="002F536C" w:rsidP="00DB7A22">
      <w:pPr>
        <w:spacing w:line="240" w:lineRule="auto"/>
        <w:jc w:val="left"/>
      </w:pPr>
      <w:r>
        <w:t>Mans</w:t>
      </w:r>
      <w:r w:rsidR="00355DF8">
        <w:t>on, A., Mbenga, B. &amp; Lissoni, A</w:t>
      </w:r>
      <w:r>
        <w:t xml:space="preserve">: </w:t>
      </w:r>
      <w:r>
        <w:rPr>
          <w:i/>
        </w:rPr>
        <w:t xml:space="preserve">Khongolose: A Short History of the ANC in the North-West Province from 1909. </w:t>
      </w:r>
      <w:r>
        <w:t xml:space="preserve">UNISA Press, Pretoria, 2016. </w:t>
      </w:r>
    </w:p>
    <w:p w14:paraId="68232352" w14:textId="77777777" w:rsidR="002F536C" w:rsidRDefault="00355DF8" w:rsidP="00DB7A22">
      <w:pPr>
        <w:spacing w:line="240" w:lineRule="auto"/>
        <w:jc w:val="left"/>
      </w:pPr>
      <w:r>
        <w:t>Manson, A. &amp; Mbenga, B.K</w:t>
      </w:r>
      <w:r w:rsidR="002F536C">
        <w:t xml:space="preserve">: </w:t>
      </w:r>
      <w:r w:rsidR="002F536C" w:rsidRPr="00587420">
        <w:rPr>
          <w:i/>
        </w:rPr>
        <w:t xml:space="preserve">Land, Chiefs, Mining: South Africa’s North West province since 1840. </w:t>
      </w:r>
      <w:r w:rsidR="002F536C">
        <w:t xml:space="preserve">Wits University Press, Johannesburg, 2014. </w:t>
      </w:r>
    </w:p>
    <w:p w14:paraId="270EFCDF" w14:textId="77777777" w:rsidR="002F536C" w:rsidRPr="00E40A00" w:rsidRDefault="00355DF8" w:rsidP="00DB7A22">
      <w:pPr>
        <w:spacing w:line="240" w:lineRule="auto"/>
        <w:jc w:val="left"/>
      </w:pPr>
      <w:r>
        <w:t>Nauright, J</w:t>
      </w:r>
      <w:r w:rsidR="002F536C">
        <w:t xml:space="preserve">: </w:t>
      </w:r>
      <w:r w:rsidR="002F536C">
        <w:rPr>
          <w:i/>
        </w:rPr>
        <w:t xml:space="preserve">Sports around the World: History, Culture and Practice. </w:t>
      </w:r>
      <w:r w:rsidR="002F536C" w:rsidRPr="00E40A00">
        <w:t>ABC-CLIO,</w:t>
      </w:r>
      <w:r w:rsidR="002F536C">
        <w:t xml:space="preserve"> Santa Barbara, 2012. </w:t>
      </w:r>
    </w:p>
    <w:p w14:paraId="0507C910" w14:textId="77777777" w:rsidR="002F536C" w:rsidRDefault="002F536C" w:rsidP="00DB7A22">
      <w:pPr>
        <w:spacing w:line="240" w:lineRule="auto"/>
        <w:jc w:val="left"/>
      </w:pPr>
      <w:r>
        <w:t>Nixon, R</w:t>
      </w:r>
      <w:r w:rsidR="00355DF8">
        <w:t>:</w:t>
      </w:r>
      <w:r>
        <w:t xml:space="preserve"> </w:t>
      </w:r>
      <w:r w:rsidR="00505A1B">
        <w:rPr>
          <w:i/>
        </w:rPr>
        <w:t>Homelands, Harlem</w:t>
      </w:r>
      <w:r>
        <w:rPr>
          <w:i/>
        </w:rPr>
        <w:t xml:space="preserve"> and Hollywood: South African Culture and the World Beyond. </w:t>
      </w:r>
      <w:r>
        <w:t xml:space="preserve">Routledge, New York, 1994. </w:t>
      </w:r>
    </w:p>
    <w:p w14:paraId="16B91A52" w14:textId="77777777" w:rsidR="002F536C" w:rsidRDefault="00355DF8" w:rsidP="00DB7A22">
      <w:pPr>
        <w:spacing w:line="259" w:lineRule="auto"/>
        <w:jc w:val="left"/>
      </w:pPr>
      <w:r>
        <w:rPr>
          <w:lang w:val="en-US"/>
        </w:rPr>
        <w:t>Pederson, J. (Ed)</w:t>
      </w:r>
      <w:r w:rsidR="002F536C">
        <w:rPr>
          <w:lang w:val="en-US"/>
        </w:rPr>
        <w:t xml:space="preserve">: </w:t>
      </w:r>
      <w:r w:rsidR="002F536C">
        <w:rPr>
          <w:i/>
          <w:lang w:val="en-US"/>
        </w:rPr>
        <w:t>International Directory of Company Histories</w:t>
      </w:r>
      <w:r w:rsidR="002F536C">
        <w:rPr>
          <w:lang w:val="en-US"/>
        </w:rPr>
        <w:t>. St James Press, New York, 1995.</w:t>
      </w:r>
    </w:p>
    <w:p w14:paraId="56337568" w14:textId="77777777" w:rsidR="002F536C" w:rsidRDefault="00355DF8" w:rsidP="00DB7A22">
      <w:pPr>
        <w:spacing w:line="240" w:lineRule="auto"/>
        <w:jc w:val="left"/>
      </w:pPr>
      <w:r>
        <w:t>Ross, R</w:t>
      </w:r>
      <w:r w:rsidR="002F536C">
        <w:t xml:space="preserve">: </w:t>
      </w:r>
      <w:r w:rsidR="002F536C">
        <w:rPr>
          <w:i/>
        </w:rPr>
        <w:t xml:space="preserve">Status and Respectability in the Cape Colony 1750-1870: A Tragedy of Manners. </w:t>
      </w:r>
      <w:r w:rsidR="002F536C">
        <w:t xml:space="preserve">Cambridge University Press, </w:t>
      </w:r>
      <w:r w:rsidR="00DB7A22">
        <w:t>London,</w:t>
      </w:r>
      <w:r w:rsidR="002F536C">
        <w:t xml:space="preserve"> 1999.</w:t>
      </w:r>
    </w:p>
    <w:p w14:paraId="0F2C0AC6" w14:textId="77777777" w:rsidR="002F536C" w:rsidRDefault="002F536C" w:rsidP="00DB7A22">
      <w:pPr>
        <w:spacing w:line="240" w:lineRule="auto"/>
        <w:jc w:val="left"/>
      </w:pPr>
      <w:r>
        <w:t>Saayman, M. &amp; Smal</w:t>
      </w:r>
      <w:r w:rsidR="00355DF8">
        <w:t>berger, R</w:t>
      </w:r>
      <w:r>
        <w:t xml:space="preserve">: </w:t>
      </w:r>
      <w:r w:rsidRPr="00A34AAD">
        <w:rPr>
          <w:i/>
        </w:rPr>
        <w:t xml:space="preserve">Sex </w:t>
      </w:r>
      <w:r>
        <w:rPr>
          <w:i/>
        </w:rPr>
        <w:t>Tourism in South Africa: A Case of Four C</w:t>
      </w:r>
      <w:r w:rsidRPr="00A34AAD">
        <w:rPr>
          <w:i/>
        </w:rPr>
        <w:t>ities</w:t>
      </w:r>
      <w:r>
        <w:t xml:space="preserve">. Institute for Tourism and Leisure Studies, Potchefstroom University, 1996. </w:t>
      </w:r>
    </w:p>
    <w:p w14:paraId="27A6084D" w14:textId="77777777" w:rsidR="006E3B58" w:rsidRDefault="006E3B58" w:rsidP="00DB7A22">
      <w:pPr>
        <w:spacing w:line="240" w:lineRule="auto"/>
        <w:jc w:val="left"/>
      </w:pPr>
      <w:r>
        <w:t xml:space="preserve">J.J. Sallaz: </w:t>
      </w:r>
      <w:r w:rsidRPr="009C1495">
        <w:rPr>
          <w:i/>
        </w:rPr>
        <w:t xml:space="preserve">Gambling with Development: Casino Capitalism in South Africa and on Indian Lands in </w:t>
      </w:r>
      <w:r w:rsidRPr="00586D3A">
        <w:rPr>
          <w:i/>
        </w:rPr>
        <w:t xml:space="preserve">California. </w:t>
      </w:r>
      <w:hyperlink r:id="rId26" w:history="1">
        <w:r w:rsidRPr="00586D3A">
          <w:rPr>
            <w:rStyle w:val="Hyperlink"/>
          </w:rPr>
          <w:t>http://www.irle.berkeley.edu/culture/conference/sallaz.pdf</w:t>
        </w:r>
        <w:r w:rsidRPr="00586D3A">
          <w:rPr>
            <w:rStyle w:val="Hyperlink"/>
            <w:color w:val="auto"/>
          </w:rPr>
          <w:t xml:space="preserve"> (3</w:t>
        </w:r>
      </w:hyperlink>
      <w:r>
        <w:t xml:space="preserve"> August 2014), pp. 12-16.</w:t>
      </w:r>
    </w:p>
    <w:p w14:paraId="2799388F" w14:textId="77777777" w:rsidR="002F536C" w:rsidRDefault="00355DF8" w:rsidP="00DB7A22">
      <w:pPr>
        <w:spacing w:line="240" w:lineRule="auto"/>
        <w:jc w:val="left"/>
      </w:pPr>
      <w:r>
        <w:t>Sallaz, J.J</w:t>
      </w:r>
      <w:r w:rsidR="002F536C">
        <w:t xml:space="preserve">: </w:t>
      </w:r>
      <w:r w:rsidR="002F536C">
        <w:rPr>
          <w:i/>
        </w:rPr>
        <w:t>The Labour of Luck: Casino Capitalism in the United States and South Africa.</w:t>
      </w:r>
      <w:r w:rsidR="002F536C">
        <w:t xml:space="preserve"> University of California Press, Berkley, 2009. </w:t>
      </w:r>
    </w:p>
    <w:p w14:paraId="3C1B7D79" w14:textId="77777777" w:rsidR="005A68F2" w:rsidRDefault="002F536C" w:rsidP="00DB7A22">
      <w:pPr>
        <w:spacing w:line="240" w:lineRule="auto"/>
        <w:jc w:val="left"/>
      </w:pPr>
      <w:r>
        <w:t>Schwartz,</w:t>
      </w:r>
      <w:r w:rsidRPr="00213394">
        <w:t xml:space="preserve"> </w:t>
      </w:r>
      <w:r w:rsidR="00355DF8">
        <w:t>D.G</w:t>
      </w:r>
      <w:r>
        <w:t xml:space="preserve">: </w:t>
      </w:r>
      <w:r>
        <w:rPr>
          <w:i/>
        </w:rPr>
        <w:t xml:space="preserve">Roll the Bones: The History of Gambling. </w:t>
      </w:r>
      <w:r w:rsidR="006E3B58">
        <w:t>Penguin Books, New York, 2006.</w:t>
      </w:r>
    </w:p>
    <w:p w14:paraId="05A9554A" w14:textId="77777777" w:rsidR="002F536C" w:rsidRPr="005A68F2" w:rsidRDefault="005A68F2" w:rsidP="00DB7A22">
      <w:pPr>
        <w:spacing w:line="240" w:lineRule="auto"/>
        <w:jc w:val="left"/>
      </w:pPr>
      <w:r>
        <w:t xml:space="preserve">Southall, R: </w:t>
      </w:r>
      <w:r w:rsidRPr="005A68F2">
        <w:rPr>
          <w:i/>
        </w:rPr>
        <w:t>South Africa's Transkei: the political economy of an "independent" Bantustan.</w:t>
      </w:r>
      <w:r>
        <w:rPr>
          <w:i/>
        </w:rPr>
        <w:t xml:space="preserve"> </w:t>
      </w:r>
      <w:r w:rsidRPr="005A68F2">
        <w:t>Monthly Review Press, the University of Michigan</w:t>
      </w:r>
      <w:r>
        <w:t xml:space="preserve">, </w:t>
      </w:r>
      <w:r w:rsidRPr="005A68F2">
        <w:t>1983</w:t>
      </w:r>
      <w:r>
        <w:t>.</w:t>
      </w:r>
    </w:p>
    <w:p w14:paraId="4C39B28D" w14:textId="77777777" w:rsidR="002F536C" w:rsidRDefault="00355DF8" w:rsidP="00DB7A22">
      <w:pPr>
        <w:spacing w:line="240" w:lineRule="auto"/>
        <w:jc w:val="left"/>
      </w:pPr>
      <w:r>
        <w:rPr>
          <w:lang w:val="en-US"/>
        </w:rPr>
        <w:t>van Vuuren, H</w:t>
      </w:r>
      <w:r w:rsidR="002F536C">
        <w:rPr>
          <w:lang w:val="en-US"/>
        </w:rPr>
        <w:t xml:space="preserve">: ‘Apartheid Grand Corruption: Assessing the scale of crimes of profit in South Africa from 1976 to 1994.’ </w:t>
      </w:r>
      <w:r w:rsidR="002F536C">
        <w:rPr>
          <w:i/>
          <w:lang w:val="en-US"/>
        </w:rPr>
        <w:t xml:space="preserve">Institute for Security Studies. </w:t>
      </w:r>
      <w:r w:rsidR="002F536C">
        <w:rPr>
          <w:lang w:val="en-US"/>
        </w:rPr>
        <w:t>May 2006</w:t>
      </w:r>
    </w:p>
    <w:p w14:paraId="5C83ADAD" w14:textId="77777777" w:rsidR="00DB7A22" w:rsidRDefault="00DB7A22" w:rsidP="002F536C">
      <w:pPr>
        <w:pStyle w:val="Heading3"/>
        <w:numPr>
          <w:ilvl w:val="0"/>
          <w:numId w:val="0"/>
        </w:numPr>
        <w:ind w:left="720"/>
      </w:pPr>
      <w:bookmarkStart w:id="92" w:name="_Toc457484990"/>
    </w:p>
    <w:p w14:paraId="42AAB99D" w14:textId="77777777" w:rsidR="00DB7A22" w:rsidRDefault="00DB7A22" w:rsidP="002F536C">
      <w:pPr>
        <w:pStyle w:val="Heading3"/>
        <w:numPr>
          <w:ilvl w:val="0"/>
          <w:numId w:val="0"/>
        </w:numPr>
        <w:ind w:left="720"/>
      </w:pPr>
    </w:p>
    <w:p w14:paraId="2A9F87DD" w14:textId="77777777" w:rsidR="002F536C" w:rsidRPr="00246DA1" w:rsidRDefault="002F536C" w:rsidP="002F536C">
      <w:pPr>
        <w:pStyle w:val="Heading3"/>
        <w:numPr>
          <w:ilvl w:val="0"/>
          <w:numId w:val="0"/>
        </w:numPr>
        <w:ind w:left="720"/>
      </w:pPr>
      <w:bookmarkStart w:id="93" w:name="_Toc488481747"/>
      <w:r w:rsidRPr="00246DA1">
        <w:t>Journal articles</w:t>
      </w:r>
      <w:bookmarkEnd w:id="92"/>
      <w:bookmarkEnd w:id="93"/>
      <w:r w:rsidRPr="00246DA1">
        <w:t xml:space="preserve"> </w:t>
      </w:r>
    </w:p>
    <w:p w14:paraId="452BFC3B" w14:textId="77777777" w:rsidR="002F536C" w:rsidRDefault="00355DF8" w:rsidP="002F536C">
      <w:pPr>
        <w:spacing w:line="240" w:lineRule="auto"/>
      </w:pPr>
      <w:r>
        <w:t>Ally, S. &amp; Lissoni, A</w:t>
      </w:r>
      <w:r w:rsidR="002F536C">
        <w:t>: ‘Let’s talk about Bantustans</w:t>
      </w:r>
      <w:r w:rsidR="00A201C2">
        <w:t>.</w:t>
      </w:r>
      <w:r w:rsidR="002F536C">
        <w:t xml:space="preserve">’ </w:t>
      </w:r>
      <w:r w:rsidR="002F536C">
        <w:rPr>
          <w:i/>
        </w:rPr>
        <w:t xml:space="preserve">South African Historical Journal, </w:t>
      </w:r>
      <w:r w:rsidR="002F536C">
        <w:t xml:space="preserve">(2012, 64:1), pp. 1-4. </w:t>
      </w:r>
    </w:p>
    <w:p w14:paraId="43784032" w14:textId="77777777" w:rsidR="002F536C" w:rsidRPr="00D00752" w:rsidRDefault="00355DF8" w:rsidP="002F536C">
      <w:pPr>
        <w:spacing w:line="240" w:lineRule="auto"/>
      </w:pPr>
      <w:r>
        <w:t>Beinart, W. &amp; Delius, P</w:t>
      </w:r>
      <w:r w:rsidR="002F536C">
        <w:t xml:space="preserve">: “The Historical Context and Legacy of the Natives Land Act of 1913.” </w:t>
      </w:r>
      <w:r w:rsidR="002F536C">
        <w:rPr>
          <w:i/>
        </w:rPr>
        <w:t xml:space="preserve">Journal of Southern African Studies, </w:t>
      </w:r>
      <w:r w:rsidR="002F536C">
        <w:t>(2014, 40:4), pp. 667-688.</w:t>
      </w:r>
    </w:p>
    <w:p w14:paraId="7743930E" w14:textId="77777777" w:rsidR="002F536C" w:rsidRDefault="00355DF8" w:rsidP="002F536C">
      <w:pPr>
        <w:spacing w:line="240" w:lineRule="auto"/>
      </w:pPr>
      <w:r>
        <w:t>Bickford-Smith, V</w:t>
      </w:r>
      <w:r w:rsidR="002F536C">
        <w:t xml:space="preserve">: ‘Leisure and Social Identity in Cape Town, British Cape Colony, 1838-1910.’ </w:t>
      </w:r>
      <w:r w:rsidR="002F536C">
        <w:rPr>
          <w:i/>
        </w:rPr>
        <w:t xml:space="preserve">Kronos, </w:t>
      </w:r>
      <w:r w:rsidR="002F536C">
        <w:t>(1998/1999), pp. 103-128.</w:t>
      </w:r>
    </w:p>
    <w:p w14:paraId="766D7891" w14:textId="77777777" w:rsidR="002F536C" w:rsidRDefault="00355DF8" w:rsidP="002F536C">
      <w:pPr>
        <w:spacing w:line="240" w:lineRule="auto"/>
      </w:pPr>
      <w:r>
        <w:t>Carruthers, J</w:t>
      </w:r>
      <w:r w:rsidR="002F536C">
        <w:t>: ‘Pilanesberg National Park, North West Province, South Africa: Uniting economic development with ecological design – A history, 196</w:t>
      </w:r>
      <w:r w:rsidR="00107822">
        <w:t>0s</w:t>
      </w:r>
      <w:r w:rsidR="002F536C">
        <w:t xml:space="preserve"> to 1984.’ </w:t>
      </w:r>
      <w:r w:rsidR="002F536C">
        <w:rPr>
          <w:i/>
        </w:rPr>
        <w:t xml:space="preserve">Koedoe </w:t>
      </w:r>
      <w:r w:rsidR="002F536C">
        <w:t xml:space="preserve">(2011, 53:1), pp. 1-10. </w:t>
      </w:r>
    </w:p>
    <w:p w14:paraId="60B755E0" w14:textId="77777777" w:rsidR="002F536C" w:rsidRPr="009B4E2E" w:rsidRDefault="00355DF8" w:rsidP="002F536C">
      <w:pPr>
        <w:spacing w:line="240" w:lineRule="auto"/>
      </w:pPr>
      <w:r>
        <w:t>Chipkin, I. &amp; Meny-Gibert, S</w:t>
      </w:r>
      <w:r w:rsidR="002F536C">
        <w:t xml:space="preserve">: ‘Why the Past Matters: Studying Public Administration in South Africa.’ </w:t>
      </w:r>
      <w:r w:rsidR="002F536C">
        <w:rPr>
          <w:i/>
        </w:rPr>
        <w:t xml:space="preserve">Journal of Public Administration, </w:t>
      </w:r>
      <w:r w:rsidR="002F536C">
        <w:t>(2012, 47:1), pp. 102-112.</w:t>
      </w:r>
    </w:p>
    <w:p w14:paraId="74664E4F" w14:textId="77777777" w:rsidR="002F536C" w:rsidRDefault="00355DF8" w:rsidP="002F536C">
      <w:pPr>
        <w:spacing w:line="240" w:lineRule="auto"/>
      </w:pPr>
      <w:r>
        <w:t>Coker, C</w:t>
      </w:r>
      <w:r w:rsidR="002F536C">
        <w:t>: ‘</w:t>
      </w:r>
      <w:r w:rsidR="00A4464C">
        <w:t>Bophuthatswana</w:t>
      </w:r>
      <w:r w:rsidR="002F536C">
        <w:t xml:space="preserve"> and the South African Homelands.’ </w:t>
      </w:r>
      <w:r w:rsidR="002F536C">
        <w:rPr>
          <w:i/>
        </w:rPr>
        <w:t xml:space="preserve">The World Today, </w:t>
      </w:r>
      <w:r w:rsidR="002F536C">
        <w:t>(1983, 39: 6), pp. 231-240.</w:t>
      </w:r>
    </w:p>
    <w:p w14:paraId="13D72809" w14:textId="77777777" w:rsidR="002F536C" w:rsidRDefault="00355DF8" w:rsidP="002F536C">
      <w:pPr>
        <w:spacing w:line="240" w:lineRule="auto"/>
      </w:pPr>
      <w:r>
        <w:t>Drummond, J</w:t>
      </w:r>
      <w:r w:rsidR="002F536C">
        <w:t xml:space="preserve">: ‘Reincorporating the Bantustans in South Africa: the question of Bophuthatswana.’ </w:t>
      </w:r>
      <w:r w:rsidR="002F536C">
        <w:rPr>
          <w:i/>
        </w:rPr>
        <w:t xml:space="preserve">Geography, </w:t>
      </w:r>
      <w:r w:rsidR="002F536C">
        <w:t xml:space="preserve">(1991, 76:4), pp. 369-373.  </w:t>
      </w:r>
    </w:p>
    <w:p w14:paraId="40279425" w14:textId="77777777" w:rsidR="002F536C" w:rsidRDefault="00355DF8" w:rsidP="002F536C">
      <w:pPr>
        <w:spacing w:line="240" w:lineRule="auto"/>
      </w:pPr>
      <w:r>
        <w:t>Drummond, J. &amp; Manson, A</w:t>
      </w:r>
      <w:r w:rsidR="002F536C">
        <w:t xml:space="preserve">: ‘The Rise and Demise of African Agricultural Production in Dinokana Village, Bophuthatswana.’ </w:t>
      </w:r>
      <w:r w:rsidR="002F536C">
        <w:rPr>
          <w:i/>
        </w:rPr>
        <w:t xml:space="preserve">Canadian Journal of African Studies, </w:t>
      </w:r>
      <w:r w:rsidR="002F536C">
        <w:t>(1993, 273), pp. 462-479.</w:t>
      </w:r>
    </w:p>
    <w:p w14:paraId="496B3618" w14:textId="77777777" w:rsidR="002F536C" w:rsidRDefault="002F536C" w:rsidP="002F536C">
      <w:pPr>
        <w:spacing w:line="240" w:lineRule="auto"/>
      </w:pPr>
      <w:r>
        <w:rPr>
          <w:lang w:val="en-US"/>
        </w:rPr>
        <w:t>Evans, L</w:t>
      </w:r>
      <w:r w:rsidR="00355DF8">
        <w:rPr>
          <w:lang w:val="en-US"/>
        </w:rPr>
        <w:t>:</w:t>
      </w:r>
      <w:r>
        <w:rPr>
          <w:lang w:val="en-US"/>
        </w:rPr>
        <w:t xml:space="preserve"> ‘South Africa’s Bantustans and the Dynamics of “Decolo</w:t>
      </w:r>
      <w:r w:rsidR="006F3AD9">
        <w:rPr>
          <w:lang w:val="en-US"/>
        </w:rPr>
        <w:t>nisa</w:t>
      </w:r>
      <w:r>
        <w:rPr>
          <w:lang w:val="en-US"/>
        </w:rPr>
        <w:t xml:space="preserve">tion”: Reflections On Writing Histories of the Homelands.’ </w:t>
      </w:r>
      <w:r>
        <w:rPr>
          <w:i/>
          <w:lang w:val="en-US"/>
        </w:rPr>
        <w:t xml:space="preserve">South African Historical Journal, </w:t>
      </w:r>
      <w:r>
        <w:rPr>
          <w:lang w:val="en-US"/>
        </w:rPr>
        <w:t>(2012, 64:1), p. 120.</w:t>
      </w:r>
    </w:p>
    <w:p w14:paraId="31070AB7" w14:textId="77777777" w:rsidR="002F536C" w:rsidRDefault="002F536C" w:rsidP="002F536C">
      <w:pPr>
        <w:spacing w:line="240" w:lineRule="auto"/>
      </w:pPr>
      <w:r>
        <w:t>Freund, W</w:t>
      </w:r>
      <w:r w:rsidR="00355DF8">
        <w:t>:</w:t>
      </w:r>
      <w:r>
        <w:t xml:space="preserve"> ‘The Political Mythology of Apartheid by Leonard Thompson. New Haven and London: Yale University Press, 1985.’ </w:t>
      </w:r>
      <w:r>
        <w:rPr>
          <w:i/>
        </w:rPr>
        <w:t xml:space="preserve">International Journal of African Historical Studies. </w:t>
      </w:r>
      <w:r>
        <w:t>(1986, XIX:2), p. 368.</w:t>
      </w:r>
    </w:p>
    <w:p w14:paraId="7632D9B5" w14:textId="77777777" w:rsidR="002F536C" w:rsidRDefault="00C1231B" w:rsidP="002F536C">
      <w:pPr>
        <w:spacing w:line="240" w:lineRule="auto"/>
      </w:pPr>
      <w:r>
        <w:t>Grundlingh, A</w:t>
      </w:r>
      <w:r w:rsidR="00355DF8">
        <w:t>:</w:t>
      </w:r>
      <w:r w:rsidR="00DB7A22">
        <w:t xml:space="preserve"> ‘</w:t>
      </w:r>
      <w:r>
        <w:t>“Gone to the Dog”</w:t>
      </w:r>
      <w:r w:rsidR="002F536C">
        <w:t xml:space="preserve">: The Cultural Politics of Gambling – The Rise and Fall of British Greyhound Racing on the Witwatersrand, 1932-1949’. </w:t>
      </w:r>
      <w:r w:rsidR="002F536C">
        <w:rPr>
          <w:i/>
        </w:rPr>
        <w:t xml:space="preserve">South African Historical Journal, </w:t>
      </w:r>
      <w:r w:rsidR="002F536C">
        <w:t xml:space="preserve">(2009, 48:1), pp. 174-189. </w:t>
      </w:r>
    </w:p>
    <w:p w14:paraId="17D6DCAF" w14:textId="77777777" w:rsidR="002F536C" w:rsidRDefault="002F536C" w:rsidP="002F536C">
      <w:pPr>
        <w:spacing w:line="240" w:lineRule="auto"/>
      </w:pPr>
      <w:r>
        <w:t>Grundlingh, A</w:t>
      </w:r>
      <w:r w:rsidR="00355DF8">
        <w:t>:</w:t>
      </w:r>
      <w:r>
        <w:t xml:space="preserve"> ‘Revisiting the ‘Old’ South Africa: Excursions into South Africa’s Tourist History under Apartheid, 1948-1990.’ </w:t>
      </w:r>
      <w:r>
        <w:rPr>
          <w:i/>
        </w:rPr>
        <w:t xml:space="preserve">South African Historical Journal, </w:t>
      </w:r>
      <w:r>
        <w:t>(2009, 56:1), pp. 103-122.</w:t>
      </w:r>
    </w:p>
    <w:p w14:paraId="28DCD6A7" w14:textId="77777777" w:rsidR="002F536C" w:rsidRDefault="002F536C" w:rsidP="002F536C">
      <w:pPr>
        <w:spacing w:line="240" w:lineRule="auto"/>
      </w:pPr>
      <w:r>
        <w:t>Hall, M</w:t>
      </w:r>
      <w:r w:rsidR="00355DF8">
        <w:t>:</w:t>
      </w:r>
      <w:r>
        <w:t xml:space="preserve"> ‘The Legend of the Lost City; Or; the Man with Golden Balls. </w:t>
      </w:r>
      <w:r>
        <w:rPr>
          <w:i/>
        </w:rPr>
        <w:t xml:space="preserve">Journal of Southern African Studies. </w:t>
      </w:r>
      <w:r>
        <w:t xml:space="preserve">(1995, 21:2), pp. 179-180.  </w:t>
      </w:r>
    </w:p>
    <w:p w14:paraId="3B239D89" w14:textId="77777777" w:rsidR="002F536C" w:rsidRPr="006D618C" w:rsidRDefault="002F536C" w:rsidP="002F536C">
      <w:pPr>
        <w:spacing w:line="240" w:lineRule="auto"/>
        <w:rPr>
          <w:rFonts w:cs="Times New Roman"/>
          <w:szCs w:val="24"/>
        </w:rPr>
      </w:pPr>
      <w:r w:rsidRPr="006D618C">
        <w:rPr>
          <w:rFonts w:cs="Times New Roman"/>
          <w:szCs w:val="24"/>
        </w:rPr>
        <w:t>Hall, M. &amp; Bombardella, P</w:t>
      </w:r>
      <w:r w:rsidR="00355DF8">
        <w:rPr>
          <w:rFonts w:cs="Times New Roman"/>
          <w:szCs w:val="24"/>
        </w:rPr>
        <w:t>:</w:t>
      </w:r>
      <w:r w:rsidRPr="006D618C">
        <w:rPr>
          <w:rFonts w:cs="Times New Roman"/>
          <w:szCs w:val="24"/>
        </w:rPr>
        <w:t xml:space="preserve"> ‘Las Vegas in Africa.’</w:t>
      </w:r>
      <w:r w:rsidRPr="006D618C">
        <w:rPr>
          <w:rFonts w:cs="Times New Roman"/>
          <w:i/>
          <w:szCs w:val="24"/>
        </w:rPr>
        <w:t xml:space="preserve"> Journal of Social Archaeology, </w:t>
      </w:r>
      <w:r w:rsidRPr="006D618C">
        <w:rPr>
          <w:rFonts w:cs="Times New Roman"/>
          <w:szCs w:val="24"/>
        </w:rPr>
        <w:t xml:space="preserve">(2005, 5:1). pp. 5-24. </w:t>
      </w:r>
    </w:p>
    <w:p w14:paraId="605F5494" w14:textId="77777777" w:rsidR="002F536C" w:rsidRPr="006D618C" w:rsidRDefault="002F536C" w:rsidP="002F536C">
      <w:pPr>
        <w:spacing w:line="240" w:lineRule="auto"/>
        <w:rPr>
          <w:rFonts w:cs="Times New Roman"/>
          <w:szCs w:val="24"/>
        </w:rPr>
      </w:pPr>
      <w:r w:rsidRPr="006D618C">
        <w:rPr>
          <w:rFonts w:cs="Times New Roman"/>
          <w:szCs w:val="24"/>
        </w:rPr>
        <w:t>Hannigan, J</w:t>
      </w:r>
      <w:r w:rsidR="00355DF8">
        <w:rPr>
          <w:rFonts w:cs="Times New Roman"/>
          <w:szCs w:val="24"/>
        </w:rPr>
        <w:t>:</w:t>
      </w:r>
      <w:r w:rsidRPr="006D618C">
        <w:rPr>
          <w:rFonts w:cs="Times New Roman"/>
          <w:szCs w:val="24"/>
        </w:rPr>
        <w:t xml:space="preserve"> ‘Casino Cities</w:t>
      </w:r>
      <w:r w:rsidR="00DB7A22">
        <w:rPr>
          <w:rFonts w:cs="Times New Roman"/>
          <w:szCs w:val="24"/>
        </w:rPr>
        <w:t>.</w:t>
      </w:r>
      <w:r w:rsidRPr="006D618C">
        <w:rPr>
          <w:rFonts w:cs="Times New Roman"/>
          <w:szCs w:val="24"/>
        </w:rPr>
        <w:t xml:space="preserve">’ </w:t>
      </w:r>
      <w:r w:rsidRPr="006D618C">
        <w:rPr>
          <w:rFonts w:cs="Times New Roman"/>
          <w:i/>
          <w:szCs w:val="24"/>
        </w:rPr>
        <w:t xml:space="preserve">Geography Compass, </w:t>
      </w:r>
      <w:r w:rsidRPr="006D618C">
        <w:rPr>
          <w:rFonts w:cs="Times New Roman"/>
          <w:szCs w:val="24"/>
        </w:rPr>
        <w:t xml:space="preserve">(2007, 1:4), pp. 959-975. </w:t>
      </w:r>
    </w:p>
    <w:p w14:paraId="443C9A5E" w14:textId="77777777" w:rsidR="002F536C" w:rsidRPr="006F24AE" w:rsidRDefault="002F536C" w:rsidP="002F536C">
      <w:pPr>
        <w:spacing w:line="240" w:lineRule="auto"/>
        <w:rPr>
          <w:rFonts w:cs="Times New Roman"/>
          <w:szCs w:val="24"/>
        </w:rPr>
      </w:pPr>
      <w:r>
        <w:rPr>
          <w:rFonts w:cs="Times New Roman"/>
          <w:szCs w:val="24"/>
        </w:rPr>
        <w:lastRenderedPageBreak/>
        <w:t>Hyslop, J</w:t>
      </w:r>
      <w:r w:rsidR="00355DF8">
        <w:rPr>
          <w:rFonts w:cs="Times New Roman"/>
          <w:szCs w:val="24"/>
        </w:rPr>
        <w:t>:</w:t>
      </w:r>
      <w:r>
        <w:rPr>
          <w:rFonts w:cs="Times New Roman"/>
          <w:szCs w:val="24"/>
        </w:rPr>
        <w:t xml:space="preserve"> ‘Political Corruption in South Africa: Before and After Apartheid.’ </w:t>
      </w:r>
      <w:r>
        <w:rPr>
          <w:rFonts w:cs="Times New Roman"/>
          <w:i/>
          <w:szCs w:val="24"/>
        </w:rPr>
        <w:t xml:space="preserve">Journal of Southern African Studies, </w:t>
      </w:r>
      <w:r>
        <w:rPr>
          <w:rFonts w:cs="Times New Roman"/>
          <w:szCs w:val="24"/>
        </w:rPr>
        <w:t>(2005, 31:4), pp. 773-789.</w:t>
      </w:r>
    </w:p>
    <w:p w14:paraId="63FAD180" w14:textId="77777777" w:rsidR="002F536C" w:rsidRPr="006D618C" w:rsidRDefault="002F536C" w:rsidP="002F536C">
      <w:pPr>
        <w:spacing w:line="240" w:lineRule="auto"/>
        <w:rPr>
          <w:rFonts w:cs="Times New Roman"/>
          <w:szCs w:val="24"/>
        </w:rPr>
      </w:pPr>
      <w:r w:rsidRPr="006D618C">
        <w:rPr>
          <w:rFonts w:cs="Times New Roman"/>
          <w:szCs w:val="24"/>
        </w:rPr>
        <w:t>Jones, P.S</w:t>
      </w:r>
      <w:r w:rsidR="00355DF8">
        <w:rPr>
          <w:rFonts w:cs="Times New Roman"/>
          <w:szCs w:val="24"/>
        </w:rPr>
        <w:t>:</w:t>
      </w:r>
      <w:r w:rsidRPr="006D618C">
        <w:rPr>
          <w:rFonts w:cs="Times New Roman"/>
          <w:szCs w:val="24"/>
        </w:rPr>
        <w:t xml:space="preserve"> ‘From ‘Nationhood’ to Regionalism to the North</w:t>
      </w:r>
      <w:r w:rsidR="00DB7A22">
        <w:rPr>
          <w:rFonts w:cs="Times New Roman"/>
          <w:szCs w:val="24"/>
        </w:rPr>
        <w:t>-</w:t>
      </w:r>
      <w:r w:rsidRPr="006D618C">
        <w:rPr>
          <w:rFonts w:cs="Times New Roman"/>
          <w:szCs w:val="24"/>
        </w:rPr>
        <w:t xml:space="preserve">West Province: ‘Bophuthatswananess’ and the Birth of the ‘New’ South Africa.’ </w:t>
      </w:r>
      <w:r w:rsidRPr="006D618C">
        <w:rPr>
          <w:rFonts w:cs="Times New Roman"/>
          <w:i/>
          <w:szCs w:val="24"/>
        </w:rPr>
        <w:t xml:space="preserve">African Affairs, </w:t>
      </w:r>
      <w:r w:rsidRPr="006D618C">
        <w:rPr>
          <w:rFonts w:cs="Times New Roman"/>
          <w:szCs w:val="24"/>
        </w:rPr>
        <w:t>(1999. 98:393), pp. 509-534.</w:t>
      </w:r>
    </w:p>
    <w:p w14:paraId="28441509" w14:textId="77777777" w:rsidR="002F536C" w:rsidRPr="006D618C" w:rsidRDefault="002F536C" w:rsidP="002F536C">
      <w:pPr>
        <w:spacing w:line="240" w:lineRule="auto"/>
        <w:rPr>
          <w:rFonts w:cs="Times New Roman"/>
          <w:szCs w:val="24"/>
        </w:rPr>
      </w:pPr>
      <w:r w:rsidRPr="006D618C">
        <w:rPr>
          <w:rFonts w:cs="Times New Roman"/>
          <w:szCs w:val="24"/>
        </w:rPr>
        <w:t>P.S. Jones</w:t>
      </w:r>
      <w:r w:rsidR="00355DF8">
        <w:rPr>
          <w:rFonts w:cs="Times New Roman"/>
          <w:szCs w:val="24"/>
        </w:rPr>
        <w:t>:</w:t>
      </w:r>
      <w:r w:rsidRPr="006D618C">
        <w:rPr>
          <w:rFonts w:cs="Times New Roman"/>
          <w:szCs w:val="24"/>
        </w:rPr>
        <w:t xml:space="preserve"> ‘To Come Together for Progress: Moder</w:t>
      </w:r>
      <w:r w:rsidR="006F3AD9">
        <w:rPr>
          <w:rFonts w:cs="Times New Roman"/>
          <w:szCs w:val="24"/>
        </w:rPr>
        <w:t>nisa</w:t>
      </w:r>
      <w:r w:rsidRPr="006D618C">
        <w:rPr>
          <w:rFonts w:cs="Times New Roman"/>
          <w:szCs w:val="24"/>
        </w:rPr>
        <w:t xml:space="preserve">tion and Nation-building in South Africa’s Bantustan Periphery – the case of Bophuthatswana.’ </w:t>
      </w:r>
      <w:r w:rsidRPr="006D618C">
        <w:rPr>
          <w:rFonts w:cs="Times New Roman"/>
          <w:i/>
          <w:szCs w:val="24"/>
        </w:rPr>
        <w:t xml:space="preserve">Journal of Southern African Studies, </w:t>
      </w:r>
      <w:r w:rsidRPr="006D618C">
        <w:rPr>
          <w:rFonts w:cs="Times New Roman"/>
          <w:szCs w:val="24"/>
        </w:rPr>
        <w:t>(1999, 25:4), pp. 579-605.</w:t>
      </w:r>
    </w:p>
    <w:p w14:paraId="56E7C592" w14:textId="77777777" w:rsidR="002F536C" w:rsidRPr="006E4BB8" w:rsidRDefault="002F536C" w:rsidP="002F536C">
      <w:pPr>
        <w:spacing w:line="240" w:lineRule="auto"/>
      </w:pPr>
      <w:r w:rsidRPr="006D618C">
        <w:rPr>
          <w:rFonts w:cs="Times New Roman"/>
          <w:szCs w:val="24"/>
        </w:rPr>
        <w:t>Kim, S.S., Crompton, J.L. &amp; Botha, C</w:t>
      </w:r>
      <w:r w:rsidR="00355DF8">
        <w:rPr>
          <w:rFonts w:cs="Times New Roman"/>
          <w:szCs w:val="24"/>
        </w:rPr>
        <w:t>:</w:t>
      </w:r>
      <w:r w:rsidRPr="006D618C">
        <w:rPr>
          <w:rFonts w:cs="Times New Roman"/>
          <w:szCs w:val="24"/>
        </w:rPr>
        <w:t xml:space="preserve"> ‘Responding to Competition: a Strategy for Sun/Lost City, South Africa.’ </w:t>
      </w:r>
      <w:r w:rsidRPr="006D618C">
        <w:rPr>
          <w:rFonts w:cs="Times New Roman"/>
          <w:i/>
          <w:szCs w:val="24"/>
        </w:rPr>
        <w:t xml:space="preserve">Tourism Management. </w:t>
      </w:r>
      <w:r w:rsidRPr="006D618C">
        <w:rPr>
          <w:rFonts w:cs="Times New Roman"/>
          <w:szCs w:val="24"/>
        </w:rPr>
        <w:t>(2000,</w:t>
      </w:r>
      <w:r>
        <w:t xml:space="preserve"> 21:), pp. 33-41.  </w:t>
      </w:r>
    </w:p>
    <w:p w14:paraId="149360F0" w14:textId="77777777" w:rsidR="002F536C" w:rsidRDefault="002F536C" w:rsidP="002F536C">
      <w:pPr>
        <w:spacing w:line="240" w:lineRule="auto"/>
      </w:pPr>
      <w:r>
        <w:t>Kirsten, M. &amp; Rogerson, C.M</w:t>
      </w:r>
      <w:r w:rsidR="00355DF8">
        <w:t>:</w:t>
      </w:r>
      <w:r>
        <w:t xml:space="preserve"> ‘Tourism, Business Linkages and Small Enterprise Development in South Africa’. </w:t>
      </w:r>
      <w:r>
        <w:rPr>
          <w:i/>
        </w:rPr>
        <w:t xml:space="preserve">Development Southern Africa, </w:t>
      </w:r>
      <w:r>
        <w:t xml:space="preserve">(2010, 19:1), pp. 29-59. </w:t>
      </w:r>
    </w:p>
    <w:p w14:paraId="74FA8411" w14:textId="77777777" w:rsidR="002F536C" w:rsidRPr="009F73F0" w:rsidRDefault="002F536C" w:rsidP="002F536C">
      <w:pPr>
        <w:spacing w:line="240" w:lineRule="auto"/>
      </w:pPr>
      <w:r>
        <w:t>Manson, A. &amp; Mbenga, B</w:t>
      </w:r>
      <w:r w:rsidR="00355DF8">
        <w:t>:</w:t>
      </w:r>
      <w:r>
        <w:t xml:space="preserve"> ‘Bophuthatswana and the North-West Province: From Pan-Tswanaism to Mineral-Based Ethnic Assertiveness’. </w:t>
      </w:r>
      <w:r>
        <w:rPr>
          <w:i/>
        </w:rPr>
        <w:t xml:space="preserve">South African Historical Journal, </w:t>
      </w:r>
      <w:r>
        <w:t xml:space="preserve">(2012, 641), pp. 96-116. </w:t>
      </w:r>
    </w:p>
    <w:p w14:paraId="49A978CF" w14:textId="77777777" w:rsidR="002F536C" w:rsidRDefault="002F536C" w:rsidP="002F536C">
      <w:pPr>
        <w:spacing w:line="240" w:lineRule="auto"/>
      </w:pPr>
      <w:r>
        <w:t>Manson, A. &amp; Mbenga, B</w:t>
      </w:r>
      <w:r w:rsidR="00355DF8">
        <w:t>:</w:t>
      </w:r>
      <w:r>
        <w:t xml:space="preserve"> ‘The Evolution and Destruction of Oorlam Communities in the Rustenburg District of South Africa: The Cases of Welgeval and Bethlehem, 185</w:t>
      </w:r>
      <w:r w:rsidR="00107822">
        <w:t>0s</w:t>
      </w:r>
      <w:r>
        <w:t xml:space="preserve">-1980.’ </w:t>
      </w:r>
      <w:r>
        <w:rPr>
          <w:i/>
        </w:rPr>
        <w:t xml:space="preserve">African Historical Review, </w:t>
      </w:r>
      <w:r>
        <w:t xml:space="preserve">(2009, 41:2), pp. 85-115.  </w:t>
      </w:r>
    </w:p>
    <w:p w14:paraId="058C8820" w14:textId="77777777" w:rsidR="002C60EB" w:rsidRDefault="002F536C" w:rsidP="002F536C">
      <w:pPr>
        <w:spacing w:line="240" w:lineRule="auto"/>
        <w:jc w:val="left"/>
      </w:pPr>
      <w:r>
        <w:t>Park, Y.P</w:t>
      </w:r>
      <w:r w:rsidR="00355DF8">
        <w:t>:</w:t>
      </w:r>
      <w:r>
        <w:t xml:space="preserve"> ‘Sojourners to Settlers: Early Constructions of Chinese Identity in South Africa, 1879-1949.’ </w:t>
      </w:r>
      <w:r>
        <w:rPr>
          <w:i/>
        </w:rPr>
        <w:t xml:space="preserve">African Studies, </w:t>
      </w:r>
      <w:r>
        <w:t>(2011, 65:2), pp. 201-231.</w:t>
      </w:r>
    </w:p>
    <w:p w14:paraId="7B4EEED1" w14:textId="77777777" w:rsidR="002F536C" w:rsidRDefault="002F536C" w:rsidP="002F536C">
      <w:pPr>
        <w:spacing w:line="240" w:lineRule="auto"/>
        <w:jc w:val="left"/>
      </w:pPr>
      <w:r>
        <w:t>Rogerson, C.M</w:t>
      </w:r>
      <w:r w:rsidR="00355DF8">
        <w:t>:</w:t>
      </w:r>
      <w:r>
        <w:t xml:space="preserve"> ‘Sun </w:t>
      </w:r>
      <w:r w:rsidR="00A4464C">
        <w:t>International</w:t>
      </w:r>
      <w:r>
        <w:t xml:space="preserve">: The Making of a South African Tourismus Multinational.’ </w:t>
      </w:r>
      <w:r>
        <w:rPr>
          <w:i/>
        </w:rPr>
        <w:t xml:space="preserve">GeoJournal, </w:t>
      </w:r>
      <w:r>
        <w:t>(1990, 22:3), pp. 345-354.</w:t>
      </w:r>
    </w:p>
    <w:p w14:paraId="1E2CB4CD" w14:textId="77777777" w:rsidR="002F536C" w:rsidRDefault="002F536C" w:rsidP="002F536C">
      <w:pPr>
        <w:spacing w:line="240" w:lineRule="auto"/>
        <w:jc w:val="left"/>
      </w:pPr>
      <w:r>
        <w:t>Swart, S. &amp; Saayman, M</w:t>
      </w:r>
      <w:r w:rsidR="00355DF8">
        <w:t>:</w:t>
      </w:r>
      <w:r>
        <w:t xml:space="preserve"> ‘Legislative Restrictions on the Tourism Industry: A South African Perspective.’ </w:t>
      </w:r>
      <w:r>
        <w:rPr>
          <w:i/>
        </w:rPr>
        <w:t xml:space="preserve">World Leisure and Recreation </w:t>
      </w:r>
      <w:r>
        <w:t>(2011, 39:1), pp. 24-30.</w:t>
      </w:r>
    </w:p>
    <w:p w14:paraId="3420CD1A" w14:textId="77777777" w:rsidR="002F536C" w:rsidRPr="00CA076D" w:rsidRDefault="002F536C" w:rsidP="002F536C">
      <w:pPr>
        <w:spacing w:line="240" w:lineRule="auto"/>
        <w:jc w:val="left"/>
      </w:pPr>
      <w:r>
        <w:t>Timothy, D.J</w:t>
      </w:r>
      <w:r w:rsidR="00355DF8">
        <w:t>:</w:t>
      </w:r>
      <w:r>
        <w:t xml:space="preserve"> </w:t>
      </w:r>
      <w:r>
        <w:rPr>
          <w:i/>
        </w:rPr>
        <w:t xml:space="preserve">Tourism and Political Boundaries. </w:t>
      </w:r>
      <w:r>
        <w:t>Routledge, New York, 2002, pp.122-124.</w:t>
      </w:r>
    </w:p>
    <w:p w14:paraId="696933DD" w14:textId="77777777" w:rsidR="002F536C" w:rsidRDefault="002F536C" w:rsidP="002F536C">
      <w:pPr>
        <w:spacing w:line="240" w:lineRule="auto"/>
        <w:jc w:val="left"/>
      </w:pPr>
      <w:r>
        <w:t>Walker, C</w:t>
      </w:r>
      <w:r w:rsidR="00355DF8">
        <w:t>:</w:t>
      </w:r>
      <w:r>
        <w:t xml:space="preserve"> ‘Critical Reflections on South Africa’s 1913 Native Land Act and its Legacies: Introduction.’ </w:t>
      </w:r>
      <w:r>
        <w:rPr>
          <w:i/>
        </w:rPr>
        <w:t xml:space="preserve">Journal of Southern African Studies. </w:t>
      </w:r>
      <w:r>
        <w:t xml:space="preserve">(2014, 40:4), pp. 655-665. </w:t>
      </w:r>
    </w:p>
    <w:p w14:paraId="03F781D3" w14:textId="77777777" w:rsidR="000B5B8B" w:rsidRPr="00AE7B94" w:rsidRDefault="00B17AA6" w:rsidP="002F536C">
      <w:pPr>
        <w:spacing w:line="240" w:lineRule="auto"/>
        <w:jc w:val="left"/>
      </w:pPr>
      <w:r w:rsidRPr="00B17AA6">
        <w:t>H. Wolpe: ‘Capitalism and cheap Labour-Power in South Africa: From Segregation to Apartheid’. Economy and Society, (1972, 1:4), pp. 425-456</w:t>
      </w:r>
    </w:p>
    <w:p w14:paraId="493C3BA4" w14:textId="77777777" w:rsidR="002F536C" w:rsidRDefault="002F536C" w:rsidP="002F536C">
      <w:pPr>
        <w:pStyle w:val="Heading3"/>
        <w:numPr>
          <w:ilvl w:val="0"/>
          <w:numId w:val="0"/>
        </w:numPr>
        <w:ind w:firstLine="720"/>
      </w:pPr>
      <w:bookmarkStart w:id="94" w:name="_Toc457484991"/>
      <w:bookmarkStart w:id="95" w:name="_Toc488481748"/>
      <w:r w:rsidRPr="0062697D">
        <w:t>Unpublished Papers</w:t>
      </w:r>
      <w:r>
        <w:t xml:space="preserve"> and Dissertations</w:t>
      </w:r>
      <w:bookmarkEnd w:id="94"/>
      <w:bookmarkEnd w:id="95"/>
      <w:r>
        <w:t xml:space="preserve"> </w:t>
      </w:r>
    </w:p>
    <w:p w14:paraId="26C8E111" w14:textId="77777777" w:rsidR="002F536C" w:rsidRPr="00BB3443" w:rsidRDefault="002F536C" w:rsidP="002F536C">
      <w:pPr>
        <w:spacing w:line="240" w:lineRule="auto"/>
      </w:pPr>
      <w:r>
        <w:t>Botha, J</w:t>
      </w:r>
      <w:r w:rsidR="00355DF8">
        <w:t>:</w:t>
      </w:r>
      <w:r>
        <w:t xml:space="preserve"> ‘The use and abuse of religious authority in the South African Parliament.’ </w:t>
      </w:r>
      <w:r>
        <w:rPr>
          <w:i/>
        </w:rPr>
        <w:t xml:space="preserve">Second African Symposium on Rhetoric and Communication, </w:t>
      </w:r>
      <w:r>
        <w:t xml:space="preserve">Stellenbosch, 10-12 July 1996. </w:t>
      </w:r>
    </w:p>
    <w:p w14:paraId="036EFE87" w14:textId="77777777" w:rsidR="002F536C" w:rsidRPr="00464AF0" w:rsidRDefault="002F536C" w:rsidP="002F536C">
      <w:pPr>
        <w:spacing w:line="240" w:lineRule="auto"/>
        <w:rPr>
          <w:i/>
          <w:szCs w:val="24"/>
        </w:rPr>
      </w:pPr>
      <w:r w:rsidRPr="00464AF0">
        <w:rPr>
          <w:szCs w:val="24"/>
        </w:rPr>
        <w:t>Carruthers, J</w:t>
      </w:r>
      <w:r w:rsidR="00355DF8">
        <w:rPr>
          <w:szCs w:val="24"/>
        </w:rPr>
        <w:t>:</w:t>
      </w:r>
      <w:r w:rsidRPr="00464AF0">
        <w:rPr>
          <w:szCs w:val="24"/>
        </w:rPr>
        <w:t xml:space="preserve"> ‘Wildlife Protection and Human Geography in the Western Transvaal 1850 – 1990.’ </w:t>
      </w:r>
      <w:r w:rsidRPr="00464AF0">
        <w:rPr>
          <w:i/>
          <w:szCs w:val="24"/>
        </w:rPr>
        <w:t xml:space="preserve">Unpublished Paper. </w:t>
      </w:r>
    </w:p>
    <w:p w14:paraId="5427411B" w14:textId="77777777" w:rsidR="002F536C" w:rsidRDefault="002F536C" w:rsidP="002F536C">
      <w:pPr>
        <w:spacing w:line="240" w:lineRule="auto"/>
        <w:rPr>
          <w:szCs w:val="24"/>
        </w:rPr>
      </w:pPr>
      <w:r w:rsidRPr="00464AF0">
        <w:rPr>
          <w:szCs w:val="24"/>
        </w:rPr>
        <w:t>Freeman, J.R</w:t>
      </w:r>
      <w:r w:rsidR="00355DF8">
        <w:rPr>
          <w:szCs w:val="24"/>
        </w:rPr>
        <w:t>:</w:t>
      </w:r>
      <w:r w:rsidRPr="00464AF0">
        <w:rPr>
          <w:szCs w:val="24"/>
        </w:rPr>
        <w:t xml:space="preserve"> ‘Sun City and the Sounds of Liberation: Cultural Resistance for Social Justice in Apartheid South Africa.’ </w:t>
      </w:r>
      <w:r w:rsidR="00A201C2">
        <w:rPr>
          <w:szCs w:val="24"/>
        </w:rPr>
        <w:t>MA</w:t>
      </w:r>
      <w:r w:rsidRPr="00464AF0">
        <w:rPr>
          <w:szCs w:val="24"/>
        </w:rPr>
        <w:t xml:space="preserve"> thesis, University of California, Los Angeles</w:t>
      </w:r>
      <w:r>
        <w:rPr>
          <w:szCs w:val="24"/>
        </w:rPr>
        <w:t xml:space="preserve">, 2014. </w:t>
      </w:r>
    </w:p>
    <w:p w14:paraId="00F98E44" w14:textId="77777777" w:rsidR="002F536C" w:rsidRPr="002D6CEA" w:rsidRDefault="002F536C" w:rsidP="002F536C">
      <w:pPr>
        <w:spacing w:line="240" w:lineRule="auto"/>
        <w:rPr>
          <w:szCs w:val="24"/>
        </w:rPr>
      </w:pPr>
      <w:r w:rsidRPr="00A201C2">
        <w:t>Keenan, J</w:t>
      </w:r>
      <w:r w:rsidR="00355DF8" w:rsidRPr="00A201C2">
        <w:t>:</w:t>
      </w:r>
      <w:r w:rsidRPr="00A201C2">
        <w:t xml:space="preserve"> ‘Report on the socio-economic effects of the Pilanesberg Game Reserve on the surrounding population and the attitudes of the surrounding population to the game reserve, University of the Witwatersrand, on behalf of the Pilanesberg Game Reserve, South Africa, 1984’, 1984, unpublished report.</w:t>
      </w:r>
    </w:p>
    <w:p w14:paraId="00D377EF" w14:textId="77777777" w:rsidR="002F536C" w:rsidRDefault="002F536C" w:rsidP="002F536C">
      <w:pPr>
        <w:spacing w:line="240" w:lineRule="auto"/>
        <w:rPr>
          <w:szCs w:val="24"/>
        </w:rPr>
      </w:pPr>
      <w:r w:rsidRPr="00464AF0">
        <w:rPr>
          <w:szCs w:val="24"/>
        </w:rPr>
        <w:lastRenderedPageBreak/>
        <w:t>Korf, L</w:t>
      </w:r>
      <w:r w:rsidR="00355DF8">
        <w:rPr>
          <w:szCs w:val="24"/>
        </w:rPr>
        <w:t>:</w:t>
      </w:r>
      <w:r w:rsidRPr="00464AF0">
        <w:rPr>
          <w:szCs w:val="24"/>
        </w:rPr>
        <w:t xml:space="preserve"> </w:t>
      </w:r>
      <w:r w:rsidRPr="00464AF0">
        <w:rPr>
          <w:i/>
          <w:szCs w:val="24"/>
        </w:rPr>
        <w:t xml:space="preserve">D.F. Malan: An Intellectual Biography, 1874-1915. </w:t>
      </w:r>
      <w:r w:rsidR="002C60EB">
        <w:rPr>
          <w:szCs w:val="24"/>
        </w:rPr>
        <w:t>MA</w:t>
      </w:r>
      <w:r w:rsidRPr="00464AF0">
        <w:rPr>
          <w:szCs w:val="24"/>
        </w:rPr>
        <w:t xml:space="preserve"> Thesis, University of Johannesburg, June 2005, pp. 1-3. </w:t>
      </w:r>
    </w:p>
    <w:p w14:paraId="4BACCC43" w14:textId="77777777" w:rsidR="002F536C" w:rsidRPr="00587420" w:rsidRDefault="002F536C" w:rsidP="002F536C">
      <w:pPr>
        <w:spacing w:line="240" w:lineRule="auto"/>
        <w:jc w:val="left"/>
      </w:pPr>
      <w:r w:rsidRPr="00E3594A">
        <w:t xml:space="preserve">Mackey, T.C. &amp; Roodt, L. </w:t>
      </w:r>
      <w:r>
        <w:t>‘</w:t>
      </w:r>
      <w:r w:rsidRPr="00E3594A">
        <w:t>Speed – Is it relevant?</w:t>
      </w:r>
      <w:r>
        <w:t>’</w:t>
      </w:r>
      <w:r w:rsidRPr="00E3594A">
        <w:rPr>
          <w:i/>
        </w:rPr>
        <w:t xml:space="preserve"> University of Pretoria</w:t>
      </w:r>
      <w:r w:rsidRPr="00E3594A">
        <w:t xml:space="preserve">. </w:t>
      </w:r>
      <w:r>
        <w:t xml:space="preserve">[Online] </w:t>
      </w:r>
      <w:hyperlink r:id="rId27" w:history="1">
        <w:r w:rsidRPr="00E3594A">
          <w:rPr>
            <w:rStyle w:val="Hyperlink"/>
          </w:rPr>
          <w:t>http://repository.up.ac.za/bitstream/handle/2263/7700/011.pdf?sequence=1</w:t>
        </w:r>
      </w:hyperlink>
      <w:r w:rsidRPr="00E3594A">
        <w:t xml:space="preserve"> (9 October 2015).</w:t>
      </w:r>
    </w:p>
    <w:p w14:paraId="3F2513C5" w14:textId="77777777" w:rsidR="002F536C" w:rsidRDefault="002F536C" w:rsidP="002F536C">
      <w:pPr>
        <w:spacing w:line="240" w:lineRule="auto"/>
        <w:rPr>
          <w:szCs w:val="24"/>
        </w:rPr>
      </w:pPr>
      <w:r w:rsidRPr="00464AF0">
        <w:rPr>
          <w:szCs w:val="24"/>
        </w:rPr>
        <w:t>Mbenga, B. &amp; Manson, A</w:t>
      </w:r>
      <w:r w:rsidR="00355DF8">
        <w:rPr>
          <w:szCs w:val="24"/>
        </w:rPr>
        <w:t>:</w:t>
      </w:r>
      <w:r w:rsidRPr="00464AF0">
        <w:rPr>
          <w:szCs w:val="24"/>
        </w:rPr>
        <w:t xml:space="preserve"> </w:t>
      </w:r>
      <w:r w:rsidRPr="00464AF0">
        <w:rPr>
          <w:i/>
          <w:szCs w:val="24"/>
        </w:rPr>
        <w:t xml:space="preserve">Peoples of the Pilanesberg Region of South Africa: A History. </w:t>
      </w:r>
      <w:r w:rsidRPr="00464AF0">
        <w:rPr>
          <w:szCs w:val="24"/>
        </w:rPr>
        <w:t xml:space="preserve">Unpublished Paper, August 2008. </w:t>
      </w:r>
    </w:p>
    <w:p w14:paraId="0C744D9A" w14:textId="77777777" w:rsidR="002F536C" w:rsidRPr="00587420" w:rsidRDefault="002F536C" w:rsidP="002F536C">
      <w:pPr>
        <w:spacing w:line="240" w:lineRule="auto"/>
        <w:jc w:val="left"/>
      </w:pPr>
      <w:r>
        <w:t>Shell, R.C.H</w:t>
      </w:r>
      <w:r w:rsidR="00355DF8">
        <w:t>:</w:t>
      </w:r>
      <w:r>
        <w:t xml:space="preserve"> ‘From Diaspora to Diorama: African Slave Trade Routes and Southern Africa – Behind Rangton’s door: A Balinese wood-carver slave at Stellenbosch 1673-1720.’ [Online] </w:t>
      </w:r>
      <w:hyperlink r:id="rId28" w:history="1">
        <w:r w:rsidRPr="00C459A7">
          <w:rPr>
            <w:rStyle w:val="Hyperlink"/>
          </w:rPr>
          <w:t xml:space="preserve">http://batavia.polresearch.org/slavery/rangton.pdf </w:t>
        </w:r>
        <w:r w:rsidRPr="00B10B4D">
          <w:rPr>
            <w:rStyle w:val="Hyperlink"/>
            <w:color w:val="auto"/>
            <w:u w:val="none"/>
          </w:rPr>
          <w:t>(5</w:t>
        </w:r>
      </w:hyperlink>
      <w:r>
        <w:t xml:space="preserve"> February 2015). </w:t>
      </w:r>
    </w:p>
    <w:p w14:paraId="64D1C909" w14:textId="77777777" w:rsidR="002F536C" w:rsidRDefault="002F536C" w:rsidP="002F536C">
      <w:pPr>
        <w:spacing w:line="240" w:lineRule="auto"/>
        <w:rPr>
          <w:szCs w:val="24"/>
        </w:rPr>
      </w:pPr>
      <w:r>
        <w:rPr>
          <w:szCs w:val="24"/>
        </w:rPr>
        <w:t>Sannar, T.T</w:t>
      </w:r>
      <w:r w:rsidR="00355DF8">
        <w:rPr>
          <w:szCs w:val="24"/>
        </w:rPr>
        <w:t>:</w:t>
      </w:r>
      <w:r>
        <w:rPr>
          <w:szCs w:val="24"/>
        </w:rPr>
        <w:t xml:space="preserve"> ‘Playing Sun City: The Politics of Entertainment at a South African Mega-Resort.’ PhD thesis, University of California, Santa Barbara, 2011. </w:t>
      </w:r>
    </w:p>
    <w:p w14:paraId="5F1A5208" w14:textId="77777777" w:rsidR="002F536C" w:rsidRPr="00587420" w:rsidRDefault="002F536C" w:rsidP="002F536C">
      <w:pPr>
        <w:spacing w:line="240" w:lineRule="auto"/>
      </w:pPr>
      <w:r>
        <w:t>Van Wyk, I</w:t>
      </w:r>
      <w:r w:rsidR="00355DF8">
        <w:t>:</w:t>
      </w:r>
      <w:r>
        <w:t xml:space="preserve"> “‘Tata ma chance’: On contingency and the Lottery in post-apartheid South Afirca.” </w:t>
      </w:r>
      <w:r>
        <w:rPr>
          <w:i/>
        </w:rPr>
        <w:t xml:space="preserve">ESRC Project, </w:t>
      </w:r>
      <w:r>
        <w:t xml:space="preserve">London May 2010. </w:t>
      </w:r>
    </w:p>
    <w:p w14:paraId="0FC9EF1A" w14:textId="77777777" w:rsidR="002F536C" w:rsidRDefault="002F536C" w:rsidP="002F536C">
      <w:pPr>
        <w:pStyle w:val="Heading3"/>
        <w:numPr>
          <w:ilvl w:val="0"/>
          <w:numId w:val="0"/>
        </w:numPr>
        <w:ind w:left="720"/>
        <w:rPr>
          <w:rFonts w:cs="Times New Roman"/>
        </w:rPr>
      </w:pPr>
      <w:bookmarkStart w:id="96" w:name="_Toc457484992"/>
      <w:bookmarkStart w:id="97" w:name="_Toc488481749"/>
      <w:r w:rsidRPr="00246DA1">
        <w:rPr>
          <w:rFonts w:cs="Times New Roman"/>
        </w:rPr>
        <w:t>Online Sources</w:t>
      </w:r>
      <w:bookmarkEnd w:id="96"/>
      <w:bookmarkEnd w:id="97"/>
      <w:r w:rsidRPr="00246DA1">
        <w:rPr>
          <w:rFonts w:cs="Times New Roman"/>
        </w:rPr>
        <w:t xml:space="preserve"> </w:t>
      </w:r>
    </w:p>
    <w:p w14:paraId="50E66507" w14:textId="77777777" w:rsidR="002F536C" w:rsidRDefault="002F536C" w:rsidP="002F536C">
      <w:pPr>
        <w:spacing w:line="240" w:lineRule="auto"/>
      </w:pPr>
      <w:r>
        <w:t xml:space="preserve">National Gambling Board </w:t>
      </w:r>
      <w:hyperlink r:id="rId29" w:history="1">
        <w:r w:rsidRPr="00250FBE">
          <w:rPr>
            <w:rStyle w:val="Hyperlink"/>
          </w:rPr>
          <w:t>http://www.ngb.org.za/</w:t>
        </w:r>
      </w:hyperlink>
    </w:p>
    <w:p w14:paraId="31BE9A4E" w14:textId="77777777" w:rsidR="002F536C" w:rsidRDefault="002F536C" w:rsidP="002F536C">
      <w:pPr>
        <w:spacing w:line="240" w:lineRule="auto"/>
      </w:pPr>
      <w:r>
        <w:t xml:space="preserve">Human Rights Watch </w:t>
      </w:r>
      <w:hyperlink r:id="rId30" w:history="1">
        <w:r w:rsidRPr="00250FBE">
          <w:rPr>
            <w:rStyle w:val="Hyperlink"/>
          </w:rPr>
          <w:t>http://www.hrw.org/reports</w:t>
        </w:r>
      </w:hyperlink>
    </w:p>
    <w:p w14:paraId="7832773A" w14:textId="77777777" w:rsidR="002F536C" w:rsidRPr="00587420" w:rsidRDefault="002F536C" w:rsidP="002F536C">
      <w:pPr>
        <w:spacing w:line="240" w:lineRule="auto"/>
        <w:jc w:val="left"/>
      </w:pPr>
      <w:r>
        <w:t xml:space="preserve">South Africa Legal Information Institute </w:t>
      </w:r>
      <w:hyperlink r:id="rId31" w:history="1">
        <w:r w:rsidRPr="00250FBE">
          <w:rPr>
            <w:rStyle w:val="Hyperlink"/>
          </w:rPr>
          <w:t>http://www.saflii.org/za/</w:t>
        </w:r>
      </w:hyperlink>
    </w:p>
    <w:p w14:paraId="4314E48E" w14:textId="77777777" w:rsidR="002F536C" w:rsidRDefault="002F536C" w:rsidP="002F536C">
      <w:pPr>
        <w:pStyle w:val="Heading3"/>
        <w:numPr>
          <w:ilvl w:val="0"/>
          <w:numId w:val="0"/>
        </w:numPr>
        <w:ind w:left="720"/>
      </w:pPr>
      <w:bookmarkStart w:id="98" w:name="_Toc457484993"/>
      <w:bookmarkStart w:id="99" w:name="_Toc488481750"/>
      <w:r>
        <w:t>Magazines, Pamphlets and Brochures</w:t>
      </w:r>
      <w:bookmarkEnd w:id="98"/>
      <w:bookmarkEnd w:id="99"/>
      <w:r>
        <w:t xml:space="preserve"> </w:t>
      </w:r>
    </w:p>
    <w:p w14:paraId="1390F86D" w14:textId="77777777" w:rsidR="002F536C" w:rsidRPr="00D235CC" w:rsidRDefault="002F536C" w:rsidP="002F536C">
      <w:pPr>
        <w:spacing w:line="240" w:lineRule="auto"/>
      </w:pPr>
      <w:r>
        <w:t xml:space="preserve">Artists United Against Apartheid: ‘Sun City: A Teaching Guide’. African World Press, Inc, New Jersey, 1985. </w:t>
      </w:r>
    </w:p>
    <w:p w14:paraId="3B972319" w14:textId="77777777" w:rsidR="002F536C" w:rsidRDefault="002F536C" w:rsidP="002F536C">
      <w:pPr>
        <w:spacing w:line="240" w:lineRule="auto"/>
      </w:pPr>
      <w:r>
        <w:t>Morgan, R</w:t>
      </w:r>
      <w:r w:rsidR="00355DF8">
        <w:t>:</w:t>
      </w:r>
      <w:r>
        <w:t xml:space="preserve"> </w:t>
      </w:r>
      <w:r>
        <w:rPr>
          <w:i/>
        </w:rPr>
        <w:t>Sun City: Bophuthatswana Southern Africa.</w:t>
      </w:r>
      <w:r>
        <w:t xml:space="preserve"> Sun International, 1985. </w:t>
      </w:r>
    </w:p>
    <w:p w14:paraId="302A4415" w14:textId="77777777" w:rsidR="002F536C" w:rsidRPr="00EF5DA1" w:rsidRDefault="002F536C" w:rsidP="002F536C">
      <w:pPr>
        <w:spacing w:line="240" w:lineRule="auto"/>
        <w:jc w:val="left"/>
      </w:pPr>
      <w:r>
        <w:t>Potgieter, H. &amp; Cubitt, G</w:t>
      </w:r>
      <w:r w:rsidR="00355DF8">
        <w:t>:</w:t>
      </w:r>
      <w:r>
        <w:t xml:space="preserve"> </w:t>
      </w:r>
      <w:r>
        <w:rPr>
          <w:i/>
        </w:rPr>
        <w:t xml:space="preserve">Sun City. </w:t>
      </w:r>
      <w:r>
        <w:t>C. Struik (Pty) Ltd., 1987.</w:t>
      </w:r>
    </w:p>
    <w:p w14:paraId="6082B6D7" w14:textId="77777777" w:rsidR="002F536C" w:rsidRDefault="002F536C" w:rsidP="002F536C">
      <w:pPr>
        <w:spacing w:line="240" w:lineRule="auto"/>
      </w:pPr>
      <w:r>
        <w:t>Sun International: ‘SunBop.’ October/November 1991.</w:t>
      </w:r>
    </w:p>
    <w:p w14:paraId="11AD2E73" w14:textId="77777777" w:rsidR="002F536C" w:rsidRDefault="002F536C" w:rsidP="002F536C">
      <w:pPr>
        <w:spacing w:line="240" w:lineRule="auto"/>
      </w:pPr>
      <w:r>
        <w:t>Sun International: ‘Letsatsing.’ June 1985.</w:t>
      </w:r>
    </w:p>
    <w:p w14:paraId="3BDBAB2C" w14:textId="77777777" w:rsidR="002F536C" w:rsidRDefault="002F536C" w:rsidP="002F536C">
      <w:pPr>
        <w:spacing w:line="240" w:lineRule="auto"/>
      </w:pPr>
      <w:r>
        <w:t xml:space="preserve">Sun International: ‘Letsatsing.’ October 1985. </w:t>
      </w:r>
    </w:p>
    <w:p w14:paraId="75429611" w14:textId="77777777" w:rsidR="002F536C" w:rsidRDefault="002F536C" w:rsidP="002F536C">
      <w:pPr>
        <w:spacing w:line="240" w:lineRule="auto"/>
      </w:pPr>
      <w:r>
        <w:t>Van Vuuren, M, Standish, B. Boting, B. Swing, B. Powell, L &amp; Larsons, K</w:t>
      </w:r>
      <w:r w:rsidR="00355DF8">
        <w:t>:</w:t>
      </w:r>
      <w:r>
        <w:t xml:space="preserve"> ‘The Socio-economic Impact of Legalised Gambling in the Eastern Cape.’ </w:t>
      </w:r>
      <w:r w:rsidRPr="00BB61A0">
        <w:rPr>
          <w:i/>
        </w:rPr>
        <w:t>Eastern Cape Gambling and Betting Board</w:t>
      </w:r>
      <w:r>
        <w:t>, 2009.</w:t>
      </w:r>
    </w:p>
    <w:p w14:paraId="1683F746" w14:textId="77777777" w:rsidR="002F536C" w:rsidRDefault="002F536C" w:rsidP="002F536C">
      <w:pPr>
        <w:pStyle w:val="Heading3"/>
        <w:numPr>
          <w:ilvl w:val="0"/>
          <w:numId w:val="0"/>
        </w:numPr>
        <w:ind w:left="720"/>
      </w:pPr>
      <w:bookmarkStart w:id="100" w:name="_Toc457484994"/>
      <w:bookmarkStart w:id="101" w:name="_Toc488481751"/>
      <w:r>
        <w:t>Documentaries</w:t>
      </w:r>
      <w:bookmarkEnd w:id="100"/>
      <w:bookmarkEnd w:id="101"/>
    </w:p>
    <w:p w14:paraId="5FB1FDE3" w14:textId="77777777" w:rsidR="002F536C" w:rsidRDefault="00415272" w:rsidP="002F536C">
      <w:pPr>
        <w:spacing w:line="240" w:lineRule="auto"/>
        <w:jc w:val="left"/>
      </w:pPr>
      <w:r w:rsidRPr="00415272">
        <w:rPr>
          <w:i/>
        </w:rPr>
        <w:t>My Story: Solomon Kerzner</w:t>
      </w:r>
      <w:r>
        <w:rPr>
          <w:i/>
        </w:rPr>
        <w:t xml:space="preserve">, </w:t>
      </w:r>
      <w:r>
        <w:t xml:space="preserve">South Africa, </w:t>
      </w:r>
      <w:r w:rsidR="002F536C">
        <w:t xml:space="preserve">6 June 2015. </w:t>
      </w:r>
    </w:p>
    <w:p w14:paraId="4A65D5EA" w14:textId="77777777" w:rsidR="002F536C" w:rsidRPr="003F6F65" w:rsidRDefault="002F536C" w:rsidP="002F536C">
      <w:pPr>
        <w:jc w:val="left"/>
      </w:pPr>
    </w:p>
    <w:p w14:paraId="3FCC53CA" w14:textId="77777777" w:rsidR="002F536C" w:rsidRPr="006652E2" w:rsidRDefault="002F536C" w:rsidP="002F536C">
      <w:pPr>
        <w:tabs>
          <w:tab w:val="left" w:pos="2822"/>
        </w:tabs>
      </w:pPr>
      <w:r>
        <w:tab/>
      </w:r>
    </w:p>
    <w:p w14:paraId="1CB747CC" w14:textId="77777777" w:rsidR="002F536C" w:rsidRDefault="002F536C" w:rsidP="002F536C"/>
    <w:p w14:paraId="3E4A27AA" w14:textId="67164E3E" w:rsidR="00CD4878" w:rsidRDefault="002E31DA" w:rsidP="002F536C">
      <w:pPr>
        <w:pStyle w:val="Heading1"/>
        <w:numPr>
          <w:ilvl w:val="0"/>
          <w:numId w:val="0"/>
        </w:numPr>
        <w:ind w:left="432" w:hanging="432"/>
        <w:jc w:val="center"/>
      </w:pPr>
      <w:bookmarkStart w:id="102" w:name="_Toc488481752"/>
      <w:r>
        <w:rPr>
          <w:noProof/>
          <w:lang w:val="en-ZA" w:eastAsia="en-ZA"/>
        </w:rPr>
        <w:lastRenderedPageBreak/>
        <mc:AlternateContent>
          <mc:Choice Requires="wps">
            <w:drawing>
              <wp:anchor distT="45720" distB="45720" distL="114300" distR="114300" simplePos="0" relativeHeight="251735040" behindDoc="0" locked="0" layoutInCell="1" allowOverlap="1" wp14:anchorId="7788066D" wp14:editId="4BBB2F67">
                <wp:simplePos x="0" y="0"/>
                <wp:positionH relativeFrom="column">
                  <wp:posOffset>-94615</wp:posOffset>
                </wp:positionH>
                <wp:positionV relativeFrom="paragraph">
                  <wp:posOffset>8928100</wp:posOffset>
                </wp:positionV>
                <wp:extent cx="5434330" cy="245745"/>
                <wp:effectExtent l="0" t="0" r="13970" b="20955"/>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4330" cy="245745"/>
                        </a:xfrm>
                        <a:prstGeom prst="rect">
                          <a:avLst/>
                        </a:prstGeom>
                        <a:solidFill>
                          <a:srgbClr val="FFFFFF"/>
                        </a:solidFill>
                        <a:ln w="9525">
                          <a:solidFill>
                            <a:srgbClr val="000000"/>
                          </a:solidFill>
                          <a:miter lim="800000"/>
                          <a:headEnd/>
                          <a:tailEnd/>
                        </a:ln>
                      </wps:spPr>
                      <wps:txbx>
                        <w:txbxContent>
                          <w:p w14:paraId="7866E407" w14:textId="77777777" w:rsidR="005E6435" w:rsidRPr="00A05960" w:rsidRDefault="005E6435">
                            <w:pPr>
                              <w:rPr>
                                <w:sz w:val="18"/>
                              </w:rPr>
                            </w:pPr>
                            <w:r w:rsidRPr="00A05960">
                              <w:rPr>
                                <w:sz w:val="18"/>
                              </w:rPr>
                              <w:t xml:space="preserve">Table 2: Data of hotel kitchen staff per position, demographic and salary.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7.45pt;margin-top:703pt;width:427.9pt;height:19.35pt;z-index:2517350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">
                <v:textbox>
                  <w:txbxContent>
                    <w:p w14:paraId="7866E407" w14:textId="77777777" w:rsidR="005E6435" w:rsidRPr="00A05960" w:rsidRDefault="005E6435">
                      <w:pPr>
                        <w:rPr>
                          <w:sz w:val="18"/>
                        </w:rPr>
                      </w:pPr>
                      <w:r w:rsidRPr="00A05960">
                        <w:rPr>
                          <w:sz w:val="18"/>
                        </w:rPr>
                        <w:t xml:space="preserve">Table 2: Data of hotel kitchen staff per position, demographic and salary. </w:t>
                      </w:r>
                    </w:p>
                  </w:txbxContent>
                </v:textbox>
              </v:shape>
            </w:pict>
          </mc:Fallback>
        </mc:AlternateContent>
      </w:r>
      <w:r w:rsidR="00FF6FCC">
        <w:t>APPENDI</w:t>
      </w:r>
      <w:r w:rsidR="006F3AD9">
        <w:t>X</w:t>
      </w:r>
      <w:bookmarkEnd w:id="102"/>
    </w:p>
    <w:tbl>
      <w:tblPr>
        <w:tblW w:w="9108" w:type="dxa"/>
        <w:tblLook w:val="04A0" w:firstRow="1" w:lastRow="0" w:firstColumn="1" w:lastColumn="0" w:noHBand="0" w:noVBand="1"/>
      </w:tblPr>
      <w:tblGrid>
        <w:gridCol w:w="669"/>
        <w:gridCol w:w="893"/>
        <w:gridCol w:w="796"/>
        <w:gridCol w:w="1260"/>
        <w:gridCol w:w="1080"/>
        <w:gridCol w:w="900"/>
        <w:gridCol w:w="1170"/>
        <w:gridCol w:w="1620"/>
        <w:gridCol w:w="720"/>
      </w:tblGrid>
      <w:tr w:rsidR="00EC3D86" w:rsidRPr="00B8198E" w14:paraId="66DBB6F8" w14:textId="77777777" w:rsidTr="00B8198E">
        <w:trPr>
          <w:trHeight w:val="465"/>
        </w:trPr>
        <w:tc>
          <w:tcPr>
            <w:tcW w:w="9108" w:type="dxa"/>
            <w:gridSpan w:val="9"/>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3DE07455" w14:textId="77777777" w:rsidR="00EC3D86" w:rsidRPr="00B8198E" w:rsidRDefault="00EC3D86" w:rsidP="00EC3D86">
            <w:pPr>
              <w:spacing w:after="0" w:line="240" w:lineRule="auto"/>
              <w:jc w:val="center"/>
              <w:rPr>
                <w:rFonts w:ascii="Calibri" w:eastAsia="Times New Roman" w:hAnsi="Calibri" w:cs="Times New Roman"/>
                <w:b/>
                <w:bCs/>
                <w:color w:val="000000"/>
                <w:sz w:val="20"/>
                <w:szCs w:val="20"/>
                <w:lang w:val="en-US"/>
              </w:rPr>
            </w:pPr>
            <w:r w:rsidRPr="00B8198E">
              <w:rPr>
                <w:rFonts w:ascii="Calibri" w:eastAsia="Times New Roman" w:hAnsi="Calibri" w:cs="Times New Roman"/>
                <w:b/>
                <w:bCs/>
                <w:color w:val="000000"/>
                <w:sz w:val="28"/>
                <w:szCs w:val="20"/>
                <w:lang w:val="en-US"/>
              </w:rPr>
              <w:t xml:space="preserve">Table </w:t>
            </w:r>
            <w:r w:rsidR="00FF6FCC" w:rsidRPr="00B8198E">
              <w:rPr>
                <w:rFonts w:ascii="Calibri" w:eastAsia="Times New Roman" w:hAnsi="Calibri" w:cs="Times New Roman"/>
                <w:b/>
                <w:bCs/>
                <w:color w:val="000000"/>
                <w:sz w:val="28"/>
                <w:szCs w:val="20"/>
                <w:lang w:val="en-US"/>
              </w:rPr>
              <w:t>2</w:t>
            </w:r>
            <w:r w:rsidR="00B8198E" w:rsidRPr="00B8198E">
              <w:rPr>
                <w:rFonts w:ascii="Calibri" w:eastAsia="Times New Roman" w:hAnsi="Calibri" w:cs="Times New Roman"/>
                <w:b/>
                <w:bCs/>
                <w:color w:val="000000"/>
                <w:sz w:val="28"/>
                <w:szCs w:val="20"/>
                <w:lang w:val="en-US"/>
              </w:rPr>
              <w:t>: Restaurant k</w:t>
            </w:r>
            <w:r w:rsidRPr="00B8198E">
              <w:rPr>
                <w:rFonts w:ascii="Calibri" w:eastAsia="Times New Roman" w:hAnsi="Calibri" w:cs="Times New Roman"/>
                <w:b/>
                <w:bCs/>
                <w:color w:val="000000"/>
                <w:sz w:val="28"/>
                <w:szCs w:val="20"/>
                <w:lang w:val="en-US"/>
              </w:rPr>
              <w:t>itchen Staff</w:t>
            </w:r>
          </w:p>
        </w:tc>
      </w:tr>
      <w:tr w:rsidR="00B8198E" w:rsidRPr="00B8198E" w14:paraId="5F847646" w14:textId="77777777" w:rsidTr="00B8198E">
        <w:trPr>
          <w:trHeight w:val="42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6073CFC"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93" w:type="dxa"/>
            <w:tcBorders>
              <w:top w:val="nil"/>
              <w:left w:val="nil"/>
              <w:bottom w:val="single" w:sz="4" w:space="0" w:color="auto"/>
              <w:right w:val="single" w:sz="4" w:space="0" w:color="auto"/>
            </w:tcBorders>
            <w:shd w:val="clear" w:color="000000" w:fill="D9D9D9"/>
            <w:noWrap/>
            <w:vAlign w:val="center"/>
            <w:hideMark/>
          </w:tcPr>
          <w:p w14:paraId="2EBB50D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Tswana</w:t>
            </w:r>
          </w:p>
        </w:tc>
        <w:tc>
          <w:tcPr>
            <w:tcW w:w="796" w:type="dxa"/>
            <w:tcBorders>
              <w:top w:val="nil"/>
              <w:left w:val="nil"/>
              <w:bottom w:val="single" w:sz="4" w:space="0" w:color="auto"/>
              <w:right w:val="single" w:sz="4" w:space="0" w:color="auto"/>
            </w:tcBorders>
            <w:shd w:val="clear" w:color="000000" w:fill="D9D9D9"/>
            <w:noWrap/>
            <w:vAlign w:val="center"/>
            <w:hideMark/>
          </w:tcPr>
          <w:p w14:paraId="6317F70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Zulu</w:t>
            </w:r>
          </w:p>
        </w:tc>
        <w:tc>
          <w:tcPr>
            <w:tcW w:w="1260" w:type="dxa"/>
            <w:tcBorders>
              <w:top w:val="nil"/>
              <w:left w:val="nil"/>
              <w:bottom w:val="single" w:sz="4" w:space="0" w:color="auto"/>
              <w:right w:val="single" w:sz="4" w:space="0" w:color="auto"/>
            </w:tcBorders>
            <w:shd w:val="clear" w:color="000000" w:fill="D9D9D9"/>
            <w:noWrap/>
            <w:vAlign w:val="center"/>
            <w:hideMark/>
          </w:tcPr>
          <w:p w14:paraId="296DB678" w14:textId="77777777" w:rsidR="00EC3D86" w:rsidRPr="00B8198E" w:rsidRDefault="00B8198E"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White South African</w:t>
            </w:r>
          </w:p>
        </w:tc>
        <w:tc>
          <w:tcPr>
            <w:tcW w:w="1080" w:type="dxa"/>
            <w:tcBorders>
              <w:top w:val="nil"/>
              <w:left w:val="nil"/>
              <w:bottom w:val="single" w:sz="4" w:space="0" w:color="auto"/>
              <w:right w:val="single" w:sz="4" w:space="0" w:color="auto"/>
            </w:tcBorders>
            <w:shd w:val="clear" w:color="000000" w:fill="D9D9D9"/>
            <w:noWrap/>
            <w:vAlign w:val="center"/>
            <w:hideMark/>
          </w:tcPr>
          <w:p w14:paraId="70FDE00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Coloured</w:t>
            </w:r>
          </w:p>
        </w:tc>
        <w:tc>
          <w:tcPr>
            <w:tcW w:w="900" w:type="dxa"/>
            <w:tcBorders>
              <w:top w:val="nil"/>
              <w:left w:val="nil"/>
              <w:bottom w:val="single" w:sz="4" w:space="0" w:color="auto"/>
              <w:right w:val="single" w:sz="4" w:space="0" w:color="auto"/>
            </w:tcBorders>
            <w:shd w:val="clear" w:color="000000" w:fill="D9D9D9"/>
            <w:noWrap/>
            <w:vAlign w:val="center"/>
            <w:hideMark/>
          </w:tcPr>
          <w:p w14:paraId="56883C7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Indian</w:t>
            </w:r>
          </w:p>
        </w:tc>
        <w:tc>
          <w:tcPr>
            <w:tcW w:w="1170" w:type="dxa"/>
            <w:tcBorders>
              <w:top w:val="nil"/>
              <w:left w:val="nil"/>
              <w:bottom w:val="single" w:sz="4" w:space="0" w:color="auto"/>
              <w:right w:val="single" w:sz="4" w:space="0" w:color="auto"/>
            </w:tcBorders>
            <w:shd w:val="clear" w:color="000000" w:fill="D9D9D9"/>
            <w:noWrap/>
            <w:vAlign w:val="center"/>
            <w:hideMark/>
          </w:tcPr>
          <w:p w14:paraId="4385806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Other</w:t>
            </w:r>
          </w:p>
        </w:tc>
        <w:tc>
          <w:tcPr>
            <w:tcW w:w="1620" w:type="dxa"/>
            <w:tcBorders>
              <w:top w:val="nil"/>
              <w:left w:val="nil"/>
              <w:bottom w:val="single" w:sz="4" w:space="0" w:color="auto"/>
              <w:right w:val="single" w:sz="4" w:space="0" w:color="auto"/>
            </w:tcBorders>
            <w:shd w:val="clear" w:color="000000" w:fill="D9D9D9"/>
            <w:noWrap/>
            <w:vAlign w:val="bottom"/>
            <w:hideMark/>
          </w:tcPr>
          <w:p w14:paraId="739C701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Position</w:t>
            </w:r>
          </w:p>
        </w:tc>
        <w:tc>
          <w:tcPr>
            <w:tcW w:w="720" w:type="dxa"/>
            <w:tcBorders>
              <w:top w:val="nil"/>
              <w:left w:val="nil"/>
              <w:bottom w:val="single" w:sz="4" w:space="0" w:color="auto"/>
              <w:right w:val="single" w:sz="8" w:space="0" w:color="auto"/>
            </w:tcBorders>
            <w:shd w:val="clear" w:color="000000" w:fill="D9D9D9"/>
            <w:noWrap/>
            <w:vAlign w:val="bottom"/>
            <w:hideMark/>
          </w:tcPr>
          <w:p w14:paraId="53863AA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Salary</w:t>
            </w:r>
          </w:p>
        </w:tc>
      </w:tr>
      <w:tr w:rsidR="00EC3D86" w:rsidRPr="00B8198E" w14:paraId="16AE3845"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7BA4D5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93" w:type="dxa"/>
            <w:tcBorders>
              <w:top w:val="nil"/>
              <w:left w:val="nil"/>
              <w:bottom w:val="single" w:sz="4" w:space="0" w:color="auto"/>
              <w:right w:val="single" w:sz="4" w:space="0" w:color="auto"/>
            </w:tcBorders>
            <w:shd w:val="clear" w:color="auto" w:fill="auto"/>
            <w:noWrap/>
            <w:vAlign w:val="center"/>
            <w:hideMark/>
          </w:tcPr>
          <w:p w14:paraId="4135203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2E22180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260" w:type="dxa"/>
            <w:tcBorders>
              <w:top w:val="nil"/>
              <w:left w:val="nil"/>
              <w:bottom w:val="single" w:sz="4" w:space="0" w:color="auto"/>
              <w:right w:val="single" w:sz="4" w:space="0" w:color="auto"/>
            </w:tcBorders>
            <w:shd w:val="clear" w:color="auto" w:fill="auto"/>
            <w:noWrap/>
            <w:vAlign w:val="center"/>
            <w:hideMark/>
          </w:tcPr>
          <w:p w14:paraId="6D009EE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4BDD065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794A272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2CCBF4C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277B582E"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Kitchen Aid</w:t>
            </w:r>
          </w:p>
        </w:tc>
        <w:tc>
          <w:tcPr>
            <w:tcW w:w="720" w:type="dxa"/>
            <w:tcBorders>
              <w:top w:val="nil"/>
              <w:left w:val="nil"/>
              <w:bottom w:val="single" w:sz="4" w:space="0" w:color="auto"/>
              <w:right w:val="single" w:sz="8" w:space="0" w:color="auto"/>
            </w:tcBorders>
            <w:shd w:val="clear" w:color="auto" w:fill="auto"/>
            <w:noWrap/>
            <w:vAlign w:val="bottom"/>
            <w:hideMark/>
          </w:tcPr>
          <w:p w14:paraId="41F2B24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B8198E" w14:paraId="1D6E9BEC"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4B166D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893" w:type="dxa"/>
            <w:tcBorders>
              <w:top w:val="nil"/>
              <w:left w:val="nil"/>
              <w:bottom w:val="single" w:sz="4" w:space="0" w:color="auto"/>
              <w:right w:val="single" w:sz="4" w:space="0" w:color="auto"/>
            </w:tcBorders>
            <w:shd w:val="clear" w:color="auto" w:fill="auto"/>
            <w:noWrap/>
            <w:vAlign w:val="center"/>
            <w:hideMark/>
          </w:tcPr>
          <w:p w14:paraId="14C218C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753E1EC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6B2F9BD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080" w:type="dxa"/>
            <w:tcBorders>
              <w:top w:val="nil"/>
              <w:left w:val="nil"/>
              <w:bottom w:val="single" w:sz="4" w:space="0" w:color="auto"/>
              <w:right w:val="single" w:sz="4" w:space="0" w:color="auto"/>
            </w:tcBorders>
            <w:shd w:val="clear" w:color="auto" w:fill="auto"/>
            <w:noWrap/>
            <w:vAlign w:val="center"/>
            <w:hideMark/>
          </w:tcPr>
          <w:p w14:paraId="1C7BA34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E34094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3D55AA6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1A76628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Assistant chef</w:t>
            </w:r>
          </w:p>
        </w:tc>
        <w:tc>
          <w:tcPr>
            <w:tcW w:w="720" w:type="dxa"/>
            <w:tcBorders>
              <w:top w:val="nil"/>
              <w:left w:val="nil"/>
              <w:bottom w:val="single" w:sz="4" w:space="0" w:color="auto"/>
              <w:right w:val="single" w:sz="8" w:space="0" w:color="auto"/>
            </w:tcBorders>
            <w:shd w:val="clear" w:color="auto" w:fill="auto"/>
            <w:noWrap/>
            <w:vAlign w:val="bottom"/>
            <w:hideMark/>
          </w:tcPr>
          <w:p w14:paraId="4AAE57E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350</w:t>
            </w:r>
          </w:p>
        </w:tc>
      </w:tr>
      <w:tr w:rsidR="00EC3D86" w:rsidRPr="00B8198E" w14:paraId="53159689"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7607B4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w:t>
            </w:r>
          </w:p>
        </w:tc>
        <w:tc>
          <w:tcPr>
            <w:tcW w:w="893" w:type="dxa"/>
            <w:tcBorders>
              <w:top w:val="nil"/>
              <w:left w:val="nil"/>
              <w:bottom w:val="single" w:sz="4" w:space="0" w:color="auto"/>
              <w:right w:val="single" w:sz="4" w:space="0" w:color="auto"/>
            </w:tcBorders>
            <w:shd w:val="clear" w:color="auto" w:fill="auto"/>
            <w:noWrap/>
            <w:vAlign w:val="center"/>
            <w:hideMark/>
          </w:tcPr>
          <w:p w14:paraId="0B657A9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4F1D47C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315865D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274848F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1B25083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76B9454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Xhosa</w:t>
            </w:r>
          </w:p>
        </w:tc>
        <w:tc>
          <w:tcPr>
            <w:tcW w:w="1620" w:type="dxa"/>
            <w:tcBorders>
              <w:top w:val="nil"/>
              <w:left w:val="nil"/>
              <w:bottom w:val="single" w:sz="4" w:space="0" w:color="auto"/>
              <w:right w:val="single" w:sz="4" w:space="0" w:color="auto"/>
            </w:tcBorders>
            <w:shd w:val="clear" w:color="auto" w:fill="auto"/>
            <w:noWrap/>
            <w:vAlign w:val="bottom"/>
            <w:hideMark/>
          </w:tcPr>
          <w:p w14:paraId="3CA3951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Kitchen Aid</w:t>
            </w:r>
          </w:p>
        </w:tc>
        <w:tc>
          <w:tcPr>
            <w:tcW w:w="720" w:type="dxa"/>
            <w:tcBorders>
              <w:top w:val="nil"/>
              <w:left w:val="nil"/>
              <w:bottom w:val="single" w:sz="4" w:space="0" w:color="auto"/>
              <w:right w:val="single" w:sz="8" w:space="0" w:color="auto"/>
            </w:tcBorders>
            <w:shd w:val="clear" w:color="auto" w:fill="auto"/>
            <w:noWrap/>
            <w:vAlign w:val="bottom"/>
            <w:hideMark/>
          </w:tcPr>
          <w:p w14:paraId="6A9AE37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145</w:t>
            </w:r>
          </w:p>
        </w:tc>
      </w:tr>
      <w:tr w:rsidR="00EC3D86" w:rsidRPr="00B8198E" w14:paraId="716F394E"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E3CF01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w:t>
            </w:r>
          </w:p>
        </w:tc>
        <w:tc>
          <w:tcPr>
            <w:tcW w:w="893" w:type="dxa"/>
            <w:tcBorders>
              <w:top w:val="nil"/>
              <w:left w:val="nil"/>
              <w:bottom w:val="single" w:sz="4" w:space="0" w:color="auto"/>
              <w:right w:val="single" w:sz="4" w:space="0" w:color="auto"/>
            </w:tcBorders>
            <w:shd w:val="clear" w:color="auto" w:fill="auto"/>
            <w:noWrap/>
            <w:vAlign w:val="center"/>
            <w:hideMark/>
          </w:tcPr>
          <w:p w14:paraId="02D398E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0A9D4A7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260" w:type="dxa"/>
            <w:tcBorders>
              <w:top w:val="nil"/>
              <w:left w:val="nil"/>
              <w:bottom w:val="single" w:sz="4" w:space="0" w:color="auto"/>
              <w:right w:val="single" w:sz="4" w:space="0" w:color="auto"/>
            </w:tcBorders>
            <w:shd w:val="clear" w:color="auto" w:fill="auto"/>
            <w:noWrap/>
            <w:vAlign w:val="center"/>
            <w:hideMark/>
          </w:tcPr>
          <w:p w14:paraId="4F3E260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1E44A10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9E1C48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753D8A7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54F5069D"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Kitchen Aid</w:t>
            </w:r>
          </w:p>
        </w:tc>
        <w:tc>
          <w:tcPr>
            <w:tcW w:w="720" w:type="dxa"/>
            <w:tcBorders>
              <w:top w:val="nil"/>
              <w:left w:val="nil"/>
              <w:bottom w:val="single" w:sz="4" w:space="0" w:color="auto"/>
              <w:right w:val="single" w:sz="8" w:space="0" w:color="auto"/>
            </w:tcBorders>
            <w:shd w:val="clear" w:color="auto" w:fill="auto"/>
            <w:noWrap/>
            <w:vAlign w:val="bottom"/>
            <w:hideMark/>
          </w:tcPr>
          <w:p w14:paraId="570B8EB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145</w:t>
            </w:r>
          </w:p>
        </w:tc>
      </w:tr>
      <w:tr w:rsidR="00EC3D86" w:rsidRPr="00B8198E" w14:paraId="2D34DCE4"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2F646F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w:t>
            </w:r>
          </w:p>
        </w:tc>
        <w:tc>
          <w:tcPr>
            <w:tcW w:w="893" w:type="dxa"/>
            <w:tcBorders>
              <w:top w:val="nil"/>
              <w:left w:val="nil"/>
              <w:bottom w:val="single" w:sz="4" w:space="0" w:color="auto"/>
              <w:right w:val="single" w:sz="4" w:space="0" w:color="auto"/>
            </w:tcBorders>
            <w:shd w:val="clear" w:color="auto" w:fill="auto"/>
            <w:noWrap/>
            <w:vAlign w:val="center"/>
            <w:hideMark/>
          </w:tcPr>
          <w:p w14:paraId="4D0D65A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160144B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9B59E7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080" w:type="dxa"/>
            <w:tcBorders>
              <w:top w:val="nil"/>
              <w:left w:val="nil"/>
              <w:bottom w:val="single" w:sz="4" w:space="0" w:color="auto"/>
              <w:right w:val="single" w:sz="4" w:space="0" w:color="auto"/>
            </w:tcBorders>
            <w:shd w:val="clear" w:color="auto" w:fill="auto"/>
            <w:noWrap/>
            <w:vAlign w:val="center"/>
            <w:hideMark/>
          </w:tcPr>
          <w:p w14:paraId="578CCC0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F7B834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5069169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6A953F4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Assistant chef</w:t>
            </w:r>
          </w:p>
        </w:tc>
        <w:tc>
          <w:tcPr>
            <w:tcW w:w="720" w:type="dxa"/>
            <w:tcBorders>
              <w:top w:val="nil"/>
              <w:left w:val="nil"/>
              <w:bottom w:val="single" w:sz="4" w:space="0" w:color="auto"/>
              <w:right w:val="single" w:sz="8" w:space="0" w:color="auto"/>
            </w:tcBorders>
            <w:shd w:val="clear" w:color="auto" w:fill="auto"/>
            <w:noWrap/>
            <w:vAlign w:val="bottom"/>
            <w:hideMark/>
          </w:tcPr>
          <w:p w14:paraId="7AA87F9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300</w:t>
            </w:r>
          </w:p>
        </w:tc>
      </w:tr>
      <w:tr w:rsidR="00EC3D86" w:rsidRPr="00B8198E" w14:paraId="3B7FD98F"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00AE07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w:t>
            </w:r>
          </w:p>
        </w:tc>
        <w:tc>
          <w:tcPr>
            <w:tcW w:w="893" w:type="dxa"/>
            <w:tcBorders>
              <w:top w:val="nil"/>
              <w:left w:val="nil"/>
              <w:bottom w:val="single" w:sz="4" w:space="0" w:color="auto"/>
              <w:right w:val="single" w:sz="4" w:space="0" w:color="auto"/>
            </w:tcBorders>
            <w:shd w:val="clear" w:color="auto" w:fill="auto"/>
            <w:noWrap/>
            <w:vAlign w:val="center"/>
            <w:hideMark/>
          </w:tcPr>
          <w:p w14:paraId="1C52BDB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2D4569C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5AF6DB2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4B41DF9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392BE38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63C4579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Shangaan</w:t>
            </w:r>
          </w:p>
        </w:tc>
        <w:tc>
          <w:tcPr>
            <w:tcW w:w="1620" w:type="dxa"/>
            <w:tcBorders>
              <w:top w:val="nil"/>
              <w:left w:val="nil"/>
              <w:bottom w:val="single" w:sz="4" w:space="0" w:color="auto"/>
              <w:right w:val="single" w:sz="4" w:space="0" w:color="auto"/>
            </w:tcBorders>
            <w:shd w:val="clear" w:color="auto" w:fill="auto"/>
            <w:noWrap/>
            <w:vAlign w:val="bottom"/>
            <w:hideMark/>
          </w:tcPr>
          <w:p w14:paraId="7E60C90A"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Station chef</w:t>
            </w:r>
          </w:p>
        </w:tc>
        <w:tc>
          <w:tcPr>
            <w:tcW w:w="720" w:type="dxa"/>
            <w:tcBorders>
              <w:top w:val="nil"/>
              <w:left w:val="nil"/>
              <w:bottom w:val="single" w:sz="4" w:space="0" w:color="auto"/>
              <w:right w:val="single" w:sz="8" w:space="0" w:color="auto"/>
            </w:tcBorders>
            <w:shd w:val="clear" w:color="auto" w:fill="auto"/>
            <w:noWrap/>
            <w:vAlign w:val="bottom"/>
            <w:hideMark/>
          </w:tcPr>
          <w:p w14:paraId="620D83A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200</w:t>
            </w:r>
          </w:p>
        </w:tc>
      </w:tr>
      <w:tr w:rsidR="00EC3D86" w:rsidRPr="00B8198E" w14:paraId="4E23CC5C"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2CA188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w:t>
            </w:r>
          </w:p>
        </w:tc>
        <w:tc>
          <w:tcPr>
            <w:tcW w:w="893" w:type="dxa"/>
            <w:tcBorders>
              <w:top w:val="nil"/>
              <w:left w:val="nil"/>
              <w:bottom w:val="single" w:sz="4" w:space="0" w:color="auto"/>
              <w:right w:val="single" w:sz="4" w:space="0" w:color="auto"/>
            </w:tcBorders>
            <w:shd w:val="clear" w:color="auto" w:fill="auto"/>
            <w:noWrap/>
            <w:vAlign w:val="center"/>
            <w:hideMark/>
          </w:tcPr>
          <w:p w14:paraId="0E1B6A6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4CCEB5B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260" w:type="dxa"/>
            <w:tcBorders>
              <w:top w:val="nil"/>
              <w:left w:val="nil"/>
              <w:bottom w:val="single" w:sz="4" w:space="0" w:color="auto"/>
              <w:right w:val="single" w:sz="4" w:space="0" w:color="auto"/>
            </w:tcBorders>
            <w:shd w:val="clear" w:color="auto" w:fill="auto"/>
            <w:noWrap/>
            <w:vAlign w:val="center"/>
            <w:hideMark/>
          </w:tcPr>
          <w:p w14:paraId="311DBFF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5D5B219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C240E5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5E472F2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6BE95F5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72FC24F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150</w:t>
            </w:r>
          </w:p>
        </w:tc>
      </w:tr>
      <w:tr w:rsidR="00EC3D86" w:rsidRPr="00B8198E" w14:paraId="2D199C89"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E63C62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w:t>
            </w:r>
          </w:p>
        </w:tc>
        <w:tc>
          <w:tcPr>
            <w:tcW w:w="893" w:type="dxa"/>
            <w:tcBorders>
              <w:top w:val="nil"/>
              <w:left w:val="nil"/>
              <w:bottom w:val="single" w:sz="4" w:space="0" w:color="auto"/>
              <w:right w:val="single" w:sz="4" w:space="0" w:color="auto"/>
            </w:tcBorders>
            <w:shd w:val="clear" w:color="auto" w:fill="auto"/>
            <w:noWrap/>
            <w:vAlign w:val="center"/>
            <w:hideMark/>
          </w:tcPr>
          <w:p w14:paraId="64B5B31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29A53D6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332229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7564CF5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3773456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70" w:type="dxa"/>
            <w:tcBorders>
              <w:top w:val="nil"/>
              <w:left w:val="nil"/>
              <w:bottom w:val="single" w:sz="4" w:space="0" w:color="auto"/>
              <w:right w:val="single" w:sz="4" w:space="0" w:color="auto"/>
            </w:tcBorders>
            <w:shd w:val="clear" w:color="auto" w:fill="auto"/>
            <w:noWrap/>
            <w:vAlign w:val="center"/>
            <w:hideMark/>
          </w:tcPr>
          <w:p w14:paraId="5C3B342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664C6F9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Sous chef</w:t>
            </w:r>
          </w:p>
        </w:tc>
        <w:tc>
          <w:tcPr>
            <w:tcW w:w="720" w:type="dxa"/>
            <w:tcBorders>
              <w:top w:val="nil"/>
              <w:left w:val="nil"/>
              <w:bottom w:val="single" w:sz="4" w:space="0" w:color="auto"/>
              <w:right w:val="single" w:sz="8" w:space="0" w:color="auto"/>
            </w:tcBorders>
            <w:shd w:val="clear" w:color="auto" w:fill="auto"/>
            <w:noWrap/>
            <w:vAlign w:val="bottom"/>
            <w:hideMark/>
          </w:tcPr>
          <w:p w14:paraId="1D60FEB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700</w:t>
            </w:r>
          </w:p>
        </w:tc>
      </w:tr>
      <w:tr w:rsidR="00EC3D86" w:rsidRPr="00B8198E" w14:paraId="558F37AC"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A97019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w:t>
            </w:r>
          </w:p>
        </w:tc>
        <w:tc>
          <w:tcPr>
            <w:tcW w:w="893" w:type="dxa"/>
            <w:tcBorders>
              <w:top w:val="nil"/>
              <w:left w:val="nil"/>
              <w:bottom w:val="single" w:sz="4" w:space="0" w:color="auto"/>
              <w:right w:val="single" w:sz="4" w:space="0" w:color="auto"/>
            </w:tcBorders>
            <w:shd w:val="clear" w:color="auto" w:fill="auto"/>
            <w:noWrap/>
            <w:vAlign w:val="center"/>
            <w:hideMark/>
          </w:tcPr>
          <w:p w14:paraId="1E26000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32DC39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5A43F3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4919940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75504D6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24B603C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75BB5B9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Station chef</w:t>
            </w:r>
          </w:p>
        </w:tc>
        <w:tc>
          <w:tcPr>
            <w:tcW w:w="720" w:type="dxa"/>
            <w:tcBorders>
              <w:top w:val="nil"/>
              <w:left w:val="nil"/>
              <w:bottom w:val="single" w:sz="4" w:space="0" w:color="auto"/>
              <w:right w:val="single" w:sz="8" w:space="0" w:color="auto"/>
            </w:tcBorders>
            <w:shd w:val="clear" w:color="auto" w:fill="auto"/>
            <w:noWrap/>
            <w:vAlign w:val="bottom"/>
            <w:hideMark/>
          </w:tcPr>
          <w:p w14:paraId="2FB533C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250</w:t>
            </w:r>
          </w:p>
        </w:tc>
      </w:tr>
      <w:tr w:rsidR="00EC3D86" w:rsidRPr="00B8198E" w14:paraId="656E6617"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257A30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w:t>
            </w:r>
          </w:p>
        </w:tc>
        <w:tc>
          <w:tcPr>
            <w:tcW w:w="893" w:type="dxa"/>
            <w:tcBorders>
              <w:top w:val="nil"/>
              <w:left w:val="nil"/>
              <w:bottom w:val="single" w:sz="4" w:space="0" w:color="auto"/>
              <w:right w:val="single" w:sz="4" w:space="0" w:color="auto"/>
            </w:tcBorders>
            <w:shd w:val="clear" w:color="auto" w:fill="auto"/>
            <w:noWrap/>
            <w:vAlign w:val="center"/>
            <w:hideMark/>
          </w:tcPr>
          <w:p w14:paraId="2716A38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2A8B62D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05C40F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2E35935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862F06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70" w:type="dxa"/>
            <w:tcBorders>
              <w:top w:val="nil"/>
              <w:left w:val="nil"/>
              <w:bottom w:val="single" w:sz="4" w:space="0" w:color="auto"/>
              <w:right w:val="single" w:sz="4" w:space="0" w:color="auto"/>
            </w:tcBorders>
            <w:shd w:val="clear" w:color="auto" w:fill="auto"/>
            <w:noWrap/>
            <w:vAlign w:val="center"/>
            <w:hideMark/>
          </w:tcPr>
          <w:p w14:paraId="66ADCAA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34435E3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1781B0F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160</w:t>
            </w:r>
          </w:p>
        </w:tc>
      </w:tr>
      <w:tr w:rsidR="00EC3D86" w:rsidRPr="00B8198E" w14:paraId="1F88E39C"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74F7E4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w:t>
            </w:r>
          </w:p>
        </w:tc>
        <w:tc>
          <w:tcPr>
            <w:tcW w:w="893" w:type="dxa"/>
            <w:tcBorders>
              <w:top w:val="nil"/>
              <w:left w:val="nil"/>
              <w:bottom w:val="single" w:sz="4" w:space="0" w:color="auto"/>
              <w:right w:val="single" w:sz="4" w:space="0" w:color="auto"/>
            </w:tcBorders>
            <w:shd w:val="clear" w:color="auto" w:fill="auto"/>
            <w:noWrap/>
            <w:vAlign w:val="center"/>
            <w:hideMark/>
          </w:tcPr>
          <w:p w14:paraId="1FAD838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5E9AA76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6E16104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5F7C8F5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895264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70" w:type="dxa"/>
            <w:tcBorders>
              <w:top w:val="nil"/>
              <w:left w:val="nil"/>
              <w:bottom w:val="single" w:sz="4" w:space="0" w:color="auto"/>
              <w:right w:val="single" w:sz="4" w:space="0" w:color="auto"/>
            </w:tcBorders>
            <w:shd w:val="clear" w:color="auto" w:fill="auto"/>
            <w:noWrap/>
            <w:vAlign w:val="center"/>
            <w:hideMark/>
          </w:tcPr>
          <w:p w14:paraId="1CEA217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5D12005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Sous chef</w:t>
            </w:r>
          </w:p>
        </w:tc>
        <w:tc>
          <w:tcPr>
            <w:tcW w:w="720" w:type="dxa"/>
            <w:tcBorders>
              <w:top w:val="nil"/>
              <w:left w:val="nil"/>
              <w:bottom w:val="single" w:sz="4" w:space="0" w:color="auto"/>
              <w:right w:val="single" w:sz="8" w:space="0" w:color="auto"/>
            </w:tcBorders>
            <w:shd w:val="clear" w:color="auto" w:fill="auto"/>
            <w:noWrap/>
            <w:vAlign w:val="bottom"/>
            <w:hideMark/>
          </w:tcPr>
          <w:p w14:paraId="16A3A8A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450</w:t>
            </w:r>
          </w:p>
        </w:tc>
      </w:tr>
      <w:tr w:rsidR="00EC3D86" w:rsidRPr="00B8198E" w14:paraId="5150AB0C"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190973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w:t>
            </w:r>
          </w:p>
        </w:tc>
        <w:tc>
          <w:tcPr>
            <w:tcW w:w="893" w:type="dxa"/>
            <w:tcBorders>
              <w:top w:val="nil"/>
              <w:left w:val="nil"/>
              <w:bottom w:val="single" w:sz="4" w:space="0" w:color="auto"/>
              <w:right w:val="single" w:sz="4" w:space="0" w:color="auto"/>
            </w:tcBorders>
            <w:shd w:val="clear" w:color="auto" w:fill="auto"/>
            <w:noWrap/>
            <w:vAlign w:val="center"/>
            <w:hideMark/>
          </w:tcPr>
          <w:p w14:paraId="0305CDA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10AF741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360613F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2239BC2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1BF33B6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70" w:type="dxa"/>
            <w:tcBorders>
              <w:top w:val="nil"/>
              <w:left w:val="nil"/>
              <w:bottom w:val="single" w:sz="4" w:space="0" w:color="auto"/>
              <w:right w:val="single" w:sz="4" w:space="0" w:color="auto"/>
            </w:tcBorders>
            <w:shd w:val="clear" w:color="auto" w:fill="auto"/>
            <w:noWrap/>
            <w:vAlign w:val="center"/>
            <w:hideMark/>
          </w:tcPr>
          <w:p w14:paraId="5D3B544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481C406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Sous chef</w:t>
            </w:r>
          </w:p>
        </w:tc>
        <w:tc>
          <w:tcPr>
            <w:tcW w:w="720" w:type="dxa"/>
            <w:tcBorders>
              <w:top w:val="nil"/>
              <w:left w:val="nil"/>
              <w:bottom w:val="single" w:sz="4" w:space="0" w:color="auto"/>
              <w:right w:val="single" w:sz="8" w:space="0" w:color="auto"/>
            </w:tcBorders>
            <w:shd w:val="clear" w:color="auto" w:fill="auto"/>
            <w:noWrap/>
            <w:vAlign w:val="bottom"/>
            <w:hideMark/>
          </w:tcPr>
          <w:p w14:paraId="7EDF230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650</w:t>
            </w:r>
          </w:p>
        </w:tc>
      </w:tr>
      <w:tr w:rsidR="00EC3D86" w:rsidRPr="00B8198E" w14:paraId="2B76C42A"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EBED8F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w:t>
            </w:r>
          </w:p>
        </w:tc>
        <w:tc>
          <w:tcPr>
            <w:tcW w:w="893" w:type="dxa"/>
            <w:tcBorders>
              <w:top w:val="nil"/>
              <w:left w:val="nil"/>
              <w:bottom w:val="single" w:sz="4" w:space="0" w:color="auto"/>
              <w:right w:val="single" w:sz="4" w:space="0" w:color="auto"/>
            </w:tcBorders>
            <w:shd w:val="clear" w:color="auto" w:fill="auto"/>
            <w:noWrap/>
            <w:vAlign w:val="center"/>
            <w:hideMark/>
          </w:tcPr>
          <w:p w14:paraId="1A96E50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29DE3C0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DB2A32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5928EBC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11E8F88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70" w:type="dxa"/>
            <w:tcBorders>
              <w:top w:val="nil"/>
              <w:left w:val="nil"/>
              <w:bottom w:val="single" w:sz="4" w:space="0" w:color="auto"/>
              <w:right w:val="single" w:sz="4" w:space="0" w:color="auto"/>
            </w:tcBorders>
            <w:shd w:val="clear" w:color="auto" w:fill="auto"/>
            <w:noWrap/>
            <w:vAlign w:val="center"/>
            <w:hideMark/>
          </w:tcPr>
          <w:p w14:paraId="3192E30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6B1B6B49"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Sous chef</w:t>
            </w:r>
          </w:p>
        </w:tc>
        <w:tc>
          <w:tcPr>
            <w:tcW w:w="720" w:type="dxa"/>
            <w:tcBorders>
              <w:top w:val="nil"/>
              <w:left w:val="nil"/>
              <w:bottom w:val="single" w:sz="4" w:space="0" w:color="auto"/>
              <w:right w:val="single" w:sz="8" w:space="0" w:color="auto"/>
            </w:tcBorders>
            <w:shd w:val="clear" w:color="auto" w:fill="auto"/>
            <w:noWrap/>
            <w:vAlign w:val="bottom"/>
            <w:hideMark/>
          </w:tcPr>
          <w:p w14:paraId="15EFCC2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700</w:t>
            </w:r>
          </w:p>
        </w:tc>
      </w:tr>
      <w:tr w:rsidR="00EC3D86" w:rsidRPr="00B8198E" w14:paraId="254360C6"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6503F4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w:t>
            </w:r>
          </w:p>
        </w:tc>
        <w:tc>
          <w:tcPr>
            <w:tcW w:w="893" w:type="dxa"/>
            <w:tcBorders>
              <w:top w:val="nil"/>
              <w:left w:val="nil"/>
              <w:bottom w:val="single" w:sz="4" w:space="0" w:color="auto"/>
              <w:right w:val="single" w:sz="4" w:space="0" w:color="auto"/>
            </w:tcBorders>
            <w:shd w:val="clear" w:color="auto" w:fill="auto"/>
            <w:noWrap/>
            <w:vAlign w:val="center"/>
            <w:hideMark/>
          </w:tcPr>
          <w:p w14:paraId="4F97325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7674423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651D6B2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34A3DCE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D5D824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575C804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12B2793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Sous chef</w:t>
            </w:r>
          </w:p>
        </w:tc>
        <w:tc>
          <w:tcPr>
            <w:tcW w:w="720" w:type="dxa"/>
            <w:tcBorders>
              <w:top w:val="nil"/>
              <w:left w:val="nil"/>
              <w:bottom w:val="single" w:sz="4" w:space="0" w:color="auto"/>
              <w:right w:val="single" w:sz="8" w:space="0" w:color="auto"/>
            </w:tcBorders>
            <w:shd w:val="clear" w:color="auto" w:fill="auto"/>
            <w:noWrap/>
            <w:vAlign w:val="bottom"/>
            <w:hideMark/>
          </w:tcPr>
          <w:p w14:paraId="63E00C4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650</w:t>
            </w:r>
          </w:p>
        </w:tc>
      </w:tr>
      <w:tr w:rsidR="00EC3D86" w:rsidRPr="00B8198E" w14:paraId="14B48561"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4E45E2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15</w:t>
            </w:r>
          </w:p>
        </w:tc>
        <w:tc>
          <w:tcPr>
            <w:tcW w:w="893" w:type="dxa"/>
            <w:tcBorders>
              <w:top w:val="nil"/>
              <w:left w:val="nil"/>
              <w:bottom w:val="single" w:sz="4" w:space="0" w:color="auto"/>
              <w:right w:val="single" w:sz="4" w:space="0" w:color="auto"/>
            </w:tcBorders>
            <w:shd w:val="clear" w:color="auto" w:fill="auto"/>
            <w:noWrap/>
            <w:vAlign w:val="center"/>
            <w:hideMark/>
          </w:tcPr>
          <w:p w14:paraId="67FBD56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4337B4B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B1C2BC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12C7D7E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17B22FE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29E578B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63556B68"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Station chef</w:t>
            </w:r>
          </w:p>
        </w:tc>
        <w:tc>
          <w:tcPr>
            <w:tcW w:w="720" w:type="dxa"/>
            <w:tcBorders>
              <w:top w:val="nil"/>
              <w:left w:val="nil"/>
              <w:bottom w:val="single" w:sz="4" w:space="0" w:color="auto"/>
              <w:right w:val="single" w:sz="8" w:space="0" w:color="auto"/>
            </w:tcBorders>
            <w:shd w:val="clear" w:color="auto" w:fill="auto"/>
            <w:noWrap/>
            <w:vAlign w:val="bottom"/>
            <w:hideMark/>
          </w:tcPr>
          <w:p w14:paraId="5F066DF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135</w:t>
            </w:r>
          </w:p>
        </w:tc>
      </w:tr>
      <w:tr w:rsidR="00EC3D86" w:rsidRPr="00B8198E" w14:paraId="02FB1F22"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C6D910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16</w:t>
            </w:r>
          </w:p>
        </w:tc>
        <w:tc>
          <w:tcPr>
            <w:tcW w:w="893" w:type="dxa"/>
            <w:tcBorders>
              <w:top w:val="nil"/>
              <w:left w:val="nil"/>
              <w:bottom w:val="single" w:sz="4" w:space="0" w:color="auto"/>
              <w:right w:val="single" w:sz="4" w:space="0" w:color="auto"/>
            </w:tcBorders>
            <w:shd w:val="clear" w:color="auto" w:fill="auto"/>
            <w:noWrap/>
            <w:vAlign w:val="center"/>
            <w:hideMark/>
          </w:tcPr>
          <w:p w14:paraId="4260F17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1C1C1FE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7E0080D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745B7A1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7468ABC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6E93249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1DEFCEB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Station chef</w:t>
            </w:r>
          </w:p>
        </w:tc>
        <w:tc>
          <w:tcPr>
            <w:tcW w:w="720" w:type="dxa"/>
            <w:tcBorders>
              <w:top w:val="nil"/>
              <w:left w:val="nil"/>
              <w:bottom w:val="single" w:sz="4" w:space="0" w:color="auto"/>
              <w:right w:val="single" w:sz="8" w:space="0" w:color="auto"/>
            </w:tcBorders>
            <w:shd w:val="clear" w:color="auto" w:fill="auto"/>
            <w:noWrap/>
            <w:vAlign w:val="bottom"/>
            <w:hideMark/>
          </w:tcPr>
          <w:p w14:paraId="13D8E5F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170</w:t>
            </w:r>
          </w:p>
        </w:tc>
      </w:tr>
      <w:tr w:rsidR="00EC3D86" w:rsidRPr="00B8198E" w14:paraId="0DD799DD"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6E60C2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17</w:t>
            </w:r>
          </w:p>
        </w:tc>
        <w:tc>
          <w:tcPr>
            <w:tcW w:w="893" w:type="dxa"/>
            <w:tcBorders>
              <w:top w:val="nil"/>
              <w:left w:val="nil"/>
              <w:bottom w:val="single" w:sz="4" w:space="0" w:color="auto"/>
              <w:right w:val="single" w:sz="4" w:space="0" w:color="auto"/>
            </w:tcBorders>
            <w:shd w:val="clear" w:color="auto" w:fill="auto"/>
            <w:noWrap/>
            <w:vAlign w:val="center"/>
            <w:hideMark/>
          </w:tcPr>
          <w:p w14:paraId="726C315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3BADE85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19B736B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24B9B2B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308DEF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065F233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0AD7D62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Kitchen Aid</w:t>
            </w:r>
          </w:p>
        </w:tc>
        <w:tc>
          <w:tcPr>
            <w:tcW w:w="720" w:type="dxa"/>
            <w:tcBorders>
              <w:top w:val="nil"/>
              <w:left w:val="nil"/>
              <w:bottom w:val="single" w:sz="4" w:space="0" w:color="auto"/>
              <w:right w:val="single" w:sz="8" w:space="0" w:color="auto"/>
            </w:tcBorders>
            <w:shd w:val="clear" w:color="auto" w:fill="auto"/>
            <w:noWrap/>
            <w:vAlign w:val="bottom"/>
            <w:hideMark/>
          </w:tcPr>
          <w:p w14:paraId="153E308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B8198E" w14:paraId="3ED151AB"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3366D6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18</w:t>
            </w:r>
          </w:p>
        </w:tc>
        <w:tc>
          <w:tcPr>
            <w:tcW w:w="893" w:type="dxa"/>
            <w:tcBorders>
              <w:top w:val="nil"/>
              <w:left w:val="nil"/>
              <w:bottom w:val="single" w:sz="4" w:space="0" w:color="auto"/>
              <w:right w:val="single" w:sz="4" w:space="0" w:color="auto"/>
            </w:tcBorders>
            <w:shd w:val="clear" w:color="auto" w:fill="auto"/>
            <w:noWrap/>
            <w:vAlign w:val="center"/>
            <w:hideMark/>
          </w:tcPr>
          <w:p w14:paraId="7A10ED0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7661033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02C6779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12E7488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DD741D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5606705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50105DCC"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Kitchen Aid</w:t>
            </w:r>
          </w:p>
        </w:tc>
        <w:tc>
          <w:tcPr>
            <w:tcW w:w="720" w:type="dxa"/>
            <w:tcBorders>
              <w:top w:val="nil"/>
              <w:left w:val="nil"/>
              <w:bottom w:val="single" w:sz="4" w:space="0" w:color="auto"/>
              <w:right w:val="single" w:sz="8" w:space="0" w:color="auto"/>
            </w:tcBorders>
            <w:shd w:val="clear" w:color="auto" w:fill="auto"/>
            <w:noWrap/>
            <w:vAlign w:val="bottom"/>
            <w:hideMark/>
          </w:tcPr>
          <w:p w14:paraId="1EEB2AB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B8198E" w14:paraId="2E10F885"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F36DBA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19</w:t>
            </w:r>
          </w:p>
        </w:tc>
        <w:tc>
          <w:tcPr>
            <w:tcW w:w="893" w:type="dxa"/>
            <w:tcBorders>
              <w:top w:val="nil"/>
              <w:left w:val="nil"/>
              <w:bottom w:val="single" w:sz="4" w:space="0" w:color="auto"/>
              <w:right w:val="single" w:sz="4" w:space="0" w:color="auto"/>
            </w:tcBorders>
            <w:shd w:val="clear" w:color="auto" w:fill="auto"/>
            <w:noWrap/>
            <w:vAlign w:val="center"/>
            <w:hideMark/>
          </w:tcPr>
          <w:p w14:paraId="7695309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54750C9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29717FB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023E189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2341B1F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2A55468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247F3B7A"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Kitchen Aid</w:t>
            </w:r>
          </w:p>
        </w:tc>
        <w:tc>
          <w:tcPr>
            <w:tcW w:w="720" w:type="dxa"/>
            <w:tcBorders>
              <w:top w:val="nil"/>
              <w:left w:val="nil"/>
              <w:bottom w:val="single" w:sz="4" w:space="0" w:color="auto"/>
              <w:right w:val="single" w:sz="8" w:space="0" w:color="auto"/>
            </w:tcBorders>
            <w:shd w:val="clear" w:color="auto" w:fill="auto"/>
            <w:noWrap/>
            <w:vAlign w:val="bottom"/>
            <w:hideMark/>
          </w:tcPr>
          <w:p w14:paraId="4019850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B8198E" w14:paraId="102C53E2"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C1AC8C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20</w:t>
            </w:r>
          </w:p>
        </w:tc>
        <w:tc>
          <w:tcPr>
            <w:tcW w:w="893" w:type="dxa"/>
            <w:tcBorders>
              <w:top w:val="nil"/>
              <w:left w:val="nil"/>
              <w:bottom w:val="single" w:sz="4" w:space="0" w:color="auto"/>
              <w:right w:val="single" w:sz="4" w:space="0" w:color="auto"/>
            </w:tcBorders>
            <w:shd w:val="clear" w:color="auto" w:fill="auto"/>
            <w:noWrap/>
            <w:vAlign w:val="center"/>
            <w:hideMark/>
          </w:tcPr>
          <w:p w14:paraId="0A95588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1E73066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260" w:type="dxa"/>
            <w:tcBorders>
              <w:top w:val="nil"/>
              <w:left w:val="nil"/>
              <w:bottom w:val="single" w:sz="4" w:space="0" w:color="auto"/>
              <w:right w:val="single" w:sz="4" w:space="0" w:color="auto"/>
            </w:tcBorders>
            <w:shd w:val="clear" w:color="auto" w:fill="auto"/>
            <w:noWrap/>
            <w:vAlign w:val="center"/>
            <w:hideMark/>
          </w:tcPr>
          <w:p w14:paraId="3DC91D1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676EEC3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25694F3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54113BF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343628AE"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Station chef</w:t>
            </w:r>
          </w:p>
        </w:tc>
        <w:tc>
          <w:tcPr>
            <w:tcW w:w="720" w:type="dxa"/>
            <w:tcBorders>
              <w:top w:val="nil"/>
              <w:left w:val="nil"/>
              <w:bottom w:val="single" w:sz="4" w:space="0" w:color="auto"/>
              <w:right w:val="single" w:sz="8" w:space="0" w:color="auto"/>
            </w:tcBorders>
            <w:shd w:val="clear" w:color="auto" w:fill="auto"/>
            <w:noWrap/>
            <w:vAlign w:val="bottom"/>
            <w:hideMark/>
          </w:tcPr>
          <w:p w14:paraId="1CC36CA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125</w:t>
            </w:r>
          </w:p>
        </w:tc>
      </w:tr>
      <w:tr w:rsidR="00EC3D86" w:rsidRPr="00B8198E" w14:paraId="623451B2"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F9AB95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21</w:t>
            </w:r>
          </w:p>
        </w:tc>
        <w:tc>
          <w:tcPr>
            <w:tcW w:w="893" w:type="dxa"/>
            <w:tcBorders>
              <w:top w:val="nil"/>
              <w:left w:val="nil"/>
              <w:bottom w:val="single" w:sz="4" w:space="0" w:color="auto"/>
              <w:right w:val="single" w:sz="4" w:space="0" w:color="auto"/>
            </w:tcBorders>
            <w:shd w:val="clear" w:color="auto" w:fill="auto"/>
            <w:noWrap/>
            <w:vAlign w:val="center"/>
            <w:hideMark/>
          </w:tcPr>
          <w:p w14:paraId="3DC4962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39C0DFF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375D988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1CB0F53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BBC231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0B9AD03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4D33BEC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552AB37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B8198E" w14:paraId="065F7CF1"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C2EF59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22</w:t>
            </w:r>
          </w:p>
        </w:tc>
        <w:tc>
          <w:tcPr>
            <w:tcW w:w="893" w:type="dxa"/>
            <w:tcBorders>
              <w:top w:val="nil"/>
              <w:left w:val="nil"/>
              <w:bottom w:val="single" w:sz="4" w:space="0" w:color="auto"/>
              <w:right w:val="single" w:sz="4" w:space="0" w:color="auto"/>
            </w:tcBorders>
            <w:shd w:val="clear" w:color="auto" w:fill="auto"/>
            <w:noWrap/>
            <w:vAlign w:val="center"/>
            <w:hideMark/>
          </w:tcPr>
          <w:p w14:paraId="0090E9E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526A8F1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5D008AC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78D99BC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F3B3D0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2EA0ED8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6EC4AEBA"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Kitchen Aid</w:t>
            </w:r>
          </w:p>
        </w:tc>
        <w:tc>
          <w:tcPr>
            <w:tcW w:w="720" w:type="dxa"/>
            <w:tcBorders>
              <w:top w:val="nil"/>
              <w:left w:val="nil"/>
              <w:bottom w:val="single" w:sz="4" w:space="0" w:color="auto"/>
              <w:right w:val="single" w:sz="8" w:space="0" w:color="auto"/>
            </w:tcBorders>
            <w:shd w:val="clear" w:color="auto" w:fill="auto"/>
            <w:noWrap/>
            <w:vAlign w:val="bottom"/>
            <w:hideMark/>
          </w:tcPr>
          <w:p w14:paraId="0A70043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135</w:t>
            </w:r>
          </w:p>
        </w:tc>
      </w:tr>
      <w:tr w:rsidR="00EC3D86" w:rsidRPr="00B8198E" w14:paraId="1E47CFBC"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848E8C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23</w:t>
            </w:r>
          </w:p>
        </w:tc>
        <w:tc>
          <w:tcPr>
            <w:tcW w:w="893" w:type="dxa"/>
            <w:tcBorders>
              <w:top w:val="nil"/>
              <w:left w:val="nil"/>
              <w:bottom w:val="single" w:sz="4" w:space="0" w:color="auto"/>
              <w:right w:val="single" w:sz="4" w:space="0" w:color="auto"/>
            </w:tcBorders>
            <w:shd w:val="clear" w:color="auto" w:fill="auto"/>
            <w:noWrap/>
            <w:vAlign w:val="center"/>
            <w:hideMark/>
          </w:tcPr>
          <w:p w14:paraId="401772E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5EA0333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2D9349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21C2A75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39AC0C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22E3262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7F3C84E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4FC39C1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135</w:t>
            </w:r>
          </w:p>
        </w:tc>
      </w:tr>
      <w:tr w:rsidR="00EC3D86" w:rsidRPr="00B8198E" w14:paraId="076C1E3C"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3F92DA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24</w:t>
            </w:r>
          </w:p>
        </w:tc>
        <w:tc>
          <w:tcPr>
            <w:tcW w:w="893" w:type="dxa"/>
            <w:tcBorders>
              <w:top w:val="nil"/>
              <w:left w:val="nil"/>
              <w:bottom w:val="single" w:sz="4" w:space="0" w:color="auto"/>
              <w:right w:val="single" w:sz="4" w:space="0" w:color="auto"/>
            </w:tcBorders>
            <w:shd w:val="clear" w:color="auto" w:fill="auto"/>
            <w:noWrap/>
            <w:vAlign w:val="center"/>
            <w:hideMark/>
          </w:tcPr>
          <w:p w14:paraId="4959F92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1BB8F71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21EBC24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6C8851D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4B791B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515E351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262830EA"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6EE94E4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B8198E" w14:paraId="7F19D86A"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9D098C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25</w:t>
            </w:r>
          </w:p>
        </w:tc>
        <w:tc>
          <w:tcPr>
            <w:tcW w:w="893" w:type="dxa"/>
            <w:tcBorders>
              <w:top w:val="nil"/>
              <w:left w:val="nil"/>
              <w:bottom w:val="single" w:sz="4" w:space="0" w:color="auto"/>
              <w:right w:val="single" w:sz="4" w:space="0" w:color="auto"/>
            </w:tcBorders>
            <w:shd w:val="clear" w:color="auto" w:fill="auto"/>
            <w:noWrap/>
            <w:vAlign w:val="center"/>
            <w:hideMark/>
          </w:tcPr>
          <w:p w14:paraId="3281A78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330446A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617240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00CDCC3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7220A2E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6917B12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4CF4BE39"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6432775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B8198E" w14:paraId="53E8C29E"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D904C1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26</w:t>
            </w:r>
          </w:p>
        </w:tc>
        <w:tc>
          <w:tcPr>
            <w:tcW w:w="893" w:type="dxa"/>
            <w:tcBorders>
              <w:top w:val="nil"/>
              <w:left w:val="nil"/>
              <w:bottom w:val="single" w:sz="4" w:space="0" w:color="auto"/>
              <w:right w:val="single" w:sz="4" w:space="0" w:color="auto"/>
            </w:tcBorders>
            <w:shd w:val="clear" w:color="auto" w:fill="auto"/>
            <w:noWrap/>
            <w:vAlign w:val="center"/>
            <w:hideMark/>
          </w:tcPr>
          <w:p w14:paraId="43C4430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5B4B7B1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79BE199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0CE98A5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766CA0B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405F65E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26D5107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56E6160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B8198E" w14:paraId="39A23540"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37F15B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27</w:t>
            </w:r>
          </w:p>
        </w:tc>
        <w:tc>
          <w:tcPr>
            <w:tcW w:w="893" w:type="dxa"/>
            <w:tcBorders>
              <w:top w:val="nil"/>
              <w:left w:val="nil"/>
              <w:bottom w:val="single" w:sz="4" w:space="0" w:color="auto"/>
              <w:right w:val="single" w:sz="4" w:space="0" w:color="auto"/>
            </w:tcBorders>
            <w:shd w:val="clear" w:color="auto" w:fill="auto"/>
            <w:noWrap/>
            <w:vAlign w:val="center"/>
            <w:hideMark/>
          </w:tcPr>
          <w:p w14:paraId="5D700F8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2F107AE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2648712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4429883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85C3FF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560DA15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63F4826A"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363C129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B8198E" w14:paraId="0C3859B3"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EE19E8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28</w:t>
            </w:r>
          </w:p>
        </w:tc>
        <w:tc>
          <w:tcPr>
            <w:tcW w:w="893" w:type="dxa"/>
            <w:tcBorders>
              <w:top w:val="nil"/>
              <w:left w:val="nil"/>
              <w:bottom w:val="single" w:sz="4" w:space="0" w:color="auto"/>
              <w:right w:val="single" w:sz="4" w:space="0" w:color="auto"/>
            </w:tcBorders>
            <w:shd w:val="clear" w:color="auto" w:fill="auto"/>
            <w:noWrap/>
            <w:vAlign w:val="center"/>
            <w:hideMark/>
          </w:tcPr>
          <w:p w14:paraId="508BAFC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19E3667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3DEE92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59A2612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57681B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6E5B342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3BED955D"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2487E3B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B8198E" w14:paraId="5D942371"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8D5D68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29</w:t>
            </w:r>
          </w:p>
        </w:tc>
        <w:tc>
          <w:tcPr>
            <w:tcW w:w="893" w:type="dxa"/>
            <w:tcBorders>
              <w:top w:val="nil"/>
              <w:left w:val="nil"/>
              <w:bottom w:val="single" w:sz="4" w:space="0" w:color="auto"/>
              <w:right w:val="single" w:sz="4" w:space="0" w:color="auto"/>
            </w:tcBorders>
            <w:shd w:val="clear" w:color="auto" w:fill="auto"/>
            <w:noWrap/>
            <w:vAlign w:val="center"/>
            <w:hideMark/>
          </w:tcPr>
          <w:p w14:paraId="6E94FE1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64E3D56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137D9FD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5568C38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2F22117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49060D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084E407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3D0AACC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B8198E" w14:paraId="18E56BBE"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720804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30</w:t>
            </w:r>
          </w:p>
        </w:tc>
        <w:tc>
          <w:tcPr>
            <w:tcW w:w="893" w:type="dxa"/>
            <w:tcBorders>
              <w:top w:val="nil"/>
              <w:left w:val="nil"/>
              <w:bottom w:val="single" w:sz="4" w:space="0" w:color="auto"/>
              <w:right w:val="single" w:sz="4" w:space="0" w:color="auto"/>
            </w:tcBorders>
            <w:shd w:val="clear" w:color="auto" w:fill="auto"/>
            <w:noWrap/>
            <w:vAlign w:val="center"/>
            <w:hideMark/>
          </w:tcPr>
          <w:p w14:paraId="54E57E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03405C5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260" w:type="dxa"/>
            <w:tcBorders>
              <w:top w:val="nil"/>
              <w:left w:val="nil"/>
              <w:bottom w:val="single" w:sz="4" w:space="0" w:color="auto"/>
              <w:right w:val="single" w:sz="4" w:space="0" w:color="auto"/>
            </w:tcBorders>
            <w:shd w:val="clear" w:color="auto" w:fill="auto"/>
            <w:noWrap/>
            <w:vAlign w:val="center"/>
            <w:hideMark/>
          </w:tcPr>
          <w:p w14:paraId="57236C1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04F5A8B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F55309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6236FE9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72D16428"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65FC3E0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B8198E" w14:paraId="28F5A9F7"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463048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31</w:t>
            </w:r>
          </w:p>
        </w:tc>
        <w:tc>
          <w:tcPr>
            <w:tcW w:w="893" w:type="dxa"/>
            <w:tcBorders>
              <w:top w:val="nil"/>
              <w:left w:val="nil"/>
              <w:bottom w:val="single" w:sz="4" w:space="0" w:color="auto"/>
              <w:right w:val="single" w:sz="4" w:space="0" w:color="auto"/>
            </w:tcBorders>
            <w:shd w:val="clear" w:color="auto" w:fill="auto"/>
            <w:noWrap/>
            <w:vAlign w:val="center"/>
            <w:hideMark/>
          </w:tcPr>
          <w:p w14:paraId="55B1AB3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single" w:sz="4" w:space="0" w:color="auto"/>
              <w:right w:val="single" w:sz="4" w:space="0" w:color="auto"/>
            </w:tcBorders>
            <w:shd w:val="clear" w:color="auto" w:fill="auto"/>
            <w:noWrap/>
            <w:vAlign w:val="center"/>
            <w:hideMark/>
          </w:tcPr>
          <w:p w14:paraId="1C019C8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260" w:type="dxa"/>
            <w:tcBorders>
              <w:top w:val="nil"/>
              <w:left w:val="nil"/>
              <w:bottom w:val="single" w:sz="4" w:space="0" w:color="auto"/>
              <w:right w:val="single" w:sz="4" w:space="0" w:color="auto"/>
            </w:tcBorders>
            <w:shd w:val="clear" w:color="auto" w:fill="auto"/>
            <w:noWrap/>
            <w:vAlign w:val="center"/>
            <w:hideMark/>
          </w:tcPr>
          <w:p w14:paraId="04DF523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0662F4E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1D594C3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05CD596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31EACD0F"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17C984B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B8198E" w14:paraId="2A863370"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3862CC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32</w:t>
            </w:r>
          </w:p>
        </w:tc>
        <w:tc>
          <w:tcPr>
            <w:tcW w:w="893" w:type="dxa"/>
            <w:tcBorders>
              <w:top w:val="nil"/>
              <w:left w:val="nil"/>
              <w:bottom w:val="single" w:sz="4" w:space="0" w:color="auto"/>
              <w:right w:val="single" w:sz="4" w:space="0" w:color="auto"/>
            </w:tcBorders>
            <w:shd w:val="clear" w:color="auto" w:fill="auto"/>
            <w:noWrap/>
            <w:vAlign w:val="center"/>
            <w:hideMark/>
          </w:tcPr>
          <w:p w14:paraId="7D70325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54483D6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72684D6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266DDF4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601B7AA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193CA2D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46410ED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48E23E8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B8198E" w14:paraId="3313E4F6"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9701A7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33</w:t>
            </w:r>
          </w:p>
        </w:tc>
        <w:tc>
          <w:tcPr>
            <w:tcW w:w="893" w:type="dxa"/>
            <w:tcBorders>
              <w:top w:val="nil"/>
              <w:left w:val="nil"/>
              <w:bottom w:val="single" w:sz="4" w:space="0" w:color="auto"/>
              <w:right w:val="single" w:sz="4" w:space="0" w:color="auto"/>
            </w:tcBorders>
            <w:shd w:val="clear" w:color="auto" w:fill="auto"/>
            <w:noWrap/>
            <w:vAlign w:val="center"/>
            <w:hideMark/>
          </w:tcPr>
          <w:p w14:paraId="5CB42BB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06FDAEE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4D2C6A5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3BF8D7A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47552F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33FDBEC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288BBBD8"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13B21D1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B8198E" w14:paraId="67EEFB5C"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D437BC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34</w:t>
            </w:r>
          </w:p>
        </w:tc>
        <w:tc>
          <w:tcPr>
            <w:tcW w:w="893" w:type="dxa"/>
            <w:tcBorders>
              <w:top w:val="nil"/>
              <w:left w:val="nil"/>
              <w:bottom w:val="single" w:sz="4" w:space="0" w:color="auto"/>
              <w:right w:val="single" w:sz="4" w:space="0" w:color="auto"/>
            </w:tcBorders>
            <w:shd w:val="clear" w:color="auto" w:fill="auto"/>
            <w:noWrap/>
            <w:vAlign w:val="center"/>
            <w:hideMark/>
          </w:tcPr>
          <w:p w14:paraId="40F01C9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5684C50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3E86D1D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552DF9F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FDAEA5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6C5D109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4952CD98"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08A61E8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B8198E" w14:paraId="0E26D3A2"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62DE71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35</w:t>
            </w:r>
          </w:p>
        </w:tc>
        <w:tc>
          <w:tcPr>
            <w:tcW w:w="893" w:type="dxa"/>
            <w:tcBorders>
              <w:top w:val="nil"/>
              <w:left w:val="nil"/>
              <w:bottom w:val="single" w:sz="4" w:space="0" w:color="auto"/>
              <w:right w:val="single" w:sz="4" w:space="0" w:color="auto"/>
            </w:tcBorders>
            <w:shd w:val="clear" w:color="auto" w:fill="auto"/>
            <w:noWrap/>
            <w:vAlign w:val="center"/>
            <w:hideMark/>
          </w:tcPr>
          <w:p w14:paraId="3A07420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437E181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576EC74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4FDFCCF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7C7790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1A7AABB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6F1AE286"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7571145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B8198E" w14:paraId="6C18C28B" w14:textId="77777777" w:rsidTr="00B8198E">
        <w:trPr>
          <w:trHeight w:val="300"/>
        </w:trPr>
        <w:tc>
          <w:tcPr>
            <w:tcW w:w="6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91A8F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36</w:t>
            </w:r>
          </w:p>
        </w:tc>
        <w:tc>
          <w:tcPr>
            <w:tcW w:w="893" w:type="dxa"/>
            <w:tcBorders>
              <w:top w:val="single" w:sz="4" w:space="0" w:color="auto"/>
              <w:left w:val="nil"/>
              <w:bottom w:val="single" w:sz="4" w:space="0" w:color="auto"/>
              <w:right w:val="single" w:sz="4" w:space="0" w:color="auto"/>
            </w:tcBorders>
            <w:shd w:val="clear" w:color="auto" w:fill="auto"/>
            <w:noWrap/>
            <w:vAlign w:val="center"/>
            <w:hideMark/>
          </w:tcPr>
          <w:p w14:paraId="290C17F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single" w:sz="4" w:space="0" w:color="auto"/>
              <w:left w:val="nil"/>
              <w:bottom w:val="single" w:sz="4" w:space="0" w:color="auto"/>
              <w:right w:val="single" w:sz="4" w:space="0" w:color="auto"/>
            </w:tcBorders>
            <w:shd w:val="clear" w:color="auto" w:fill="auto"/>
            <w:noWrap/>
            <w:vAlign w:val="center"/>
            <w:hideMark/>
          </w:tcPr>
          <w:p w14:paraId="50016CA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14:paraId="61B30DE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2D2A183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14:paraId="42EFA4A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single" w:sz="4" w:space="0" w:color="auto"/>
              <w:left w:val="nil"/>
              <w:bottom w:val="single" w:sz="4" w:space="0" w:color="auto"/>
              <w:right w:val="single" w:sz="4" w:space="0" w:color="auto"/>
            </w:tcBorders>
            <w:shd w:val="clear" w:color="auto" w:fill="auto"/>
            <w:noWrap/>
            <w:vAlign w:val="center"/>
            <w:hideMark/>
          </w:tcPr>
          <w:p w14:paraId="7E8CC77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79CC81B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14:paraId="3599E5F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B8198E" w14:paraId="5CCEFB78" w14:textId="77777777" w:rsidTr="00B8198E">
        <w:trPr>
          <w:trHeight w:val="300"/>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CEC521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37</w:t>
            </w:r>
          </w:p>
        </w:tc>
        <w:tc>
          <w:tcPr>
            <w:tcW w:w="893" w:type="dxa"/>
            <w:tcBorders>
              <w:top w:val="nil"/>
              <w:left w:val="nil"/>
              <w:bottom w:val="single" w:sz="4" w:space="0" w:color="auto"/>
              <w:right w:val="single" w:sz="4" w:space="0" w:color="auto"/>
            </w:tcBorders>
            <w:shd w:val="clear" w:color="auto" w:fill="auto"/>
            <w:noWrap/>
            <w:vAlign w:val="center"/>
            <w:hideMark/>
          </w:tcPr>
          <w:p w14:paraId="611554E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96" w:type="dxa"/>
            <w:tcBorders>
              <w:top w:val="nil"/>
              <w:left w:val="nil"/>
              <w:bottom w:val="single" w:sz="4" w:space="0" w:color="auto"/>
              <w:right w:val="single" w:sz="4" w:space="0" w:color="auto"/>
            </w:tcBorders>
            <w:shd w:val="clear" w:color="auto" w:fill="auto"/>
            <w:noWrap/>
            <w:vAlign w:val="center"/>
            <w:hideMark/>
          </w:tcPr>
          <w:p w14:paraId="0A661B8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single" w:sz="4" w:space="0" w:color="auto"/>
              <w:right w:val="single" w:sz="4" w:space="0" w:color="auto"/>
            </w:tcBorders>
            <w:shd w:val="clear" w:color="auto" w:fill="auto"/>
            <w:noWrap/>
            <w:vAlign w:val="center"/>
            <w:hideMark/>
          </w:tcPr>
          <w:p w14:paraId="0A39B63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single" w:sz="4" w:space="0" w:color="auto"/>
              <w:right w:val="single" w:sz="4" w:space="0" w:color="auto"/>
            </w:tcBorders>
            <w:shd w:val="clear" w:color="auto" w:fill="auto"/>
            <w:noWrap/>
            <w:vAlign w:val="center"/>
            <w:hideMark/>
          </w:tcPr>
          <w:p w14:paraId="63106F7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890078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187CEEA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620" w:type="dxa"/>
            <w:tcBorders>
              <w:top w:val="nil"/>
              <w:left w:val="nil"/>
              <w:bottom w:val="single" w:sz="4" w:space="0" w:color="auto"/>
              <w:right w:val="single" w:sz="4" w:space="0" w:color="auto"/>
            </w:tcBorders>
            <w:shd w:val="clear" w:color="auto" w:fill="auto"/>
            <w:noWrap/>
            <w:vAlign w:val="bottom"/>
            <w:hideMark/>
          </w:tcPr>
          <w:p w14:paraId="0BDD44A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429EAFE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B8198E" w14:paraId="490CCD06" w14:textId="77777777" w:rsidTr="00B8198E">
        <w:trPr>
          <w:trHeight w:val="315"/>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B92208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38</w:t>
            </w:r>
          </w:p>
        </w:tc>
        <w:tc>
          <w:tcPr>
            <w:tcW w:w="893" w:type="dxa"/>
            <w:tcBorders>
              <w:top w:val="nil"/>
              <w:left w:val="nil"/>
              <w:bottom w:val="double" w:sz="6" w:space="0" w:color="auto"/>
              <w:right w:val="single" w:sz="4" w:space="0" w:color="auto"/>
            </w:tcBorders>
            <w:shd w:val="clear" w:color="auto" w:fill="auto"/>
            <w:noWrap/>
            <w:vAlign w:val="center"/>
            <w:hideMark/>
          </w:tcPr>
          <w:p w14:paraId="7FF6D77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96" w:type="dxa"/>
            <w:tcBorders>
              <w:top w:val="nil"/>
              <w:left w:val="nil"/>
              <w:bottom w:val="double" w:sz="6" w:space="0" w:color="auto"/>
              <w:right w:val="single" w:sz="4" w:space="0" w:color="auto"/>
            </w:tcBorders>
            <w:shd w:val="clear" w:color="auto" w:fill="auto"/>
            <w:noWrap/>
            <w:vAlign w:val="center"/>
            <w:hideMark/>
          </w:tcPr>
          <w:p w14:paraId="3BB6180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260" w:type="dxa"/>
            <w:tcBorders>
              <w:top w:val="nil"/>
              <w:left w:val="nil"/>
              <w:bottom w:val="double" w:sz="6" w:space="0" w:color="auto"/>
              <w:right w:val="single" w:sz="4" w:space="0" w:color="auto"/>
            </w:tcBorders>
            <w:shd w:val="clear" w:color="auto" w:fill="auto"/>
            <w:noWrap/>
            <w:vAlign w:val="center"/>
            <w:hideMark/>
          </w:tcPr>
          <w:p w14:paraId="53C485C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080" w:type="dxa"/>
            <w:tcBorders>
              <w:top w:val="nil"/>
              <w:left w:val="nil"/>
              <w:bottom w:val="double" w:sz="6" w:space="0" w:color="auto"/>
              <w:right w:val="single" w:sz="4" w:space="0" w:color="auto"/>
            </w:tcBorders>
            <w:shd w:val="clear" w:color="auto" w:fill="auto"/>
            <w:noWrap/>
            <w:vAlign w:val="center"/>
            <w:hideMark/>
          </w:tcPr>
          <w:p w14:paraId="354E11B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double" w:sz="6" w:space="0" w:color="auto"/>
              <w:right w:val="single" w:sz="4" w:space="0" w:color="auto"/>
            </w:tcBorders>
            <w:shd w:val="clear" w:color="auto" w:fill="auto"/>
            <w:noWrap/>
            <w:vAlign w:val="center"/>
            <w:hideMark/>
          </w:tcPr>
          <w:p w14:paraId="0F0995A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70" w:type="dxa"/>
            <w:tcBorders>
              <w:top w:val="nil"/>
              <w:left w:val="nil"/>
              <w:bottom w:val="single" w:sz="4" w:space="0" w:color="auto"/>
              <w:right w:val="single" w:sz="4" w:space="0" w:color="auto"/>
            </w:tcBorders>
            <w:shd w:val="clear" w:color="auto" w:fill="auto"/>
            <w:noWrap/>
            <w:vAlign w:val="center"/>
            <w:hideMark/>
          </w:tcPr>
          <w:p w14:paraId="7DC0210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Ndebele</w:t>
            </w:r>
          </w:p>
        </w:tc>
        <w:tc>
          <w:tcPr>
            <w:tcW w:w="1620" w:type="dxa"/>
            <w:tcBorders>
              <w:top w:val="nil"/>
              <w:left w:val="nil"/>
              <w:bottom w:val="single" w:sz="4" w:space="0" w:color="auto"/>
              <w:right w:val="single" w:sz="4" w:space="0" w:color="auto"/>
            </w:tcBorders>
            <w:shd w:val="clear" w:color="auto" w:fill="auto"/>
            <w:noWrap/>
            <w:vAlign w:val="bottom"/>
            <w:hideMark/>
          </w:tcPr>
          <w:p w14:paraId="4EBF19AD"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Prep cook</w:t>
            </w:r>
          </w:p>
        </w:tc>
        <w:tc>
          <w:tcPr>
            <w:tcW w:w="720" w:type="dxa"/>
            <w:tcBorders>
              <w:top w:val="nil"/>
              <w:left w:val="nil"/>
              <w:bottom w:val="single" w:sz="4" w:space="0" w:color="auto"/>
              <w:right w:val="single" w:sz="8" w:space="0" w:color="auto"/>
            </w:tcBorders>
            <w:shd w:val="clear" w:color="auto" w:fill="auto"/>
            <w:noWrap/>
            <w:vAlign w:val="bottom"/>
            <w:hideMark/>
          </w:tcPr>
          <w:p w14:paraId="1448D47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B8198E" w14:paraId="4BFEA829" w14:textId="77777777" w:rsidTr="00B8198E">
        <w:trPr>
          <w:trHeight w:val="405"/>
        </w:trPr>
        <w:tc>
          <w:tcPr>
            <w:tcW w:w="669" w:type="dxa"/>
            <w:tcBorders>
              <w:top w:val="nil"/>
              <w:left w:val="single" w:sz="8" w:space="0" w:color="auto"/>
              <w:bottom w:val="single" w:sz="8" w:space="0" w:color="auto"/>
              <w:right w:val="single" w:sz="4" w:space="0" w:color="auto"/>
            </w:tcBorders>
            <w:shd w:val="clear" w:color="auto" w:fill="auto"/>
            <w:noWrap/>
            <w:vAlign w:val="bottom"/>
            <w:hideMark/>
          </w:tcPr>
          <w:p w14:paraId="0B22449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Total</w:t>
            </w:r>
          </w:p>
        </w:tc>
        <w:tc>
          <w:tcPr>
            <w:tcW w:w="893" w:type="dxa"/>
            <w:tcBorders>
              <w:top w:val="nil"/>
              <w:left w:val="nil"/>
              <w:bottom w:val="single" w:sz="8" w:space="0" w:color="auto"/>
              <w:right w:val="single" w:sz="4" w:space="0" w:color="auto"/>
            </w:tcBorders>
            <w:shd w:val="clear" w:color="auto" w:fill="auto"/>
            <w:noWrap/>
            <w:vAlign w:val="center"/>
            <w:hideMark/>
          </w:tcPr>
          <w:p w14:paraId="3CACF29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19</w:t>
            </w:r>
          </w:p>
        </w:tc>
        <w:tc>
          <w:tcPr>
            <w:tcW w:w="796" w:type="dxa"/>
            <w:tcBorders>
              <w:top w:val="nil"/>
              <w:left w:val="nil"/>
              <w:bottom w:val="single" w:sz="8" w:space="0" w:color="auto"/>
              <w:right w:val="single" w:sz="4" w:space="0" w:color="auto"/>
            </w:tcBorders>
            <w:shd w:val="clear" w:color="auto" w:fill="auto"/>
            <w:noWrap/>
            <w:vAlign w:val="center"/>
            <w:hideMark/>
          </w:tcPr>
          <w:p w14:paraId="51E2B5F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w:t>
            </w:r>
          </w:p>
        </w:tc>
        <w:tc>
          <w:tcPr>
            <w:tcW w:w="1260" w:type="dxa"/>
            <w:tcBorders>
              <w:top w:val="nil"/>
              <w:left w:val="nil"/>
              <w:bottom w:val="single" w:sz="8" w:space="0" w:color="auto"/>
              <w:right w:val="single" w:sz="4" w:space="0" w:color="auto"/>
            </w:tcBorders>
            <w:shd w:val="clear" w:color="auto" w:fill="auto"/>
            <w:noWrap/>
            <w:vAlign w:val="center"/>
            <w:hideMark/>
          </w:tcPr>
          <w:p w14:paraId="016B7FE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1080" w:type="dxa"/>
            <w:tcBorders>
              <w:top w:val="nil"/>
              <w:left w:val="nil"/>
              <w:bottom w:val="single" w:sz="8" w:space="0" w:color="auto"/>
              <w:right w:val="single" w:sz="4" w:space="0" w:color="auto"/>
            </w:tcBorders>
            <w:shd w:val="clear" w:color="auto" w:fill="auto"/>
            <w:noWrap/>
            <w:vAlign w:val="center"/>
            <w:hideMark/>
          </w:tcPr>
          <w:p w14:paraId="14176D9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900" w:type="dxa"/>
            <w:tcBorders>
              <w:top w:val="nil"/>
              <w:left w:val="nil"/>
              <w:bottom w:val="single" w:sz="8" w:space="0" w:color="auto"/>
              <w:right w:val="single" w:sz="4" w:space="0" w:color="auto"/>
            </w:tcBorders>
            <w:shd w:val="clear" w:color="auto" w:fill="auto"/>
            <w:noWrap/>
            <w:vAlign w:val="center"/>
            <w:hideMark/>
          </w:tcPr>
          <w:p w14:paraId="61D4AA3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w:t>
            </w:r>
          </w:p>
        </w:tc>
        <w:tc>
          <w:tcPr>
            <w:tcW w:w="3510" w:type="dxa"/>
            <w:gridSpan w:val="3"/>
            <w:tcBorders>
              <w:top w:val="nil"/>
              <w:left w:val="nil"/>
              <w:bottom w:val="single" w:sz="8" w:space="0" w:color="auto"/>
              <w:right w:val="single" w:sz="8" w:space="0" w:color="000000"/>
            </w:tcBorders>
            <w:shd w:val="clear" w:color="auto" w:fill="auto"/>
            <w:noWrap/>
            <w:vAlign w:val="bottom"/>
            <w:hideMark/>
          </w:tcPr>
          <w:p w14:paraId="36934D06"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r>
    </w:tbl>
    <w:p w14:paraId="03860397" w14:textId="77777777" w:rsidR="00EC3D86" w:rsidRPr="00B8198E" w:rsidRDefault="00EC3D86" w:rsidP="00FB725F">
      <w:pPr>
        <w:rPr>
          <w:sz w:val="20"/>
          <w:szCs w:val="20"/>
        </w:rPr>
      </w:pPr>
    </w:p>
    <w:tbl>
      <w:tblPr>
        <w:tblW w:w="8013" w:type="dxa"/>
        <w:jc w:val="center"/>
        <w:tblLook w:val="04A0" w:firstRow="1" w:lastRow="0" w:firstColumn="1" w:lastColumn="0" w:noHBand="0" w:noVBand="1"/>
      </w:tblPr>
      <w:tblGrid>
        <w:gridCol w:w="669"/>
        <w:gridCol w:w="1138"/>
        <w:gridCol w:w="911"/>
        <w:gridCol w:w="1999"/>
        <w:gridCol w:w="1438"/>
        <w:gridCol w:w="945"/>
        <w:gridCol w:w="913"/>
      </w:tblGrid>
      <w:tr w:rsidR="00EC3D86" w:rsidRPr="00B8198E" w14:paraId="27BF4314" w14:textId="77777777" w:rsidTr="00FF6FCC">
        <w:trPr>
          <w:trHeight w:val="420"/>
          <w:jc w:val="center"/>
        </w:trPr>
        <w:tc>
          <w:tcPr>
            <w:tcW w:w="8013" w:type="dxa"/>
            <w:gridSpan w:val="7"/>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47447166" w14:textId="77777777" w:rsidR="00EC3D86" w:rsidRPr="00B8198E" w:rsidRDefault="00FF6FCC" w:rsidP="00EC3D86">
            <w:pPr>
              <w:spacing w:after="0" w:line="240" w:lineRule="auto"/>
              <w:jc w:val="center"/>
              <w:rPr>
                <w:rFonts w:ascii="Calibri" w:eastAsia="Times New Roman" w:hAnsi="Calibri" w:cs="Times New Roman"/>
                <w:b/>
                <w:bCs/>
                <w:color w:val="000000"/>
                <w:sz w:val="20"/>
                <w:szCs w:val="20"/>
                <w:lang w:val="en-US"/>
              </w:rPr>
            </w:pPr>
            <w:r w:rsidRPr="00B8198E">
              <w:rPr>
                <w:rFonts w:ascii="Calibri" w:eastAsia="Times New Roman" w:hAnsi="Calibri" w:cs="Times New Roman"/>
                <w:b/>
                <w:bCs/>
                <w:color w:val="000000"/>
                <w:sz w:val="28"/>
                <w:szCs w:val="20"/>
                <w:lang w:val="en-US"/>
              </w:rPr>
              <w:t>Table 3</w:t>
            </w:r>
            <w:r w:rsidR="00EC3D86" w:rsidRPr="00B8198E">
              <w:rPr>
                <w:rFonts w:ascii="Calibri" w:eastAsia="Times New Roman" w:hAnsi="Calibri" w:cs="Times New Roman"/>
                <w:b/>
                <w:bCs/>
                <w:color w:val="000000"/>
                <w:sz w:val="28"/>
                <w:szCs w:val="20"/>
                <w:lang w:val="en-US"/>
              </w:rPr>
              <w:t xml:space="preserve">: </w:t>
            </w:r>
            <w:r w:rsidR="00B8198E" w:rsidRPr="00B8198E">
              <w:rPr>
                <w:rFonts w:ascii="Calibri" w:eastAsia="Times New Roman" w:hAnsi="Calibri" w:cs="Times New Roman"/>
                <w:b/>
                <w:bCs/>
                <w:color w:val="000000"/>
                <w:sz w:val="28"/>
                <w:szCs w:val="20"/>
                <w:lang w:val="en-US"/>
              </w:rPr>
              <w:t>Hotel s</w:t>
            </w:r>
            <w:r w:rsidR="00EC3D86" w:rsidRPr="00B8198E">
              <w:rPr>
                <w:rFonts w:ascii="Calibri" w:eastAsia="Times New Roman" w:hAnsi="Calibri" w:cs="Times New Roman"/>
                <w:b/>
                <w:bCs/>
                <w:color w:val="000000"/>
                <w:sz w:val="28"/>
                <w:szCs w:val="20"/>
                <w:lang w:val="en-US"/>
              </w:rPr>
              <w:t>upervisors</w:t>
            </w:r>
          </w:p>
        </w:tc>
      </w:tr>
      <w:tr w:rsidR="00EC3D86" w:rsidRPr="00B8198E" w14:paraId="449A2A98" w14:textId="77777777" w:rsidTr="00FF6FCC">
        <w:trPr>
          <w:trHeight w:val="375"/>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F7D14C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38" w:type="dxa"/>
            <w:tcBorders>
              <w:top w:val="nil"/>
              <w:left w:val="nil"/>
              <w:bottom w:val="single" w:sz="4" w:space="0" w:color="auto"/>
              <w:right w:val="single" w:sz="4" w:space="0" w:color="auto"/>
            </w:tcBorders>
            <w:shd w:val="clear" w:color="000000" w:fill="D9D9D9"/>
            <w:noWrap/>
            <w:vAlign w:val="bottom"/>
            <w:hideMark/>
          </w:tcPr>
          <w:p w14:paraId="2C921CB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Tswana</w:t>
            </w:r>
          </w:p>
        </w:tc>
        <w:tc>
          <w:tcPr>
            <w:tcW w:w="911" w:type="dxa"/>
            <w:tcBorders>
              <w:top w:val="nil"/>
              <w:left w:val="nil"/>
              <w:bottom w:val="single" w:sz="4" w:space="0" w:color="auto"/>
              <w:right w:val="single" w:sz="4" w:space="0" w:color="auto"/>
            </w:tcBorders>
            <w:shd w:val="clear" w:color="000000" w:fill="D9D9D9"/>
            <w:noWrap/>
            <w:vAlign w:val="bottom"/>
            <w:hideMark/>
          </w:tcPr>
          <w:p w14:paraId="7C63470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xml:space="preserve">Xhosa </w:t>
            </w:r>
          </w:p>
        </w:tc>
        <w:tc>
          <w:tcPr>
            <w:tcW w:w="1999" w:type="dxa"/>
            <w:tcBorders>
              <w:top w:val="nil"/>
              <w:left w:val="nil"/>
              <w:bottom w:val="single" w:sz="4" w:space="0" w:color="auto"/>
              <w:right w:val="single" w:sz="4" w:space="0" w:color="auto"/>
            </w:tcBorders>
            <w:shd w:val="clear" w:color="000000" w:fill="D9D9D9"/>
            <w:noWrap/>
            <w:vAlign w:val="bottom"/>
            <w:hideMark/>
          </w:tcPr>
          <w:p w14:paraId="07A9C9FE" w14:textId="77777777" w:rsidR="00EC3D86" w:rsidRPr="00B8198E" w:rsidRDefault="00B8198E"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xml:space="preserve">White </w:t>
            </w:r>
            <w:r w:rsidR="00EC3D86" w:rsidRPr="00B8198E">
              <w:rPr>
                <w:rFonts w:ascii="Calibri" w:eastAsia="Times New Roman" w:hAnsi="Calibri" w:cs="Times New Roman"/>
                <w:color w:val="000000"/>
                <w:sz w:val="20"/>
                <w:szCs w:val="20"/>
                <w:lang w:val="en-US"/>
              </w:rPr>
              <w:t>South African</w:t>
            </w:r>
          </w:p>
        </w:tc>
        <w:tc>
          <w:tcPr>
            <w:tcW w:w="1438" w:type="dxa"/>
            <w:tcBorders>
              <w:top w:val="nil"/>
              <w:left w:val="nil"/>
              <w:bottom w:val="single" w:sz="4" w:space="0" w:color="auto"/>
              <w:right w:val="single" w:sz="4" w:space="0" w:color="auto"/>
            </w:tcBorders>
            <w:shd w:val="clear" w:color="000000" w:fill="D9D9D9"/>
            <w:noWrap/>
            <w:vAlign w:val="bottom"/>
            <w:hideMark/>
          </w:tcPr>
          <w:p w14:paraId="17B6C9F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European</w:t>
            </w:r>
          </w:p>
        </w:tc>
        <w:tc>
          <w:tcPr>
            <w:tcW w:w="945" w:type="dxa"/>
            <w:tcBorders>
              <w:top w:val="nil"/>
              <w:left w:val="nil"/>
              <w:bottom w:val="single" w:sz="4" w:space="0" w:color="auto"/>
              <w:right w:val="single" w:sz="4" w:space="0" w:color="auto"/>
            </w:tcBorders>
            <w:shd w:val="clear" w:color="000000" w:fill="D9D9D9"/>
            <w:noWrap/>
            <w:vAlign w:val="bottom"/>
            <w:hideMark/>
          </w:tcPr>
          <w:p w14:paraId="5A6E3D5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Indian</w:t>
            </w:r>
          </w:p>
        </w:tc>
        <w:tc>
          <w:tcPr>
            <w:tcW w:w="913" w:type="dxa"/>
            <w:tcBorders>
              <w:top w:val="nil"/>
              <w:left w:val="nil"/>
              <w:bottom w:val="single" w:sz="4" w:space="0" w:color="auto"/>
              <w:right w:val="single" w:sz="8" w:space="0" w:color="auto"/>
            </w:tcBorders>
            <w:shd w:val="clear" w:color="000000" w:fill="D9D9D9"/>
            <w:noWrap/>
            <w:vAlign w:val="bottom"/>
            <w:hideMark/>
          </w:tcPr>
          <w:p w14:paraId="523489E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Salary</w:t>
            </w:r>
          </w:p>
        </w:tc>
      </w:tr>
      <w:tr w:rsidR="00EC3D86" w:rsidRPr="00B8198E" w14:paraId="74992C40"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960E95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38" w:type="dxa"/>
            <w:tcBorders>
              <w:top w:val="nil"/>
              <w:left w:val="nil"/>
              <w:bottom w:val="single" w:sz="4" w:space="0" w:color="auto"/>
              <w:right w:val="single" w:sz="4" w:space="0" w:color="auto"/>
            </w:tcBorders>
            <w:shd w:val="clear" w:color="auto" w:fill="auto"/>
            <w:noWrap/>
            <w:vAlign w:val="center"/>
            <w:hideMark/>
          </w:tcPr>
          <w:p w14:paraId="45E4FD4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7CD4A57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999" w:type="dxa"/>
            <w:tcBorders>
              <w:top w:val="nil"/>
              <w:left w:val="nil"/>
              <w:bottom w:val="single" w:sz="4" w:space="0" w:color="auto"/>
              <w:right w:val="single" w:sz="4" w:space="0" w:color="auto"/>
            </w:tcBorders>
            <w:shd w:val="clear" w:color="auto" w:fill="auto"/>
            <w:noWrap/>
            <w:vAlign w:val="center"/>
            <w:hideMark/>
          </w:tcPr>
          <w:p w14:paraId="04DCB3E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38" w:type="dxa"/>
            <w:tcBorders>
              <w:top w:val="nil"/>
              <w:left w:val="nil"/>
              <w:bottom w:val="single" w:sz="4" w:space="0" w:color="auto"/>
              <w:right w:val="single" w:sz="4" w:space="0" w:color="auto"/>
            </w:tcBorders>
            <w:shd w:val="clear" w:color="auto" w:fill="auto"/>
            <w:noWrap/>
            <w:vAlign w:val="center"/>
            <w:hideMark/>
          </w:tcPr>
          <w:p w14:paraId="21EF61F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778D220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7C5F71A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325</w:t>
            </w:r>
          </w:p>
        </w:tc>
      </w:tr>
      <w:tr w:rsidR="00EC3D86" w:rsidRPr="00B8198E" w14:paraId="6008B818"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3437FD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1138" w:type="dxa"/>
            <w:tcBorders>
              <w:top w:val="nil"/>
              <w:left w:val="nil"/>
              <w:bottom w:val="single" w:sz="4" w:space="0" w:color="auto"/>
              <w:right w:val="single" w:sz="4" w:space="0" w:color="auto"/>
            </w:tcBorders>
            <w:shd w:val="clear" w:color="auto" w:fill="auto"/>
            <w:noWrap/>
            <w:vAlign w:val="center"/>
            <w:hideMark/>
          </w:tcPr>
          <w:p w14:paraId="3F8B7CC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653E777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287A11A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38" w:type="dxa"/>
            <w:tcBorders>
              <w:top w:val="nil"/>
              <w:left w:val="nil"/>
              <w:bottom w:val="single" w:sz="4" w:space="0" w:color="auto"/>
              <w:right w:val="single" w:sz="4" w:space="0" w:color="auto"/>
            </w:tcBorders>
            <w:shd w:val="clear" w:color="auto" w:fill="auto"/>
            <w:noWrap/>
            <w:vAlign w:val="center"/>
            <w:hideMark/>
          </w:tcPr>
          <w:p w14:paraId="6E0341E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0E05054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13" w:type="dxa"/>
            <w:tcBorders>
              <w:top w:val="nil"/>
              <w:left w:val="nil"/>
              <w:bottom w:val="single" w:sz="4" w:space="0" w:color="auto"/>
              <w:right w:val="single" w:sz="8" w:space="0" w:color="auto"/>
            </w:tcBorders>
            <w:shd w:val="clear" w:color="auto" w:fill="auto"/>
            <w:noWrap/>
            <w:vAlign w:val="bottom"/>
            <w:hideMark/>
          </w:tcPr>
          <w:p w14:paraId="71A8491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515</w:t>
            </w:r>
          </w:p>
        </w:tc>
      </w:tr>
      <w:tr w:rsidR="00EC3D86" w:rsidRPr="00B8198E" w14:paraId="318AA5F8"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98B482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w:t>
            </w:r>
          </w:p>
        </w:tc>
        <w:tc>
          <w:tcPr>
            <w:tcW w:w="1138" w:type="dxa"/>
            <w:tcBorders>
              <w:top w:val="nil"/>
              <w:left w:val="nil"/>
              <w:bottom w:val="single" w:sz="4" w:space="0" w:color="auto"/>
              <w:right w:val="single" w:sz="4" w:space="0" w:color="auto"/>
            </w:tcBorders>
            <w:shd w:val="clear" w:color="auto" w:fill="auto"/>
            <w:noWrap/>
            <w:vAlign w:val="center"/>
            <w:hideMark/>
          </w:tcPr>
          <w:p w14:paraId="7F5C25C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11" w:type="dxa"/>
            <w:tcBorders>
              <w:top w:val="nil"/>
              <w:left w:val="nil"/>
              <w:bottom w:val="single" w:sz="4" w:space="0" w:color="auto"/>
              <w:right w:val="single" w:sz="4" w:space="0" w:color="auto"/>
            </w:tcBorders>
            <w:shd w:val="clear" w:color="auto" w:fill="auto"/>
            <w:noWrap/>
            <w:vAlign w:val="center"/>
            <w:hideMark/>
          </w:tcPr>
          <w:p w14:paraId="0D216DA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567861F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38" w:type="dxa"/>
            <w:tcBorders>
              <w:top w:val="nil"/>
              <w:left w:val="nil"/>
              <w:bottom w:val="single" w:sz="4" w:space="0" w:color="auto"/>
              <w:right w:val="single" w:sz="4" w:space="0" w:color="auto"/>
            </w:tcBorders>
            <w:shd w:val="clear" w:color="auto" w:fill="auto"/>
            <w:noWrap/>
            <w:vAlign w:val="center"/>
            <w:hideMark/>
          </w:tcPr>
          <w:p w14:paraId="6353AA8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1BC10C4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5800CB7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B8198E" w14:paraId="53F0D2ED"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F0DD9B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w:t>
            </w:r>
          </w:p>
        </w:tc>
        <w:tc>
          <w:tcPr>
            <w:tcW w:w="1138" w:type="dxa"/>
            <w:tcBorders>
              <w:top w:val="nil"/>
              <w:left w:val="nil"/>
              <w:bottom w:val="single" w:sz="4" w:space="0" w:color="auto"/>
              <w:right w:val="single" w:sz="4" w:space="0" w:color="auto"/>
            </w:tcBorders>
            <w:shd w:val="clear" w:color="auto" w:fill="auto"/>
            <w:noWrap/>
            <w:vAlign w:val="center"/>
            <w:hideMark/>
          </w:tcPr>
          <w:p w14:paraId="4166D57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11" w:type="dxa"/>
            <w:tcBorders>
              <w:top w:val="nil"/>
              <w:left w:val="nil"/>
              <w:bottom w:val="single" w:sz="4" w:space="0" w:color="auto"/>
              <w:right w:val="single" w:sz="4" w:space="0" w:color="auto"/>
            </w:tcBorders>
            <w:shd w:val="clear" w:color="auto" w:fill="auto"/>
            <w:noWrap/>
            <w:vAlign w:val="center"/>
            <w:hideMark/>
          </w:tcPr>
          <w:p w14:paraId="2117293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109502A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38" w:type="dxa"/>
            <w:tcBorders>
              <w:top w:val="nil"/>
              <w:left w:val="nil"/>
              <w:bottom w:val="single" w:sz="4" w:space="0" w:color="auto"/>
              <w:right w:val="single" w:sz="4" w:space="0" w:color="auto"/>
            </w:tcBorders>
            <w:shd w:val="clear" w:color="auto" w:fill="auto"/>
            <w:noWrap/>
            <w:vAlign w:val="center"/>
            <w:hideMark/>
          </w:tcPr>
          <w:p w14:paraId="3F940BE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2D985B3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48F0AB8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140</w:t>
            </w:r>
          </w:p>
        </w:tc>
      </w:tr>
      <w:tr w:rsidR="00EC3D86" w:rsidRPr="00B8198E" w14:paraId="7E83872A"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8D89E1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w:t>
            </w:r>
          </w:p>
        </w:tc>
        <w:tc>
          <w:tcPr>
            <w:tcW w:w="1138" w:type="dxa"/>
            <w:tcBorders>
              <w:top w:val="nil"/>
              <w:left w:val="nil"/>
              <w:bottom w:val="single" w:sz="4" w:space="0" w:color="auto"/>
              <w:right w:val="single" w:sz="4" w:space="0" w:color="auto"/>
            </w:tcBorders>
            <w:shd w:val="clear" w:color="auto" w:fill="auto"/>
            <w:noWrap/>
            <w:vAlign w:val="center"/>
            <w:hideMark/>
          </w:tcPr>
          <w:p w14:paraId="0936E4C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19F468A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505EF8B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6678C44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420F717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65801A7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800</w:t>
            </w:r>
          </w:p>
        </w:tc>
      </w:tr>
      <w:tr w:rsidR="00EC3D86" w:rsidRPr="00B8198E" w14:paraId="3C32AABE"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6E54AD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w:t>
            </w:r>
          </w:p>
        </w:tc>
        <w:tc>
          <w:tcPr>
            <w:tcW w:w="1138" w:type="dxa"/>
            <w:tcBorders>
              <w:top w:val="nil"/>
              <w:left w:val="nil"/>
              <w:bottom w:val="single" w:sz="4" w:space="0" w:color="auto"/>
              <w:right w:val="single" w:sz="4" w:space="0" w:color="auto"/>
            </w:tcBorders>
            <w:shd w:val="clear" w:color="auto" w:fill="auto"/>
            <w:noWrap/>
            <w:vAlign w:val="center"/>
            <w:hideMark/>
          </w:tcPr>
          <w:p w14:paraId="7575329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2C22707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40418CA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38" w:type="dxa"/>
            <w:tcBorders>
              <w:top w:val="nil"/>
              <w:left w:val="nil"/>
              <w:bottom w:val="single" w:sz="4" w:space="0" w:color="auto"/>
              <w:right w:val="single" w:sz="4" w:space="0" w:color="auto"/>
            </w:tcBorders>
            <w:shd w:val="clear" w:color="auto" w:fill="auto"/>
            <w:noWrap/>
            <w:vAlign w:val="center"/>
            <w:hideMark/>
          </w:tcPr>
          <w:p w14:paraId="2DBCB89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45" w:type="dxa"/>
            <w:tcBorders>
              <w:top w:val="nil"/>
              <w:left w:val="nil"/>
              <w:bottom w:val="single" w:sz="4" w:space="0" w:color="auto"/>
              <w:right w:val="single" w:sz="4" w:space="0" w:color="auto"/>
            </w:tcBorders>
            <w:shd w:val="clear" w:color="auto" w:fill="auto"/>
            <w:noWrap/>
            <w:vAlign w:val="center"/>
            <w:hideMark/>
          </w:tcPr>
          <w:p w14:paraId="3C01F98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32CEA23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750</w:t>
            </w:r>
          </w:p>
        </w:tc>
      </w:tr>
      <w:tr w:rsidR="00EC3D86" w:rsidRPr="00B8198E" w14:paraId="157CB172"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ECD17C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w:t>
            </w:r>
          </w:p>
        </w:tc>
        <w:tc>
          <w:tcPr>
            <w:tcW w:w="1138" w:type="dxa"/>
            <w:tcBorders>
              <w:top w:val="nil"/>
              <w:left w:val="nil"/>
              <w:bottom w:val="single" w:sz="4" w:space="0" w:color="auto"/>
              <w:right w:val="single" w:sz="4" w:space="0" w:color="auto"/>
            </w:tcBorders>
            <w:shd w:val="clear" w:color="auto" w:fill="auto"/>
            <w:noWrap/>
            <w:vAlign w:val="center"/>
            <w:hideMark/>
          </w:tcPr>
          <w:p w14:paraId="1D164EE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7BDE393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174563B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5C0E7B6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32A1132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6868BF3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800</w:t>
            </w:r>
          </w:p>
        </w:tc>
      </w:tr>
      <w:tr w:rsidR="00EC3D86" w:rsidRPr="00B8198E" w14:paraId="11E6C9B3"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BB01DA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w:t>
            </w:r>
          </w:p>
        </w:tc>
        <w:tc>
          <w:tcPr>
            <w:tcW w:w="1138" w:type="dxa"/>
            <w:tcBorders>
              <w:top w:val="nil"/>
              <w:left w:val="nil"/>
              <w:bottom w:val="single" w:sz="4" w:space="0" w:color="auto"/>
              <w:right w:val="single" w:sz="4" w:space="0" w:color="auto"/>
            </w:tcBorders>
            <w:shd w:val="clear" w:color="auto" w:fill="auto"/>
            <w:noWrap/>
            <w:vAlign w:val="center"/>
            <w:hideMark/>
          </w:tcPr>
          <w:p w14:paraId="5E6F900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78F615A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13AA1DE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00493C2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1495378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3B7EFE1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650</w:t>
            </w:r>
          </w:p>
        </w:tc>
      </w:tr>
      <w:tr w:rsidR="00EC3D86" w:rsidRPr="00B8198E" w14:paraId="4E5ABFD7"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DD4A20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w:t>
            </w:r>
          </w:p>
        </w:tc>
        <w:tc>
          <w:tcPr>
            <w:tcW w:w="1138" w:type="dxa"/>
            <w:tcBorders>
              <w:top w:val="nil"/>
              <w:left w:val="nil"/>
              <w:bottom w:val="single" w:sz="4" w:space="0" w:color="auto"/>
              <w:right w:val="single" w:sz="4" w:space="0" w:color="auto"/>
            </w:tcBorders>
            <w:shd w:val="clear" w:color="auto" w:fill="auto"/>
            <w:noWrap/>
            <w:vAlign w:val="center"/>
            <w:hideMark/>
          </w:tcPr>
          <w:p w14:paraId="4159DE9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2FBDD34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205E0A2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52B8541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047E824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0458665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800</w:t>
            </w:r>
          </w:p>
        </w:tc>
      </w:tr>
      <w:tr w:rsidR="00EC3D86" w:rsidRPr="00B8198E" w14:paraId="2F5C8EF5"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A7E89B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w:t>
            </w:r>
          </w:p>
        </w:tc>
        <w:tc>
          <w:tcPr>
            <w:tcW w:w="1138" w:type="dxa"/>
            <w:tcBorders>
              <w:top w:val="nil"/>
              <w:left w:val="nil"/>
              <w:bottom w:val="single" w:sz="4" w:space="0" w:color="auto"/>
              <w:right w:val="single" w:sz="4" w:space="0" w:color="auto"/>
            </w:tcBorders>
            <w:shd w:val="clear" w:color="auto" w:fill="auto"/>
            <w:noWrap/>
            <w:vAlign w:val="center"/>
            <w:hideMark/>
          </w:tcPr>
          <w:p w14:paraId="337575C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3C339C9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230B5C7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05E82F7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3772562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385EFEA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550</w:t>
            </w:r>
          </w:p>
        </w:tc>
      </w:tr>
      <w:tr w:rsidR="00EC3D86" w:rsidRPr="00B8198E" w14:paraId="4289FE81"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CE5269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w:t>
            </w:r>
          </w:p>
        </w:tc>
        <w:tc>
          <w:tcPr>
            <w:tcW w:w="1138" w:type="dxa"/>
            <w:tcBorders>
              <w:top w:val="nil"/>
              <w:left w:val="nil"/>
              <w:bottom w:val="single" w:sz="4" w:space="0" w:color="auto"/>
              <w:right w:val="single" w:sz="4" w:space="0" w:color="auto"/>
            </w:tcBorders>
            <w:shd w:val="clear" w:color="auto" w:fill="auto"/>
            <w:noWrap/>
            <w:vAlign w:val="center"/>
            <w:hideMark/>
          </w:tcPr>
          <w:p w14:paraId="4E075E8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0BC246C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3722CD3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4D2766E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7BA4C24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7ABD12D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725</w:t>
            </w:r>
          </w:p>
        </w:tc>
      </w:tr>
      <w:tr w:rsidR="00EC3D86" w:rsidRPr="00B8198E" w14:paraId="2EE276DF"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2F580B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w:t>
            </w:r>
          </w:p>
        </w:tc>
        <w:tc>
          <w:tcPr>
            <w:tcW w:w="1138" w:type="dxa"/>
            <w:tcBorders>
              <w:top w:val="nil"/>
              <w:left w:val="nil"/>
              <w:bottom w:val="single" w:sz="4" w:space="0" w:color="auto"/>
              <w:right w:val="single" w:sz="4" w:space="0" w:color="auto"/>
            </w:tcBorders>
            <w:shd w:val="clear" w:color="auto" w:fill="auto"/>
            <w:noWrap/>
            <w:vAlign w:val="center"/>
            <w:hideMark/>
          </w:tcPr>
          <w:p w14:paraId="5F56DA5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220440B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1833439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01B39CB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628F00A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2319C68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750</w:t>
            </w:r>
          </w:p>
        </w:tc>
      </w:tr>
      <w:tr w:rsidR="00EC3D86" w:rsidRPr="00B8198E" w14:paraId="4CECD398"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0F7219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w:t>
            </w:r>
          </w:p>
        </w:tc>
        <w:tc>
          <w:tcPr>
            <w:tcW w:w="1138" w:type="dxa"/>
            <w:tcBorders>
              <w:top w:val="nil"/>
              <w:left w:val="nil"/>
              <w:bottom w:val="single" w:sz="4" w:space="0" w:color="auto"/>
              <w:right w:val="single" w:sz="4" w:space="0" w:color="auto"/>
            </w:tcBorders>
            <w:shd w:val="clear" w:color="auto" w:fill="auto"/>
            <w:noWrap/>
            <w:vAlign w:val="center"/>
            <w:hideMark/>
          </w:tcPr>
          <w:p w14:paraId="63CFF91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3C92D3E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67D7E66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60AF2B6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3B20DF6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7727CCE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625</w:t>
            </w:r>
          </w:p>
        </w:tc>
      </w:tr>
      <w:tr w:rsidR="00EC3D86" w:rsidRPr="00B8198E" w14:paraId="321B01AE"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47E5D0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w:t>
            </w:r>
          </w:p>
        </w:tc>
        <w:tc>
          <w:tcPr>
            <w:tcW w:w="1138" w:type="dxa"/>
            <w:tcBorders>
              <w:top w:val="nil"/>
              <w:left w:val="nil"/>
              <w:bottom w:val="single" w:sz="4" w:space="0" w:color="auto"/>
              <w:right w:val="single" w:sz="4" w:space="0" w:color="auto"/>
            </w:tcBorders>
            <w:shd w:val="clear" w:color="auto" w:fill="auto"/>
            <w:noWrap/>
            <w:vAlign w:val="center"/>
            <w:hideMark/>
          </w:tcPr>
          <w:p w14:paraId="6EC414E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7363050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38C514B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7BB99B3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1A84267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5AC4270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900</w:t>
            </w:r>
          </w:p>
        </w:tc>
      </w:tr>
      <w:tr w:rsidR="00EC3D86" w:rsidRPr="00B8198E" w14:paraId="1287C51A"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11C2F8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15</w:t>
            </w:r>
          </w:p>
        </w:tc>
        <w:tc>
          <w:tcPr>
            <w:tcW w:w="1138" w:type="dxa"/>
            <w:tcBorders>
              <w:top w:val="nil"/>
              <w:left w:val="nil"/>
              <w:bottom w:val="single" w:sz="4" w:space="0" w:color="auto"/>
              <w:right w:val="single" w:sz="4" w:space="0" w:color="auto"/>
            </w:tcBorders>
            <w:shd w:val="clear" w:color="auto" w:fill="auto"/>
            <w:noWrap/>
            <w:vAlign w:val="center"/>
            <w:hideMark/>
          </w:tcPr>
          <w:p w14:paraId="4158142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6B0ADCC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1AC4EE1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38" w:type="dxa"/>
            <w:tcBorders>
              <w:top w:val="nil"/>
              <w:left w:val="nil"/>
              <w:bottom w:val="single" w:sz="4" w:space="0" w:color="auto"/>
              <w:right w:val="single" w:sz="4" w:space="0" w:color="auto"/>
            </w:tcBorders>
            <w:shd w:val="clear" w:color="auto" w:fill="auto"/>
            <w:noWrap/>
            <w:vAlign w:val="center"/>
            <w:hideMark/>
          </w:tcPr>
          <w:p w14:paraId="0FEE2DD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45" w:type="dxa"/>
            <w:tcBorders>
              <w:top w:val="nil"/>
              <w:left w:val="nil"/>
              <w:bottom w:val="single" w:sz="4" w:space="0" w:color="auto"/>
              <w:right w:val="single" w:sz="4" w:space="0" w:color="auto"/>
            </w:tcBorders>
            <w:shd w:val="clear" w:color="auto" w:fill="auto"/>
            <w:noWrap/>
            <w:vAlign w:val="center"/>
            <w:hideMark/>
          </w:tcPr>
          <w:p w14:paraId="3F6149E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125CF09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925</w:t>
            </w:r>
          </w:p>
        </w:tc>
      </w:tr>
      <w:tr w:rsidR="00EC3D86" w:rsidRPr="00B8198E" w14:paraId="61BCB09A" w14:textId="77777777" w:rsidTr="00FF6FCC">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DA138E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16</w:t>
            </w:r>
          </w:p>
        </w:tc>
        <w:tc>
          <w:tcPr>
            <w:tcW w:w="1138" w:type="dxa"/>
            <w:tcBorders>
              <w:top w:val="nil"/>
              <w:left w:val="nil"/>
              <w:bottom w:val="single" w:sz="4" w:space="0" w:color="auto"/>
              <w:right w:val="single" w:sz="4" w:space="0" w:color="auto"/>
            </w:tcBorders>
            <w:shd w:val="clear" w:color="auto" w:fill="auto"/>
            <w:noWrap/>
            <w:vAlign w:val="center"/>
            <w:hideMark/>
          </w:tcPr>
          <w:p w14:paraId="2D10FA8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single" w:sz="4" w:space="0" w:color="auto"/>
              <w:right w:val="single" w:sz="4" w:space="0" w:color="auto"/>
            </w:tcBorders>
            <w:shd w:val="clear" w:color="auto" w:fill="auto"/>
            <w:noWrap/>
            <w:vAlign w:val="center"/>
            <w:hideMark/>
          </w:tcPr>
          <w:p w14:paraId="7F686D7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single" w:sz="4" w:space="0" w:color="auto"/>
              <w:right w:val="single" w:sz="4" w:space="0" w:color="auto"/>
            </w:tcBorders>
            <w:shd w:val="clear" w:color="auto" w:fill="auto"/>
            <w:noWrap/>
            <w:vAlign w:val="center"/>
            <w:hideMark/>
          </w:tcPr>
          <w:p w14:paraId="643BD58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single" w:sz="4" w:space="0" w:color="auto"/>
              <w:right w:val="single" w:sz="4" w:space="0" w:color="auto"/>
            </w:tcBorders>
            <w:shd w:val="clear" w:color="auto" w:fill="auto"/>
            <w:noWrap/>
            <w:vAlign w:val="center"/>
            <w:hideMark/>
          </w:tcPr>
          <w:p w14:paraId="667A921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single" w:sz="4" w:space="0" w:color="auto"/>
              <w:right w:val="single" w:sz="4" w:space="0" w:color="auto"/>
            </w:tcBorders>
            <w:shd w:val="clear" w:color="auto" w:fill="auto"/>
            <w:noWrap/>
            <w:vAlign w:val="center"/>
            <w:hideMark/>
          </w:tcPr>
          <w:p w14:paraId="0743B9E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4C4081B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950</w:t>
            </w:r>
          </w:p>
        </w:tc>
      </w:tr>
      <w:tr w:rsidR="00EC3D86" w:rsidRPr="00B8198E" w14:paraId="7DBADE84" w14:textId="77777777" w:rsidTr="00FF6FCC">
        <w:trPr>
          <w:trHeight w:val="315"/>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ECFF87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17</w:t>
            </w:r>
          </w:p>
        </w:tc>
        <w:tc>
          <w:tcPr>
            <w:tcW w:w="1138" w:type="dxa"/>
            <w:tcBorders>
              <w:top w:val="nil"/>
              <w:left w:val="nil"/>
              <w:bottom w:val="double" w:sz="6" w:space="0" w:color="auto"/>
              <w:right w:val="single" w:sz="4" w:space="0" w:color="auto"/>
            </w:tcBorders>
            <w:shd w:val="clear" w:color="auto" w:fill="auto"/>
            <w:noWrap/>
            <w:vAlign w:val="center"/>
            <w:hideMark/>
          </w:tcPr>
          <w:p w14:paraId="2B7B8BA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1" w:type="dxa"/>
            <w:tcBorders>
              <w:top w:val="nil"/>
              <w:left w:val="nil"/>
              <w:bottom w:val="double" w:sz="6" w:space="0" w:color="auto"/>
              <w:right w:val="single" w:sz="4" w:space="0" w:color="auto"/>
            </w:tcBorders>
            <w:shd w:val="clear" w:color="auto" w:fill="auto"/>
            <w:noWrap/>
            <w:vAlign w:val="center"/>
            <w:hideMark/>
          </w:tcPr>
          <w:p w14:paraId="3DA955C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999" w:type="dxa"/>
            <w:tcBorders>
              <w:top w:val="nil"/>
              <w:left w:val="nil"/>
              <w:bottom w:val="double" w:sz="6" w:space="0" w:color="auto"/>
              <w:right w:val="single" w:sz="4" w:space="0" w:color="auto"/>
            </w:tcBorders>
            <w:shd w:val="clear" w:color="auto" w:fill="auto"/>
            <w:noWrap/>
            <w:vAlign w:val="center"/>
            <w:hideMark/>
          </w:tcPr>
          <w:p w14:paraId="244C20B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438" w:type="dxa"/>
            <w:tcBorders>
              <w:top w:val="nil"/>
              <w:left w:val="nil"/>
              <w:bottom w:val="double" w:sz="6" w:space="0" w:color="auto"/>
              <w:right w:val="single" w:sz="4" w:space="0" w:color="auto"/>
            </w:tcBorders>
            <w:shd w:val="clear" w:color="auto" w:fill="auto"/>
            <w:noWrap/>
            <w:vAlign w:val="center"/>
            <w:hideMark/>
          </w:tcPr>
          <w:p w14:paraId="178FBE2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45" w:type="dxa"/>
            <w:tcBorders>
              <w:top w:val="nil"/>
              <w:left w:val="nil"/>
              <w:bottom w:val="double" w:sz="6" w:space="0" w:color="auto"/>
              <w:right w:val="single" w:sz="4" w:space="0" w:color="auto"/>
            </w:tcBorders>
            <w:shd w:val="clear" w:color="auto" w:fill="auto"/>
            <w:noWrap/>
            <w:vAlign w:val="center"/>
            <w:hideMark/>
          </w:tcPr>
          <w:p w14:paraId="007EEEC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13" w:type="dxa"/>
            <w:tcBorders>
              <w:top w:val="nil"/>
              <w:left w:val="nil"/>
              <w:bottom w:val="single" w:sz="4" w:space="0" w:color="auto"/>
              <w:right w:val="single" w:sz="8" w:space="0" w:color="auto"/>
            </w:tcBorders>
            <w:shd w:val="clear" w:color="auto" w:fill="auto"/>
            <w:noWrap/>
            <w:vAlign w:val="bottom"/>
            <w:hideMark/>
          </w:tcPr>
          <w:p w14:paraId="209B37D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650</w:t>
            </w:r>
          </w:p>
        </w:tc>
      </w:tr>
      <w:tr w:rsidR="00EC3D86" w:rsidRPr="00B8198E" w14:paraId="729B2112" w14:textId="77777777" w:rsidTr="00FF6FCC">
        <w:trPr>
          <w:trHeight w:val="405"/>
          <w:jc w:val="center"/>
        </w:trPr>
        <w:tc>
          <w:tcPr>
            <w:tcW w:w="669" w:type="dxa"/>
            <w:tcBorders>
              <w:top w:val="nil"/>
              <w:left w:val="single" w:sz="8" w:space="0" w:color="auto"/>
              <w:bottom w:val="single" w:sz="8" w:space="0" w:color="auto"/>
              <w:right w:val="single" w:sz="4" w:space="0" w:color="auto"/>
            </w:tcBorders>
            <w:shd w:val="clear" w:color="auto" w:fill="auto"/>
            <w:noWrap/>
            <w:vAlign w:val="bottom"/>
            <w:hideMark/>
          </w:tcPr>
          <w:p w14:paraId="04F7735E"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Total</w:t>
            </w:r>
          </w:p>
        </w:tc>
        <w:tc>
          <w:tcPr>
            <w:tcW w:w="1138" w:type="dxa"/>
            <w:tcBorders>
              <w:top w:val="nil"/>
              <w:left w:val="nil"/>
              <w:bottom w:val="single" w:sz="8" w:space="0" w:color="auto"/>
              <w:right w:val="single" w:sz="4" w:space="0" w:color="auto"/>
            </w:tcBorders>
            <w:shd w:val="clear" w:color="auto" w:fill="auto"/>
            <w:noWrap/>
            <w:vAlign w:val="center"/>
            <w:hideMark/>
          </w:tcPr>
          <w:p w14:paraId="24118D5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911" w:type="dxa"/>
            <w:tcBorders>
              <w:top w:val="nil"/>
              <w:left w:val="nil"/>
              <w:bottom w:val="single" w:sz="8" w:space="0" w:color="auto"/>
              <w:right w:val="single" w:sz="4" w:space="0" w:color="auto"/>
            </w:tcBorders>
            <w:shd w:val="clear" w:color="auto" w:fill="auto"/>
            <w:noWrap/>
            <w:vAlign w:val="center"/>
            <w:hideMark/>
          </w:tcPr>
          <w:p w14:paraId="5067A17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999" w:type="dxa"/>
            <w:tcBorders>
              <w:top w:val="nil"/>
              <w:left w:val="nil"/>
              <w:bottom w:val="single" w:sz="8" w:space="0" w:color="auto"/>
              <w:right w:val="single" w:sz="4" w:space="0" w:color="auto"/>
            </w:tcBorders>
            <w:shd w:val="clear" w:color="auto" w:fill="auto"/>
            <w:noWrap/>
            <w:vAlign w:val="center"/>
            <w:hideMark/>
          </w:tcPr>
          <w:p w14:paraId="32AB075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w:t>
            </w:r>
          </w:p>
        </w:tc>
        <w:tc>
          <w:tcPr>
            <w:tcW w:w="1438" w:type="dxa"/>
            <w:tcBorders>
              <w:top w:val="nil"/>
              <w:left w:val="nil"/>
              <w:bottom w:val="single" w:sz="8" w:space="0" w:color="auto"/>
              <w:right w:val="single" w:sz="4" w:space="0" w:color="auto"/>
            </w:tcBorders>
            <w:shd w:val="clear" w:color="auto" w:fill="auto"/>
            <w:noWrap/>
            <w:vAlign w:val="center"/>
            <w:hideMark/>
          </w:tcPr>
          <w:p w14:paraId="664445C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945" w:type="dxa"/>
            <w:tcBorders>
              <w:top w:val="nil"/>
              <w:left w:val="nil"/>
              <w:bottom w:val="single" w:sz="8" w:space="0" w:color="auto"/>
              <w:right w:val="single" w:sz="4" w:space="0" w:color="auto"/>
            </w:tcBorders>
            <w:shd w:val="clear" w:color="auto" w:fill="auto"/>
            <w:noWrap/>
            <w:vAlign w:val="center"/>
            <w:hideMark/>
          </w:tcPr>
          <w:p w14:paraId="6436BD1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13" w:type="dxa"/>
            <w:tcBorders>
              <w:top w:val="nil"/>
              <w:left w:val="nil"/>
              <w:bottom w:val="single" w:sz="8" w:space="0" w:color="auto"/>
              <w:right w:val="single" w:sz="8" w:space="0" w:color="auto"/>
            </w:tcBorders>
            <w:shd w:val="clear" w:color="auto" w:fill="auto"/>
            <w:noWrap/>
            <w:vAlign w:val="bottom"/>
            <w:hideMark/>
          </w:tcPr>
          <w:p w14:paraId="2300D94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r>
    </w:tbl>
    <w:p w14:paraId="4450B1EA" w14:textId="58E4F322" w:rsidR="00EC3D86" w:rsidRDefault="002E31DA" w:rsidP="00FB725F">
      <w:r>
        <w:rPr>
          <w:noProof/>
          <w:lang w:val="en-ZA" w:eastAsia="en-ZA"/>
        </w:rPr>
        <mc:AlternateContent>
          <mc:Choice Requires="wps">
            <w:drawing>
              <wp:anchor distT="45720" distB="45720" distL="114300" distR="114300" simplePos="0" relativeHeight="251743232" behindDoc="0" locked="0" layoutInCell="1" allowOverlap="1" wp14:anchorId="386B6FB8" wp14:editId="27649641">
                <wp:simplePos x="0" y="0"/>
                <wp:positionH relativeFrom="column">
                  <wp:posOffset>286385</wp:posOffset>
                </wp:positionH>
                <wp:positionV relativeFrom="paragraph">
                  <wp:posOffset>140970</wp:posOffset>
                </wp:positionV>
                <wp:extent cx="5117465" cy="259080"/>
                <wp:effectExtent l="0" t="0" r="26035" b="2667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7465" cy="259080"/>
                        </a:xfrm>
                        <a:prstGeom prst="rect">
                          <a:avLst/>
                        </a:prstGeom>
                        <a:solidFill>
                          <a:srgbClr val="FFFFFF"/>
                        </a:solidFill>
                        <a:ln w="9525">
                          <a:solidFill>
                            <a:srgbClr val="000000"/>
                          </a:solidFill>
                          <a:miter lim="800000"/>
                          <a:headEnd/>
                          <a:tailEnd/>
                        </a:ln>
                      </wps:spPr>
                      <wps:txbx>
                        <w:txbxContent>
                          <w:p w14:paraId="1E686550" w14:textId="77777777" w:rsidR="005E6435" w:rsidRPr="00A05960" w:rsidRDefault="005E6435" w:rsidP="00A05960">
                            <w:pPr>
                              <w:rPr>
                                <w:sz w:val="18"/>
                              </w:rPr>
                            </w:pPr>
                            <w:r w:rsidRPr="00A05960">
                              <w:rPr>
                                <w:sz w:val="18"/>
                              </w:rPr>
                              <w:t xml:space="preserve">Table </w:t>
                            </w:r>
                            <w:r>
                              <w:rPr>
                                <w:sz w:val="18"/>
                              </w:rPr>
                              <w:t>3</w:t>
                            </w:r>
                            <w:r w:rsidRPr="00A05960">
                              <w:rPr>
                                <w:sz w:val="18"/>
                              </w:rPr>
                              <w:t xml:space="preserve">: Data of hotel staff in supervisor positions, per position, demographic and salary.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2.55pt;margin-top:11.1pt;width:402.95pt;height:20.4pt;z-index:251743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">
                <v:textbox>
                  <w:txbxContent>
                    <w:p w14:paraId="1E686550" w14:textId="77777777" w:rsidR="005E6435" w:rsidRPr="00A05960" w:rsidRDefault="005E6435" w:rsidP="00A05960">
                      <w:pPr>
                        <w:rPr>
                          <w:sz w:val="18"/>
                        </w:rPr>
                      </w:pPr>
                      <w:r w:rsidRPr="00A05960">
                        <w:rPr>
                          <w:sz w:val="18"/>
                        </w:rPr>
                        <w:t xml:space="preserve">Table </w:t>
                      </w:r>
                      <w:r>
                        <w:rPr>
                          <w:sz w:val="18"/>
                        </w:rPr>
                        <w:t>3</w:t>
                      </w:r>
                      <w:r w:rsidRPr="00A05960">
                        <w:rPr>
                          <w:sz w:val="18"/>
                        </w:rPr>
                        <w:t xml:space="preserve">: Data of hotel staff in supervisor positions, per position, demographic and salary. </w:t>
                      </w:r>
                    </w:p>
                  </w:txbxContent>
                </v:textbox>
              </v:shape>
            </w:pict>
          </mc:Fallback>
        </mc:AlternateContent>
      </w:r>
    </w:p>
    <w:p w14:paraId="66C639F1" w14:textId="77777777" w:rsidR="00EC3D86" w:rsidRDefault="00EC3D86" w:rsidP="00FB725F"/>
    <w:p w14:paraId="5DA9CDE2" w14:textId="77777777" w:rsidR="00EC3D86" w:rsidRDefault="00EC3D86" w:rsidP="00FB725F"/>
    <w:p w14:paraId="564C3031" w14:textId="77777777" w:rsidR="00EC3D86" w:rsidRDefault="00EC3D86" w:rsidP="00FB725F"/>
    <w:p w14:paraId="43E1A084" w14:textId="77777777" w:rsidR="00EC3D86" w:rsidRDefault="00EC3D86" w:rsidP="00FB725F"/>
    <w:p w14:paraId="41D7C431" w14:textId="77777777" w:rsidR="00A05960" w:rsidRDefault="00A05960" w:rsidP="00FB725F"/>
    <w:p w14:paraId="0D8E5648" w14:textId="77777777" w:rsidR="00A05960" w:rsidRDefault="00A05960" w:rsidP="00FB725F"/>
    <w:p w14:paraId="2890D0C3" w14:textId="77777777" w:rsidR="00A05960" w:rsidRDefault="00A05960" w:rsidP="00FB725F"/>
    <w:p w14:paraId="56A5A30D" w14:textId="77777777" w:rsidR="00A05960" w:rsidRDefault="00A05960" w:rsidP="00FB725F"/>
    <w:p w14:paraId="2B6D1E3D" w14:textId="77777777" w:rsidR="00A05960" w:rsidRDefault="00A05960" w:rsidP="00FB725F"/>
    <w:p w14:paraId="142DCEF3" w14:textId="77777777" w:rsidR="00A05960" w:rsidRDefault="00A05960" w:rsidP="00FB725F"/>
    <w:p w14:paraId="3C68EA03" w14:textId="77777777" w:rsidR="00A05960" w:rsidRDefault="00A05960" w:rsidP="00FB725F"/>
    <w:tbl>
      <w:tblPr>
        <w:tblW w:w="8596" w:type="dxa"/>
        <w:jc w:val="center"/>
        <w:tblLook w:val="04A0" w:firstRow="1" w:lastRow="0" w:firstColumn="1" w:lastColumn="0" w:noHBand="0" w:noVBand="1"/>
      </w:tblPr>
      <w:tblGrid>
        <w:gridCol w:w="669"/>
        <w:gridCol w:w="1115"/>
        <w:gridCol w:w="900"/>
        <w:gridCol w:w="706"/>
        <w:gridCol w:w="927"/>
        <w:gridCol w:w="854"/>
        <w:gridCol w:w="1122"/>
        <w:gridCol w:w="1401"/>
        <w:gridCol w:w="902"/>
      </w:tblGrid>
      <w:tr w:rsidR="00EC3D86" w:rsidRPr="00EC3D86" w14:paraId="626EA69F" w14:textId="77777777" w:rsidTr="00B8198E">
        <w:trPr>
          <w:trHeight w:val="420"/>
          <w:jc w:val="center"/>
        </w:trPr>
        <w:tc>
          <w:tcPr>
            <w:tcW w:w="8596" w:type="dxa"/>
            <w:gridSpan w:val="9"/>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1FE6559A" w14:textId="77777777" w:rsidR="00EC3D86" w:rsidRPr="00EC3D86" w:rsidRDefault="00FF6FCC" w:rsidP="00EC3D86">
            <w:pPr>
              <w:spacing w:after="0" w:line="240" w:lineRule="auto"/>
              <w:jc w:val="center"/>
              <w:rPr>
                <w:rFonts w:ascii="Calibri" w:eastAsia="Times New Roman" w:hAnsi="Calibri" w:cs="Times New Roman"/>
                <w:b/>
                <w:bCs/>
                <w:color w:val="000000"/>
                <w:sz w:val="32"/>
                <w:szCs w:val="32"/>
                <w:lang w:val="en-US"/>
              </w:rPr>
            </w:pPr>
            <w:r w:rsidRPr="00B8198E">
              <w:rPr>
                <w:rFonts w:ascii="Calibri" w:eastAsia="Times New Roman" w:hAnsi="Calibri" w:cs="Times New Roman"/>
                <w:b/>
                <w:bCs/>
                <w:color w:val="000000"/>
                <w:sz w:val="28"/>
                <w:szCs w:val="32"/>
                <w:lang w:val="en-US"/>
              </w:rPr>
              <w:lastRenderedPageBreak/>
              <w:t>Table 4</w:t>
            </w:r>
            <w:r w:rsidR="00B8198E" w:rsidRPr="00B8198E">
              <w:rPr>
                <w:rFonts w:ascii="Calibri" w:eastAsia="Times New Roman" w:hAnsi="Calibri" w:cs="Times New Roman"/>
                <w:b/>
                <w:bCs/>
                <w:color w:val="000000"/>
                <w:sz w:val="28"/>
                <w:szCs w:val="32"/>
                <w:lang w:val="en-US"/>
              </w:rPr>
              <w:t>: Restaurant w</w:t>
            </w:r>
            <w:r w:rsidR="00EC3D86" w:rsidRPr="00B8198E">
              <w:rPr>
                <w:rFonts w:ascii="Calibri" w:eastAsia="Times New Roman" w:hAnsi="Calibri" w:cs="Times New Roman"/>
                <w:b/>
                <w:bCs/>
                <w:color w:val="000000"/>
                <w:sz w:val="28"/>
                <w:szCs w:val="32"/>
                <w:lang w:val="en-US"/>
              </w:rPr>
              <w:t xml:space="preserve">aitstaff </w:t>
            </w:r>
          </w:p>
        </w:tc>
      </w:tr>
      <w:tr w:rsidR="00EC3D86" w:rsidRPr="00EC3D86" w14:paraId="4D348AFC" w14:textId="77777777" w:rsidTr="00B8198E">
        <w:trPr>
          <w:trHeight w:val="375"/>
          <w:jc w:val="center"/>
        </w:trPr>
        <w:tc>
          <w:tcPr>
            <w:tcW w:w="669" w:type="dxa"/>
            <w:tcBorders>
              <w:top w:val="nil"/>
              <w:left w:val="single" w:sz="8" w:space="0" w:color="auto"/>
              <w:bottom w:val="single" w:sz="4" w:space="0" w:color="auto"/>
              <w:right w:val="single" w:sz="4" w:space="0" w:color="auto"/>
            </w:tcBorders>
            <w:shd w:val="clear" w:color="000000" w:fill="FFFFFF"/>
            <w:noWrap/>
            <w:vAlign w:val="bottom"/>
            <w:hideMark/>
          </w:tcPr>
          <w:p w14:paraId="49FB0C0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15" w:type="dxa"/>
            <w:tcBorders>
              <w:top w:val="nil"/>
              <w:left w:val="nil"/>
              <w:bottom w:val="single" w:sz="4" w:space="0" w:color="auto"/>
              <w:right w:val="single" w:sz="4" w:space="0" w:color="auto"/>
            </w:tcBorders>
            <w:shd w:val="clear" w:color="000000" w:fill="D9D9D9"/>
            <w:noWrap/>
            <w:vAlign w:val="bottom"/>
            <w:hideMark/>
          </w:tcPr>
          <w:p w14:paraId="3F08984C" w14:textId="77777777" w:rsidR="00EC3D86" w:rsidRPr="00B8198E" w:rsidRDefault="00EC3D86" w:rsidP="00B8198E">
            <w:pPr>
              <w:spacing w:after="0" w:line="276"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Tswana</w:t>
            </w:r>
          </w:p>
        </w:tc>
        <w:tc>
          <w:tcPr>
            <w:tcW w:w="900" w:type="dxa"/>
            <w:tcBorders>
              <w:top w:val="nil"/>
              <w:left w:val="nil"/>
              <w:bottom w:val="single" w:sz="4" w:space="0" w:color="auto"/>
              <w:right w:val="single" w:sz="4" w:space="0" w:color="auto"/>
            </w:tcBorders>
            <w:shd w:val="clear" w:color="000000" w:fill="D9D9D9"/>
            <w:noWrap/>
            <w:vAlign w:val="bottom"/>
            <w:hideMark/>
          </w:tcPr>
          <w:p w14:paraId="47C760D8" w14:textId="77777777" w:rsidR="00EC3D86" w:rsidRPr="00B8198E" w:rsidRDefault="00EC3D86" w:rsidP="00B8198E">
            <w:pPr>
              <w:spacing w:after="0" w:line="276"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Xhosa</w:t>
            </w:r>
          </w:p>
        </w:tc>
        <w:tc>
          <w:tcPr>
            <w:tcW w:w="706" w:type="dxa"/>
            <w:tcBorders>
              <w:top w:val="nil"/>
              <w:left w:val="nil"/>
              <w:bottom w:val="single" w:sz="4" w:space="0" w:color="auto"/>
              <w:right w:val="single" w:sz="4" w:space="0" w:color="auto"/>
            </w:tcBorders>
            <w:shd w:val="clear" w:color="000000" w:fill="D9D9D9"/>
            <w:noWrap/>
            <w:vAlign w:val="bottom"/>
            <w:hideMark/>
          </w:tcPr>
          <w:p w14:paraId="46DB1204" w14:textId="77777777" w:rsidR="00EC3D86" w:rsidRPr="00B8198E" w:rsidRDefault="00EC3D86" w:rsidP="00B8198E">
            <w:pPr>
              <w:spacing w:after="0" w:line="276"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Zulu</w:t>
            </w:r>
          </w:p>
        </w:tc>
        <w:tc>
          <w:tcPr>
            <w:tcW w:w="927" w:type="dxa"/>
            <w:tcBorders>
              <w:top w:val="nil"/>
              <w:left w:val="nil"/>
              <w:bottom w:val="single" w:sz="4" w:space="0" w:color="auto"/>
              <w:right w:val="single" w:sz="4" w:space="0" w:color="auto"/>
            </w:tcBorders>
            <w:shd w:val="clear" w:color="000000" w:fill="D9D9D9"/>
            <w:noWrap/>
            <w:vAlign w:val="bottom"/>
            <w:hideMark/>
          </w:tcPr>
          <w:p w14:paraId="5D4EEB3C" w14:textId="77777777" w:rsidR="00EC3D86" w:rsidRPr="00B8198E" w:rsidRDefault="00EC3D86" w:rsidP="00B8198E">
            <w:pPr>
              <w:spacing w:after="0" w:line="276"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Indian</w:t>
            </w:r>
          </w:p>
        </w:tc>
        <w:tc>
          <w:tcPr>
            <w:tcW w:w="854" w:type="dxa"/>
            <w:tcBorders>
              <w:top w:val="nil"/>
              <w:left w:val="nil"/>
              <w:bottom w:val="single" w:sz="4" w:space="0" w:color="auto"/>
              <w:right w:val="single" w:sz="4" w:space="0" w:color="auto"/>
            </w:tcBorders>
            <w:shd w:val="clear" w:color="000000" w:fill="D9D9D9"/>
            <w:noWrap/>
            <w:vAlign w:val="bottom"/>
            <w:hideMark/>
          </w:tcPr>
          <w:p w14:paraId="37A33716" w14:textId="77777777" w:rsidR="00EC3D86" w:rsidRPr="00B8198E" w:rsidRDefault="00EC3D86" w:rsidP="00B8198E">
            <w:pPr>
              <w:spacing w:after="0" w:line="276"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Swazi</w:t>
            </w:r>
          </w:p>
        </w:tc>
        <w:tc>
          <w:tcPr>
            <w:tcW w:w="1122" w:type="dxa"/>
            <w:tcBorders>
              <w:top w:val="nil"/>
              <w:left w:val="nil"/>
              <w:bottom w:val="single" w:sz="4" w:space="0" w:color="auto"/>
              <w:right w:val="single" w:sz="4" w:space="0" w:color="auto"/>
            </w:tcBorders>
            <w:shd w:val="clear" w:color="000000" w:fill="D9D9D9"/>
            <w:noWrap/>
            <w:vAlign w:val="center"/>
            <w:hideMark/>
          </w:tcPr>
          <w:p w14:paraId="0B851C1D" w14:textId="77777777" w:rsidR="00EC3D86" w:rsidRPr="00B8198E" w:rsidRDefault="00B8198E" w:rsidP="00B8198E">
            <w:pPr>
              <w:spacing w:after="0" w:line="276" w:lineRule="auto"/>
              <w:jc w:val="center"/>
              <w:rPr>
                <w:rFonts w:ascii="Calibri" w:eastAsia="Times New Roman" w:hAnsi="Calibri" w:cs="Times New Roman"/>
                <w:color w:val="000000"/>
                <w:sz w:val="20"/>
                <w:szCs w:val="20"/>
                <w:lang w:val="en-US"/>
              </w:rPr>
            </w:pPr>
            <w:r>
              <w:rPr>
                <w:rFonts w:ascii="Calibri" w:eastAsia="Times New Roman" w:hAnsi="Calibri" w:cs="Times New Roman"/>
                <w:color w:val="000000"/>
                <w:sz w:val="20"/>
                <w:szCs w:val="20"/>
                <w:lang w:val="en-US"/>
              </w:rPr>
              <w:t>Other</w:t>
            </w:r>
          </w:p>
        </w:tc>
        <w:tc>
          <w:tcPr>
            <w:tcW w:w="1401" w:type="dxa"/>
            <w:tcBorders>
              <w:top w:val="nil"/>
              <w:left w:val="nil"/>
              <w:bottom w:val="single" w:sz="4" w:space="0" w:color="auto"/>
              <w:right w:val="single" w:sz="4" w:space="0" w:color="auto"/>
            </w:tcBorders>
            <w:shd w:val="clear" w:color="000000" w:fill="D9D9D9"/>
            <w:noWrap/>
            <w:vAlign w:val="bottom"/>
            <w:hideMark/>
          </w:tcPr>
          <w:p w14:paraId="0C94453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xml:space="preserve">Position </w:t>
            </w:r>
          </w:p>
        </w:tc>
        <w:tc>
          <w:tcPr>
            <w:tcW w:w="902" w:type="dxa"/>
            <w:tcBorders>
              <w:top w:val="nil"/>
              <w:left w:val="nil"/>
              <w:bottom w:val="single" w:sz="4" w:space="0" w:color="auto"/>
              <w:right w:val="single" w:sz="8" w:space="0" w:color="auto"/>
            </w:tcBorders>
            <w:shd w:val="clear" w:color="000000" w:fill="D9D9D9"/>
            <w:noWrap/>
            <w:vAlign w:val="bottom"/>
            <w:hideMark/>
          </w:tcPr>
          <w:p w14:paraId="2F2F860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Salary</w:t>
            </w:r>
          </w:p>
        </w:tc>
      </w:tr>
      <w:tr w:rsidR="00EC3D86" w:rsidRPr="00EC3D86" w14:paraId="6A416F08"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3C4CF5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15" w:type="dxa"/>
            <w:tcBorders>
              <w:top w:val="nil"/>
              <w:left w:val="nil"/>
              <w:bottom w:val="single" w:sz="4" w:space="0" w:color="auto"/>
              <w:right w:val="single" w:sz="4" w:space="0" w:color="auto"/>
            </w:tcBorders>
            <w:shd w:val="clear" w:color="auto" w:fill="auto"/>
            <w:noWrap/>
            <w:vAlign w:val="center"/>
            <w:hideMark/>
          </w:tcPr>
          <w:p w14:paraId="60534F1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770E036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06" w:type="dxa"/>
            <w:tcBorders>
              <w:top w:val="nil"/>
              <w:left w:val="nil"/>
              <w:bottom w:val="single" w:sz="4" w:space="0" w:color="auto"/>
              <w:right w:val="single" w:sz="4" w:space="0" w:color="auto"/>
            </w:tcBorders>
            <w:shd w:val="clear" w:color="auto" w:fill="auto"/>
            <w:noWrap/>
            <w:vAlign w:val="center"/>
            <w:hideMark/>
          </w:tcPr>
          <w:p w14:paraId="6FA4EB9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24EEFF2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FBF92B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736D94D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DF39B8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15A15B8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5BDE1697"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B4D850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1115" w:type="dxa"/>
            <w:tcBorders>
              <w:top w:val="nil"/>
              <w:left w:val="nil"/>
              <w:bottom w:val="single" w:sz="4" w:space="0" w:color="auto"/>
              <w:right w:val="single" w:sz="4" w:space="0" w:color="auto"/>
            </w:tcBorders>
            <w:shd w:val="clear" w:color="auto" w:fill="auto"/>
            <w:noWrap/>
            <w:vAlign w:val="center"/>
            <w:hideMark/>
          </w:tcPr>
          <w:p w14:paraId="17F673A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64BFBA6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A5E574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27" w:type="dxa"/>
            <w:tcBorders>
              <w:top w:val="nil"/>
              <w:left w:val="nil"/>
              <w:bottom w:val="single" w:sz="4" w:space="0" w:color="auto"/>
              <w:right w:val="single" w:sz="4" w:space="0" w:color="auto"/>
            </w:tcBorders>
            <w:shd w:val="clear" w:color="auto" w:fill="auto"/>
            <w:noWrap/>
            <w:vAlign w:val="center"/>
            <w:hideMark/>
          </w:tcPr>
          <w:p w14:paraId="0048486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00E043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4C55ED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2D36B3F"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3C5F1E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135</w:t>
            </w:r>
          </w:p>
        </w:tc>
      </w:tr>
      <w:tr w:rsidR="00EC3D86" w:rsidRPr="00EC3D86" w14:paraId="754123AC"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215905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w:t>
            </w:r>
          </w:p>
        </w:tc>
        <w:tc>
          <w:tcPr>
            <w:tcW w:w="1115" w:type="dxa"/>
            <w:tcBorders>
              <w:top w:val="nil"/>
              <w:left w:val="nil"/>
              <w:bottom w:val="single" w:sz="4" w:space="0" w:color="auto"/>
              <w:right w:val="single" w:sz="4" w:space="0" w:color="auto"/>
            </w:tcBorders>
            <w:shd w:val="clear" w:color="auto" w:fill="auto"/>
            <w:noWrap/>
            <w:vAlign w:val="center"/>
            <w:hideMark/>
          </w:tcPr>
          <w:p w14:paraId="4050117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ABA8F0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06" w:type="dxa"/>
            <w:tcBorders>
              <w:top w:val="nil"/>
              <w:left w:val="nil"/>
              <w:bottom w:val="single" w:sz="4" w:space="0" w:color="auto"/>
              <w:right w:val="single" w:sz="4" w:space="0" w:color="auto"/>
            </w:tcBorders>
            <w:shd w:val="clear" w:color="auto" w:fill="auto"/>
            <w:noWrap/>
            <w:vAlign w:val="center"/>
            <w:hideMark/>
          </w:tcPr>
          <w:p w14:paraId="420E752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FB1696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1425878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7ECC601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18E3DDA"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48E7875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275</w:t>
            </w:r>
          </w:p>
        </w:tc>
      </w:tr>
      <w:tr w:rsidR="00EC3D86" w:rsidRPr="00EC3D86" w14:paraId="4C2C5D52"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F0272D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w:t>
            </w:r>
          </w:p>
        </w:tc>
        <w:tc>
          <w:tcPr>
            <w:tcW w:w="1115" w:type="dxa"/>
            <w:tcBorders>
              <w:top w:val="nil"/>
              <w:left w:val="nil"/>
              <w:bottom w:val="single" w:sz="4" w:space="0" w:color="auto"/>
              <w:right w:val="single" w:sz="4" w:space="0" w:color="auto"/>
            </w:tcBorders>
            <w:shd w:val="clear" w:color="auto" w:fill="auto"/>
            <w:noWrap/>
            <w:vAlign w:val="center"/>
            <w:hideMark/>
          </w:tcPr>
          <w:p w14:paraId="7BFBCD8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607F1A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06" w:type="dxa"/>
            <w:tcBorders>
              <w:top w:val="nil"/>
              <w:left w:val="nil"/>
              <w:bottom w:val="single" w:sz="4" w:space="0" w:color="auto"/>
              <w:right w:val="single" w:sz="4" w:space="0" w:color="auto"/>
            </w:tcBorders>
            <w:shd w:val="clear" w:color="auto" w:fill="auto"/>
            <w:noWrap/>
            <w:vAlign w:val="center"/>
            <w:hideMark/>
          </w:tcPr>
          <w:p w14:paraId="79CE969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5731F0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C7A2E2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64A5DF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E04DDD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2BBEA77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180</w:t>
            </w:r>
          </w:p>
        </w:tc>
      </w:tr>
      <w:tr w:rsidR="00EC3D86" w:rsidRPr="00EC3D86" w14:paraId="6B994B78"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D04F6B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w:t>
            </w:r>
          </w:p>
        </w:tc>
        <w:tc>
          <w:tcPr>
            <w:tcW w:w="1115" w:type="dxa"/>
            <w:tcBorders>
              <w:top w:val="nil"/>
              <w:left w:val="nil"/>
              <w:bottom w:val="single" w:sz="4" w:space="0" w:color="auto"/>
              <w:right w:val="single" w:sz="4" w:space="0" w:color="auto"/>
            </w:tcBorders>
            <w:shd w:val="clear" w:color="auto" w:fill="auto"/>
            <w:noWrap/>
            <w:vAlign w:val="center"/>
            <w:hideMark/>
          </w:tcPr>
          <w:p w14:paraId="227ABCB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59A60B8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214EE1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7FFD7F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D0C8A6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52748D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F21763C"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31C19C6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3E546961"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2F11BB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w:t>
            </w:r>
          </w:p>
        </w:tc>
        <w:tc>
          <w:tcPr>
            <w:tcW w:w="1115" w:type="dxa"/>
            <w:tcBorders>
              <w:top w:val="nil"/>
              <w:left w:val="nil"/>
              <w:bottom w:val="single" w:sz="4" w:space="0" w:color="auto"/>
              <w:right w:val="single" w:sz="4" w:space="0" w:color="auto"/>
            </w:tcBorders>
            <w:shd w:val="clear" w:color="auto" w:fill="auto"/>
            <w:noWrap/>
            <w:vAlign w:val="center"/>
            <w:hideMark/>
          </w:tcPr>
          <w:p w14:paraId="26C08B7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43B2AA7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38439D4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14F6AB0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560B0DE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120DD7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64DBE3F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Busman</w:t>
            </w:r>
          </w:p>
        </w:tc>
        <w:tc>
          <w:tcPr>
            <w:tcW w:w="902" w:type="dxa"/>
            <w:tcBorders>
              <w:top w:val="nil"/>
              <w:left w:val="nil"/>
              <w:bottom w:val="single" w:sz="4" w:space="0" w:color="auto"/>
              <w:right w:val="single" w:sz="8" w:space="0" w:color="auto"/>
            </w:tcBorders>
            <w:shd w:val="clear" w:color="auto" w:fill="auto"/>
            <w:noWrap/>
            <w:vAlign w:val="bottom"/>
            <w:hideMark/>
          </w:tcPr>
          <w:p w14:paraId="62C518C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225DF1D0"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75B74F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w:t>
            </w:r>
          </w:p>
        </w:tc>
        <w:tc>
          <w:tcPr>
            <w:tcW w:w="1115" w:type="dxa"/>
            <w:tcBorders>
              <w:top w:val="nil"/>
              <w:left w:val="nil"/>
              <w:bottom w:val="single" w:sz="4" w:space="0" w:color="auto"/>
              <w:right w:val="single" w:sz="4" w:space="0" w:color="auto"/>
            </w:tcBorders>
            <w:shd w:val="clear" w:color="auto" w:fill="auto"/>
            <w:noWrap/>
            <w:vAlign w:val="center"/>
            <w:hideMark/>
          </w:tcPr>
          <w:p w14:paraId="1AA339E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2F1AE7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CBEA04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817EBF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18C3116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E7E472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Sotho</w:t>
            </w:r>
          </w:p>
        </w:tc>
        <w:tc>
          <w:tcPr>
            <w:tcW w:w="1401" w:type="dxa"/>
            <w:tcBorders>
              <w:top w:val="nil"/>
              <w:left w:val="nil"/>
              <w:bottom w:val="single" w:sz="4" w:space="0" w:color="auto"/>
              <w:right w:val="single" w:sz="4" w:space="0" w:color="auto"/>
            </w:tcBorders>
            <w:shd w:val="clear" w:color="auto" w:fill="auto"/>
            <w:noWrap/>
            <w:vAlign w:val="bottom"/>
            <w:hideMark/>
          </w:tcPr>
          <w:p w14:paraId="1D7B72DD"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23F252C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257C03F0"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9126C6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w:t>
            </w:r>
          </w:p>
        </w:tc>
        <w:tc>
          <w:tcPr>
            <w:tcW w:w="1115" w:type="dxa"/>
            <w:tcBorders>
              <w:top w:val="nil"/>
              <w:left w:val="nil"/>
              <w:bottom w:val="single" w:sz="4" w:space="0" w:color="auto"/>
              <w:right w:val="single" w:sz="4" w:space="0" w:color="auto"/>
            </w:tcBorders>
            <w:shd w:val="clear" w:color="auto" w:fill="auto"/>
            <w:noWrap/>
            <w:vAlign w:val="center"/>
            <w:hideMark/>
          </w:tcPr>
          <w:p w14:paraId="22D5ECA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3E4D42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CACB8C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93ABDB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D8CA0C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22" w:type="dxa"/>
            <w:tcBorders>
              <w:top w:val="nil"/>
              <w:left w:val="nil"/>
              <w:bottom w:val="single" w:sz="4" w:space="0" w:color="auto"/>
              <w:right w:val="single" w:sz="4" w:space="0" w:color="auto"/>
            </w:tcBorders>
            <w:shd w:val="clear" w:color="auto" w:fill="auto"/>
            <w:noWrap/>
            <w:vAlign w:val="center"/>
            <w:hideMark/>
          </w:tcPr>
          <w:p w14:paraId="0701760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5E1880D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Busman</w:t>
            </w:r>
          </w:p>
        </w:tc>
        <w:tc>
          <w:tcPr>
            <w:tcW w:w="902" w:type="dxa"/>
            <w:tcBorders>
              <w:top w:val="nil"/>
              <w:left w:val="nil"/>
              <w:bottom w:val="single" w:sz="4" w:space="0" w:color="auto"/>
              <w:right w:val="single" w:sz="8" w:space="0" w:color="auto"/>
            </w:tcBorders>
            <w:shd w:val="clear" w:color="auto" w:fill="auto"/>
            <w:noWrap/>
            <w:vAlign w:val="bottom"/>
            <w:hideMark/>
          </w:tcPr>
          <w:p w14:paraId="6D13A3B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7C58D62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1AFD60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w:t>
            </w:r>
          </w:p>
        </w:tc>
        <w:tc>
          <w:tcPr>
            <w:tcW w:w="1115" w:type="dxa"/>
            <w:tcBorders>
              <w:top w:val="nil"/>
              <w:left w:val="nil"/>
              <w:bottom w:val="single" w:sz="4" w:space="0" w:color="auto"/>
              <w:right w:val="single" w:sz="4" w:space="0" w:color="auto"/>
            </w:tcBorders>
            <w:shd w:val="clear" w:color="auto" w:fill="auto"/>
            <w:noWrap/>
            <w:vAlign w:val="center"/>
            <w:hideMark/>
          </w:tcPr>
          <w:p w14:paraId="71B3454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5749F9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61C0B2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CE484B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45C497D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22" w:type="dxa"/>
            <w:tcBorders>
              <w:top w:val="nil"/>
              <w:left w:val="nil"/>
              <w:bottom w:val="single" w:sz="4" w:space="0" w:color="auto"/>
              <w:right w:val="single" w:sz="4" w:space="0" w:color="auto"/>
            </w:tcBorders>
            <w:shd w:val="clear" w:color="auto" w:fill="auto"/>
            <w:noWrap/>
            <w:vAlign w:val="center"/>
            <w:hideMark/>
          </w:tcPr>
          <w:p w14:paraId="22018C1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06718CE"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Busman</w:t>
            </w:r>
          </w:p>
        </w:tc>
        <w:tc>
          <w:tcPr>
            <w:tcW w:w="902" w:type="dxa"/>
            <w:tcBorders>
              <w:top w:val="nil"/>
              <w:left w:val="nil"/>
              <w:bottom w:val="single" w:sz="4" w:space="0" w:color="auto"/>
              <w:right w:val="single" w:sz="8" w:space="0" w:color="auto"/>
            </w:tcBorders>
            <w:shd w:val="clear" w:color="auto" w:fill="auto"/>
            <w:noWrap/>
            <w:vAlign w:val="bottom"/>
            <w:hideMark/>
          </w:tcPr>
          <w:p w14:paraId="7E2F6C4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312A04D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71C563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w:t>
            </w:r>
          </w:p>
        </w:tc>
        <w:tc>
          <w:tcPr>
            <w:tcW w:w="1115" w:type="dxa"/>
            <w:tcBorders>
              <w:top w:val="nil"/>
              <w:left w:val="nil"/>
              <w:bottom w:val="single" w:sz="4" w:space="0" w:color="auto"/>
              <w:right w:val="single" w:sz="4" w:space="0" w:color="auto"/>
            </w:tcBorders>
            <w:shd w:val="clear" w:color="auto" w:fill="auto"/>
            <w:noWrap/>
            <w:vAlign w:val="center"/>
            <w:hideMark/>
          </w:tcPr>
          <w:p w14:paraId="1524FAF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6BC8E0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4AA07FA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27" w:type="dxa"/>
            <w:tcBorders>
              <w:top w:val="nil"/>
              <w:left w:val="nil"/>
              <w:bottom w:val="single" w:sz="4" w:space="0" w:color="auto"/>
              <w:right w:val="single" w:sz="4" w:space="0" w:color="auto"/>
            </w:tcBorders>
            <w:shd w:val="clear" w:color="auto" w:fill="auto"/>
            <w:noWrap/>
            <w:vAlign w:val="center"/>
            <w:hideMark/>
          </w:tcPr>
          <w:p w14:paraId="0A4DE17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68D05E9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CCA7D9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F40A116"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D70884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120</w:t>
            </w:r>
          </w:p>
        </w:tc>
      </w:tr>
      <w:tr w:rsidR="00EC3D86" w:rsidRPr="00EC3D86" w14:paraId="5CA852B6"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40839D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w:t>
            </w:r>
          </w:p>
        </w:tc>
        <w:tc>
          <w:tcPr>
            <w:tcW w:w="1115" w:type="dxa"/>
            <w:tcBorders>
              <w:top w:val="nil"/>
              <w:left w:val="nil"/>
              <w:bottom w:val="single" w:sz="4" w:space="0" w:color="auto"/>
              <w:right w:val="single" w:sz="4" w:space="0" w:color="auto"/>
            </w:tcBorders>
            <w:shd w:val="clear" w:color="auto" w:fill="auto"/>
            <w:noWrap/>
            <w:vAlign w:val="center"/>
            <w:hideMark/>
          </w:tcPr>
          <w:p w14:paraId="3A9EE9F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7D8320F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A949B5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27" w:type="dxa"/>
            <w:tcBorders>
              <w:top w:val="nil"/>
              <w:left w:val="nil"/>
              <w:bottom w:val="single" w:sz="4" w:space="0" w:color="auto"/>
              <w:right w:val="single" w:sz="4" w:space="0" w:color="auto"/>
            </w:tcBorders>
            <w:shd w:val="clear" w:color="auto" w:fill="auto"/>
            <w:noWrap/>
            <w:vAlign w:val="center"/>
            <w:hideMark/>
          </w:tcPr>
          <w:p w14:paraId="2217485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240251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1DC1FF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4C28E76"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6E00EE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120</w:t>
            </w:r>
          </w:p>
        </w:tc>
      </w:tr>
      <w:tr w:rsidR="00EC3D86" w:rsidRPr="00EC3D86" w14:paraId="18B84B4F"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07A030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w:t>
            </w:r>
          </w:p>
        </w:tc>
        <w:tc>
          <w:tcPr>
            <w:tcW w:w="1115" w:type="dxa"/>
            <w:tcBorders>
              <w:top w:val="nil"/>
              <w:left w:val="nil"/>
              <w:bottom w:val="single" w:sz="4" w:space="0" w:color="auto"/>
              <w:right w:val="single" w:sz="4" w:space="0" w:color="auto"/>
            </w:tcBorders>
            <w:shd w:val="clear" w:color="auto" w:fill="auto"/>
            <w:noWrap/>
            <w:vAlign w:val="center"/>
            <w:hideMark/>
          </w:tcPr>
          <w:p w14:paraId="23D4225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1C36B09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922294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27" w:type="dxa"/>
            <w:tcBorders>
              <w:top w:val="nil"/>
              <w:left w:val="nil"/>
              <w:bottom w:val="single" w:sz="4" w:space="0" w:color="auto"/>
              <w:right w:val="single" w:sz="4" w:space="0" w:color="auto"/>
            </w:tcBorders>
            <w:shd w:val="clear" w:color="auto" w:fill="auto"/>
            <w:noWrap/>
            <w:vAlign w:val="center"/>
            <w:hideMark/>
          </w:tcPr>
          <w:p w14:paraId="2E97B75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D6106A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5E4824A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0B3168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4173F62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120</w:t>
            </w:r>
          </w:p>
        </w:tc>
      </w:tr>
      <w:tr w:rsidR="00EC3D86" w:rsidRPr="00EC3D86" w14:paraId="5A31787F"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12DCE3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w:t>
            </w:r>
          </w:p>
        </w:tc>
        <w:tc>
          <w:tcPr>
            <w:tcW w:w="1115" w:type="dxa"/>
            <w:tcBorders>
              <w:top w:val="nil"/>
              <w:left w:val="nil"/>
              <w:bottom w:val="single" w:sz="4" w:space="0" w:color="auto"/>
              <w:right w:val="single" w:sz="4" w:space="0" w:color="auto"/>
            </w:tcBorders>
            <w:shd w:val="clear" w:color="auto" w:fill="auto"/>
            <w:noWrap/>
            <w:vAlign w:val="center"/>
            <w:hideMark/>
          </w:tcPr>
          <w:p w14:paraId="054C2C5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64E70F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1A502EF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11256F0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6422129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22" w:type="dxa"/>
            <w:tcBorders>
              <w:top w:val="nil"/>
              <w:left w:val="nil"/>
              <w:bottom w:val="single" w:sz="4" w:space="0" w:color="auto"/>
              <w:right w:val="single" w:sz="4" w:space="0" w:color="auto"/>
            </w:tcBorders>
            <w:shd w:val="clear" w:color="auto" w:fill="auto"/>
            <w:noWrap/>
            <w:vAlign w:val="center"/>
            <w:hideMark/>
          </w:tcPr>
          <w:p w14:paraId="0A305F5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7CC715D9"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7C9E265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325</w:t>
            </w:r>
          </w:p>
        </w:tc>
      </w:tr>
      <w:tr w:rsidR="00EC3D86" w:rsidRPr="00EC3D86" w14:paraId="585F4369"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6E8967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w:t>
            </w:r>
          </w:p>
        </w:tc>
        <w:tc>
          <w:tcPr>
            <w:tcW w:w="1115" w:type="dxa"/>
            <w:tcBorders>
              <w:top w:val="nil"/>
              <w:left w:val="nil"/>
              <w:bottom w:val="single" w:sz="4" w:space="0" w:color="auto"/>
              <w:right w:val="single" w:sz="4" w:space="0" w:color="auto"/>
            </w:tcBorders>
            <w:shd w:val="clear" w:color="auto" w:fill="auto"/>
            <w:noWrap/>
            <w:vAlign w:val="center"/>
            <w:hideMark/>
          </w:tcPr>
          <w:p w14:paraId="13E08C5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2875129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06" w:type="dxa"/>
            <w:tcBorders>
              <w:top w:val="nil"/>
              <w:left w:val="nil"/>
              <w:bottom w:val="single" w:sz="4" w:space="0" w:color="auto"/>
              <w:right w:val="single" w:sz="4" w:space="0" w:color="auto"/>
            </w:tcBorders>
            <w:shd w:val="clear" w:color="auto" w:fill="auto"/>
            <w:noWrap/>
            <w:vAlign w:val="center"/>
            <w:hideMark/>
          </w:tcPr>
          <w:p w14:paraId="2E57FA8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0332A0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45DFC9E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5514C5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AEB121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77216CF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76CC9E7C"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9A9E5C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15</w:t>
            </w:r>
          </w:p>
        </w:tc>
        <w:tc>
          <w:tcPr>
            <w:tcW w:w="1115" w:type="dxa"/>
            <w:tcBorders>
              <w:top w:val="nil"/>
              <w:left w:val="nil"/>
              <w:bottom w:val="single" w:sz="4" w:space="0" w:color="auto"/>
              <w:right w:val="single" w:sz="4" w:space="0" w:color="auto"/>
            </w:tcBorders>
            <w:shd w:val="clear" w:color="auto" w:fill="auto"/>
            <w:noWrap/>
            <w:vAlign w:val="center"/>
            <w:hideMark/>
          </w:tcPr>
          <w:p w14:paraId="65E15DA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11D1F53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3EB9A90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397690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12A4534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451BDE2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59274933"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5330161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275</w:t>
            </w:r>
          </w:p>
        </w:tc>
      </w:tr>
      <w:tr w:rsidR="00EC3D86" w:rsidRPr="00EC3D86" w14:paraId="298E390E"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2E9005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16</w:t>
            </w:r>
          </w:p>
        </w:tc>
        <w:tc>
          <w:tcPr>
            <w:tcW w:w="1115" w:type="dxa"/>
            <w:tcBorders>
              <w:top w:val="nil"/>
              <w:left w:val="nil"/>
              <w:bottom w:val="single" w:sz="4" w:space="0" w:color="auto"/>
              <w:right w:val="single" w:sz="4" w:space="0" w:color="auto"/>
            </w:tcBorders>
            <w:shd w:val="clear" w:color="auto" w:fill="auto"/>
            <w:noWrap/>
            <w:vAlign w:val="center"/>
            <w:hideMark/>
          </w:tcPr>
          <w:p w14:paraId="5FBF0F3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3FB7128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D4FDB8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2BA5B33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EDA2C4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2E0DEE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Sotho</w:t>
            </w:r>
          </w:p>
        </w:tc>
        <w:tc>
          <w:tcPr>
            <w:tcW w:w="1401" w:type="dxa"/>
            <w:tcBorders>
              <w:top w:val="nil"/>
              <w:left w:val="nil"/>
              <w:bottom w:val="single" w:sz="4" w:space="0" w:color="auto"/>
              <w:right w:val="single" w:sz="4" w:space="0" w:color="auto"/>
            </w:tcBorders>
            <w:shd w:val="clear" w:color="auto" w:fill="auto"/>
            <w:noWrap/>
            <w:vAlign w:val="bottom"/>
            <w:hideMark/>
          </w:tcPr>
          <w:p w14:paraId="67D4389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538B7ED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7DD46E08"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02F88F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17</w:t>
            </w:r>
          </w:p>
        </w:tc>
        <w:tc>
          <w:tcPr>
            <w:tcW w:w="1115" w:type="dxa"/>
            <w:tcBorders>
              <w:top w:val="nil"/>
              <w:left w:val="nil"/>
              <w:bottom w:val="single" w:sz="4" w:space="0" w:color="auto"/>
              <w:right w:val="single" w:sz="4" w:space="0" w:color="auto"/>
            </w:tcBorders>
            <w:shd w:val="clear" w:color="auto" w:fill="auto"/>
            <w:noWrap/>
            <w:vAlign w:val="center"/>
            <w:hideMark/>
          </w:tcPr>
          <w:p w14:paraId="4AA6D62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7D738A1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486477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E714ED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1BEB66E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0D8687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Coloured</w:t>
            </w:r>
          </w:p>
        </w:tc>
        <w:tc>
          <w:tcPr>
            <w:tcW w:w="1401" w:type="dxa"/>
            <w:tcBorders>
              <w:top w:val="nil"/>
              <w:left w:val="nil"/>
              <w:bottom w:val="single" w:sz="4" w:space="0" w:color="auto"/>
              <w:right w:val="single" w:sz="4" w:space="0" w:color="auto"/>
            </w:tcBorders>
            <w:shd w:val="clear" w:color="auto" w:fill="auto"/>
            <w:noWrap/>
            <w:vAlign w:val="bottom"/>
            <w:hideMark/>
          </w:tcPr>
          <w:p w14:paraId="792D6DCE"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5EDA755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79B21DA0"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98E2A8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18</w:t>
            </w:r>
          </w:p>
        </w:tc>
        <w:tc>
          <w:tcPr>
            <w:tcW w:w="1115" w:type="dxa"/>
            <w:tcBorders>
              <w:top w:val="nil"/>
              <w:left w:val="nil"/>
              <w:bottom w:val="single" w:sz="4" w:space="0" w:color="auto"/>
              <w:right w:val="single" w:sz="4" w:space="0" w:color="auto"/>
            </w:tcBorders>
            <w:shd w:val="clear" w:color="auto" w:fill="auto"/>
            <w:noWrap/>
            <w:vAlign w:val="center"/>
            <w:hideMark/>
          </w:tcPr>
          <w:p w14:paraId="3E02868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1F01B8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35CB0C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45F6BEF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60950F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4E73ECE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Shangaan</w:t>
            </w:r>
          </w:p>
        </w:tc>
        <w:tc>
          <w:tcPr>
            <w:tcW w:w="1401" w:type="dxa"/>
            <w:tcBorders>
              <w:top w:val="nil"/>
              <w:left w:val="nil"/>
              <w:bottom w:val="single" w:sz="4" w:space="0" w:color="auto"/>
              <w:right w:val="single" w:sz="4" w:space="0" w:color="auto"/>
            </w:tcBorders>
            <w:shd w:val="clear" w:color="auto" w:fill="auto"/>
            <w:noWrap/>
            <w:vAlign w:val="bottom"/>
            <w:hideMark/>
          </w:tcPr>
          <w:p w14:paraId="5053ECE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3EB3257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180</w:t>
            </w:r>
          </w:p>
        </w:tc>
      </w:tr>
      <w:tr w:rsidR="00EC3D86" w:rsidRPr="00EC3D86" w14:paraId="00A53707"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1276E9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19</w:t>
            </w:r>
          </w:p>
        </w:tc>
        <w:tc>
          <w:tcPr>
            <w:tcW w:w="1115" w:type="dxa"/>
            <w:tcBorders>
              <w:top w:val="nil"/>
              <w:left w:val="nil"/>
              <w:bottom w:val="single" w:sz="4" w:space="0" w:color="auto"/>
              <w:right w:val="single" w:sz="4" w:space="0" w:color="auto"/>
            </w:tcBorders>
            <w:shd w:val="clear" w:color="auto" w:fill="auto"/>
            <w:noWrap/>
            <w:vAlign w:val="center"/>
            <w:hideMark/>
          </w:tcPr>
          <w:p w14:paraId="20C9C32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7750D9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3C277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67CE98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0118636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FA9003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17AFE0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566F232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300</w:t>
            </w:r>
          </w:p>
        </w:tc>
      </w:tr>
      <w:tr w:rsidR="00EC3D86" w:rsidRPr="00EC3D86" w14:paraId="02D9887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D3CAFD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20</w:t>
            </w:r>
          </w:p>
        </w:tc>
        <w:tc>
          <w:tcPr>
            <w:tcW w:w="1115" w:type="dxa"/>
            <w:tcBorders>
              <w:top w:val="nil"/>
              <w:left w:val="nil"/>
              <w:bottom w:val="single" w:sz="4" w:space="0" w:color="auto"/>
              <w:right w:val="single" w:sz="4" w:space="0" w:color="auto"/>
            </w:tcBorders>
            <w:shd w:val="clear" w:color="auto" w:fill="auto"/>
            <w:noWrap/>
            <w:vAlign w:val="center"/>
            <w:hideMark/>
          </w:tcPr>
          <w:p w14:paraId="7C3333C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3557E8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11E4E8C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15C2CFF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6DB02C7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AA78C6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Coloured</w:t>
            </w:r>
          </w:p>
        </w:tc>
        <w:tc>
          <w:tcPr>
            <w:tcW w:w="1401" w:type="dxa"/>
            <w:tcBorders>
              <w:top w:val="nil"/>
              <w:left w:val="nil"/>
              <w:bottom w:val="single" w:sz="4" w:space="0" w:color="auto"/>
              <w:right w:val="single" w:sz="4" w:space="0" w:color="auto"/>
            </w:tcBorders>
            <w:shd w:val="clear" w:color="auto" w:fill="auto"/>
            <w:noWrap/>
            <w:vAlign w:val="bottom"/>
            <w:hideMark/>
          </w:tcPr>
          <w:p w14:paraId="28C13E7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1886B4F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180</w:t>
            </w:r>
          </w:p>
        </w:tc>
      </w:tr>
      <w:tr w:rsidR="00EC3D86" w:rsidRPr="00EC3D86" w14:paraId="73D0AD53"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E54955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21</w:t>
            </w:r>
          </w:p>
        </w:tc>
        <w:tc>
          <w:tcPr>
            <w:tcW w:w="1115" w:type="dxa"/>
            <w:tcBorders>
              <w:top w:val="nil"/>
              <w:left w:val="nil"/>
              <w:bottom w:val="single" w:sz="4" w:space="0" w:color="auto"/>
              <w:right w:val="single" w:sz="4" w:space="0" w:color="auto"/>
            </w:tcBorders>
            <w:shd w:val="clear" w:color="auto" w:fill="auto"/>
            <w:noWrap/>
            <w:vAlign w:val="center"/>
            <w:hideMark/>
          </w:tcPr>
          <w:p w14:paraId="3DF31F1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32FC0A4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A22E84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8351B1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285D4FD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ECDE41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5BB35A0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0A90E5E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275</w:t>
            </w:r>
          </w:p>
        </w:tc>
      </w:tr>
      <w:tr w:rsidR="00EC3D86" w:rsidRPr="00EC3D86" w14:paraId="3E31C394"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796444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22</w:t>
            </w:r>
          </w:p>
        </w:tc>
        <w:tc>
          <w:tcPr>
            <w:tcW w:w="1115" w:type="dxa"/>
            <w:tcBorders>
              <w:top w:val="nil"/>
              <w:left w:val="nil"/>
              <w:bottom w:val="single" w:sz="4" w:space="0" w:color="auto"/>
              <w:right w:val="single" w:sz="4" w:space="0" w:color="auto"/>
            </w:tcBorders>
            <w:shd w:val="clear" w:color="auto" w:fill="auto"/>
            <w:noWrap/>
            <w:vAlign w:val="center"/>
            <w:hideMark/>
          </w:tcPr>
          <w:p w14:paraId="4AC5829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163013A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4D6DDE7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AFCEA1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23ADC3F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5C445A8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552184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7979515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300</w:t>
            </w:r>
          </w:p>
        </w:tc>
      </w:tr>
      <w:tr w:rsidR="00EC3D86" w:rsidRPr="00EC3D86" w14:paraId="2CB97FE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628EA4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23</w:t>
            </w:r>
          </w:p>
        </w:tc>
        <w:tc>
          <w:tcPr>
            <w:tcW w:w="1115" w:type="dxa"/>
            <w:tcBorders>
              <w:top w:val="nil"/>
              <w:left w:val="nil"/>
              <w:bottom w:val="single" w:sz="4" w:space="0" w:color="auto"/>
              <w:right w:val="single" w:sz="4" w:space="0" w:color="auto"/>
            </w:tcBorders>
            <w:shd w:val="clear" w:color="auto" w:fill="auto"/>
            <w:noWrap/>
            <w:vAlign w:val="center"/>
            <w:hideMark/>
          </w:tcPr>
          <w:p w14:paraId="3AB11DC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37D14A8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3248C4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C25A5C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2B56A3F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5DDAD5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4500F0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5E5CE49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300</w:t>
            </w:r>
          </w:p>
        </w:tc>
      </w:tr>
      <w:tr w:rsidR="00EC3D86" w:rsidRPr="00EC3D86" w14:paraId="585D1D24"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36C394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24</w:t>
            </w:r>
          </w:p>
        </w:tc>
        <w:tc>
          <w:tcPr>
            <w:tcW w:w="1115" w:type="dxa"/>
            <w:tcBorders>
              <w:top w:val="nil"/>
              <w:left w:val="nil"/>
              <w:bottom w:val="single" w:sz="4" w:space="0" w:color="auto"/>
              <w:right w:val="single" w:sz="4" w:space="0" w:color="auto"/>
            </w:tcBorders>
            <w:shd w:val="clear" w:color="auto" w:fill="auto"/>
            <w:noWrap/>
            <w:vAlign w:val="center"/>
            <w:hideMark/>
          </w:tcPr>
          <w:p w14:paraId="49DE1E6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6941257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346399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81C320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2CB7AD5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D81533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56368AA"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51B2EDE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340</w:t>
            </w:r>
          </w:p>
        </w:tc>
      </w:tr>
      <w:tr w:rsidR="00EC3D86" w:rsidRPr="00EC3D86" w14:paraId="41331816"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733DBB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25</w:t>
            </w:r>
          </w:p>
        </w:tc>
        <w:tc>
          <w:tcPr>
            <w:tcW w:w="1115" w:type="dxa"/>
            <w:tcBorders>
              <w:top w:val="nil"/>
              <w:left w:val="nil"/>
              <w:bottom w:val="single" w:sz="4" w:space="0" w:color="auto"/>
              <w:right w:val="single" w:sz="4" w:space="0" w:color="auto"/>
            </w:tcBorders>
            <w:shd w:val="clear" w:color="auto" w:fill="auto"/>
            <w:noWrap/>
            <w:vAlign w:val="center"/>
            <w:hideMark/>
          </w:tcPr>
          <w:p w14:paraId="6B8031E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3007368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1FC370C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27CB0BD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339206C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419F72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732C43C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043004C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220</w:t>
            </w:r>
          </w:p>
        </w:tc>
      </w:tr>
      <w:tr w:rsidR="00EC3D86" w:rsidRPr="00EC3D86" w14:paraId="4BC1CB6B"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02FD1C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26</w:t>
            </w:r>
          </w:p>
        </w:tc>
        <w:tc>
          <w:tcPr>
            <w:tcW w:w="1115" w:type="dxa"/>
            <w:tcBorders>
              <w:top w:val="nil"/>
              <w:left w:val="nil"/>
              <w:bottom w:val="single" w:sz="4" w:space="0" w:color="auto"/>
              <w:right w:val="single" w:sz="4" w:space="0" w:color="auto"/>
            </w:tcBorders>
            <w:shd w:val="clear" w:color="auto" w:fill="auto"/>
            <w:noWrap/>
            <w:vAlign w:val="center"/>
            <w:hideMark/>
          </w:tcPr>
          <w:p w14:paraId="258F3AE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2D261B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BFB881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BA1AA2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640AC24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BCB617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46756B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5B75A82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225</w:t>
            </w:r>
          </w:p>
        </w:tc>
      </w:tr>
      <w:tr w:rsidR="00EC3D86" w:rsidRPr="00EC3D86" w14:paraId="0B4452A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4A5B87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27</w:t>
            </w:r>
          </w:p>
        </w:tc>
        <w:tc>
          <w:tcPr>
            <w:tcW w:w="1115" w:type="dxa"/>
            <w:tcBorders>
              <w:top w:val="nil"/>
              <w:left w:val="nil"/>
              <w:bottom w:val="single" w:sz="4" w:space="0" w:color="auto"/>
              <w:right w:val="single" w:sz="4" w:space="0" w:color="auto"/>
            </w:tcBorders>
            <w:shd w:val="clear" w:color="auto" w:fill="auto"/>
            <w:noWrap/>
            <w:vAlign w:val="center"/>
            <w:hideMark/>
          </w:tcPr>
          <w:p w14:paraId="44A36D7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4CABA18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F60D1C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05D4E7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854" w:type="dxa"/>
            <w:tcBorders>
              <w:top w:val="nil"/>
              <w:left w:val="nil"/>
              <w:bottom w:val="single" w:sz="4" w:space="0" w:color="auto"/>
              <w:right w:val="single" w:sz="4" w:space="0" w:color="auto"/>
            </w:tcBorders>
            <w:shd w:val="clear" w:color="auto" w:fill="auto"/>
            <w:noWrap/>
            <w:vAlign w:val="center"/>
            <w:hideMark/>
          </w:tcPr>
          <w:p w14:paraId="4697C62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4798C1E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A543DB8"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Head waiter</w:t>
            </w:r>
          </w:p>
        </w:tc>
        <w:tc>
          <w:tcPr>
            <w:tcW w:w="902" w:type="dxa"/>
            <w:tcBorders>
              <w:top w:val="nil"/>
              <w:left w:val="nil"/>
              <w:bottom w:val="single" w:sz="4" w:space="0" w:color="auto"/>
              <w:right w:val="single" w:sz="8" w:space="0" w:color="auto"/>
            </w:tcBorders>
            <w:shd w:val="clear" w:color="auto" w:fill="auto"/>
            <w:noWrap/>
            <w:vAlign w:val="bottom"/>
            <w:hideMark/>
          </w:tcPr>
          <w:p w14:paraId="1CD0A48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350</w:t>
            </w:r>
          </w:p>
        </w:tc>
      </w:tr>
      <w:tr w:rsidR="00EC3D86" w:rsidRPr="00EC3D86" w14:paraId="140F7B67"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7232CA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28</w:t>
            </w:r>
          </w:p>
        </w:tc>
        <w:tc>
          <w:tcPr>
            <w:tcW w:w="1115" w:type="dxa"/>
            <w:tcBorders>
              <w:top w:val="nil"/>
              <w:left w:val="nil"/>
              <w:bottom w:val="single" w:sz="4" w:space="0" w:color="auto"/>
              <w:right w:val="single" w:sz="4" w:space="0" w:color="auto"/>
            </w:tcBorders>
            <w:shd w:val="clear" w:color="auto" w:fill="auto"/>
            <w:noWrap/>
            <w:vAlign w:val="center"/>
            <w:hideMark/>
          </w:tcPr>
          <w:p w14:paraId="7B73E82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289E7EA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36CCB9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FCA54C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0239E6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1819BA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43D50C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3F50A67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EC3D86" w14:paraId="1DDD5D94"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0FDD32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29</w:t>
            </w:r>
          </w:p>
        </w:tc>
        <w:tc>
          <w:tcPr>
            <w:tcW w:w="1115" w:type="dxa"/>
            <w:tcBorders>
              <w:top w:val="nil"/>
              <w:left w:val="nil"/>
              <w:bottom w:val="single" w:sz="4" w:space="0" w:color="auto"/>
              <w:right w:val="single" w:sz="4" w:space="0" w:color="auto"/>
            </w:tcBorders>
            <w:shd w:val="clear" w:color="auto" w:fill="auto"/>
            <w:noWrap/>
            <w:vAlign w:val="center"/>
            <w:hideMark/>
          </w:tcPr>
          <w:p w14:paraId="149AEDA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169C72D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AED908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6CE1AE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BEBE36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3805A3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E128BE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388D400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EC3D86" w14:paraId="71D72671"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05BA9D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30</w:t>
            </w:r>
          </w:p>
        </w:tc>
        <w:tc>
          <w:tcPr>
            <w:tcW w:w="1115" w:type="dxa"/>
            <w:tcBorders>
              <w:top w:val="nil"/>
              <w:left w:val="nil"/>
              <w:bottom w:val="single" w:sz="4" w:space="0" w:color="auto"/>
              <w:right w:val="single" w:sz="4" w:space="0" w:color="auto"/>
            </w:tcBorders>
            <w:shd w:val="clear" w:color="auto" w:fill="auto"/>
            <w:noWrap/>
            <w:vAlign w:val="center"/>
            <w:hideMark/>
          </w:tcPr>
          <w:p w14:paraId="67907ED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2D5EEC1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D946DC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245087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1D62C9E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71E7478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50AFE5E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712A88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23F24D0A"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5EAA52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31</w:t>
            </w:r>
          </w:p>
        </w:tc>
        <w:tc>
          <w:tcPr>
            <w:tcW w:w="1115" w:type="dxa"/>
            <w:tcBorders>
              <w:top w:val="nil"/>
              <w:left w:val="nil"/>
              <w:bottom w:val="single" w:sz="4" w:space="0" w:color="auto"/>
              <w:right w:val="single" w:sz="4" w:space="0" w:color="auto"/>
            </w:tcBorders>
            <w:shd w:val="clear" w:color="auto" w:fill="auto"/>
            <w:noWrap/>
            <w:vAlign w:val="center"/>
            <w:hideMark/>
          </w:tcPr>
          <w:p w14:paraId="75CDA20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6CCCD0F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87A3E7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4BB633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3DA758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5EDC4EA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4C251D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DCB1BB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17D71F02"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182364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32</w:t>
            </w:r>
          </w:p>
        </w:tc>
        <w:tc>
          <w:tcPr>
            <w:tcW w:w="1115" w:type="dxa"/>
            <w:tcBorders>
              <w:top w:val="nil"/>
              <w:left w:val="nil"/>
              <w:bottom w:val="single" w:sz="4" w:space="0" w:color="auto"/>
              <w:right w:val="single" w:sz="4" w:space="0" w:color="auto"/>
            </w:tcBorders>
            <w:shd w:val="clear" w:color="auto" w:fill="auto"/>
            <w:noWrap/>
            <w:vAlign w:val="center"/>
            <w:hideMark/>
          </w:tcPr>
          <w:p w14:paraId="1B69EE4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49E61BF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1BCC93B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124BFFB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89EE63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52F22BF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F8E4D3F"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Busman</w:t>
            </w:r>
          </w:p>
        </w:tc>
        <w:tc>
          <w:tcPr>
            <w:tcW w:w="902" w:type="dxa"/>
            <w:tcBorders>
              <w:top w:val="nil"/>
              <w:left w:val="nil"/>
              <w:bottom w:val="single" w:sz="4" w:space="0" w:color="auto"/>
              <w:right w:val="single" w:sz="8" w:space="0" w:color="auto"/>
            </w:tcBorders>
            <w:shd w:val="clear" w:color="auto" w:fill="auto"/>
            <w:noWrap/>
            <w:vAlign w:val="bottom"/>
            <w:hideMark/>
          </w:tcPr>
          <w:p w14:paraId="0136368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4FC2F06A"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2CD3F2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33</w:t>
            </w:r>
          </w:p>
        </w:tc>
        <w:tc>
          <w:tcPr>
            <w:tcW w:w="1115" w:type="dxa"/>
            <w:tcBorders>
              <w:top w:val="nil"/>
              <w:left w:val="nil"/>
              <w:bottom w:val="single" w:sz="4" w:space="0" w:color="auto"/>
              <w:right w:val="single" w:sz="4" w:space="0" w:color="auto"/>
            </w:tcBorders>
            <w:shd w:val="clear" w:color="auto" w:fill="auto"/>
            <w:noWrap/>
            <w:vAlign w:val="center"/>
            <w:hideMark/>
          </w:tcPr>
          <w:p w14:paraId="06FCC60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2A469AC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1ABBEE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64C6C15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7F4627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571BDE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6790195E"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1E2A170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75EAD2E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48DF02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34</w:t>
            </w:r>
          </w:p>
        </w:tc>
        <w:tc>
          <w:tcPr>
            <w:tcW w:w="1115" w:type="dxa"/>
            <w:tcBorders>
              <w:top w:val="nil"/>
              <w:left w:val="nil"/>
              <w:bottom w:val="single" w:sz="4" w:space="0" w:color="auto"/>
              <w:right w:val="single" w:sz="4" w:space="0" w:color="auto"/>
            </w:tcBorders>
            <w:shd w:val="clear" w:color="auto" w:fill="auto"/>
            <w:noWrap/>
            <w:vAlign w:val="center"/>
            <w:hideMark/>
          </w:tcPr>
          <w:p w14:paraId="54437D6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C2EEC2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F275BA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3F4FA2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82E73C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91C748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3B04EB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5DC8A83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71EFA2A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CA997DF"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35</w:t>
            </w:r>
          </w:p>
        </w:tc>
        <w:tc>
          <w:tcPr>
            <w:tcW w:w="1115" w:type="dxa"/>
            <w:tcBorders>
              <w:top w:val="nil"/>
              <w:left w:val="nil"/>
              <w:bottom w:val="single" w:sz="4" w:space="0" w:color="auto"/>
              <w:right w:val="single" w:sz="4" w:space="0" w:color="auto"/>
            </w:tcBorders>
            <w:shd w:val="clear" w:color="auto" w:fill="auto"/>
            <w:noWrap/>
            <w:vAlign w:val="center"/>
            <w:hideMark/>
          </w:tcPr>
          <w:p w14:paraId="2134297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6926AF5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C20730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3EA44D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5D5EB4E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54EFD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26D584F"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7E1867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16F2518A"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13F8EF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36</w:t>
            </w:r>
          </w:p>
        </w:tc>
        <w:tc>
          <w:tcPr>
            <w:tcW w:w="1115" w:type="dxa"/>
            <w:tcBorders>
              <w:top w:val="nil"/>
              <w:left w:val="nil"/>
              <w:bottom w:val="single" w:sz="4" w:space="0" w:color="auto"/>
              <w:right w:val="single" w:sz="4" w:space="0" w:color="auto"/>
            </w:tcBorders>
            <w:shd w:val="clear" w:color="auto" w:fill="auto"/>
            <w:noWrap/>
            <w:vAlign w:val="center"/>
            <w:hideMark/>
          </w:tcPr>
          <w:p w14:paraId="4E5CCA3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58C5643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7A23E1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1635B7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5DAED7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5AD44B0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D4EA40F"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CF8917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31A9F0D1"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92EC89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37</w:t>
            </w:r>
          </w:p>
        </w:tc>
        <w:tc>
          <w:tcPr>
            <w:tcW w:w="1115" w:type="dxa"/>
            <w:tcBorders>
              <w:top w:val="nil"/>
              <w:left w:val="nil"/>
              <w:bottom w:val="single" w:sz="4" w:space="0" w:color="auto"/>
              <w:right w:val="single" w:sz="4" w:space="0" w:color="auto"/>
            </w:tcBorders>
            <w:shd w:val="clear" w:color="auto" w:fill="auto"/>
            <w:noWrap/>
            <w:vAlign w:val="center"/>
            <w:hideMark/>
          </w:tcPr>
          <w:p w14:paraId="42D312B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680DA1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83C146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3E8728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77EE2E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9D3E92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1A33A5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2E0284B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57BCF971"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F884C5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38</w:t>
            </w:r>
          </w:p>
        </w:tc>
        <w:tc>
          <w:tcPr>
            <w:tcW w:w="1115" w:type="dxa"/>
            <w:tcBorders>
              <w:top w:val="nil"/>
              <w:left w:val="nil"/>
              <w:bottom w:val="single" w:sz="4" w:space="0" w:color="auto"/>
              <w:right w:val="single" w:sz="4" w:space="0" w:color="auto"/>
            </w:tcBorders>
            <w:shd w:val="clear" w:color="auto" w:fill="auto"/>
            <w:noWrap/>
            <w:vAlign w:val="center"/>
            <w:hideMark/>
          </w:tcPr>
          <w:p w14:paraId="0AE51A8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1237184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6AB9CA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60A5C7B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52EB02B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CD49E9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3D40A5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189CF05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165</w:t>
            </w:r>
          </w:p>
        </w:tc>
      </w:tr>
      <w:tr w:rsidR="00EC3D86" w:rsidRPr="00EC3D86" w14:paraId="2E9ADFC3"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7BA5AF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39</w:t>
            </w:r>
          </w:p>
        </w:tc>
        <w:tc>
          <w:tcPr>
            <w:tcW w:w="1115" w:type="dxa"/>
            <w:tcBorders>
              <w:top w:val="nil"/>
              <w:left w:val="nil"/>
              <w:bottom w:val="single" w:sz="4" w:space="0" w:color="auto"/>
              <w:right w:val="single" w:sz="4" w:space="0" w:color="auto"/>
            </w:tcBorders>
            <w:shd w:val="clear" w:color="auto" w:fill="auto"/>
            <w:noWrap/>
            <w:vAlign w:val="center"/>
            <w:hideMark/>
          </w:tcPr>
          <w:p w14:paraId="1340735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2A94F67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FC01FB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88DFD0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A3018C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2338F9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F18731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58040E0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015704B1"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686FEA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40</w:t>
            </w:r>
          </w:p>
        </w:tc>
        <w:tc>
          <w:tcPr>
            <w:tcW w:w="1115" w:type="dxa"/>
            <w:tcBorders>
              <w:top w:val="nil"/>
              <w:left w:val="nil"/>
              <w:bottom w:val="single" w:sz="4" w:space="0" w:color="auto"/>
              <w:right w:val="single" w:sz="4" w:space="0" w:color="auto"/>
            </w:tcBorders>
            <w:shd w:val="clear" w:color="auto" w:fill="auto"/>
            <w:noWrap/>
            <w:vAlign w:val="center"/>
            <w:hideMark/>
          </w:tcPr>
          <w:p w14:paraId="03E50D9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05470C1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11A669C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27" w:type="dxa"/>
            <w:tcBorders>
              <w:top w:val="nil"/>
              <w:left w:val="nil"/>
              <w:bottom w:val="single" w:sz="4" w:space="0" w:color="auto"/>
              <w:right w:val="single" w:sz="4" w:space="0" w:color="auto"/>
            </w:tcBorders>
            <w:shd w:val="clear" w:color="auto" w:fill="auto"/>
            <w:noWrap/>
            <w:vAlign w:val="center"/>
            <w:hideMark/>
          </w:tcPr>
          <w:p w14:paraId="3833BD7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3F892D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22516D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3E94749"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760A2E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232DD440"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25B9C5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41</w:t>
            </w:r>
          </w:p>
        </w:tc>
        <w:tc>
          <w:tcPr>
            <w:tcW w:w="1115" w:type="dxa"/>
            <w:tcBorders>
              <w:top w:val="nil"/>
              <w:left w:val="nil"/>
              <w:bottom w:val="single" w:sz="4" w:space="0" w:color="auto"/>
              <w:right w:val="single" w:sz="4" w:space="0" w:color="auto"/>
            </w:tcBorders>
            <w:shd w:val="clear" w:color="auto" w:fill="auto"/>
            <w:noWrap/>
            <w:vAlign w:val="center"/>
            <w:hideMark/>
          </w:tcPr>
          <w:p w14:paraId="0F88BB1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0B7E941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12043E6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47DA401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1ADA2FB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F65C18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DBEDC9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5E20962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52D9ADDB"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03472E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42</w:t>
            </w:r>
          </w:p>
        </w:tc>
        <w:tc>
          <w:tcPr>
            <w:tcW w:w="1115" w:type="dxa"/>
            <w:tcBorders>
              <w:top w:val="nil"/>
              <w:left w:val="nil"/>
              <w:bottom w:val="single" w:sz="4" w:space="0" w:color="auto"/>
              <w:right w:val="single" w:sz="4" w:space="0" w:color="auto"/>
            </w:tcBorders>
            <w:shd w:val="clear" w:color="auto" w:fill="auto"/>
            <w:noWrap/>
            <w:vAlign w:val="center"/>
            <w:hideMark/>
          </w:tcPr>
          <w:p w14:paraId="672968C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AA5781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8FD672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2C6BC1C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CF5AB2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7B422C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4A61E4F"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43E5682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120</w:t>
            </w:r>
          </w:p>
        </w:tc>
      </w:tr>
      <w:tr w:rsidR="00EC3D86" w:rsidRPr="00EC3D86" w14:paraId="650916D0" w14:textId="77777777" w:rsidTr="00B8198E">
        <w:trPr>
          <w:trHeight w:val="300"/>
          <w:jc w:val="center"/>
        </w:trPr>
        <w:tc>
          <w:tcPr>
            <w:tcW w:w="6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EF96E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lastRenderedPageBreak/>
              <w:t>43</w:t>
            </w:r>
          </w:p>
        </w:tc>
        <w:tc>
          <w:tcPr>
            <w:tcW w:w="1115" w:type="dxa"/>
            <w:tcBorders>
              <w:top w:val="single" w:sz="4" w:space="0" w:color="auto"/>
              <w:left w:val="nil"/>
              <w:bottom w:val="single" w:sz="4" w:space="0" w:color="auto"/>
              <w:right w:val="single" w:sz="4" w:space="0" w:color="auto"/>
            </w:tcBorders>
            <w:shd w:val="clear" w:color="auto" w:fill="auto"/>
            <w:noWrap/>
            <w:vAlign w:val="center"/>
            <w:hideMark/>
          </w:tcPr>
          <w:p w14:paraId="197D0EC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14:paraId="6DACF9F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single" w:sz="4" w:space="0" w:color="auto"/>
              <w:left w:val="nil"/>
              <w:bottom w:val="single" w:sz="4" w:space="0" w:color="auto"/>
              <w:right w:val="single" w:sz="4" w:space="0" w:color="auto"/>
            </w:tcBorders>
            <w:shd w:val="clear" w:color="auto" w:fill="auto"/>
            <w:noWrap/>
            <w:vAlign w:val="center"/>
            <w:hideMark/>
          </w:tcPr>
          <w:p w14:paraId="1FFDE3A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single" w:sz="4" w:space="0" w:color="auto"/>
              <w:left w:val="nil"/>
              <w:bottom w:val="single" w:sz="4" w:space="0" w:color="auto"/>
              <w:right w:val="single" w:sz="4" w:space="0" w:color="auto"/>
            </w:tcBorders>
            <w:shd w:val="clear" w:color="auto" w:fill="auto"/>
            <w:noWrap/>
            <w:vAlign w:val="center"/>
            <w:hideMark/>
          </w:tcPr>
          <w:p w14:paraId="6A143C3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single" w:sz="4" w:space="0" w:color="auto"/>
              <w:left w:val="nil"/>
              <w:bottom w:val="single" w:sz="4" w:space="0" w:color="auto"/>
              <w:right w:val="single" w:sz="4" w:space="0" w:color="auto"/>
            </w:tcBorders>
            <w:shd w:val="clear" w:color="auto" w:fill="auto"/>
            <w:noWrap/>
            <w:vAlign w:val="center"/>
            <w:hideMark/>
          </w:tcPr>
          <w:p w14:paraId="2555DD3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single" w:sz="4" w:space="0" w:color="auto"/>
              <w:left w:val="nil"/>
              <w:bottom w:val="single" w:sz="4" w:space="0" w:color="auto"/>
              <w:right w:val="single" w:sz="4" w:space="0" w:color="auto"/>
            </w:tcBorders>
            <w:shd w:val="clear" w:color="auto" w:fill="auto"/>
            <w:noWrap/>
            <w:vAlign w:val="center"/>
            <w:hideMark/>
          </w:tcPr>
          <w:p w14:paraId="6A13A63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single" w:sz="4" w:space="0" w:color="auto"/>
              <w:left w:val="nil"/>
              <w:bottom w:val="single" w:sz="4" w:space="0" w:color="auto"/>
              <w:right w:val="single" w:sz="4" w:space="0" w:color="auto"/>
            </w:tcBorders>
            <w:shd w:val="clear" w:color="auto" w:fill="auto"/>
            <w:noWrap/>
            <w:vAlign w:val="bottom"/>
            <w:hideMark/>
          </w:tcPr>
          <w:p w14:paraId="0EDDABFC"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single" w:sz="4" w:space="0" w:color="auto"/>
              <w:left w:val="nil"/>
              <w:bottom w:val="single" w:sz="4" w:space="0" w:color="auto"/>
              <w:right w:val="single" w:sz="4" w:space="0" w:color="auto"/>
            </w:tcBorders>
            <w:shd w:val="clear" w:color="auto" w:fill="auto"/>
            <w:noWrap/>
            <w:vAlign w:val="bottom"/>
            <w:hideMark/>
          </w:tcPr>
          <w:p w14:paraId="691BA80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120</w:t>
            </w:r>
          </w:p>
        </w:tc>
      </w:tr>
      <w:tr w:rsidR="00EC3D86" w:rsidRPr="00EC3D86" w14:paraId="457EE0B8"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8BD0B5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44</w:t>
            </w:r>
          </w:p>
        </w:tc>
        <w:tc>
          <w:tcPr>
            <w:tcW w:w="1115" w:type="dxa"/>
            <w:tcBorders>
              <w:top w:val="nil"/>
              <w:left w:val="nil"/>
              <w:bottom w:val="single" w:sz="4" w:space="0" w:color="auto"/>
              <w:right w:val="single" w:sz="4" w:space="0" w:color="auto"/>
            </w:tcBorders>
            <w:shd w:val="clear" w:color="auto" w:fill="auto"/>
            <w:noWrap/>
            <w:vAlign w:val="center"/>
            <w:hideMark/>
          </w:tcPr>
          <w:p w14:paraId="77690A6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13C01C2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06" w:type="dxa"/>
            <w:tcBorders>
              <w:top w:val="nil"/>
              <w:left w:val="nil"/>
              <w:bottom w:val="single" w:sz="4" w:space="0" w:color="auto"/>
              <w:right w:val="single" w:sz="4" w:space="0" w:color="auto"/>
            </w:tcBorders>
            <w:shd w:val="clear" w:color="auto" w:fill="auto"/>
            <w:noWrap/>
            <w:vAlign w:val="center"/>
            <w:hideMark/>
          </w:tcPr>
          <w:p w14:paraId="4C04FA2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5FE93C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4277DD5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B72EDF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531F8EF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7CBBA39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08AE0DAB"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F7FD42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45</w:t>
            </w:r>
          </w:p>
        </w:tc>
        <w:tc>
          <w:tcPr>
            <w:tcW w:w="1115" w:type="dxa"/>
            <w:tcBorders>
              <w:top w:val="nil"/>
              <w:left w:val="nil"/>
              <w:bottom w:val="single" w:sz="4" w:space="0" w:color="auto"/>
              <w:right w:val="single" w:sz="4" w:space="0" w:color="auto"/>
            </w:tcBorders>
            <w:shd w:val="clear" w:color="auto" w:fill="auto"/>
            <w:noWrap/>
            <w:vAlign w:val="center"/>
            <w:hideMark/>
          </w:tcPr>
          <w:p w14:paraId="55FB9A5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05BD25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4DA1474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F38F37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6E119A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4A244C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6035851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03EEA4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1E6DC252"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84F203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46</w:t>
            </w:r>
          </w:p>
        </w:tc>
        <w:tc>
          <w:tcPr>
            <w:tcW w:w="1115" w:type="dxa"/>
            <w:tcBorders>
              <w:top w:val="nil"/>
              <w:left w:val="nil"/>
              <w:bottom w:val="single" w:sz="4" w:space="0" w:color="auto"/>
              <w:right w:val="single" w:sz="4" w:space="0" w:color="auto"/>
            </w:tcBorders>
            <w:shd w:val="clear" w:color="auto" w:fill="auto"/>
            <w:noWrap/>
            <w:vAlign w:val="center"/>
            <w:hideMark/>
          </w:tcPr>
          <w:p w14:paraId="2E9447C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0991508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6CC117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DC6FB6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55A86A1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8FABC5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619049F"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8D2EA2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07FF6DD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3C489B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47</w:t>
            </w:r>
          </w:p>
        </w:tc>
        <w:tc>
          <w:tcPr>
            <w:tcW w:w="1115" w:type="dxa"/>
            <w:tcBorders>
              <w:top w:val="nil"/>
              <w:left w:val="nil"/>
              <w:bottom w:val="single" w:sz="4" w:space="0" w:color="auto"/>
              <w:right w:val="single" w:sz="4" w:space="0" w:color="auto"/>
            </w:tcBorders>
            <w:shd w:val="clear" w:color="auto" w:fill="auto"/>
            <w:noWrap/>
            <w:vAlign w:val="center"/>
            <w:hideMark/>
          </w:tcPr>
          <w:p w14:paraId="55E35D8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0E89265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3E91C1C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8C4FDF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85099F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72E93E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0EC1D1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1D23F87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23B4B4A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D25493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48</w:t>
            </w:r>
          </w:p>
        </w:tc>
        <w:tc>
          <w:tcPr>
            <w:tcW w:w="1115" w:type="dxa"/>
            <w:tcBorders>
              <w:top w:val="nil"/>
              <w:left w:val="nil"/>
              <w:bottom w:val="single" w:sz="4" w:space="0" w:color="auto"/>
              <w:right w:val="single" w:sz="4" w:space="0" w:color="auto"/>
            </w:tcBorders>
            <w:shd w:val="clear" w:color="auto" w:fill="auto"/>
            <w:noWrap/>
            <w:vAlign w:val="center"/>
            <w:hideMark/>
          </w:tcPr>
          <w:p w14:paraId="4A77803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657F0D9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639D9A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46006E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2F4C17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2AE3F3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61BB936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74134E6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43102C1E"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682D9F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49</w:t>
            </w:r>
          </w:p>
        </w:tc>
        <w:tc>
          <w:tcPr>
            <w:tcW w:w="1115" w:type="dxa"/>
            <w:tcBorders>
              <w:top w:val="nil"/>
              <w:left w:val="nil"/>
              <w:bottom w:val="single" w:sz="4" w:space="0" w:color="auto"/>
              <w:right w:val="single" w:sz="4" w:space="0" w:color="auto"/>
            </w:tcBorders>
            <w:shd w:val="clear" w:color="auto" w:fill="auto"/>
            <w:noWrap/>
            <w:vAlign w:val="center"/>
            <w:hideMark/>
          </w:tcPr>
          <w:p w14:paraId="44F078C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5857206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183A1C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1E33C1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1586346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5894FD4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66C6616A"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39415A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EC3D86" w14:paraId="584F7D33"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E79636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50</w:t>
            </w:r>
          </w:p>
        </w:tc>
        <w:tc>
          <w:tcPr>
            <w:tcW w:w="1115" w:type="dxa"/>
            <w:tcBorders>
              <w:top w:val="nil"/>
              <w:left w:val="nil"/>
              <w:bottom w:val="single" w:sz="4" w:space="0" w:color="auto"/>
              <w:right w:val="single" w:sz="4" w:space="0" w:color="auto"/>
            </w:tcBorders>
            <w:shd w:val="clear" w:color="auto" w:fill="auto"/>
            <w:noWrap/>
            <w:vAlign w:val="center"/>
            <w:hideMark/>
          </w:tcPr>
          <w:p w14:paraId="71E80EF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6E93B0D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32F3F31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3C24C4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5FF4B76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4A2CB71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0780069"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6B491F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45F1277C"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C8305A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51</w:t>
            </w:r>
          </w:p>
        </w:tc>
        <w:tc>
          <w:tcPr>
            <w:tcW w:w="1115" w:type="dxa"/>
            <w:tcBorders>
              <w:top w:val="nil"/>
              <w:left w:val="nil"/>
              <w:bottom w:val="single" w:sz="4" w:space="0" w:color="auto"/>
              <w:right w:val="single" w:sz="4" w:space="0" w:color="auto"/>
            </w:tcBorders>
            <w:shd w:val="clear" w:color="auto" w:fill="auto"/>
            <w:noWrap/>
            <w:vAlign w:val="center"/>
            <w:hideMark/>
          </w:tcPr>
          <w:p w14:paraId="497C1E9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9ADB7A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86B821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2F6AB94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C5365A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66EED9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89C94DD"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A07BD2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0C2B566C"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F84AC7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52</w:t>
            </w:r>
          </w:p>
        </w:tc>
        <w:tc>
          <w:tcPr>
            <w:tcW w:w="1115" w:type="dxa"/>
            <w:tcBorders>
              <w:top w:val="nil"/>
              <w:left w:val="nil"/>
              <w:bottom w:val="single" w:sz="4" w:space="0" w:color="auto"/>
              <w:right w:val="single" w:sz="4" w:space="0" w:color="auto"/>
            </w:tcBorders>
            <w:shd w:val="clear" w:color="auto" w:fill="auto"/>
            <w:noWrap/>
            <w:vAlign w:val="center"/>
            <w:hideMark/>
          </w:tcPr>
          <w:p w14:paraId="2FD94B1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E218BF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804475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4730E98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A7BF0F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FD7A5B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EFD5EF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930B20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03F07754"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59F1B7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53</w:t>
            </w:r>
          </w:p>
        </w:tc>
        <w:tc>
          <w:tcPr>
            <w:tcW w:w="1115" w:type="dxa"/>
            <w:tcBorders>
              <w:top w:val="nil"/>
              <w:left w:val="nil"/>
              <w:bottom w:val="single" w:sz="4" w:space="0" w:color="auto"/>
              <w:right w:val="single" w:sz="4" w:space="0" w:color="auto"/>
            </w:tcBorders>
            <w:shd w:val="clear" w:color="auto" w:fill="auto"/>
            <w:noWrap/>
            <w:vAlign w:val="center"/>
            <w:hideMark/>
          </w:tcPr>
          <w:p w14:paraId="73ED80D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7974A56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AFB210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F2F396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1B9E3C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4365494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FB9E54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399E2B5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EC3D86" w14:paraId="4BC65E38"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B1E8E2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54</w:t>
            </w:r>
          </w:p>
        </w:tc>
        <w:tc>
          <w:tcPr>
            <w:tcW w:w="1115" w:type="dxa"/>
            <w:tcBorders>
              <w:top w:val="nil"/>
              <w:left w:val="nil"/>
              <w:bottom w:val="single" w:sz="4" w:space="0" w:color="auto"/>
              <w:right w:val="single" w:sz="4" w:space="0" w:color="auto"/>
            </w:tcBorders>
            <w:shd w:val="clear" w:color="auto" w:fill="auto"/>
            <w:noWrap/>
            <w:vAlign w:val="center"/>
            <w:hideMark/>
          </w:tcPr>
          <w:p w14:paraId="1E3F862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060AF4F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D647D4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4327B71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65A77ED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5B8D7C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7F3A4ABF"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7A528BB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EC3D86" w14:paraId="5504737E"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4195E7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55</w:t>
            </w:r>
          </w:p>
        </w:tc>
        <w:tc>
          <w:tcPr>
            <w:tcW w:w="1115" w:type="dxa"/>
            <w:tcBorders>
              <w:top w:val="nil"/>
              <w:left w:val="nil"/>
              <w:bottom w:val="single" w:sz="4" w:space="0" w:color="auto"/>
              <w:right w:val="single" w:sz="4" w:space="0" w:color="auto"/>
            </w:tcBorders>
            <w:shd w:val="clear" w:color="auto" w:fill="auto"/>
            <w:noWrap/>
            <w:vAlign w:val="center"/>
            <w:hideMark/>
          </w:tcPr>
          <w:p w14:paraId="2C4ABA9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49E4791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D06191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4DFE120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7065BA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9F5F51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BC8901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484D355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5EDDF850"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6CF92A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56</w:t>
            </w:r>
          </w:p>
        </w:tc>
        <w:tc>
          <w:tcPr>
            <w:tcW w:w="1115" w:type="dxa"/>
            <w:tcBorders>
              <w:top w:val="nil"/>
              <w:left w:val="nil"/>
              <w:bottom w:val="single" w:sz="4" w:space="0" w:color="auto"/>
              <w:right w:val="single" w:sz="4" w:space="0" w:color="auto"/>
            </w:tcBorders>
            <w:shd w:val="clear" w:color="auto" w:fill="auto"/>
            <w:noWrap/>
            <w:vAlign w:val="center"/>
            <w:hideMark/>
          </w:tcPr>
          <w:p w14:paraId="0439B70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52F87B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B777C0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1DF24D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58951A6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B22DA8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3254EB8"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3949CA2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0460038F"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48BF85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57</w:t>
            </w:r>
          </w:p>
        </w:tc>
        <w:tc>
          <w:tcPr>
            <w:tcW w:w="1115" w:type="dxa"/>
            <w:tcBorders>
              <w:top w:val="nil"/>
              <w:left w:val="nil"/>
              <w:bottom w:val="single" w:sz="4" w:space="0" w:color="auto"/>
              <w:right w:val="single" w:sz="4" w:space="0" w:color="auto"/>
            </w:tcBorders>
            <w:shd w:val="clear" w:color="auto" w:fill="auto"/>
            <w:noWrap/>
            <w:vAlign w:val="center"/>
            <w:hideMark/>
          </w:tcPr>
          <w:p w14:paraId="08C3154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3F14C97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06" w:type="dxa"/>
            <w:tcBorders>
              <w:top w:val="nil"/>
              <w:left w:val="nil"/>
              <w:bottom w:val="single" w:sz="4" w:space="0" w:color="auto"/>
              <w:right w:val="single" w:sz="4" w:space="0" w:color="auto"/>
            </w:tcBorders>
            <w:shd w:val="clear" w:color="auto" w:fill="auto"/>
            <w:noWrap/>
            <w:vAlign w:val="center"/>
            <w:hideMark/>
          </w:tcPr>
          <w:p w14:paraId="1B81D7A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F3B4AC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0B0B31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5D2A04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C5B2BAB"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0A711B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227559E7"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275498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58</w:t>
            </w:r>
          </w:p>
        </w:tc>
        <w:tc>
          <w:tcPr>
            <w:tcW w:w="1115" w:type="dxa"/>
            <w:tcBorders>
              <w:top w:val="nil"/>
              <w:left w:val="nil"/>
              <w:bottom w:val="single" w:sz="4" w:space="0" w:color="auto"/>
              <w:right w:val="single" w:sz="4" w:space="0" w:color="auto"/>
            </w:tcBorders>
            <w:shd w:val="clear" w:color="auto" w:fill="auto"/>
            <w:noWrap/>
            <w:vAlign w:val="center"/>
            <w:hideMark/>
          </w:tcPr>
          <w:p w14:paraId="1891E1C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2F8FA2A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706" w:type="dxa"/>
            <w:tcBorders>
              <w:top w:val="nil"/>
              <w:left w:val="nil"/>
              <w:bottom w:val="single" w:sz="4" w:space="0" w:color="auto"/>
              <w:right w:val="single" w:sz="4" w:space="0" w:color="auto"/>
            </w:tcBorders>
            <w:shd w:val="clear" w:color="auto" w:fill="auto"/>
            <w:noWrap/>
            <w:vAlign w:val="center"/>
            <w:hideMark/>
          </w:tcPr>
          <w:p w14:paraId="3460ABB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BA7DE9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721374F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F7BECD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039F9B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4B2D432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140</w:t>
            </w:r>
          </w:p>
        </w:tc>
      </w:tr>
      <w:tr w:rsidR="00EC3D86" w:rsidRPr="00EC3D86" w14:paraId="482A378D"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B06C00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59</w:t>
            </w:r>
          </w:p>
        </w:tc>
        <w:tc>
          <w:tcPr>
            <w:tcW w:w="1115" w:type="dxa"/>
            <w:tcBorders>
              <w:top w:val="nil"/>
              <w:left w:val="nil"/>
              <w:bottom w:val="single" w:sz="4" w:space="0" w:color="auto"/>
              <w:right w:val="single" w:sz="4" w:space="0" w:color="auto"/>
            </w:tcBorders>
            <w:shd w:val="clear" w:color="auto" w:fill="auto"/>
            <w:noWrap/>
            <w:vAlign w:val="center"/>
            <w:hideMark/>
          </w:tcPr>
          <w:p w14:paraId="1D01562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575239C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87F88E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1FB4825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6AF98E8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2DD0CF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Ndebele</w:t>
            </w:r>
          </w:p>
        </w:tc>
        <w:tc>
          <w:tcPr>
            <w:tcW w:w="1401" w:type="dxa"/>
            <w:tcBorders>
              <w:top w:val="nil"/>
              <w:left w:val="nil"/>
              <w:bottom w:val="single" w:sz="4" w:space="0" w:color="auto"/>
              <w:right w:val="single" w:sz="4" w:space="0" w:color="auto"/>
            </w:tcBorders>
            <w:shd w:val="clear" w:color="auto" w:fill="auto"/>
            <w:noWrap/>
            <w:vAlign w:val="bottom"/>
            <w:hideMark/>
          </w:tcPr>
          <w:p w14:paraId="7546027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19D980A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46D8187F"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6A1F9B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60</w:t>
            </w:r>
          </w:p>
        </w:tc>
        <w:tc>
          <w:tcPr>
            <w:tcW w:w="1115" w:type="dxa"/>
            <w:tcBorders>
              <w:top w:val="nil"/>
              <w:left w:val="nil"/>
              <w:bottom w:val="single" w:sz="4" w:space="0" w:color="auto"/>
              <w:right w:val="single" w:sz="4" w:space="0" w:color="auto"/>
            </w:tcBorders>
            <w:shd w:val="clear" w:color="auto" w:fill="auto"/>
            <w:noWrap/>
            <w:vAlign w:val="center"/>
            <w:hideMark/>
          </w:tcPr>
          <w:p w14:paraId="5EF66F2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2F12D41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05EE3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357DAD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6C73503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ED9E5C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8504D4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2BB12B5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1947561E"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B3097F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61</w:t>
            </w:r>
          </w:p>
        </w:tc>
        <w:tc>
          <w:tcPr>
            <w:tcW w:w="1115" w:type="dxa"/>
            <w:tcBorders>
              <w:top w:val="nil"/>
              <w:left w:val="nil"/>
              <w:bottom w:val="single" w:sz="4" w:space="0" w:color="auto"/>
              <w:right w:val="single" w:sz="4" w:space="0" w:color="auto"/>
            </w:tcBorders>
            <w:shd w:val="clear" w:color="auto" w:fill="auto"/>
            <w:noWrap/>
            <w:vAlign w:val="center"/>
            <w:hideMark/>
          </w:tcPr>
          <w:p w14:paraId="424240F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02C3D93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E6FF7E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18854CB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4CDD722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6723D2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7A0F75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053D3C8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7F8ED4E4"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0BF7F4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62</w:t>
            </w:r>
          </w:p>
        </w:tc>
        <w:tc>
          <w:tcPr>
            <w:tcW w:w="1115" w:type="dxa"/>
            <w:tcBorders>
              <w:top w:val="nil"/>
              <w:left w:val="nil"/>
              <w:bottom w:val="single" w:sz="4" w:space="0" w:color="auto"/>
              <w:right w:val="single" w:sz="4" w:space="0" w:color="auto"/>
            </w:tcBorders>
            <w:shd w:val="clear" w:color="auto" w:fill="auto"/>
            <w:noWrap/>
            <w:vAlign w:val="center"/>
            <w:hideMark/>
          </w:tcPr>
          <w:p w14:paraId="2D82EAD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1276F87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7927C5D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5DD178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DDB806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8DA201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30E44C3"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Busman</w:t>
            </w:r>
          </w:p>
        </w:tc>
        <w:tc>
          <w:tcPr>
            <w:tcW w:w="902" w:type="dxa"/>
            <w:tcBorders>
              <w:top w:val="nil"/>
              <w:left w:val="nil"/>
              <w:bottom w:val="single" w:sz="4" w:space="0" w:color="auto"/>
              <w:right w:val="single" w:sz="8" w:space="0" w:color="auto"/>
            </w:tcBorders>
            <w:shd w:val="clear" w:color="auto" w:fill="auto"/>
            <w:noWrap/>
            <w:vAlign w:val="bottom"/>
            <w:hideMark/>
          </w:tcPr>
          <w:p w14:paraId="7570B2F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61163F3C"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58A385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63</w:t>
            </w:r>
          </w:p>
        </w:tc>
        <w:tc>
          <w:tcPr>
            <w:tcW w:w="1115" w:type="dxa"/>
            <w:tcBorders>
              <w:top w:val="nil"/>
              <w:left w:val="nil"/>
              <w:bottom w:val="single" w:sz="4" w:space="0" w:color="auto"/>
              <w:right w:val="single" w:sz="4" w:space="0" w:color="auto"/>
            </w:tcBorders>
            <w:shd w:val="clear" w:color="auto" w:fill="auto"/>
            <w:noWrap/>
            <w:vAlign w:val="center"/>
            <w:hideMark/>
          </w:tcPr>
          <w:p w14:paraId="429F879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7D228C7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3173A9C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D458E4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06F7F0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4069DFF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8C253E3"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Busman</w:t>
            </w:r>
          </w:p>
        </w:tc>
        <w:tc>
          <w:tcPr>
            <w:tcW w:w="902" w:type="dxa"/>
            <w:tcBorders>
              <w:top w:val="nil"/>
              <w:left w:val="nil"/>
              <w:bottom w:val="single" w:sz="4" w:space="0" w:color="auto"/>
              <w:right w:val="single" w:sz="8" w:space="0" w:color="auto"/>
            </w:tcBorders>
            <w:shd w:val="clear" w:color="auto" w:fill="auto"/>
            <w:noWrap/>
            <w:vAlign w:val="bottom"/>
            <w:hideMark/>
          </w:tcPr>
          <w:p w14:paraId="1218EBA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0AAAC903"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D84D68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64</w:t>
            </w:r>
          </w:p>
        </w:tc>
        <w:tc>
          <w:tcPr>
            <w:tcW w:w="1115" w:type="dxa"/>
            <w:tcBorders>
              <w:top w:val="nil"/>
              <w:left w:val="nil"/>
              <w:bottom w:val="single" w:sz="4" w:space="0" w:color="auto"/>
              <w:right w:val="single" w:sz="4" w:space="0" w:color="auto"/>
            </w:tcBorders>
            <w:shd w:val="clear" w:color="auto" w:fill="auto"/>
            <w:noWrap/>
            <w:vAlign w:val="center"/>
            <w:hideMark/>
          </w:tcPr>
          <w:p w14:paraId="5C2620C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DC44D2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ED1C43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4061380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6CAFAB1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A43EBA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AB3114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12A9799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63BDC312"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54EE372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65</w:t>
            </w:r>
          </w:p>
        </w:tc>
        <w:tc>
          <w:tcPr>
            <w:tcW w:w="1115" w:type="dxa"/>
            <w:tcBorders>
              <w:top w:val="nil"/>
              <w:left w:val="nil"/>
              <w:bottom w:val="single" w:sz="4" w:space="0" w:color="auto"/>
              <w:right w:val="single" w:sz="4" w:space="0" w:color="auto"/>
            </w:tcBorders>
            <w:shd w:val="clear" w:color="auto" w:fill="auto"/>
            <w:noWrap/>
            <w:vAlign w:val="center"/>
            <w:hideMark/>
          </w:tcPr>
          <w:p w14:paraId="51C7B74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75CFEBC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4494ECD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204F9D5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954289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1CA6DB3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8358295"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47DF7CA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542FDD2E"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01F1706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66</w:t>
            </w:r>
          </w:p>
        </w:tc>
        <w:tc>
          <w:tcPr>
            <w:tcW w:w="1115" w:type="dxa"/>
            <w:tcBorders>
              <w:top w:val="nil"/>
              <w:left w:val="nil"/>
              <w:bottom w:val="single" w:sz="4" w:space="0" w:color="auto"/>
              <w:right w:val="single" w:sz="4" w:space="0" w:color="auto"/>
            </w:tcBorders>
            <w:shd w:val="clear" w:color="auto" w:fill="auto"/>
            <w:noWrap/>
            <w:vAlign w:val="center"/>
            <w:hideMark/>
          </w:tcPr>
          <w:p w14:paraId="26727B6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10F52A0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28598EC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EC7526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FB0A7F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72855D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172124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033898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3EC4D3FC"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B44FF16"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67</w:t>
            </w:r>
          </w:p>
        </w:tc>
        <w:tc>
          <w:tcPr>
            <w:tcW w:w="1115" w:type="dxa"/>
            <w:tcBorders>
              <w:top w:val="nil"/>
              <w:left w:val="nil"/>
              <w:bottom w:val="single" w:sz="4" w:space="0" w:color="auto"/>
              <w:right w:val="single" w:sz="4" w:space="0" w:color="auto"/>
            </w:tcBorders>
            <w:shd w:val="clear" w:color="auto" w:fill="auto"/>
            <w:noWrap/>
            <w:vAlign w:val="center"/>
            <w:hideMark/>
          </w:tcPr>
          <w:p w14:paraId="30FABAE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1DE0BD1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1C38D73"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6164A0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0237CF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5C7DB19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5D13185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4098BE2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150</w:t>
            </w:r>
          </w:p>
        </w:tc>
      </w:tr>
      <w:tr w:rsidR="00EC3D86" w:rsidRPr="00EC3D86" w14:paraId="6BF63EE1"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0054C4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68</w:t>
            </w:r>
          </w:p>
        </w:tc>
        <w:tc>
          <w:tcPr>
            <w:tcW w:w="1115" w:type="dxa"/>
            <w:tcBorders>
              <w:top w:val="nil"/>
              <w:left w:val="nil"/>
              <w:bottom w:val="single" w:sz="4" w:space="0" w:color="auto"/>
              <w:right w:val="single" w:sz="4" w:space="0" w:color="auto"/>
            </w:tcBorders>
            <w:shd w:val="clear" w:color="auto" w:fill="auto"/>
            <w:noWrap/>
            <w:vAlign w:val="center"/>
            <w:hideMark/>
          </w:tcPr>
          <w:p w14:paraId="064B2E1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0D32C42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F9ACED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20FD4E4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0B069D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7AD8F62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70674373"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44938F8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4F741EE9"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60D71BD9"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69</w:t>
            </w:r>
          </w:p>
        </w:tc>
        <w:tc>
          <w:tcPr>
            <w:tcW w:w="1115" w:type="dxa"/>
            <w:tcBorders>
              <w:top w:val="nil"/>
              <w:left w:val="nil"/>
              <w:bottom w:val="single" w:sz="4" w:space="0" w:color="auto"/>
              <w:right w:val="single" w:sz="4" w:space="0" w:color="auto"/>
            </w:tcBorders>
            <w:shd w:val="clear" w:color="auto" w:fill="auto"/>
            <w:noWrap/>
            <w:vAlign w:val="center"/>
            <w:hideMark/>
          </w:tcPr>
          <w:p w14:paraId="3754331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437E7D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FC62D0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0BB0E8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32A5EB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7B7F5E8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60594929"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Busman</w:t>
            </w:r>
          </w:p>
        </w:tc>
        <w:tc>
          <w:tcPr>
            <w:tcW w:w="902" w:type="dxa"/>
            <w:tcBorders>
              <w:top w:val="nil"/>
              <w:left w:val="nil"/>
              <w:bottom w:val="single" w:sz="4" w:space="0" w:color="auto"/>
              <w:right w:val="single" w:sz="8" w:space="0" w:color="auto"/>
            </w:tcBorders>
            <w:shd w:val="clear" w:color="auto" w:fill="auto"/>
            <w:noWrap/>
            <w:vAlign w:val="bottom"/>
            <w:hideMark/>
          </w:tcPr>
          <w:p w14:paraId="5C58A30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04505825"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4D2ADC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70</w:t>
            </w:r>
          </w:p>
        </w:tc>
        <w:tc>
          <w:tcPr>
            <w:tcW w:w="1115" w:type="dxa"/>
            <w:tcBorders>
              <w:top w:val="nil"/>
              <w:left w:val="nil"/>
              <w:bottom w:val="single" w:sz="4" w:space="0" w:color="auto"/>
              <w:right w:val="single" w:sz="4" w:space="0" w:color="auto"/>
            </w:tcBorders>
            <w:shd w:val="clear" w:color="auto" w:fill="auto"/>
            <w:noWrap/>
            <w:vAlign w:val="center"/>
            <w:hideMark/>
          </w:tcPr>
          <w:p w14:paraId="1161A30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69B8276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8CD38F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540E662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477259A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8E7752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32862632"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Busman</w:t>
            </w:r>
          </w:p>
        </w:tc>
        <w:tc>
          <w:tcPr>
            <w:tcW w:w="902" w:type="dxa"/>
            <w:tcBorders>
              <w:top w:val="nil"/>
              <w:left w:val="nil"/>
              <w:bottom w:val="single" w:sz="4" w:space="0" w:color="auto"/>
              <w:right w:val="single" w:sz="8" w:space="0" w:color="auto"/>
            </w:tcBorders>
            <w:shd w:val="clear" w:color="auto" w:fill="auto"/>
            <w:noWrap/>
            <w:vAlign w:val="bottom"/>
            <w:hideMark/>
          </w:tcPr>
          <w:p w14:paraId="5F741B8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EC3D86" w:rsidRPr="00EC3D86" w14:paraId="178D7930"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195237F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71</w:t>
            </w:r>
          </w:p>
        </w:tc>
        <w:tc>
          <w:tcPr>
            <w:tcW w:w="1115" w:type="dxa"/>
            <w:tcBorders>
              <w:top w:val="nil"/>
              <w:left w:val="nil"/>
              <w:bottom w:val="single" w:sz="4" w:space="0" w:color="auto"/>
              <w:right w:val="single" w:sz="4" w:space="0" w:color="auto"/>
            </w:tcBorders>
            <w:shd w:val="clear" w:color="auto" w:fill="auto"/>
            <w:noWrap/>
            <w:vAlign w:val="center"/>
            <w:hideMark/>
          </w:tcPr>
          <w:p w14:paraId="0239E53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021BF4DC"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058D490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18378FB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691538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303F6D2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0C4C3FD7"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439C6D3"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125</w:t>
            </w:r>
          </w:p>
        </w:tc>
      </w:tr>
      <w:tr w:rsidR="00EC3D86" w:rsidRPr="00EC3D86" w14:paraId="3137F3A8"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296EF13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72</w:t>
            </w:r>
          </w:p>
        </w:tc>
        <w:tc>
          <w:tcPr>
            <w:tcW w:w="1115" w:type="dxa"/>
            <w:tcBorders>
              <w:top w:val="nil"/>
              <w:left w:val="nil"/>
              <w:bottom w:val="single" w:sz="4" w:space="0" w:color="auto"/>
              <w:right w:val="single" w:sz="4" w:space="0" w:color="auto"/>
            </w:tcBorders>
            <w:shd w:val="clear" w:color="auto" w:fill="auto"/>
            <w:noWrap/>
            <w:vAlign w:val="center"/>
            <w:hideMark/>
          </w:tcPr>
          <w:p w14:paraId="2028AF7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53E00B9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529BC3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D27007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1C4AD28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7D7BE02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45256B0"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35D46BC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125</w:t>
            </w:r>
          </w:p>
        </w:tc>
      </w:tr>
      <w:tr w:rsidR="00EC3D86" w:rsidRPr="00EC3D86" w14:paraId="673A128C"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A8B549D"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73</w:t>
            </w:r>
          </w:p>
        </w:tc>
        <w:tc>
          <w:tcPr>
            <w:tcW w:w="1115" w:type="dxa"/>
            <w:tcBorders>
              <w:top w:val="nil"/>
              <w:left w:val="nil"/>
              <w:bottom w:val="single" w:sz="4" w:space="0" w:color="auto"/>
              <w:right w:val="single" w:sz="4" w:space="0" w:color="auto"/>
            </w:tcBorders>
            <w:shd w:val="clear" w:color="auto" w:fill="auto"/>
            <w:noWrap/>
            <w:vAlign w:val="center"/>
            <w:hideMark/>
          </w:tcPr>
          <w:p w14:paraId="5E39EA0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6ED48E1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B5D2B3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04F521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2E0E15D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6D6914A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734A16F1"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7C5F187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100</w:t>
            </w:r>
          </w:p>
        </w:tc>
      </w:tr>
      <w:tr w:rsidR="00EC3D86" w:rsidRPr="00EC3D86" w14:paraId="2451F0AD"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9E6812B"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74</w:t>
            </w:r>
          </w:p>
        </w:tc>
        <w:tc>
          <w:tcPr>
            <w:tcW w:w="1115" w:type="dxa"/>
            <w:tcBorders>
              <w:top w:val="nil"/>
              <w:left w:val="nil"/>
              <w:bottom w:val="single" w:sz="4" w:space="0" w:color="auto"/>
              <w:right w:val="single" w:sz="4" w:space="0" w:color="auto"/>
            </w:tcBorders>
            <w:shd w:val="clear" w:color="auto" w:fill="auto"/>
            <w:noWrap/>
            <w:vAlign w:val="center"/>
            <w:hideMark/>
          </w:tcPr>
          <w:p w14:paraId="5AF60F35"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00" w:type="dxa"/>
            <w:tcBorders>
              <w:top w:val="nil"/>
              <w:left w:val="nil"/>
              <w:bottom w:val="single" w:sz="4" w:space="0" w:color="auto"/>
              <w:right w:val="single" w:sz="4" w:space="0" w:color="auto"/>
            </w:tcBorders>
            <w:shd w:val="clear" w:color="auto" w:fill="auto"/>
            <w:noWrap/>
            <w:vAlign w:val="center"/>
            <w:hideMark/>
          </w:tcPr>
          <w:p w14:paraId="2CB2542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0520A5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664A19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0D974DB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008BFEE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Ndebele</w:t>
            </w:r>
          </w:p>
        </w:tc>
        <w:tc>
          <w:tcPr>
            <w:tcW w:w="1401" w:type="dxa"/>
            <w:tcBorders>
              <w:top w:val="nil"/>
              <w:left w:val="nil"/>
              <w:bottom w:val="single" w:sz="4" w:space="0" w:color="auto"/>
              <w:right w:val="single" w:sz="4" w:space="0" w:color="auto"/>
            </w:tcBorders>
            <w:shd w:val="clear" w:color="auto" w:fill="auto"/>
            <w:noWrap/>
            <w:vAlign w:val="bottom"/>
            <w:hideMark/>
          </w:tcPr>
          <w:p w14:paraId="15BFA776"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748819C8"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EC3D86" w:rsidRPr="00EC3D86" w14:paraId="67802243"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68AE50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75</w:t>
            </w:r>
          </w:p>
        </w:tc>
        <w:tc>
          <w:tcPr>
            <w:tcW w:w="1115" w:type="dxa"/>
            <w:tcBorders>
              <w:top w:val="nil"/>
              <w:left w:val="nil"/>
              <w:bottom w:val="single" w:sz="4" w:space="0" w:color="auto"/>
              <w:right w:val="single" w:sz="4" w:space="0" w:color="auto"/>
            </w:tcBorders>
            <w:shd w:val="clear" w:color="auto" w:fill="auto"/>
            <w:noWrap/>
            <w:vAlign w:val="center"/>
            <w:hideMark/>
          </w:tcPr>
          <w:p w14:paraId="49802E2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55768F0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40595CE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3F4ECD1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4D1E886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764A9B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5BCFD5CD"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Waitress</w:t>
            </w:r>
          </w:p>
        </w:tc>
        <w:tc>
          <w:tcPr>
            <w:tcW w:w="902" w:type="dxa"/>
            <w:tcBorders>
              <w:top w:val="nil"/>
              <w:left w:val="nil"/>
              <w:bottom w:val="single" w:sz="4" w:space="0" w:color="auto"/>
              <w:right w:val="single" w:sz="8" w:space="0" w:color="auto"/>
            </w:tcBorders>
            <w:shd w:val="clear" w:color="auto" w:fill="auto"/>
            <w:noWrap/>
            <w:vAlign w:val="bottom"/>
            <w:hideMark/>
          </w:tcPr>
          <w:p w14:paraId="4F4A1122"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7F8DD69E"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9AF472C"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76</w:t>
            </w:r>
          </w:p>
        </w:tc>
        <w:tc>
          <w:tcPr>
            <w:tcW w:w="1115" w:type="dxa"/>
            <w:tcBorders>
              <w:top w:val="nil"/>
              <w:left w:val="nil"/>
              <w:bottom w:val="single" w:sz="4" w:space="0" w:color="auto"/>
              <w:right w:val="single" w:sz="4" w:space="0" w:color="auto"/>
            </w:tcBorders>
            <w:shd w:val="clear" w:color="auto" w:fill="auto"/>
            <w:noWrap/>
            <w:vAlign w:val="center"/>
            <w:hideMark/>
          </w:tcPr>
          <w:p w14:paraId="144A2CD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7CA7F7D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52DCFAD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28F888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5775AA5D"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58158D4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4DD99EF4"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30B3DF64"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161C198C"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7F6F5CB0"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77</w:t>
            </w:r>
          </w:p>
        </w:tc>
        <w:tc>
          <w:tcPr>
            <w:tcW w:w="1115" w:type="dxa"/>
            <w:tcBorders>
              <w:top w:val="nil"/>
              <w:left w:val="nil"/>
              <w:bottom w:val="single" w:sz="4" w:space="0" w:color="auto"/>
              <w:right w:val="single" w:sz="4" w:space="0" w:color="auto"/>
            </w:tcBorders>
            <w:shd w:val="clear" w:color="auto" w:fill="auto"/>
            <w:noWrap/>
            <w:vAlign w:val="center"/>
            <w:hideMark/>
          </w:tcPr>
          <w:p w14:paraId="6E43BE5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37EA6A9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37092D34"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7617FCC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1148624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0EF733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1D23157D"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65FC2B75"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4CA6BB32" w14:textId="77777777" w:rsidTr="00B8198E">
        <w:trPr>
          <w:trHeight w:val="300"/>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4F0CD4DE"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78</w:t>
            </w:r>
          </w:p>
        </w:tc>
        <w:tc>
          <w:tcPr>
            <w:tcW w:w="1115" w:type="dxa"/>
            <w:tcBorders>
              <w:top w:val="nil"/>
              <w:left w:val="nil"/>
              <w:bottom w:val="single" w:sz="4" w:space="0" w:color="auto"/>
              <w:right w:val="single" w:sz="4" w:space="0" w:color="auto"/>
            </w:tcBorders>
            <w:shd w:val="clear" w:color="auto" w:fill="auto"/>
            <w:noWrap/>
            <w:vAlign w:val="center"/>
            <w:hideMark/>
          </w:tcPr>
          <w:p w14:paraId="3A4F2DA7"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single" w:sz="4" w:space="0" w:color="auto"/>
              <w:right w:val="single" w:sz="4" w:space="0" w:color="auto"/>
            </w:tcBorders>
            <w:shd w:val="clear" w:color="auto" w:fill="auto"/>
            <w:noWrap/>
            <w:vAlign w:val="center"/>
            <w:hideMark/>
          </w:tcPr>
          <w:p w14:paraId="0A9733D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single" w:sz="4" w:space="0" w:color="auto"/>
              <w:right w:val="single" w:sz="4" w:space="0" w:color="auto"/>
            </w:tcBorders>
            <w:shd w:val="clear" w:color="auto" w:fill="auto"/>
            <w:noWrap/>
            <w:vAlign w:val="center"/>
            <w:hideMark/>
          </w:tcPr>
          <w:p w14:paraId="65AB8BB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single" w:sz="4" w:space="0" w:color="auto"/>
              <w:right w:val="single" w:sz="4" w:space="0" w:color="auto"/>
            </w:tcBorders>
            <w:shd w:val="clear" w:color="auto" w:fill="auto"/>
            <w:noWrap/>
            <w:vAlign w:val="center"/>
            <w:hideMark/>
          </w:tcPr>
          <w:p w14:paraId="011C3E42"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single" w:sz="4" w:space="0" w:color="auto"/>
              <w:right w:val="single" w:sz="4" w:space="0" w:color="auto"/>
            </w:tcBorders>
            <w:shd w:val="clear" w:color="auto" w:fill="auto"/>
            <w:noWrap/>
            <w:vAlign w:val="center"/>
            <w:hideMark/>
          </w:tcPr>
          <w:p w14:paraId="338D1BB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476D9FCA"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5397D8F8"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036B7651"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120</w:t>
            </w:r>
          </w:p>
        </w:tc>
      </w:tr>
      <w:tr w:rsidR="00EC3D86" w:rsidRPr="00EC3D86" w14:paraId="71BBF719" w14:textId="77777777" w:rsidTr="00B8198E">
        <w:trPr>
          <w:trHeight w:val="315"/>
          <w:jc w:val="center"/>
        </w:trPr>
        <w:tc>
          <w:tcPr>
            <w:tcW w:w="669" w:type="dxa"/>
            <w:tcBorders>
              <w:top w:val="nil"/>
              <w:left w:val="single" w:sz="8" w:space="0" w:color="auto"/>
              <w:bottom w:val="single" w:sz="4" w:space="0" w:color="auto"/>
              <w:right w:val="single" w:sz="4" w:space="0" w:color="auto"/>
            </w:tcBorders>
            <w:shd w:val="clear" w:color="auto" w:fill="auto"/>
            <w:noWrap/>
            <w:vAlign w:val="bottom"/>
            <w:hideMark/>
          </w:tcPr>
          <w:p w14:paraId="336848BA"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79</w:t>
            </w:r>
          </w:p>
        </w:tc>
        <w:tc>
          <w:tcPr>
            <w:tcW w:w="1115" w:type="dxa"/>
            <w:tcBorders>
              <w:top w:val="nil"/>
              <w:left w:val="nil"/>
              <w:bottom w:val="double" w:sz="6" w:space="0" w:color="auto"/>
              <w:right w:val="single" w:sz="4" w:space="0" w:color="auto"/>
            </w:tcBorders>
            <w:shd w:val="clear" w:color="auto" w:fill="auto"/>
            <w:noWrap/>
            <w:vAlign w:val="center"/>
            <w:hideMark/>
          </w:tcPr>
          <w:p w14:paraId="42BAE01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00" w:type="dxa"/>
            <w:tcBorders>
              <w:top w:val="nil"/>
              <w:left w:val="nil"/>
              <w:bottom w:val="double" w:sz="6" w:space="0" w:color="auto"/>
              <w:right w:val="single" w:sz="4" w:space="0" w:color="auto"/>
            </w:tcBorders>
            <w:shd w:val="clear" w:color="auto" w:fill="auto"/>
            <w:noWrap/>
            <w:vAlign w:val="center"/>
            <w:hideMark/>
          </w:tcPr>
          <w:p w14:paraId="16328D2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706" w:type="dxa"/>
            <w:tcBorders>
              <w:top w:val="nil"/>
              <w:left w:val="nil"/>
              <w:bottom w:val="double" w:sz="6" w:space="0" w:color="auto"/>
              <w:right w:val="single" w:sz="4" w:space="0" w:color="auto"/>
            </w:tcBorders>
            <w:shd w:val="clear" w:color="auto" w:fill="auto"/>
            <w:noWrap/>
            <w:vAlign w:val="center"/>
            <w:hideMark/>
          </w:tcPr>
          <w:p w14:paraId="2C5D9B49"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27" w:type="dxa"/>
            <w:tcBorders>
              <w:top w:val="nil"/>
              <w:left w:val="nil"/>
              <w:bottom w:val="double" w:sz="6" w:space="0" w:color="auto"/>
              <w:right w:val="single" w:sz="4" w:space="0" w:color="auto"/>
            </w:tcBorders>
            <w:shd w:val="clear" w:color="auto" w:fill="auto"/>
            <w:noWrap/>
            <w:vAlign w:val="center"/>
            <w:hideMark/>
          </w:tcPr>
          <w:p w14:paraId="1E1B070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854" w:type="dxa"/>
            <w:tcBorders>
              <w:top w:val="nil"/>
              <w:left w:val="nil"/>
              <w:bottom w:val="double" w:sz="6" w:space="0" w:color="auto"/>
              <w:right w:val="single" w:sz="4" w:space="0" w:color="auto"/>
            </w:tcBorders>
            <w:shd w:val="clear" w:color="auto" w:fill="auto"/>
            <w:noWrap/>
            <w:vAlign w:val="center"/>
            <w:hideMark/>
          </w:tcPr>
          <w:p w14:paraId="0DE86FC8"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22" w:type="dxa"/>
            <w:tcBorders>
              <w:top w:val="nil"/>
              <w:left w:val="nil"/>
              <w:bottom w:val="single" w:sz="4" w:space="0" w:color="auto"/>
              <w:right w:val="single" w:sz="4" w:space="0" w:color="auto"/>
            </w:tcBorders>
            <w:shd w:val="clear" w:color="auto" w:fill="auto"/>
            <w:noWrap/>
            <w:vAlign w:val="center"/>
            <w:hideMark/>
          </w:tcPr>
          <w:p w14:paraId="29150AE6"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401" w:type="dxa"/>
            <w:tcBorders>
              <w:top w:val="nil"/>
              <w:left w:val="nil"/>
              <w:bottom w:val="single" w:sz="4" w:space="0" w:color="auto"/>
              <w:right w:val="single" w:sz="4" w:space="0" w:color="auto"/>
            </w:tcBorders>
            <w:shd w:val="clear" w:color="auto" w:fill="auto"/>
            <w:noWrap/>
            <w:vAlign w:val="bottom"/>
            <w:hideMark/>
          </w:tcPr>
          <w:p w14:paraId="274FD8B9"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Waiter</w:t>
            </w:r>
          </w:p>
        </w:tc>
        <w:tc>
          <w:tcPr>
            <w:tcW w:w="902" w:type="dxa"/>
            <w:tcBorders>
              <w:top w:val="nil"/>
              <w:left w:val="nil"/>
              <w:bottom w:val="single" w:sz="4" w:space="0" w:color="auto"/>
              <w:right w:val="single" w:sz="8" w:space="0" w:color="auto"/>
            </w:tcBorders>
            <w:shd w:val="clear" w:color="auto" w:fill="auto"/>
            <w:noWrap/>
            <w:vAlign w:val="bottom"/>
            <w:hideMark/>
          </w:tcPr>
          <w:p w14:paraId="3D39E967" w14:textId="77777777" w:rsidR="00EC3D86" w:rsidRPr="00B8198E" w:rsidRDefault="00EC3D86" w:rsidP="00EC3D86">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110</w:t>
            </w:r>
          </w:p>
        </w:tc>
      </w:tr>
      <w:tr w:rsidR="00EC3D86" w:rsidRPr="00EC3D86" w14:paraId="14073814" w14:textId="77777777" w:rsidTr="00B8198E">
        <w:trPr>
          <w:trHeight w:val="330"/>
          <w:jc w:val="center"/>
        </w:trPr>
        <w:tc>
          <w:tcPr>
            <w:tcW w:w="669" w:type="dxa"/>
            <w:tcBorders>
              <w:top w:val="nil"/>
              <w:left w:val="single" w:sz="8" w:space="0" w:color="auto"/>
              <w:bottom w:val="single" w:sz="8" w:space="0" w:color="auto"/>
              <w:right w:val="single" w:sz="4" w:space="0" w:color="auto"/>
            </w:tcBorders>
            <w:shd w:val="clear" w:color="auto" w:fill="auto"/>
            <w:noWrap/>
            <w:vAlign w:val="bottom"/>
            <w:hideMark/>
          </w:tcPr>
          <w:p w14:paraId="53035C63" w14:textId="77777777" w:rsidR="00EC3D86" w:rsidRPr="00B8198E" w:rsidRDefault="00EC3D86" w:rsidP="00EC3D86">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Total</w:t>
            </w:r>
          </w:p>
        </w:tc>
        <w:tc>
          <w:tcPr>
            <w:tcW w:w="1115" w:type="dxa"/>
            <w:tcBorders>
              <w:top w:val="nil"/>
              <w:left w:val="nil"/>
              <w:bottom w:val="single" w:sz="8" w:space="0" w:color="auto"/>
              <w:right w:val="single" w:sz="4" w:space="0" w:color="auto"/>
            </w:tcBorders>
            <w:shd w:val="clear" w:color="auto" w:fill="auto"/>
            <w:noWrap/>
            <w:vAlign w:val="center"/>
            <w:hideMark/>
          </w:tcPr>
          <w:p w14:paraId="42FC27C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48</w:t>
            </w:r>
          </w:p>
        </w:tc>
        <w:tc>
          <w:tcPr>
            <w:tcW w:w="900" w:type="dxa"/>
            <w:tcBorders>
              <w:top w:val="nil"/>
              <w:left w:val="nil"/>
              <w:bottom w:val="single" w:sz="8" w:space="0" w:color="auto"/>
              <w:right w:val="single" w:sz="4" w:space="0" w:color="auto"/>
            </w:tcBorders>
            <w:shd w:val="clear" w:color="auto" w:fill="auto"/>
            <w:noWrap/>
            <w:vAlign w:val="center"/>
            <w:hideMark/>
          </w:tcPr>
          <w:p w14:paraId="5E8F6AD0"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w:t>
            </w:r>
          </w:p>
        </w:tc>
        <w:tc>
          <w:tcPr>
            <w:tcW w:w="706" w:type="dxa"/>
            <w:tcBorders>
              <w:top w:val="nil"/>
              <w:left w:val="nil"/>
              <w:bottom w:val="single" w:sz="8" w:space="0" w:color="auto"/>
              <w:right w:val="single" w:sz="4" w:space="0" w:color="auto"/>
            </w:tcBorders>
            <w:shd w:val="clear" w:color="auto" w:fill="auto"/>
            <w:noWrap/>
            <w:vAlign w:val="center"/>
            <w:hideMark/>
          </w:tcPr>
          <w:p w14:paraId="3F01A61F"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w:t>
            </w:r>
          </w:p>
        </w:tc>
        <w:tc>
          <w:tcPr>
            <w:tcW w:w="927" w:type="dxa"/>
            <w:tcBorders>
              <w:top w:val="nil"/>
              <w:left w:val="nil"/>
              <w:bottom w:val="single" w:sz="8" w:space="0" w:color="auto"/>
              <w:right w:val="single" w:sz="4" w:space="0" w:color="auto"/>
            </w:tcBorders>
            <w:shd w:val="clear" w:color="auto" w:fill="auto"/>
            <w:noWrap/>
            <w:vAlign w:val="center"/>
            <w:hideMark/>
          </w:tcPr>
          <w:p w14:paraId="3D4ED711"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w:t>
            </w:r>
          </w:p>
        </w:tc>
        <w:tc>
          <w:tcPr>
            <w:tcW w:w="854" w:type="dxa"/>
            <w:tcBorders>
              <w:top w:val="nil"/>
              <w:left w:val="nil"/>
              <w:bottom w:val="single" w:sz="8" w:space="0" w:color="auto"/>
              <w:right w:val="single" w:sz="4" w:space="0" w:color="auto"/>
            </w:tcBorders>
            <w:shd w:val="clear" w:color="auto" w:fill="auto"/>
            <w:noWrap/>
            <w:vAlign w:val="center"/>
            <w:hideMark/>
          </w:tcPr>
          <w:p w14:paraId="149D7EEB"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w:t>
            </w:r>
          </w:p>
        </w:tc>
        <w:tc>
          <w:tcPr>
            <w:tcW w:w="3425" w:type="dxa"/>
            <w:gridSpan w:val="3"/>
            <w:tcBorders>
              <w:top w:val="single" w:sz="4" w:space="0" w:color="auto"/>
              <w:left w:val="nil"/>
              <w:bottom w:val="single" w:sz="8" w:space="0" w:color="auto"/>
              <w:right w:val="single" w:sz="8" w:space="0" w:color="000000"/>
            </w:tcBorders>
            <w:shd w:val="clear" w:color="auto" w:fill="auto"/>
            <w:noWrap/>
            <w:vAlign w:val="center"/>
            <w:hideMark/>
          </w:tcPr>
          <w:p w14:paraId="791ACBBE" w14:textId="77777777" w:rsidR="00EC3D86" w:rsidRPr="00B8198E" w:rsidRDefault="00EC3D86" w:rsidP="00EC3D86">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r>
    </w:tbl>
    <w:p w14:paraId="73FF1B13" w14:textId="7D8CF7DC" w:rsidR="00EC3D86" w:rsidRDefault="002E31DA" w:rsidP="00FB725F">
      <w:r>
        <w:rPr>
          <w:noProof/>
          <w:lang w:val="en-ZA" w:eastAsia="en-ZA"/>
        </w:rPr>
        <mc:AlternateContent>
          <mc:Choice Requires="wps">
            <w:drawing>
              <wp:anchor distT="45720" distB="45720" distL="114300" distR="114300" simplePos="0" relativeHeight="251744256" behindDoc="0" locked="0" layoutInCell="1" allowOverlap="1" wp14:anchorId="0CA9C3E2" wp14:editId="10BB53DD">
                <wp:simplePos x="0" y="0"/>
                <wp:positionH relativeFrom="column">
                  <wp:posOffset>109220</wp:posOffset>
                </wp:positionH>
                <wp:positionV relativeFrom="paragraph">
                  <wp:posOffset>126365</wp:posOffset>
                </wp:positionV>
                <wp:extent cx="5485765" cy="245745"/>
                <wp:effectExtent l="0" t="0" r="19685" b="20955"/>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5765" cy="245745"/>
                        </a:xfrm>
                        <a:prstGeom prst="rect">
                          <a:avLst/>
                        </a:prstGeom>
                        <a:solidFill>
                          <a:srgbClr val="FFFFFF"/>
                        </a:solidFill>
                        <a:ln w="9525">
                          <a:solidFill>
                            <a:srgbClr val="000000"/>
                          </a:solidFill>
                          <a:miter lim="800000"/>
                          <a:headEnd/>
                          <a:tailEnd/>
                        </a:ln>
                      </wps:spPr>
                      <wps:txbx>
                        <w:txbxContent>
                          <w:p w14:paraId="6A576196" w14:textId="77777777" w:rsidR="005E6435" w:rsidRPr="00A05960" w:rsidRDefault="005E6435" w:rsidP="00A05960">
                            <w:pPr>
                              <w:rPr>
                                <w:sz w:val="18"/>
                              </w:rPr>
                            </w:pPr>
                            <w:r w:rsidRPr="00A05960">
                              <w:rPr>
                                <w:sz w:val="18"/>
                              </w:rPr>
                              <w:t xml:space="preserve">Table 4: Data of restaurant waiters and waitresses, per position, demographic and salary.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8.6pt;margin-top:9.95pt;width:431.95pt;height:19.35pt;z-index:251744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">
                <v:textbox>
                  <w:txbxContent>
                    <w:p w14:paraId="6A576196" w14:textId="77777777" w:rsidR="005E6435" w:rsidRPr="00A05960" w:rsidRDefault="005E6435" w:rsidP="00A05960">
                      <w:pPr>
                        <w:rPr>
                          <w:sz w:val="18"/>
                        </w:rPr>
                      </w:pPr>
                      <w:r w:rsidRPr="00A05960">
                        <w:rPr>
                          <w:sz w:val="18"/>
                        </w:rPr>
                        <w:t xml:space="preserve">Table 4: Data of restaurant waiters and waitresses, per position, demographic and salary. </w:t>
                      </w:r>
                    </w:p>
                  </w:txbxContent>
                </v:textbox>
              </v:shape>
            </w:pict>
          </mc:Fallback>
        </mc:AlternateContent>
      </w:r>
    </w:p>
    <w:p w14:paraId="1CBE9081" w14:textId="77777777" w:rsidR="00FF6FCC" w:rsidRDefault="00FF6FCC" w:rsidP="00FB725F"/>
    <w:p w14:paraId="55BA6E38" w14:textId="77777777" w:rsidR="00FF6FCC" w:rsidRDefault="00FF6FCC" w:rsidP="00FB725F"/>
    <w:p w14:paraId="6C232D83" w14:textId="77777777" w:rsidR="00FF6FCC" w:rsidRDefault="00FF6FCC" w:rsidP="00FB725F"/>
    <w:tbl>
      <w:tblPr>
        <w:tblW w:w="4460" w:type="dxa"/>
        <w:jc w:val="center"/>
        <w:tblLook w:val="04A0" w:firstRow="1" w:lastRow="0" w:firstColumn="1" w:lastColumn="0" w:noHBand="0" w:noVBand="1"/>
      </w:tblPr>
      <w:tblGrid>
        <w:gridCol w:w="648"/>
        <w:gridCol w:w="1196"/>
        <w:gridCol w:w="958"/>
        <w:gridCol w:w="698"/>
        <w:gridCol w:w="960"/>
      </w:tblGrid>
      <w:tr w:rsidR="00FF6FCC" w:rsidRPr="00FF6FCC" w14:paraId="3E956895" w14:textId="77777777" w:rsidTr="00FF6FCC">
        <w:trPr>
          <w:trHeight w:val="420"/>
          <w:jc w:val="center"/>
        </w:trPr>
        <w:tc>
          <w:tcPr>
            <w:tcW w:w="4460" w:type="dxa"/>
            <w:gridSpan w:val="5"/>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1C95EC42" w14:textId="77777777" w:rsidR="00FF6FCC" w:rsidRPr="00FF6FCC" w:rsidRDefault="00FF6FCC" w:rsidP="00FF6FCC">
            <w:pPr>
              <w:spacing w:after="0" w:line="240" w:lineRule="auto"/>
              <w:jc w:val="center"/>
              <w:rPr>
                <w:rFonts w:ascii="Calibri" w:eastAsia="Times New Roman" w:hAnsi="Calibri" w:cs="Times New Roman"/>
                <w:b/>
                <w:bCs/>
                <w:color w:val="000000"/>
                <w:sz w:val="32"/>
                <w:szCs w:val="32"/>
                <w:lang w:val="en-US"/>
              </w:rPr>
            </w:pPr>
            <w:r w:rsidRPr="00B8198E">
              <w:rPr>
                <w:rFonts w:ascii="Calibri" w:eastAsia="Times New Roman" w:hAnsi="Calibri" w:cs="Times New Roman"/>
                <w:b/>
                <w:bCs/>
                <w:color w:val="000000"/>
                <w:sz w:val="28"/>
                <w:szCs w:val="32"/>
                <w:lang w:val="en-US"/>
              </w:rPr>
              <w:lastRenderedPageBreak/>
              <w:t>Table 5</w:t>
            </w:r>
            <w:r w:rsidR="00B8198E" w:rsidRPr="00B8198E">
              <w:rPr>
                <w:rFonts w:ascii="Calibri" w:eastAsia="Times New Roman" w:hAnsi="Calibri" w:cs="Times New Roman"/>
                <w:b/>
                <w:bCs/>
                <w:color w:val="000000"/>
                <w:sz w:val="28"/>
                <w:szCs w:val="32"/>
                <w:lang w:val="en-US"/>
              </w:rPr>
              <w:t>: Hotel c</w:t>
            </w:r>
            <w:r w:rsidRPr="00B8198E">
              <w:rPr>
                <w:rFonts w:ascii="Calibri" w:eastAsia="Times New Roman" w:hAnsi="Calibri" w:cs="Times New Roman"/>
                <w:b/>
                <w:bCs/>
                <w:color w:val="000000"/>
                <w:sz w:val="28"/>
                <w:szCs w:val="32"/>
                <w:lang w:val="en-US"/>
              </w:rPr>
              <w:t>leaning staff</w:t>
            </w:r>
          </w:p>
        </w:tc>
      </w:tr>
      <w:tr w:rsidR="00FF6FCC" w:rsidRPr="00FF6FCC" w14:paraId="7C561A21" w14:textId="77777777" w:rsidTr="00FF6FCC">
        <w:trPr>
          <w:trHeight w:val="375"/>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04D9F659" w14:textId="77777777" w:rsidR="00FF6FCC" w:rsidRPr="00B8198E" w:rsidRDefault="00FF6FCC" w:rsidP="00FF6FCC">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1196" w:type="dxa"/>
            <w:tcBorders>
              <w:top w:val="nil"/>
              <w:left w:val="nil"/>
              <w:bottom w:val="single" w:sz="4" w:space="0" w:color="auto"/>
              <w:right w:val="single" w:sz="4" w:space="0" w:color="auto"/>
            </w:tcBorders>
            <w:shd w:val="clear" w:color="000000" w:fill="D9D9D9"/>
            <w:noWrap/>
            <w:vAlign w:val="bottom"/>
            <w:hideMark/>
          </w:tcPr>
          <w:p w14:paraId="38CC5C1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Tswana</w:t>
            </w:r>
          </w:p>
        </w:tc>
        <w:tc>
          <w:tcPr>
            <w:tcW w:w="958" w:type="dxa"/>
            <w:tcBorders>
              <w:top w:val="nil"/>
              <w:left w:val="nil"/>
              <w:bottom w:val="single" w:sz="4" w:space="0" w:color="auto"/>
              <w:right w:val="single" w:sz="4" w:space="0" w:color="auto"/>
            </w:tcBorders>
            <w:shd w:val="clear" w:color="000000" w:fill="D9D9D9"/>
            <w:noWrap/>
            <w:vAlign w:val="bottom"/>
            <w:hideMark/>
          </w:tcPr>
          <w:p w14:paraId="12F6D60D"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xml:space="preserve">Xhosa </w:t>
            </w:r>
          </w:p>
        </w:tc>
        <w:tc>
          <w:tcPr>
            <w:tcW w:w="698" w:type="dxa"/>
            <w:tcBorders>
              <w:top w:val="nil"/>
              <w:left w:val="nil"/>
              <w:bottom w:val="single" w:sz="4" w:space="0" w:color="auto"/>
              <w:right w:val="single" w:sz="4" w:space="0" w:color="auto"/>
            </w:tcBorders>
            <w:shd w:val="clear" w:color="000000" w:fill="D9D9D9"/>
            <w:noWrap/>
            <w:vAlign w:val="bottom"/>
            <w:hideMark/>
          </w:tcPr>
          <w:p w14:paraId="227E5A7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Zulu</w:t>
            </w:r>
          </w:p>
        </w:tc>
        <w:tc>
          <w:tcPr>
            <w:tcW w:w="960" w:type="dxa"/>
            <w:tcBorders>
              <w:top w:val="nil"/>
              <w:left w:val="nil"/>
              <w:bottom w:val="single" w:sz="4" w:space="0" w:color="auto"/>
              <w:right w:val="single" w:sz="8" w:space="0" w:color="auto"/>
            </w:tcBorders>
            <w:shd w:val="clear" w:color="000000" w:fill="D9D9D9"/>
            <w:noWrap/>
            <w:vAlign w:val="bottom"/>
            <w:hideMark/>
          </w:tcPr>
          <w:p w14:paraId="64611B0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Salary</w:t>
            </w:r>
          </w:p>
        </w:tc>
      </w:tr>
      <w:tr w:rsidR="00FF6FCC" w:rsidRPr="00FF6FCC" w14:paraId="74E2CD84"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0E354E3D"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1196" w:type="dxa"/>
            <w:tcBorders>
              <w:top w:val="nil"/>
              <w:left w:val="nil"/>
              <w:bottom w:val="single" w:sz="4" w:space="0" w:color="auto"/>
              <w:right w:val="single" w:sz="4" w:space="0" w:color="auto"/>
            </w:tcBorders>
            <w:shd w:val="clear" w:color="auto" w:fill="auto"/>
            <w:noWrap/>
            <w:vAlign w:val="center"/>
            <w:hideMark/>
          </w:tcPr>
          <w:p w14:paraId="2E07438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58" w:type="dxa"/>
            <w:tcBorders>
              <w:top w:val="nil"/>
              <w:left w:val="nil"/>
              <w:bottom w:val="single" w:sz="4" w:space="0" w:color="auto"/>
              <w:right w:val="single" w:sz="4" w:space="0" w:color="auto"/>
            </w:tcBorders>
            <w:shd w:val="clear" w:color="auto" w:fill="auto"/>
            <w:noWrap/>
            <w:vAlign w:val="center"/>
            <w:hideMark/>
          </w:tcPr>
          <w:p w14:paraId="67B5F21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4A1680ED"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60" w:type="dxa"/>
            <w:tcBorders>
              <w:top w:val="nil"/>
              <w:left w:val="nil"/>
              <w:bottom w:val="single" w:sz="4" w:space="0" w:color="auto"/>
              <w:right w:val="single" w:sz="8" w:space="0" w:color="auto"/>
            </w:tcBorders>
            <w:shd w:val="clear" w:color="auto" w:fill="auto"/>
            <w:noWrap/>
            <w:vAlign w:val="bottom"/>
            <w:hideMark/>
          </w:tcPr>
          <w:p w14:paraId="5C5CF2FD"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140</w:t>
            </w:r>
          </w:p>
        </w:tc>
      </w:tr>
      <w:tr w:rsidR="00FF6FCC" w:rsidRPr="00FF6FCC" w14:paraId="4C0EC401"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3BF33997"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1196" w:type="dxa"/>
            <w:tcBorders>
              <w:top w:val="nil"/>
              <w:left w:val="nil"/>
              <w:bottom w:val="single" w:sz="4" w:space="0" w:color="auto"/>
              <w:right w:val="single" w:sz="4" w:space="0" w:color="auto"/>
            </w:tcBorders>
            <w:shd w:val="clear" w:color="auto" w:fill="auto"/>
            <w:noWrap/>
            <w:vAlign w:val="center"/>
            <w:hideMark/>
          </w:tcPr>
          <w:p w14:paraId="7CF51A6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6203361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303DF0D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534D003B"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20392EFA"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D823BC5"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w:t>
            </w:r>
          </w:p>
        </w:tc>
        <w:tc>
          <w:tcPr>
            <w:tcW w:w="1196" w:type="dxa"/>
            <w:tcBorders>
              <w:top w:val="nil"/>
              <w:left w:val="nil"/>
              <w:bottom w:val="single" w:sz="4" w:space="0" w:color="auto"/>
              <w:right w:val="single" w:sz="4" w:space="0" w:color="auto"/>
            </w:tcBorders>
            <w:shd w:val="clear" w:color="auto" w:fill="auto"/>
            <w:noWrap/>
            <w:vAlign w:val="center"/>
            <w:hideMark/>
          </w:tcPr>
          <w:p w14:paraId="383BD38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6A2DB4B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767B64F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6DD3B4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68D21F72"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4CCBE83D"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w:t>
            </w:r>
          </w:p>
        </w:tc>
        <w:tc>
          <w:tcPr>
            <w:tcW w:w="1196" w:type="dxa"/>
            <w:tcBorders>
              <w:top w:val="nil"/>
              <w:left w:val="nil"/>
              <w:bottom w:val="single" w:sz="4" w:space="0" w:color="auto"/>
              <w:right w:val="single" w:sz="4" w:space="0" w:color="auto"/>
            </w:tcBorders>
            <w:shd w:val="clear" w:color="auto" w:fill="auto"/>
            <w:noWrap/>
            <w:vAlign w:val="center"/>
            <w:hideMark/>
          </w:tcPr>
          <w:p w14:paraId="4599479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58" w:type="dxa"/>
            <w:tcBorders>
              <w:top w:val="nil"/>
              <w:left w:val="nil"/>
              <w:bottom w:val="single" w:sz="4" w:space="0" w:color="auto"/>
              <w:right w:val="single" w:sz="4" w:space="0" w:color="auto"/>
            </w:tcBorders>
            <w:shd w:val="clear" w:color="auto" w:fill="auto"/>
            <w:noWrap/>
            <w:vAlign w:val="center"/>
            <w:hideMark/>
          </w:tcPr>
          <w:p w14:paraId="245B9CF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69A1329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60" w:type="dxa"/>
            <w:tcBorders>
              <w:top w:val="nil"/>
              <w:left w:val="nil"/>
              <w:bottom w:val="single" w:sz="4" w:space="0" w:color="auto"/>
              <w:right w:val="single" w:sz="8" w:space="0" w:color="auto"/>
            </w:tcBorders>
            <w:shd w:val="clear" w:color="auto" w:fill="auto"/>
            <w:noWrap/>
            <w:vAlign w:val="bottom"/>
            <w:hideMark/>
          </w:tcPr>
          <w:p w14:paraId="681E2DDB"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1B6FB7DC"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00D400A"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w:t>
            </w:r>
          </w:p>
        </w:tc>
        <w:tc>
          <w:tcPr>
            <w:tcW w:w="1196" w:type="dxa"/>
            <w:tcBorders>
              <w:top w:val="nil"/>
              <w:left w:val="nil"/>
              <w:bottom w:val="single" w:sz="4" w:space="0" w:color="auto"/>
              <w:right w:val="single" w:sz="4" w:space="0" w:color="auto"/>
            </w:tcBorders>
            <w:shd w:val="clear" w:color="auto" w:fill="auto"/>
            <w:noWrap/>
            <w:vAlign w:val="center"/>
            <w:hideMark/>
          </w:tcPr>
          <w:p w14:paraId="775EA17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04661AC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5C1EA441"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1E902888"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37C93212"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7ED2D38"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6</w:t>
            </w:r>
          </w:p>
        </w:tc>
        <w:tc>
          <w:tcPr>
            <w:tcW w:w="1196" w:type="dxa"/>
            <w:tcBorders>
              <w:top w:val="nil"/>
              <w:left w:val="nil"/>
              <w:bottom w:val="single" w:sz="4" w:space="0" w:color="auto"/>
              <w:right w:val="single" w:sz="4" w:space="0" w:color="auto"/>
            </w:tcBorders>
            <w:shd w:val="clear" w:color="auto" w:fill="auto"/>
            <w:noWrap/>
            <w:vAlign w:val="center"/>
            <w:hideMark/>
          </w:tcPr>
          <w:p w14:paraId="50EC7CF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B82A50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7E012E0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0E50408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5C0CBA6C"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3C92B601"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7</w:t>
            </w:r>
          </w:p>
        </w:tc>
        <w:tc>
          <w:tcPr>
            <w:tcW w:w="1196" w:type="dxa"/>
            <w:tcBorders>
              <w:top w:val="nil"/>
              <w:left w:val="nil"/>
              <w:bottom w:val="single" w:sz="4" w:space="0" w:color="auto"/>
              <w:right w:val="single" w:sz="4" w:space="0" w:color="auto"/>
            </w:tcBorders>
            <w:shd w:val="clear" w:color="auto" w:fill="auto"/>
            <w:noWrap/>
            <w:vAlign w:val="center"/>
            <w:hideMark/>
          </w:tcPr>
          <w:p w14:paraId="635D198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05AA4A9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70FC027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0EF8060C"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17664C60"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F58A6A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w:t>
            </w:r>
          </w:p>
        </w:tc>
        <w:tc>
          <w:tcPr>
            <w:tcW w:w="1196" w:type="dxa"/>
            <w:tcBorders>
              <w:top w:val="nil"/>
              <w:left w:val="nil"/>
              <w:bottom w:val="single" w:sz="4" w:space="0" w:color="auto"/>
              <w:right w:val="single" w:sz="4" w:space="0" w:color="auto"/>
            </w:tcBorders>
            <w:shd w:val="clear" w:color="auto" w:fill="auto"/>
            <w:noWrap/>
            <w:vAlign w:val="center"/>
            <w:hideMark/>
          </w:tcPr>
          <w:p w14:paraId="36FF8588"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03B272E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6FEF8A4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53985E4B"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5F67FEE7"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4A8CAC48"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w:t>
            </w:r>
          </w:p>
        </w:tc>
        <w:tc>
          <w:tcPr>
            <w:tcW w:w="1196" w:type="dxa"/>
            <w:tcBorders>
              <w:top w:val="nil"/>
              <w:left w:val="nil"/>
              <w:bottom w:val="single" w:sz="4" w:space="0" w:color="auto"/>
              <w:right w:val="single" w:sz="4" w:space="0" w:color="auto"/>
            </w:tcBorders>
            <w:shd w:val="clear" w:color="auto" w:fill="auto"/>
            <w:noWrap/>
            <w:vAlign w:val="center"/>
            <w:hideMark/>
          </w:tcPr>
          <w:p w14:paraId="11BA22D8"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2CD7866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634BA6E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84FFB4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6860ADA8"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33AAC686"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w:t>
            </w:r>
          </w:p>
        </w:tc>
        <w:tc>
          <w:tcPr>
            <w:tcW w:w="1196" w:type="dxa"/>
            <w:tcBorders>
              <w:top w:val="nil"/>
              <w:left w:val="nil"/>
              <w:bottom w:val="single" w:sz="4" w:space="0" w:color="auto"/>
              <w:right w:val="single" w:sz="4" w:space="0" w:color="auto"/>
            </w:tcBorders>
            <w:shd w:val="clear" w:color="auto" w:fill="auto"/>
            <w:noWrap/>
            <w:vAlign w:val="center"/>
            <w:hideMark/>
          </w:tcPr>
          <w:p w14:paraId="398EDE0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58" w:type="dxa"/>
            <w:tcBorders>
              <w:top w:val="nil"/>
              <w:left w:val="nil"/>
              <w:bottom w:val="single" w:sz="4" w:space="0" w:color="auto"/>
              <w:right w:val="single" w:sz="4" w:space="0" w:color="auto"/>
            </w:tcBorders>
            <w:shd w:val="clear" w:color="auto" w:fill="auto"/>
            <w:noWrap/>
            <w:vAlign w:val="center"/>
            <w:hideMark/>
          </w:tcPr>
          <w:p w14:paraId="38E8296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698" w:type="dxa"/>
            <w:tcBorders>
              <w:top w:val="nil"/>
              <w:left w:val="nil"/>
              <w:bottom w:val="single" w:sz="4" w:space="0" w:color="auto"/>
              <w:right w:val="single" w:sz="4" w:space="0" w:color="auto"/>
            </w:tcBorders>
            <w:shd w:val="clear" w:color="auto" w:fill="auto"/>
            <w:noWrap/>
            <w:vAlign w:val="center"/>
            <w:hideMark/>
          </w:tcPr>
          <w:p w14:paraId="3D89281D"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51D4B641"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135</w:t>
            </w:r>
          </w:p>
        </w:tc>
      </w:tr>
      <w:tr w:rsidR="00FF6FCC" w:rsidRPr="00FF6FCC" w14:paraId="2588F083"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5FF30243"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11</w:t>
            </w:r>
          </w:p>
        </w:tc>
        <w:tc>
          <w:tcPr>
            <w:tcW w:w="1196" w:type="dxa"/>
            <w:tcBorders>
              <w:top w:val="nil"/>
              <w:left w:val="nil"/>
              <w:bottom w:val="single" w:sz="4" w:space="0" w:color="auto"/>
              <w:right w:val="single" w:sz="4" w:space="0" w:color="auto"/>
            </w:tcBorders>
            <w:shd w:val="clear" w:color="auto" w:fill="auto"/>
            <w:noWrap/>
            <w:vAlign w:val="center"/>
            <w:hideMark/>
          </w:tcPr>
          <w:p w14:paraId="08AAA45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56ED1C8"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5772A00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371F320"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3A865835"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117F9BEC"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w:t>
            </w:r>
          </w:p>
        </w:tc>
        <w:tc>
          <w:tcPr>
            <w:tcW w:w="1196" w:type="dxa"/>
            <w:tcBorders>
              <w:top w:val="nil"/>
              <w:left w:val="nil"/>
              <w:bottom w:val="single" w:sz="4" w:space="0" w:color="auto"/>
              <w:right w:val="single" w:sz="4" w:space="0" w:color="auto"/>
            </w:tcBorders>
            <w:shd w:val="clear" w:color="auto" w:fill="auto"/>
            <w:noWrap/>
            <w:vAlign w:val="center"/>
            <w:hideMark/>
          </w:tcPr>
          <w:p w14:paraId="678D676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36C4BCE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348EAAC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03A601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754463B9"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4EF2C60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13</w:t>
            </w:r>
          </w:p>
        </w:tc>
        <w:tc>
          <w:tcPr>
            <w:tcW w:w="1196" w:type="dxa"/>
            <w:tcBorders>
              <w:top w:val="nil"/>
              <w:left w:val="nil"/>
              <w:bottom w:val="single" w:sz="4" w:space="0" w:color="auto"/>
              <w:right w:val="single" w:sz="4" w:space="0" w:color="auto"/>
            </w:tcBorders>
            <w:shd w:val="clear" w:color="auto" w:fill="auto"/>
            <w:noWrap/>
            <w:vAlign w:val="center"/>
            <w:hideMark/>
          </w:tcPr>
          <w:p w14:paraId="52A35C5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601A947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76BE02F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2850CA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3F08DF8F"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5BB29B6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14</w:t>
            </w:r>
          </w:p>
        </w:tc>
        <w:tc>
          <w:tcPr>
            <w:tcW w:w="1196" w:type="dxa"/>
            <w:tcBorders>
              <w:top w:val="nil"/>
              <w:left w:val="nil"/>
              <w:bottom w:val="single" w:sz="4" w:space="0" w:color="auto"/>
              <w:right w:val="single" w:sz="4" w:space="0" w:color="auto"/>
            </w:tcBorders>
            <w:shd w:val="clear" w:color="auto" w:fill="auto"/>
            <w:noWrap/>
            <w:vAlign w:val="center"/>
            <w:hideMark/>
          </w:tcPr>
          <w:p w14:paraId="6E01A21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4FB4A2CD"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5FD666E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3F37140C"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105</w:t>
            </w:r>
          </w:p>
        </w:tc>
      </w:tr>
      <w:tr w:rsidR="00FF6FCC" w:rsidRPr="00FF6FCC" w14:paraId="79849512"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52754A90"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15</w:t>
            </w:r>
          </w:p>
        </w:tc>
        <w:tc>
          <w:tcPr>
            <w:tcW w:w="1196" w:type="dxa"/>
            <w:tcBorders>
              <w:top w:val="nil"/>
              <w:left w:val="nil"/>
              <w:bottom w:val="single" w:sz="4" w:space="0" w:color="auto"/>
              <w:right w:val="single" w:sz="4" w:space="0" w:color="auto"/>
            </w:tcBorders>
            <w:shd w:val="clear" w:color="auto" w:fill="auto"/>
            <w:noWrap/>
            <w:vAlign w:val="center"/>
            <w:hideMark/>
          </w:tcPr>
          <w:p w14:paraId="78BA5971"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200629C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77E911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3D90DD3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64362822"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E57D5E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16</w:t>
            </w:r>
          </w:p>
        </w:tc>
        <w:tc>
          <w:tcPr>
            <w:tcW w:w="1196" w:type="dxa"/>
            <w:tcBorders>
              <w:top w:val="nil"/>
              <w:left w:val="nil"/>
              <w:bottom w:val="single" w:sz="4" w:space="0" w:color="auto"/>
              <w:right w:val="single" w:sz="4" w:space="0" w:color="auto"/>
            </w:tcBorders>
            <w:shd w:val="clear" w:color="auto" w:fill="auto"/>
            <w:noWrap/>
            <w:vAlign w:val="center"/>
            <w:hideMark/>
          </w:tcPr>
          <w:p w14:paraId="3AB64DF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7ED911F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6892C40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1786E8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26D84456"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0CAE856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17</w:t>
            </w:r>
          </w:p>
        </w:tc>
        <w:tc>
          <w:tcPr>
            <w:tcW w:w="1196" w:type="dxa"/>
            <w:tcBorders>
              <w:top w:val="nil"/>
              <w:left w:val="nil"/>
              <w:bottom w:val="single" w:sz="4" w:space="0" w:color="auto"/>
              <w:right w:val="single" w:sz="4" w:space="0" w:color="auto"/>
            </w:tcBorders>
            <w:shd w:val="clear" w:color="auto" w:fill="auto"/>
            <w:noWrap/>
            <w:vAlign w:val="center"/>
            <w:hideMark/>
          </w:tcPr>
          <w:p w14:paraId="1E41A81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57D9B5F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5625E4F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06CDF90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46063506"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51C25E33"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18</w:t>
            </w:r>
          </w:p>
        </w:tc>
        <w:tc>
          <w:tcPr>
            <w:tcW w:w="1196" w:type="dxa"/>
            <w:tcBorders>
              <w:top w:val="nil"/>
              <w:left w:val="nil"/>
              <w:bottom w:val="single" w:sz="4" w:space="0" w:color="auto"/>
              <w:right w:val="single" w:sz="4" w:space="0" w:color="auto"/>
            </w:tcBorders>
            <w:shd w:val="clear" w:color="auto" w:fill="auto"/>
            <w:noWrap/>
            <w:vAlign w:val="center"/>
            <w:hideMark/>
          </w:tcPr>
          <w:p w14:paraId="28A4A4E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4F569AE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4881E5E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3A5E12DB"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2C675E70"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772CFC5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19</w:t>
            </w:r>
          </w:p>
        </w:tc>
        <w:tc>
          <w:tcPr>
            <w:tcW w:w="1196" w:type="dxa"/>
            <w:tcBorders>
              <w:top w:val="nil"/>
              <w:left w:val="nil"/>
              <w:bottom w:val="single" w:sz="4" w:space="0" w:color="auto"/>
              <w:right w:val="single" w:sz="4" w:space="0" w:color="auto"/>
            </w:tcBorders>
            <w:shd w:val="clear" w:color="auto" w:fill="auto"/>
            <w:noWrap/>
            <w:vAlign w:val="center"/>
            <w:hideMark/>
          </w:tcPr>
          <w:p w14:paraId="13DAB68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4898659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197DBC21"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07A6FDE8"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75CFD666"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149EA82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20</w:t>
            </w:r>
          </w:p>
        </w:tc>
        <w:tc>
          <w:tcPr>
            <w:tcW w:w="1196" w:type="dxa"/>
            <w:tcBorders>
              <w:top w:val="nil"/>
              <w:left w:val="nil"/>
              <w:bottom w:val="single" w:sz="4" w:space="0" w:color="auto"/>
              <w:right w:val="single" w:sz="4" w:space="0" w:color="auto"/>
            </w:tcBorders>
            <w:shd w:val="clear" w:color="auto" w:fill="auto"/>
            <w:noWrap/>
            <w:vAlign w:val="center"/>
            <w:hideMark/>
          </w:tcPr>
          <w:p w14:paraId="25A5EC9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6971F91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546E46A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2598E682"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5F61022B"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41610AB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21</w:t>
            </w:r>
          </w:p>
        </w:tc>
        <w:tc>
          <w:tcPr>
            <w:tcW w:w="1196" w:type="dxa"/>
            <w:tcBorders>
              <w:top w:val="nil"/>
              <w:left w:val="nil"/>
              <w:bottom w:val="single" w:sz="4" w:space="0" w:color="auto"/>
              <w:right w:val="single" w:sz="4" w:space="0" w:color="auto"/>
            </w:tcBorders>
            <w:shd w:val="clear" w:color="auto" w:fill="auto"/>
            <w:noWrap/>
            <w:vAlign w:val="center"/>
            <w:hideMark/>
          </w:tcPr>
          <w:p w14:paraId="42E47AC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5246E08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420C31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7E9CCC1"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0CE45E66"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79D27C7"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22</w:t>
            </w:r>
          </w:p>
        </w:tc>
        <w:tc>
          <w:tcPr>
            <w:tcW w:w="1196" w:type="dxa"/>
            <w:tcBorders>
              <w:top w:val="nil"/>
              <w:left w:val="nil"/>
              <w:bottom w:val="single" w:sz="4" w:space="0" w:color="auto"/>
              <w:right w:val="single" w:sz="4" w:space="0" w:color="auto"/>
            </w:tcBorders>
            <w:shd w:val="clear" w:color="auto" w:fill="auto"/>
            <w:noWrap/>
            <w:vAlign w:val="center"/>
            <w:hideMark/>
          </w:tcPr>
          <w:p w14:paraId="530BD64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0829667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374C03C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A398D08"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72F5649B"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30063783"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23</w:t>
            </w:r>
          </w:p>
        </w:tc>
        <w:tc>
          <w:tcPr>
            <w:tcW w:w="1196" w:type="dxa"/>
            <w:tcBorders>
              <w:top w:val="nil"/>
              <w:left w:val="nil"/>
              <w:bottom w:val="single" w:sz="4" w:space="0" w:color="auto"/>
              <w:right w:val="single" w:sz="4" w:space="0" w:color="auto"/>
            </w:tcBorders>
            <w:shd w:val="clear" w:color="auto" w:fill="auto"/>
            <w:noWrap/>
            <w:vAlign w:val="center"/>
            <w:hideMark/>
          </w:tcPr>
          <w:p w14:paraId="798C68DD"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A9FE30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2D5E11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229A6EB"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394F3328"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4B2179FB"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24</w:t>
            </w:r>
          </w:p>
        </w:tc>
        <w:tc>
          <w:tcPr>
            <w:tcW w:w="1196" w:type="dxa"/>
            <w:tcBorders>
              <w:top w:val="nil"/>
              <w:left w:val="nil"/>
              <w:bottom w:val="single" w:sz="4" w:space="0" w:color="auto"/>
              <w:right w:val="single" w:sz="4" w:space="0" w:color="auto"/>
            </w:tcBorders>
            <w:shd w:val="clear" w:color="auto" w:fill="auto"/>
            <w:noWrap/>
            <w:vAlign w:val="center"/>
            <w:hideMark/>
          </w:tcPr>
          <w:p w14:paraId="5E516CC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74C6B28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5BCEE7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3C1629D2"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105</w:t>
            </w:r>
          </w:p>
        </w:tc>
      </w:tr>
      <w:tr w:rsidR="00FF6FCC" w:rsidRPr="00FF6FCC" w14:paraId="1633725C"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E6A658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25</w:t>
            </w:r>
          </w:p>
        </w:tc>
        <w:tc>
          <w:tcPr>
            <w:tcW w:w="1196" w:type="dxa"/>
            <w:tcBorders>
              <w:top w:val="nil"/>
              <w:left w:val="nil"/>
              <w:bottom w:val="single" w:sz="4" w:space="0" w:color="auto"/>
              <w:right w:val="single" w:sz="4" w:space="0" w:color="auto"/>
            </w:tcBorders>
            <w:shd w:val="clear" w:color="auto" w:fill="auto"/>
            <w:noWrap/>
            <w:vAlign w:val="center"/>
            <w:hideMark/>
          </w:tcPr>
          <w:p w14:paraId="42C5469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25317C8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7682011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4706083"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207A4829"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4EB6F522"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26</w:t>
            </w:r>
          </w:p>
        </w:tc>
        <w:tc>
          <w:tcPr>
            <w:tcW w:w="1196" w:type="dxa"/>
            <w:tcBorders>
              <w:top w:val="nil"/>
              <w:left w:val="nil"/>
              <w:bottom w:val="single" w:sz="4" w:space="0" w:color="auto"/>
              <w:right w:val="single" w:sz="4" w:space="0" w:color="auto"/>
            </w:tcBorders>
            <w:shd w:val="clear" w:color="auto" w:fill="auto"/>
            <w:noWrap/>
            <w:vAlign w:val="center"/>
            <w:hideMark/>
          </w:tcPr>
          <w:p w14:paraId="5BE6FEA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47C43CB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4E58F49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45AD3295"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20FCBEE0"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0E2F120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27</w:t>
            </w:r>
          </w:p>
        </w:tc>
        <w:tc>
          <w:tcPr>
            <w:tcW w:w="1196" w:type="dxa"/>
            <w:tcBorders>
              <w:top w:val="nil"/>
              <w:left w:val="nil"/>
              <w:bottom w:val="single" w:sz="4" w:space="0" w:color="auto"/>
              <w:right w:val="single" w:sz="4" w:space="0" w:color="auto"/>
            </w:tcBorders>
            <w:shd w:val="clear" w:color="auto" w:fill="auto"/>
            <w:noWrap/>
            <w:vAlign w:val="center"/>
            <w:hideMark/>
          </w:tcPr>
          <w:p w14:paraId="3ED46FA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76CC98A8"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209655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5D806057"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5196F4F5"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1B3365FA"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28</w:t>
            </w:r>
          </w:p>
        </w:tc>
        <w:tc>
          <w:tcPr>
            <w:tcW w:w="1196" w:type="dxa"/>
            <w:tcBorders>
              <w:top w:val="nil"/>
              <w:left w:val="nil"/>
              <w:bottom w:val="single" w:sz="4" w:space="0" w:color="auto"/>
              <w:right w:val="single" w:sz="4" w:space="0" w:color="auto"/>
            </w:tcBorders>
            <w:shd w:val="clear" w:color="auto" w:fill="auto"/>
            <w:noWrap/>
            <w:vAlign w:val="center"/>
            <w:hideMark/>
          </w:tcPr>
          <w:p w14:paraId="1DDBF00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995007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43F6B4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1002AC41"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40A8AFB6"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7402F73"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29</w:t>
            </w:r>
          </w:p>
        </w:tc>
        <w:tc>
          <w:tcPr>
            <w:tcW w:w="1196" w:type="dxa"/>
            <w:tcBorders>
              <w:top w:val="nil"/>
              <w:left w:val="nil"/>
              <w:bottom w:val="single" w:sz="4" w:space="0" w:color="auto"/>
              <w:right w:val="single" w:sz="4" w:space="0" w:color="auto"/>
            </w:tcBorders>
            <w:shd w:val="clear" w:color="auto" w:fill="auto"/>
            <w:noWrap/>
            <w:vAlign w:val="center"/>
            <w:hideMark/>
          </w:tcPr>
          <w:p w14:paraId="64691D7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2F9BBA5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448753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AC5C87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2D0CA58A"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269A65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30</w:t>
            </w:r>
          </w:p>
        </w:tc>
        <w:tc>
          <w:tcPr>
            <w:tcW w:w="1196" w:type="dxa"/>
            <w:tcBorders>
              <w:top w:val="nil"/>
              <w:left w:val="nil"/>
              <w:bottom w:val="single" w:sz="4" w:space="0" w:color="auto"/>
              <w:right w:val="single" w:sz="4" w:space="0" w:color="auto"/>
            </w:tcBorders>
            <w:shd w:val="clear" w:color="auto" w:fill="auto"/>
            <w:noWrap/>
            <w:vAlign w:val="center"/>
            <w:hideMark/>
          </w:tcPr>
          <w:p w14:paraId="4A20486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5386729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67E7805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3732A5BA"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50CD3276"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5937783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31</w:t>
            </w:r>
          </w:p>
        </w:tc>
        <w:tc>
          <w:tcPr>
            <w:tcW w:w="1196" w:type="dxa"/>
            <w:tcBorders>
              <w:top w:val="nil"/>
              <w:left w:val="nil"/>
              <w:bottom w:val="single" w:sz="4" w:space="0" w:color="auto"/>
              <w:right w:val="single" w:sz="4" w:space="0" w:color="auto"/>
            </w:tcBorders>
            <w:shd w:val="clear" w:color="auto" w:fill="auto"/>
            <w:noWrap/>
            <w:vAlign w:val="center"/>
            <w:hideMark/>
          </w:tcPr>
          <w:p w14:paraId="400BFB6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26B93A7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B04FE7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9A1D74A"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43FD2D92"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B15A70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32</w:t>
            </w:r>
          </w:p>
        </w:tc>
        <w:tc>
          <w:tcPr>
            <w:tcW w:w="1196" w:type="dxa"/>
            <w:tcBorders>
              <w:top w:val="nil"/>
              <w:left w:val="nil"/>
              <w:bottom w:val="single" w:sz="4" w:space="0" w:color="auto"/>
              <w:right w:val="single" w:sz="4" w:space="0" w:color="auto"/>
            </w:tcBorders>
            <w:shd w:val="clear" w:color="auto" w:fill="auto"/>
            <w:noWrap/>
            <w:vAlign w:val="center"/>
            <w:hideMark/>
          </w:tcPr>
          <w:p w14:paraId="38B52F9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9EFF73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5EB013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439B9DA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39893BDC"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2CA2290"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33</w:t>
            </w:r>
          </w:p>
        </w:tc>
        <w:tc>
          <w:tcPr>
            <w:tcW w:w="1196" w:type="dxa"/>
            <w:tcBorders>
              <w:top w:val="nil"/>
              <w:left w:val="nil"/>
              <w:bottom w:val="single" w:sz="4" w:space="0" w:color="auto"/>
              <w:right w:val="single" w:sz="4" w:space="0" w:color="auto"/>
            </w:tcBorders>
            <w:shd w:val="clear" w:color="auto" w:fill="auto"/>
            <w:noWrap/>
            <w:vAlign w:val="center"/>
            <w:hideMark/>
          </w:tcPr>
          <w:p w14:paraId="7F9CD70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3EF3581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1887CED1"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2D15D496"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4F5D7DDA"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0CA37B1"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34</w:t>
            </w:r>
          </w:p>
        </w:tc>
        <w:tc>
          <w:tcPr>
            <w:tcW w:w="1196" w:type="dxa"/>
            <w:tcBorders>
              <w:top w:val="nil"/>
              <w:left w:val="nil"/>
              <w:bottom w:val="single" w:sz="4" w:space="0" w:color="auto"/>
              <w:right w:val="single" w:sz="4" w:space="0" w:color="auto"/>
            </w:tcBorders>
            <w:shd w:val="clear" w:color="auto" w:fill="auto"/>
            <w:noWrap/>
            <w:vAlign w:val="center"/>
            <w:hideMark/>
          </w:tcPr>
          <w:p w14:paraId="48C77A2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27A6503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325FEEE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255BD740"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3054C925"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50B1F89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35</w:t>
            </w:r>
          </w:p>
        </w:tc>
        <w:tc>
          <w:tcPr>
            <w:tcW w:w="1196" w:type="dxa"/>
            <w:tcBorders>
              <w:top w:val="nil"/>
              <w:left w:val="nil"/>
              <w:bottom w:val="single" w:sz="4" w:space="0" w:color="auto"/>
              <w:right w:val="single" w:sz="4" w:space="0" w:color="auto"/>
            </w:tcBorders>
            <w:shd w:val="clear" w:color="auto" w:fill="auto"/>
            <w:noWrap/>
            <w:vAlign w:val="center"/>
            <w:hideMark/>
          </w:tcPr>
          <w:p w14:paraId="569AEEB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0C4698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5A11165D"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5C93E213"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7D475F62"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3FB56CE7"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36</w:t>
            </w:r>
          </w:p>
        </w:tc>
        <w:tc>
          <w:tcPr>
            <w:tcW w:w="1196" w:type="dxa"/>
            <w:tcBorders>
              <w:top w:val="nil"/>
              <w:left w:val="nil"/>
              <w:bottom w:val="single" w:sz="4" w:space="0" w:color="auto"/>
              <w:right w:val="single" w:sz="4" w:space="0" w:color="auto"/>
            </w:tcBorders>
            <w:shd w:val="clear" w:color="auto" w:fill="auto"/>
            <w:noWrap/>
            <w:vAlign w:val="center"/>
            <w:hideMark/>
          </w:tcPr>
          <w:p w14:paraId="2E1FB94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214A19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3C87861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36307D65"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79D9B9A4"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36232EA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37</w:t>
            </w:r>
          </w:p>
        </w:tc>
        <w:tc>
          <w:tcPr>
            <w:tcW w:w="1196" w:type="dxa"/>
            <w:tcBorders>
              <w:top w:val="nil"/>
              <w:left w:val="nil"/>
              <w:bottom w:val="single" w:sz="4" w:space="0" w:color="auto"/>
              <w:right w:val="single" w:sz="4" w:space="0" w:color="auto"/>
            </w:tcBorders>
            <w:shd w:val="clear" w:color="auto" w:fill="auto"/>
            <w:noWrap/>
            <w:vAlign w:val="center"/>
            <w:hideMark/>
          </w:tcPr>
          <w:p w14:paraId="7EC2C19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08AC6A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36F2EE9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20B9255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3D11FC34"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30B3B646"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38</w:t>
            </w:r>
          </w:p>
        </w:tc>
        <w:tc>
          <w:tcPr>
            <w:tcW w:w="1196" w:type="dxa"/>
            <w:tcBorders>
              <w:top w:val="nil"/>
              <w:left w:val="nil"/>
              <w:bottom w:val="single" w:sz="4" w:space="0" w:color="auto"/>
              <w:right w:val="single" w:sz="4" w:space="0" w:color="auto"/>
            </w:tcBorders>
            <w:shd w:val="clear" w:color="auto" w:fill="auto"/>
            <w:noWrap/>
            <w:vAlign w:val="center"/>
            <w:hideMark/>
          </w:tcPr>
          <w:p w14:paraId="7964724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D80AEE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6CC3059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10B9A595"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00499701"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76051DC5"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39</w:t>
            </w:r>
          </w:p>
        </w:tc>
        <w:tc>
          <w:tcPr>
            <w:tcW w:w="1196" w:type="dxa"/>
            <w:tcBorders>
              <w:top w:val="nil"/>
              <w:left w:val="nil"/>
              <w:bottom w:val="single" w:sz="4" w:space="0" w:color="auto"/>
              <w:right w:val="single" w:sz="4" w:space="0" w:color="auto"/>
            </w:tcBorders>
            <w:shd w:val="clear" w:color="auto" w:fill="auto"/>
            <w:noWrap/>
            <w:vAlign w:val="center"/>
            <w:hideMark/>
          </w:tcPr>
          <w:p w14:paraId="3D54085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5BD0386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5E11E3D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F5DE5E6"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68BEEB54"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232AAF3"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40</w:t>
            </w:r>
          </w:p>
        </w:tc>
        <w:tc>
          <w:tcPr>
            <w:tcW w:w="1196" w:type="dxa"/>
            <w:tcBorders>
              <w:top w:val="nil"/>
              <w:left w:val="nil"/>
              <w:bottom w:val="single" w:sz="4" w:space="0" w:color="auto"/>
              <w:right w:val="single" w:sz="4" w:space="0" w:color="auto"/>
            </w:tcBorders>
            <w:shd w:val="clear" w:color="auto" w:fill="auto"/>
            <w:noWrap/>
            <w:vAlign w:val="center"/>
            <w:hideMark/>
          </w:tcPr>
          <w:p w14:paraId="0CD4FED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6241B98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E76483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ABCD186"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7305E8D2"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7F56D3B2"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41</w:t>
            </w:r>
          </w:p>
        </w:tc>
        <w:tc>
          <w:tcPr>
            <w:tcW w:w="1196" w:type="dxa"/>
            <w:tcBorders>
              <w:top w:val="nil"/>
              <w:left w:val="nil"/>
              <w:bottom w:val="single" w:sz="4" w:space="0" w:color="auto"/>
              <w:right w:val="single" w:sz="4" w:space="0" w:color="auto"/>
            </w:tcBorders>
            <w:shd w:val="clear" w:color="auto" w:fill="auto"/>
            <w:noWrap/>
            <w:vAlign w:val="center"/>
            <w:hideMark/>
          </w:tcPr>
          <w:p w14:paraId="4104603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5FEC87F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10298C2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24F20065"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6B8EA045"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44C1C117"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42</w:t>
            </w:r>
          </w:p>
        </w:tc>
        <w:tc>
          <w:tcPr>
            <w:tcW w:w="1196" w:type="dxa"/>
            <w:tcBorders>
              <w:top w:val="nil"/>
              <w:left w:val="nil"/>
              <w:bottom w:val="single" w:sz="4" w:space="0" w:color="auto"/>
              <w:right w:val="single" w:sz="4" w:space="0" w:color="auto"/>
            </w:tcBorders>
            <w:shd w:val="clear" w:color="auto" w:fill="auto"/>
            <w:noWrap/>
            <w:vAlign w:val="center"/>
            <w:hideMark/>
          </w:tcPr>
          <w:p w14:paraId="5819727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6349E4C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4DB599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0E0832B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5BBAB1D8" w14:textId="77777777" w:rsidTr="00FF6FCC">
        <w:trPr>
          <w:trHeight w:val="300"/>
          <w:jc w:val="center"/>
        </w:trPr>
        <w:tc>
          <w:tcPr>
            <w:tcW w:w="6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A778B1"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lastRenderedPageBreak/>
              <w:t>43</w:t>
            </w:r>
          </w:p>
        </w:tc>
        <w:tc>
          <w:tcPr>
            <w:tcW w:w="1196" w:type="dxa"/>
            <w:tcBorders>
              <w:top w:val="single" w:sz="4" w:space="0" w:color="auto"/>
              <w:left w:val="nil"/>
              <w:bottom w:val="single" w:sz="4" w:space="0" w:color="auto"/>
              <w:right w:val="single" w:sz="4" w:space="0" w:color="auto"/>
            </w:tcBorders>
            <w:shd w:val="clear" w:color="auto" w:fill="auto"/>
            <w:noWrap/>
            <w:vAlign w:val="center"/>
            <w:hideMark/>
          </w:tcPr>
          <w:p w14:paraId="08CE016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single" w:sz="4" w:space="0" w:color="auto"/>
              <w:left w:val="nil"/>
              <w:bottom w:val="single" w:sz="4" w:space="0" w:color="auto"/>
              <w:right w:val="single" w:sz="4" w:space="0" w:color="auto"/>
            </w:tcBorders>
            <w:shd w:val="clear" w:color="auto" w:fill="auto"/>
            <w:noWrap/>
            <w:vAlign w:val="center"/>
            <w:hideMark/>
          </w:tcPr>
          <w:p w14:paraId="6219BEB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single" w:sz="4" w:space="0" w:color="auto"/>
              <w:left w:val="nil"/>
              <w:bottom w:val="single" w:sz="4" w:space="0" w:color="auto"/>
              <w:right w:val="single" w:sz="4" w:space="0" w:color="auto"/>
            </w:tcBorders>
            <w:shd w:val="clear" w:color="auto" w:fill="auto"/>
            <w:noWrap/>
            <w:vAlign w:val="center"/>
            <w:hideMark/>
          </w:tcPr>
          <w:p w14:paraId="10B63F9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AB20D72"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09E75A5E"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44586BC"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44</w:t>
            </w:r>
          </w:p>
        </w:tc>
        <w:tc>
          <w:tcPr>
            <w:tcW w:w="1196" w:type="dxa"/>
            <w:tcBorders>
              <w:top w:val="nil"/>
              <w:left w:val="nil"/>
              <w:bottom w:val="single" w:sz="4" w:space="0" w:color="auto"/>
              <w:right w:val="single" w:sz="4" w:space="0" w:color="auto"/>
            </w:tcBorders>
            <w:shd w:val="clear" w:color="auto" w:fill="auto"/>
            <w:noWrap/>
            <w:vAlign w:val="center"/>
            <w:hideMark/>
          </w:tcPr>
          <w:p w14:paraId="1A4E96E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540066D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E7581F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D08E93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65DD10B4"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0B827FF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45</w:t>
            </w:r>
          </w:p>
        </w:tc>
        <w:tc>
          <w:tcPr>
            <w:tcW w:w="1196" w:type="dxa"/>
            <w:tcBorders>
              <w:top w:val="nil"/>
              <w:left w:val="nil"/>
              <w:bottom w:val="single" w:sz="4" w:space="0" w:color="auto"/>
              <w:right w:val="single" w:sz="4" w:space="0" w:color="auto"/>
            </w:tcBorders>
            <w:shd w:val="clear" w:color="auto" w:fill="auto"/>
            <w:noWrap/>
            <w:vAlign w:val="center"/>
            <w:hideMark/>
          </w:tcPr>
          <w:p w14:paraId="2874334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0CE0BB29"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478D17D"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4A0967B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105</w:t>
            </w:r>
          </w:p>
        </w:tc>
      </w:tr>
      <w:tr w:rsidR="00FF6FCC" w:rsidRPr="00FF6FCC" w14:paraId="788E5A6E"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CD6A3D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46</w:t>
            </w:r>
          </w:p>
        </w:tc>
        <w:tc>
          <w:tcPr>
            <w:tcW w:w="1196" w:type="dxa"/>
            <w:tcBorders>
              <w:top w:val="nil"/>
              <w:left w:val="nil"/>
              <w:bottom w:val="single" w:sz="4" w:space="0" w:color="auto"/>
              <w:right w:val="single" w:sz="4" w:space="0" w:color="auto"/>
            </w:tcBorders>
            <w:shd w:val="clear" w:color="auto" w:fill="auto"/>
            <w:noWrap/>
            <w:vAlign w:val="center"/>
            <w:hideMark/>
          </w:tcPr>
          <w:p w14:paraId="0157DF1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2315947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DEDC51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5AFE919"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5ACE67E2"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0830173D"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47</w:t>
            </w:r>
          </w:p>
        </w:tc>
        <w:tc>
          <w:tcPr>
            <w:tcW w:w="1196" w:type="dxa"/>
            <w:tcBorders>
              <w:top w:val="nil"/>
              <w:left w:val="nil"/>
              <w:bottom w:val="single" w:sz="4" w:space="0" w:color="auto"/>
              <w:right w:val="single" w:sz="4" w:space="0" w:color="auto"/>
            </w:tcBorders>
            <w:shd w:val="clear" w:color="auto" w:fill="auto"/>
            <w:noWrap/>
            <w:vAlign w:val="center"/>
            <w:hideMark/>
          </w:tcPr>
          <w:p w14:paraId="37F83A9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48EC1B2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4DB7E4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1387C648"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95</w:t>
            </w:r>
          </w:p>
        </w:tc>
      </w:tr>
      <w:tr w:rsidR="00FF6FCC" w:rsidRPr="00FF6FCC" w14:paraId="17187747"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3B743DF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48</w:t>
            </w:r>
          </w:p>
        </w:tc>
        <w:tc>
          <w:tcPr>
            <w:tcW w:w="1196" w:type="dxa"/>
            <w:tcBorders>
              <w:top w:val="nil"/>
              <w:left w:val="nil"/>
              <w:bottom w:val="single" w:sz="4" w:space="0" w:color="auto"/>
              <w:right w:val="single" w:sz="4" w:space="0" w:color="auto"/>
            </w:tcBorders>
            <w:shd w:val="clear" w:color="auto" w:fill="auto"/>
            <w:noWrap/>
            <w:vAlign w:val="center"/>
            <w:hideMark/>
          </w:tcPr>
          <w:p w14:paraId="757AFA88"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09EA3BA1"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79FE4BA7"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2BA94067"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6093EA9F"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0A499B0"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49</w:t>
            </w:r>
          </w:p>
        </w:tc>
        <w:tc>
          <w:tcPr>
            <w:tcW w:w="1196" w:type="dxa"/>
            <w:tcBorders>
              <w:top w:val="nil"/>
              <w:left w:val="nil"/>
              <w:bottom w:val="single" w:sz="4" w:space="0" w:color="auto"/>
              <w:right w:val="single" w:sz="4" w:space="0" w:color="auto"/>
            </w:tcBorders>
            <w:shd w:val="clear" w:color="auto" w:fill="auto"/>
            <w:noWrap/>
            <w:vAlign w:val="center"/>
            <w:hideMark/>
          </w:tcPr>
          <w:p w14:paraId="65A8C5EF"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16BE493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1D0C0306"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0DCC58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105</w:t>
            </w:r>
          </w:p>
        </w:tc>
      </w:tr>
      <w:tr w:rsidR="00FF6FCC" w:rsidRPr="00FF6FCC" w14:paraId="090A3BA5"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259CB05A"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50</w:t>
            </w:r>
          </w:p>
        </w:tc>
        <w:tc>
          <w:tcPr>
            <w:tcW w:w="1196" w:type="dxa"/>
            <w:tcBorders>
              <w:top w:val="nil"/>
              <w:left w:val="nil"/>
              <w:bottom w:val="single" w:sz="4" w:space="0" w:color="auto"/>
              <w:right w:val="single" w:sz="4" w:space="0" w:color="auto"/>
            </w:tcBorders>
            <w:shd w:val="clear" w:color="auto" w:fill="auto"/>
            <w:noWrap/>
            <w:vAlign w:val="center"/>
            <w:hideMark/>
          </w:tcPr>
          <w:p w14:paraId="0726375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602541B1"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10561BA4"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526F0B1D"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5AEAAFC8"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689ECFD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51</w:t>
            </w:r>
          </w:p>
        </w:tc>
        <w:tc>
          <w:tcPr>
            <w:tcW w:w="1196" w:type="dxa"/>
            <w:tcBorders>
              <w:top w:val="nil"/>
              <w:left w:val="nil"/>
              <w:bottom w:val="single" w:sz="4" w:space="0" w:color="auto"/>
              <w:right w:val="single" w:sz="4" w:space="0" w:color="auto"/>
            </w:tcBorders>
            <w:shd w:val="clear" w:color="auto" w:fill="auto"/>
            <w:noWrap/>
            <w:vAlign w:val="center"/>
            <w:hideMark/>
          </w:tcPr>
          <w:p w14:paraId="2F97DC45"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6FEA1E4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3977FA1"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6607F90F"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6E049283"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786664B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52</w:t>
            </w:r>
          </w:p>
        </w:tc>
        <w:tc>
          <w:tcPr>
            <w:tcW w:w="1196" w:type="dxa"/>
            <w:tcBorders>
              <w:top w:val="nil"/>
              <w:left w:val="nil"/>
              <w:bottom w:val="single" w:sz="4" w:space="0" w:color="auto"/>
              <w:right w:val="single" w:sz="4" w:space="0" w:color="auto"/>
            </w:tcBorders>
            <w:shd w:val="clear" w:color="auto" w:fill="auto"/>
            <w:noWrap/>
            <w:vAlign w:val="center"/>
            <w:hideMark/>
          </w:tcPr>
          <w:p w14:paraId="0B33CC1B"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5D29DDA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2A2A4D0E"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33DADAB1"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084BF9B0" w14:textId="77777777" w:rsidTr="00FF6FCC">
        <w:trPr>
          <w:trHeight w:val="300"/>
          <w:jc w:val="center"/>
        </w:trPr>
        <w:tc>
          <w:tcPr>
            <w:tcW w:w="648" w:type="dxa"/>
            <w:tcBorders>
              <w:top w:val="nil"/>
              <w:left w:val="single" w:sz="8" w:space="0" w:color="auto"/>
              <w:bottom w:val="single" w:sz="4" w:space="0" w:color="auto"/>
              <w:right w:val="single" w:sz="4" w:space="0" w:color="auto"/>
            </w:tcBorders>
            <w:shd w:val="clear" w:color="auto" w:fill="auto"/>
            <w:noWrap/>
            <w:vAlign w:val="bottom"/>
            <w:hideMark/>
          </w:tcPr>
          <w:p w14:paraId="4075A01B"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53</w:t>
            </w:r>
          </w:p>
        </w:tc>
        <w:tc>
          <w:tcPr>
            <w:tcW w:w="1196" w:type="dxa"/>
            <w:tcBorders>
              <w:top w:val="nil"/>
              <w:left w:val="nil"/>
              <w:bottom w:val="single" w:sz="4" w:space="0" w:color="auto"/>
              <w:right w:val="single" w:sz="4" w:space="0" w:color="auto"/>
            </w:tcBorders>
            <w:shd w:val="clear" w:color="auto" w:fill="auto"/>
            <w:noWrap/>
            <w:vAlign w:val="center"/>
            <w:hideMark/>
          </w:tcPr>
          <w:p w14:paraId="7B8BF0A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single" w:sz="4" w:space="0" w:color="auto"/>
              <w:right w:val="single" w:sz="4" w:space="0" w:color="auto"/>
            </w:tcBorders>
            <w:shd w:val="clear" w:color="auto" w:fill="auto"/>
            <w:noWrap/>
            <w:vAlign w:val="center"/>
            <w:hideMark/>
          </w:tcPr>
          <w:p w14:paraId="429CA73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single" w:sz="4" w:space="0" w:color="auto"/>
              <w:right w:val="single" w:sz="4" w:space="0" w:color="auto"/>
            </w:tcBorders>
            <w:shd w:val="clear" w:color="auto" w:fill="auto"/>
            <w:noWrap/>
            <w:vAlign w:val="center"/>
            <w:hideMark/>
          </w:tcPr>
          <w:p w14:paraId="0EC6B8FA"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single" w:sz="4" w:space="0" w:color="auto"/>
              <w:right w:val="single" w:sz="8" w:space="0" w:color="auto"/>
            </w:tcBorders>
            <w:shd w:val="clear" w:color="auto" w:fill="auto"/>
            <w:noWrap/>
            <w:vAlign w:val="bottom"/>
            <w:hideMark/>
          </w:tcPr>
          <w:p w14:paraId="78B30ECE"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85</w:t>
            </w:r>
          </w:p>
        </w:tc>
      </w:tr>
      <w:tr w:rsidR="00FF6FCC" w:rsidRPr="00FF6FCC" w14:paraId="0FF4EE36" w14:textId="77777777" w:rsidTr="00FF6FCC">
        <w:trPr>
          <w:trHeight w:val="315"/>
          <w:jc w:val="center"/>
        </w:trPr>
        <w:tc>
          <w:tcPr>
            <w:tcW w:w="648" w:type="dxa"/>
            <w:tcBorders>
              <w:top w:val="nil"/>
              <w:left w:val="single" w:sz="8" w:space="0" w:color="auto"/>
              <w:bottom w:val="nil"/>
              <w:right w:val="single" w:sz="4" w:space="0" w:color="auto"/>
            </w:tcBorders>
            <w:shd w:val="clear" w:color="auto" w:fill="auto"/>
            <w:noWrap/>
            <w:vAlign w:val="bottom"/>
            <w:hideMark/>
          </w:tcPr>
          <w:p w14:paraId="65B68A5C"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54</w:t>
            </w:r>
          </w:p>
        </w:tc>
        <w:tc>
          <w:tcPr>
            <w:tcW w:w="1196" w:type="dxa"/>
            <w:tcBorders>
              <w:top w:val="nil"/>
              <w:left w:val="nil"/>
              <w:bottom w:val="double" w:sz="6" w:space="0" w:color="auto"/>
              <w:right w:val="single" w:sz="4" w:space="0" w:color="auto"/>
            </w:tcBorders>
            <w:shd w:val="clear" w:color="auto" w:fill="auto"/>
            <w:noWrap/>
            <w:vAlign w:val="center"/>
            <w:hideMark/>
          </w:tcPr>
          <w:p w14:paraId="26E6D8D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958" w:type="dxa"/>
            <w:tcBorders>
              <w:top w:val="nil"/>
              <w:left w:val="nil"/>
              <w:bottom w:val="double" w:sz="6" w:space="0" w:color="auto"/>
              <w:right w:val="single" w:sz="4" w:space="0" w:color="auto"/>
            </w:tcBorders>
            <w:shd w:val="clear" w:color="auto" w:fill="auto"/>
            <w:noWrap/>
            <w:vAlign w:val="center"/>
            <w:hideMark/>
          </w:tcPr>
          <w:p w14:paraId="0118AB43"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698" w:type="dxa"/>
            <w:tcBorders>
              <w:top w:val="nil"/>
              <w:left w:val="nil"/>
              <w:bottom w:val="double" w:sz="6" w:space="0" w:color="auto"/>
              <w:right w:val="single" w:sz="4" w:space="0" w:color="auto"/>
            </w:tcBorders>
            <w:shd w:val="clear" w:color="auto" w:fill="auto"/>
            <w:noWrap/>
            <w:vAlign w:val="center"/>
            <w:hideMark/>
          </w:tcPr>
          <w:p w14:paraId="2A6EDAF2"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c>
          <w:tcPr>
            <w:tcW w:w="960" w:type="dxa"/>
            <w:tcBorders>
              <w:top w:val="nil"/>
              <w:left w:val="nil"/>
              <w:bottom w:val="double" w:sz="6" w:space="0" w:color="auto"/>
              <w:right w:val="single" w:sz="8" w:space="0" w:color="auto"/>
            </w:tcBorders>
            <w:shd w:val="clear" w:color="auto" w:fill="auto"/>
            <w:noWrap/>
            <w:vAlign w:val="bottom"/>
            <w:hideMark/>
          </w:tcPr>
          <w:p w14:paraId="79D232D4" w14:textId="77777777" w:rsidR="00FF6FCC" w:rsidRPr="00B8198E" w:rsidRDefault="00FF6FCC" w:rsidP="00FF6FCC">
            <w:pPr>
              <w:spacing w:after="0" w:line="240" w:lineRule="auto"/>
              <w:jc w:val="righ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125</w:t>
            </w:r>
          </w:p>
        </w:tc>
      </w:tr>
      <w:tr w:rsidR="00FF6FCC" w:rsidRPr="00FF6FCC" w14:paraId="3A154DF9" w14:textId="77777777" w:rsidTr="00FF6FCC">
        <w:trPr>
          <w:trHeight w:val="405"/>
          <w:jc w:val="center"/>
        </w:trPr>
        <w:tc>
          <w:tcPr>
            <w:tcW w:w="648"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42633ACD" w14:textId="77777777" w:rsidR="00FF6FCC" w:rsidRPr="00B8198E" w:rsidRDefault="00FF6FCC" w:rsidP="00FF6FCC">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Total</w:t>
            </w:r>
          </w:p>
        </w:tc>
        <w:tc>
          <w:tcPr>
            <w:tcW w:w="1196" w:type="dxa"/>
            <w:tcBorders>
              <w:top w:val="nil"/>
              <w:left w:val="nil"/>
              <w:bottom w:val="single" w:sz="8" w:space="0" w:color="auto"/>
              <w:right w:val="single" w:sz="4" w:space="0" w:color="auto"/>
            </w:tcBorders>
            <w:shd w:val="clear" w:color="auto" w:fill="auto"/>
            <w:noWrap/>
            <w:vAlign w:val="center"/>
            <w:hideMark/>
          </w:tcPr>
          <w:p w14:paraId="73D39240"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51</w:t>
            </w:r>
          </w:p>
        </w:tc>
        <w:tc>
          <w:tcPr>
            <w:tcW w:w="958" w:type="dxa"/>
            <w:tcBorders>
              <w:top w:val="nil"/>
              <w:left w:val="nil"/>
              <w:bottom w:val="single" w:sz="8" w:space="0" w:color="auto"/>
              <w:right w:val="single" w:sz="4" w:space="0" w:color="auto"/>
            </w:tcBorders>
            <w:shd w:val="clear" w:color="auto" w:fill="auto"/>
            <w:noWrap/>
            <w:vAlign w:val="center"/>
            <w:hideMark/>
          </w:tcPr>
          <w:p w14:paraId="169EA1E8"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1</w:t>
            </w:r>
          </w:p>
        </w:tc>
        <w:tc>
          <w:tcPr>
            <w:tcW w:w="698" w:type="dxa"/>
            <w:tcBorders>
              <w:top w:val="nil"/>
              <w:left w:val="nil"/>
              <w:bottom w:val="single" w:sz="8" w:space="0" w:color="auto"/>
              <w:right w:val="single" w:sz="4" w:space="0" w:color="auto"/>
            </w:tcBorders>
            <w:shd w:val="clear" w:color="auto" w:fill="auto"/>
            <w:noWrap/>
            <w:vAlign w:val="center"/>
            <w:hideMark/>
          </w:tcPr>
          <w:p w14:paraId="5EB5F01C" w14:textId="77777777" w:rsidR="00FF6FCC" w:rsidRPr="00B8198E" w:rsidRDefault="00FF6FCC" w:rsidP="00FF6FCC">
            <w:pPr>
              <w:spacing w:after="0" w:line="240" w:lineRule="auto"/>
              <w:jc w:val="center"/>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2</w:t>
            </w:r>
          </w:p>
        </w:tc>
        <w:tc>
          <w:tcPr>
            <w:tcW w:w="960" w:type="dxa"/>
            <w:tcBorders>
              <w:top w:val="nil"/>
              <w:left w:val="nil"/>
              <w:bottom w:val="single" w:sz="8" w:space="0" w:color="auto"/>
              <w:right w:val="single" w:sz="8" w:space="0" w:color="auto"/>
            </w:tcBorders>
            <w:shd w:val="clear" w:color="auto" w:fill="auto"/>
            <w:noWrap/>
            <w:vAlign w:val="bottom"/>
            <w:hideMark/>
          </w:tcPr>
          <w:p w14:paraId="04C9502C" w14:textId="77777777" w:rsidR="00FF6FCC" w:rsidRPr="00B8198E" w:rsidRDefault="00FF6FCC" w:rsidP="00FF6FCC">
            <w:pPr>
              <w:spacing w:after="0" w:line="240" w:lineRule="auto"/>
              <w:jc w:val="left"/>
              <w:rPr>
                <w:rFonts w:ascii="Calibri" w:eastAsia="Times New Roman" w:hAnsi="Calibri" w:cs="Times New Roman"/>
                <w:color w:val="000000"/>
                <w:sz w:val="20"/>
                <w:szCs w:val="20"/>
                <w:lang w:val="en-US"/>
              </w:rPr>
            </w:pPr>
            <w:r w:rsidRPr="00B8198E">
              <w:rPr>
                <w:rFonts w:ascii="Calibri" w:eastAsia="Times New Roman" w:hAnsi="Calibri" w:cs="Times New Roman"/>
                <w:color w:val="000000"/>
                <w:sz w:val="20"/>
                <w:szCs w:val="20"/>
                <w:lang w:val="en-US"/>
              </w:rPr>
              <w:t> </w:t>
            </w:r>
          </w:p>
        </w:tc>
      </w:tr>
    </w:tbl>
    <w:p w14:paraId="5E5D26D1" w14:textId="27AC94C8" w:rsidR="00FF6FCC" w:rsidRDefault="002E31DA" w:rsidP="00FB725F">
      <w:r>
        <w:rPr>
          <w:noProof/>
          <w:lang w:val="en-ZA" w:eastAsia="en-ZA"/>
        </w:rPr>
        <mc:AlternateContent>
          <mc:Choice Requires="wps">
            <w:drawing>
              <wp:anchor distT="45720" distB="45720" distL="114300" distR="114300" simplePos="0" relativeHeight="251741696" behindDoc="0" locked="0" layoutInCell="1" allowOverlap="1" wp14:anchorId="67CC6700" wp14:editId="65D140B7">
                <wp:simplePos x="0" y="0"/>
                <wp:positionH relativeFrom="column">
                  <wp:posOffset>1419225</wp:posOffset>
                </wp:positionH>
                <wp:positionV relativeFrom="paragraph">
                  <wp:posOffset>45720</wp:posOffset>
                </wp:positionV>
                <wp:extent cx="2852420" cy="436880"/>
                <wp:effectExtent l="0" t="0" r="24130" b="2032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2420" cy="436880"/>
                        </a:xfrm>
                        <a:prstGeom prst="rect">
                          <a:avLst/>
                        </a:prstGeom>
                        <a:solidFill>
                          <a:srgbClr val="FFFFFF"/>
                        </a:solidFill>
                        <a:ln w="9525">
                          <a:solidFill>
                            <a:srgbClr val="000000"/>
                          </a:solidFill>
                          <a:miter lim="800000"/>
                          <a:headEnd/>
                          <a:tailEnd/>
                        </a:ln>
                      </wps:spPr>
                      <wps:txbx>
                        <w:txbxContent>
                          <w:p w14:paraId="1B285BCC" w14:textId="77777777" w:rsidR="005E6435" w:rsidRPr="00A05960" w:rsidRDefault="005E6435" w:rsidP="00A05960">
                            <w:pPr>
                              <w:rPr>
                                <w:sz w:val="18"/>
                              </w:rPr>
                            </w:pPr>
                            <w:r w:rsidRPr="00A05960">
                              <w:rPr>
                                <w:sz w:val="18"/>
                              </w:rPr>
                              <w:t xml:space="preserve">Table 5: Data of hotel cleaners, per position, demographic and salary.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11.75pt;margin-top:3.6pt;width:224.6pt;height:34.4pt;z-index:251741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">
                <v:textbox>
                  <w:txbxContent>
                    <w:p w14:paraId="1B285BCC" w14:textId="77777777" w:rsidR="005E6435" w:rsidRPr="00A05960" w:rsidRDefault="005E6435" w:rsidP="00A05960">
                      <w:pPr>
                        <w:rPr>
                          <w:sz w:val="18"/>
                        </w:rPr>
                      </w:pPr>
                      <w:r w:rsidRPr="00A05960">
                        <w:rPr>
                          <w:sz w:val="18"/>
                        </w:rPr>
                        <w:t xml:space="preserve">Table 5: Data of hotel cleaners, per position, demographic and salary. </w:t>
                      </w:r>
                    </w:p>
                  </w:txbxContent>
                </v:textbox>
              </v:shape>
            </w:pict>
          </mc:Fallback>
        </mc:AlternateContent>
      </w:r>
    </w:p>
    <w:sectPr w:rsidR="00FF6FCC" w:rsidSect="00DF6463">
      <w:type w:val="continuous"/>
      <w:pgSz w:w="11906" w:h="16838"/>
      <w:pgMar w:top="1440" w:right="1440" w:bottom="1440" w:left="1440"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0BAFB8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821442" w14:textId="77777777" w:rsidR="000F44D5" w:rsidRDefault="000F44D5" w:rsidP="009F6317">
      <w:pPr>
        <w:spacing w:after="0" w:line="240" w:lineRule="auto"/>
      </w:pPr>
      <w:r>
        <w:separator/>
      </w:r>
    </w:p>
  </w:endnote>
  <w:endnote w:type="continuationSeparator" w:id="0">
    <w:p w14:paraId="34A7D484" w14:textId="77777777" w:rsidR="000F44D5" w:rsidRDefault="000F44D5" w:rsidP="009F63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Segoe UI">
    <w:altName w:val="Arial"/>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4214449"/>
      <w:docPartObj>
        <w:docPartGallery w:val="Page Numbers (Bottom of Page)"/>
        <w:docPartUnique/>
      </w:docPartObj>
    </w:sdtPr>
    <w:sdtEndPr>
      <w:rPr>
        <w:noProof/>
      </w:rPr>
    </w:sdtEndPr>
    <w:sdtContent>
      <w:p w14:paraId="53A5EEE2" w14:textId="284A2366" w:rsidR="005E6435" w:rsidRDefault="005E6435">
        <w:pPr>
          <w:pStyle w:val="Footer"/>
          <w:jc w:val="right"/>
        </w:pPr>
        <w:r>
          <w:fldChar w:fldCharType="begin"/>
        </w:r>
        <w:r>
          <w:instrText xml:space="preserve"> PAGE   \* MERGEFORMAT </w:instrText>
        </w:r>
        <w:r>
          <w:fldChar w:fldCharType="separate"/>
        </w:r>
        <w:r w:rsidR="002E31DA">
          <w:rPr>
            <w:noProof/>
          </w:rPr>
          <w:t>vii</w:t>
        </w:r>
        <w:r>
          <w:rPr>
            <w:noProof/>
          </w:rPr>
          <w:fldChar w:fldCharType="end"/>
        </w:r>
      </w:p>
    </w:sdtContent>
  </w:sdt>
  <w:p w14:paraId="1FCA2A45" w14:textId="77777777" w:rsidR="005E6435" w:rsidRDefault="005E64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81C2C9" w14:textId="77777777" w:rsidR="000F44D5" w:rsidRDefault="000F44D5" w:rsidP="009F6317">
      <w:pPr>
        <w:spacing w:after="0" w:line="240" w:lineRule="auto"/>
      </w:pPr>
      <w:r>
        <w:separator/>
      </w:r>
    </w:p>
  </w:footnote>
  <w:footnote w:type="continuationSeparator" w:id="0">
    <w:p w14:paraId="642AE2C8" w14:textId="77777777" w:rsidR="000F44D5" w:rsidRDefault="000F44D5" w:rsidP="009F6317">
      <w:pPr>
        <w:spacing w:after="0" w:line="240" w:lineRule="auto"/>
      </w:pPr>
      <w:r>
        <w:continuationSeparator/>
      </w:r>
    </w:p>
  </w:footnote>
  <w:footnote w:id="1">
    <w:p w14:paraId="710C0F5E" w14:textId="77777777" w:rsidR="005E6435" w:rsidRDefault="005E6435" w:rsidP="00415272">
      <w:pPr>
        <w:pStyle w:val="NoSpacing"/>
      </w:pPr>
      <w:r>
        <w:rPr>
          <w:rStyle w:val="FootnoteReference"/>
        </w:rPr>
        <w:footnoteRef/>
      </w:r>
      <w:r>
        <w:t xml:space="preserve"> J. Nauright: </w:t>
      </w:r>
      <w:r w:rsidRPr="00C1231B">
        <w:rPr>
          <w:i/>
        </w:rPr>
        <w:t>Sports around the World: History, Culture and Practice</w:t>
      </w:r>
      <w:r>
        <w:t xml:space="preserve">. </w:t>
      </w:r>
      <w:r w:rsidRPr="00E40A00">
        <w:t>ABC-CLIO,</w:t>
      </w:r>
      <w:r>
        <w:t xml:space="preserve"> Santa Barbara, 2012, p. 159. </w:t>
      </w:r>
    </w:p>
  </w:footnote>
  <w:footnote w:id="2">
    <w:p w14:paraId="76B68E71" w14:textId="77777777" w:rsidR="005E6435" w:rsidRPr="00E77763" w:rsidRDefault="005E6435" w:rsidP="00415272">
      <w:pPr>
        <w:pStyle w:val="FootnoteText"/>
        <w:jc w:val="left"/>
        <w:rPr>
          <w:lang w:val="en-US"/>
        </w:rPr>
      </w:pPr>
      <w:r>
        <w:rPr>
          <w:rStyle w:val="FootnoteReference"/>
        </w:rPr>
        <w:footnoteRef/>
      </w:r>
      <w:r>
        <w:t xml:space="preserve"> V. Bickford-Smith: ‘Leisure and Social Identity in Cape Town, British Cape Colony, 1838-1910.’ </w:t>
      </w:r>
      <w:r w:rsidRPr="00E77763">
        <w:rPr>
          <w:i/>
        </w:rPr>
        <w:t>Kronos</w:t>
      </w:r>
      <w:r>
        <w:t>, (1998/1999), pp. 103-128.</w:t>
      </w:r>
    </w:p>
  </w:footnote>
  <w:footnote w:id="3">
    <w:p w14:paraId="54838AA6" w14:textId="77777777" w:rsidR="005E6435" w:rsidRPr="00E77763" w:rsidRDefault="005E6435" w:rsidP="00415272">
      <w:pPr>
        <w:pStyle w:val="FootnoteText"/>
        <w:jc w:val="left"/>
        <w:rPr>
          <w:lang w:val="en-US"/>
        </w:rPr>
      </w:pPr>
      <w:r>
        <w:rPr>
          <w:rStyle w:val="FootnoteReference"/>
        </w:rPr>
        <w:footnoteRef/>
      </w:r>
      <w:r>
        <w:t xml:space="preserve"> A. Grundlingh: ‘“Gone to the Dogs”: The Cultural Politics of Gambling – The Rise and Fall of British Greyhound Racing on the Witwatersrand, 1932-1949.’ </w:t>
      </w:r>
      <w:r w:rsidRPr="00E77763">
        <w:rPr>
          <w:i/>
        </w:rPr>
        <w:t>South African Historical Journal</w:t>
      </w:r>
      <w:r>
        <w:t>, (2009, 48:1), pp. 174-189.</w:t>
      </w:r>
    </w:p>
  </w:footnote>
  <w:footnote w:id="4">
    <w:p w14:paraId="556AD70C" w14:textId="77777777" w:rsidR="005E6435" w:rsidRPr="006F3AD9" w:rsidRDefault="005E6435">
      <w:pPr>
        <w:pStyle w:val="FootnoteText"/>
        <w:rPr>
          <w:lang w:val="en-US"/>
        </w:rPr>
      </w:pPr>
      <w:r>
        <w:rPr>
          <w:rStyle w:val="FootnoteReference"/>
        </w:rPr>
        <w:footnoteRef/>
      </w:r>
      <w:r>
        <w:t xml:space="preserve"> A</w:t>
      </w:r>
      <w:r>
        <w:rPr>
          <w:lang w:val="en-US"/>
        </w:rPr>
        <w:t xml:space="preserve"> note about terminology throughout this dissertation: the terms bantustans and/or homelands are used without capitalisation and without inverted commas. This is done in line with the South African Historical Journal Special Issue, for the terms are now officially recognised, in common practice, to already further entrench a critique of the racial homeland projects.</w:t>
      </w:r>
    </w:p>
  </w:footnote>
  <w:footnote w:id="5">
    <w:p w14:paraId="7EC8D1E7" w14:textId="77777777" w:rsidR="005E6435" w:rsidRDefault="005E6435" w:rsidP="00415272">
      <w:pPr>
        <w:pStyle w:val="NoSpacing"/>
      </w:pPr>
      <w:r>
        <w:rPr>
          <w:rStyle w:val="FootnoteReference"/>
        </w:rPr>
        <w:footnoteRef/>
      </w:r>
      <w:r>
        <w:t xml:space="preserve"> </w:t>
      </w:r>
      <w:r w:rsidRPr="00202C82">
        <w:t xml:space="preserve">Quoted in O’Malley: ‘Chronology of Apartheid Legislation’ [Online] </w:t>
      </w:r>
      <w:hyperlink r:id="rId1" w:history="1">
        <w:r w:rsidRPr="00202C82">
          <w:t>https://www.nelsonmandela.org/omalley/index.php/site/q/03lv02167/04lv02264/05lv02335/06lv02357/07lv02359/08lv02371.htm (9</w:t>
        </w:r>
      </w:hyperlink>
      <w:r w:rsidRPr="00202C82">
        <w:t xml:space="preserve"> February 2015)</w:t>
      </w:r>
    </w:p>
  </w:footnote>
  <w:footnote w:id="6">
    <w:p w14:paraId="7929965B" w14:textId="77777777" w:rsidR="005E6435" w:rsidRPr="00E77763" w:rsidRDefault="005E6435" w:rsidP="00415272">
      <w:pPr>
        <w:pStyle w:val="FootnoteText"/>
        <w:jc w:val="left"/>
        <w:rPr>
          <w:lang w:val="en-US"/>
        </w:rPr>
      </w:pPr>
      <w:r>
        <w:rPr>
          <w:rStyle w:val="FootnoteReference"/>
        </w:rPr>
        <w:footnoteRef/>
      </w:r>
      <w:r>
        <w:t xml:space="preserve"> M. Van Vuuren, B. Standish, A. Boting, B. Swing, L. Powell &amp; K. Larsons: ‘The Socio-Economic Impact of Legalised Gambling in the Eastern Cape.’ </w:t>
      </w:r>
      <w:r w:rsidRPr="00BB61A0">
        <w:rPr>
          <w:i/>
        </w:rPr>
        <w:t>Eastern Cape Gambling and Betting Board</w:t>
      </w:r>
      <w:r>
        <w:t>, 2009, pp. 15-23.</w:t>
      </w:r>
    </w:p>
  </w:footnote>
  <w:footnote w:id="7">
    <w:p w14:paraId="4B7A229C" w14:textId="77777777" w:rsidR="005E6435" w:rsidRDefault="005E6435" w:rsidP="00B52142">
      <w:pPr>
        <w:pStyle w:val="NoSpacing"/>
      </w:pPr>
      <w:r>
        <w:rPr>
          <w:rStyle w:val="FootnoteReference"/>
        </w:rPr>
        <w:footnoteRef/>
      </w:r>
      <w:r>
        <w:t xml:space="preserve"> R.C.H. Shell: ‘From Diaspora to Diorama: African Slave Trade Routes and Southern Africa – Behind Rangton’s door: A Balinese wood-carver slave at Stellenbosch 1673-1720.’ [Online] </w:t>
      </w:r>
      <w:hyperlink r:id="rId2" w:history="1">
        <w:r w:rsidRPr="00C459A7">
          <w:rPr>
            <w:rStyle w:val="Hyperlink"/>
          </w:rPr>
          <w:t xml:space="preserve">http://batavia.polresearch.org/slavery/rangton.pdf </w:t>
        </w:r>
        <w:r w:rsidRPr="00E2285B">
          <w:rPr>
            <w:rStyle w:val="Hyperlink"/>
            <w:color w:val="auto"/>
            <w:u w:val="none"/>
          </w:rPr>
          <w:t>(5</w:t>
        </w:r>
      </w:hyperlink>
      <w:r>
        <w:t xml:space="preserve"> February 2015), pp. 5-21. </w:t>
      </w:r>
    </w:p>
  </w:footnote>
  <w:footnote w:id="8">
    <w:p w14:paraId="278E96C3" w14:textId="77777777" w:rsidR="005E6435" w:rsidRPr="00AA2744" w:rsidRDefault="005E6435" w:rsidP="00B52142">
      <w:pPr>
        <w:pStyle w:val="NoSpacing"/>
      </w:pPr>
      <w:r>
        <w:rPr>
          <w:rStyle w:val="FootnoteReference"/>
        </w:rPr>
        <w:footnoteRef/>
      </w:r>
      <w:r>
        <w:t xml:space="preserve"> Quoted in R. Ross: </w:t>
      </w:r>
      <w:r>
        <w:rPr>
          <w:i/>
        </w:rPr>
        <w:t xml:space="preserve">Status and Respectability in the Cape Colony 1750-1870: A Tragedy of Manners. </w:t>
      </w:r>
      <w:r>
        <w:t>Cambridge University Press, United Kingdom, 1999, p. 133.</w:t>
      </w:r>
    </w:p>
  </w:footnote>
  <w:footnote w:id="9">
    <w:p w14:paraId="243A7362" w14:textId="77777777" w:rsidR="005E6435" w:rsidRDefault="005E6435" w:rsidP="00B52142">
      <w:pPr>
        <w:pStyle w:val="NoSpacing"/>
      </w:pPr>
      <w:r>
        <w:rPr>
          <w:rStyle w:val="FootnoteReference"/>
        </w:rPr>
        <w:footnoteRef/>
      </w:r>
      <w:r>
        <w:t xml:space="preserve"> Bickford-Smith: ‘Leisure and Social Identity in Cape Town, British Cape Colony’, p. 108.</w:t>
      </w:r>
    </w:p>
  </w:footnote>
  <w:footnote w:id="10">
    <w:p w14:paraId="71694772" w14:textId="77777777" w:rsidR="005E6435" w:rsidRDefault="005E6435" w:rsidP="00B52142">
      <w:pPr>
        <w:pStyle w:val="NoSpacing"/>
      </w:pPr>
      <w:r>
        <w:rPr>
          <w:rStyle w:val="FootnoteReference"/>
        </w:rPr>
        <w:footnoteRef/>
      </w:r>
      <w:r>
        <w:t xml:space="preserve"> </w:t>
      </w:r>
      <w:r>
        <w:rPr>
          <w:i/>
        </w:rPr>
        <w:t xml:space="preserve">Ibid, </w:t>
      </w:r>
      <w:r>
        <w:t>pp. 117-121.</w:t>
      </w:r>
    </w:p>
  </w:footnote>
  <w:footnote w:id="11">
    <w:p w14:paraId="6EE6E03D" w14:textId="77777777" w:rsidR="005E6435" w:rsidRDefault="005E6435" w:rsidP="00E2285B">
      <w:pPr>
        <w:pStyle w:val="NoSpacing"/>
      </w:pPr>
      <w:r>
        <w:rPr>
          <w:rStyle w:val="FootnoteReference"/>
        </w:rPr>
        <w:footnoteRef/>
      </w:r>
      <w:r>
        <w:t xml:space="preserve"> Grundlingh: ‘“Gone to the dog”: The Cultural Politics of Gambling’, pp. 174-179. </w:t>
      </w:r>
    </w:p>
  </w:footnote>
  <w:footnote w:id="12">
    <w:p w14:paraId="2A357FDE" w14:textId="77777777" w:rsidR="005E6435" w:rsidRDefault="005E6435" w:rsidP="00E2285B">
      <w:pPr>
        <w:pStyle w:val="FootnoteText"/>
        <w:jc w:val="left"/>
      </w:pPr>
      <w:r>
        <w:rPr>
          <w:rStyle w:val="FootnoteReference"/>
        </w:rPr>
        <w:footnoteRef/>
      </w:r>
      <w:r>
        <w:t xml:space="preserve"> </w:t>
      </w:r>
      <w:r>
        <w:rPr>
          <w:i/>
        </w:rPr>
        <w:t>Ibid</w:t>
      </w:r>
      <w:r>
        <w:t>, p. 182.</w:t>
      </w:r>
    </w:p>
  </w:footnote>
  <w:footnote w:id="13">
    <w:p w14:paraId="61773D4A" w14:textId="77777777" w:rsidR="005E6435" w:rsidRDefault="005E6435" w:rsidP="00E2285B">
      <w:pPr>
        <w:pStyle w:val="NoSpacing"/>
      </w:pPr>
      <w:r>
        <w:rPr>
          <w:rStyle w:val="FootnoteReference"/>
        </w:rPr>
        <w:footnoteRef/>
      </w:r>
      <w:r>
        <w:t xml:space="preserve"> </w:t>
      </w:r>
      <w:r>
        <w:rPr>
          <w:i/>
        </w:rPr>
        <w:t>Ibid</w:t>
      </w:r>
      <w:r>
        <w:t xml:space="preserve">, p. 188. </w:t>
      </w:r>
    </w:p>
  </w:footnote>
  <w:footnote w:id="14">
    <w:p w14:paraId="36773153" w14:textId="77777777" w:rsidR="005E6435" w:rsidRDefault="005E6435" w:rsidP="00E2285B">
      <w:pPr>
        <w:pStyle w:val="FootnoteText"/>
        <w:jc w:val="left"/>
      </w:pPr>
      <w:r>
        <w:rPr>
          <w:rStyle w:val="FootnoteReference"/>
        </w:rPr>
        <w:footnoteRef/>
      </w:r>
      <w:r>
        <w:t xml:space="preserve"> Y.P. Park: ‘Sojourners to Settlers: Early Constructions of Chinese Identity in South Africa, 1879-1949.’ </w:t>
      </w:r>
      <w:r>
        <w:rPr>
          <w:i/>
        </w:rPr>
        <w:t xml:space="preserve">African Studies, </w:t>
      </w:r>
      <w:r>
        <w:t xml:space="preserve">(2011, 65;2), pp. 203-226. </w:t>
      </w:r>
    </w:p>
  </w:footnote>
  <w:footnote w:id="15">
    <w:p w14:paraId="15AC1725" w14:textId="77777777" w:rsidR="005E6435" w:rsidRDefault="005E6435" w:rsidP="00415272">
      <w:pPr>
        <w:pStyle w:val="FootnoteText"/>
        <w:jc w:val="left"/>
      </w:pPr>
      <w:r>
        <w:rPr>
          <w:rStyle w:val="FootnoteReference"/>
        </w:rPr>
        <w:footnoteRef/>
      </w:r>
      <w:r>
        <w:t xml:space="preserve"> C. Walker: ‘Critical Reflections on South Africa’s 1913 Native Land Act and its Legacies: Introduction.’ </w:t>
      </w:r>
      <w:r>
        <w:rPr>
          <w:i/>
        </w:rPr>
        <w:t xml:space="preserve">Journal of Southern African Studies, </w:t>
      </w:r>
      <w:r>
        <w:t>(2014, 40:4), p. 655.</w:t>
      </w:r>
    </w:p>
  </w:footnote>
  <w:footnote w:id="16">
    <w:p w14:paraId="06009FB1" w14:textId="77777777" w:rsidR="005E6435" w:rsidRDefault="005E6435" w:rsidP="00415272">
      <w:pPr>
        <w:pStyle w:val="FootnoteText"/>
        <w:jc w:val="left"/>
      </w:pPr>
      <w:r>
        <w:rPr>
          <w:rStyle w:val="FootnoteReference"/>
        </w:rPr>
        <w:footnoteRef/>
      </w:r>
      <w:r>
        <w:t xml:space="preserve"> S.T. Plaatjie: ‘Native Life in South Africa, Before and Since the European War and the Boer Rebellion.’ [Online] </w:t>
      </w:r>
      <w:hyperlink r:id="rId3" w:history="1">
        <w:r w:rsidRPr="008F2A33">
          <w:rPr>
            <w:rStyle w:val="Hyperlink"/>
          </w:rPr>
          <w:t>http://www.sahistory.org.za/sites/default/files/Native%20Life%20in%20South%20Africa_0.pdf</w:t>
        </w:r>
      </w:hyperlink>
      <w:r>
        <w:t xml:space="preserve"> (9 February 2015). </w:t>
      </w:r>
    </w:p>
  </w:footnote>
  <w:footnote w:id="17">
    <w:p w14:paraId="60FAF415" w14:textId="77777777" w:rsidR="005E6435" w:rsidRPr="009E191F" w:rsidRDefault="005E6435" w:rsidP="00415272">
      <w:pPr>
        <w:pStyle w:val="FootnoteText"/>
        <w:jc w:val="left"/>
        <w:rPr>
          <w:lang w:val="en-US"/>
        </w:rPr>
      </w:pPr>
      <w:r>
        <w:rPr>
          <w:rStyle w:val="FootnoteReference"/>
        </w:rPr>
        <w:footnoteRef/>
      </w:r>
      <w:r>
        <w:t xml:space="preserve"> Southern African Legal Information Institute: ‘Land Acts.’ [Online] </w:t>
      </w:r>
      <w:hyperlink r:id="rId4" w:history="1">
        <w:r w:rsidRPr="003B44CD">
          <w:rPr>
            <w:rStyle w:val="Hyperlink"/>
          </w:rPr>
          <w:t xml:space="preserve">http://www.saflii.org/za/cases/ZACC/2000/2.pdf </w:t>
        </w:r>
        <w:r w:rsidRPr="00E2285B">
          <w:rPr>
            <w:rStyle w:val="Hyperlink"/>
            <w:color w:val="auto"/>
            <w:u w:val="none"/>
          </w:rPr>
          <w:t>(20</w:t>
        </w:r>
      </w:hyperlink>
      <w:r>
        <w:t xml:space="preserve"> September 2015). </w:t>
      </w:r>
    </w:p>
  </w:footnote>
  <w:footnote w:id="18">
    <w:p w14:paraId="1672BEF8" w14:textId="77777777" w:rsidR="005E6435" w:rsidRDefault="005E6435" w:rsidP="00415272">
      <w:pPr>
        <w:pStyle w:val="FootnoteText"/>
        <w:jc w:val="left"/>
      </w:pPr>
      <w:r>
        <w:rPr>
          <w:rStyle w:val="FootnoteReference"/>
        </w:rPr>
        <w:footnoteRef/>
      </w:r>
      <w:r>
        <w:t xml:space="preserve"> J.J. Sallaz: </w:t>
      </w:r>
      <w:r>
        <w:rPr>
          <w:i/>
        </w:rPr>
        <w:t>The Labour of Luck: Casino Capitalism in the United States and South Africa.</w:t>
      </w:r>
      <w:r>
        <w:t xml:space="preserve"> University of California Press, Berkley, 2009, p. 135.</w:t>
      </w:r>
    </w:p>
  </w:footnote>
  <w:footnote w:id="19">
    <w:p w14:paraId="4B14F4CD" w14:textId="77777777" w:rsidR="005E6435" w:rsidRPr="00070561" w:rsidRDefault="005E6435" w:rsidP="00415272">
      <w:pPr>
        <w:pStyle w:val="NoSpacing"/>
      </w:pPr>
      <w:r>
        <w:rPr>
          <w:rStyle w:val="FootnoteReference"/>
        </w:rPr>
        <w:footnoteRef/>
      </w:r>
      <w:r>
        <w:t xml:space="preserve"> </w:t>
      </w:r>
      <w:r w:rsidRPr="002C60EB">
        <w:t xml:space="preserve">National Archives </w:t>
      </w:r>
      <w:r>
        <w:t xml:space="preserve">of </w:t>
      </w:r>
      <w:r w:rsidRPr="002C60EB">
        <w:t>So</w:t>
      </w:r>
      <w:r>
        <w:t>uth Africa</w:t>
      </w:r>
      <w:r w:rsidRPr="002C60EB">
        <w:t>, BTS, 8931, 165/362 (</w:t>
      </w:r>
      <w:r>
        <w:t>1)</w:t>
      </w:r>
      <w:r w:rsidRPr="002C60EB">
        <w:t>: ‘Bantu Authorities Act and Regula</w:t>
      </w:r>
      <w:r>
        <w:t>tions for Tribal Authorities.’ 1951.</w:t>
      </w:r>
    </w:p>
  </w:footnote>
  <w:footnote w:id="20">
    <w:p w14:paraId="7E004BF6" w14:textId="77777777" w:rsidR="005E6435" w:rsidRPr="0054085A" w:rsidRDefault="005E6435" w:rsidP="00415272">
      <w:pPr>
        <w:pStyle w:val="FootnoteText"/>
        <w:jc w:val="left"/>
        <w:rPr>
          <w:lang w:val="en-US"/>
        </w:rPr>
      </w:pPr>
      <w:r>
        <w:rPr>
          <w:rStyle w:val="FootnoteReference"/>
        </w:rPr>
        <w:footnoteRef/>
      </w:r>
      <w:r>
        <w:t xml:space="preserve"> T.R.H. Davenport: </w:t>
      </w:r>
      <w:r>
        <w:rPr>
          <w:i/>
        </w:rPr>
        <w:t xml:space="preserve">South Africa: A Modern History. </w:t>
      </w:r>
      <w:r>
        <w:t xml:space="preserve">University of Toronto Press, Toronto, 1987, p. 383.  </w:t>
      </w:r>
    </w:p>
  </w:footnote>
  <w:footnote w:id="21">
    <w:p w14:paraId="6C6F275B" w14:textId="77777777" w:rsidR="005E6435" w:rsidRPr="005A516C" w:rsidRDefault="005E6435">
      <w:pPr>
        <w:pStyle w:val="FootnoteText"/>
        <w:rPr>
          <w:lang w:val="en-US"/>
        </w:rPr>
      </w:pPr>
      <w:r>
        <w:rPr>
          <w:rStyle w:val="FootnoteReference"/>
        </w:rPr>
        <w:footnoteRef/>
      </w:r>
      <w:r>
        <w:t xml:space="preserve"> Union of South Africa: ‘Promotion of Bantu Self-Governing Act, Act No. 46 of 1959.’ </w:t>
      </w:r>
      <w:r w:rsidRPr="00BB61A0">
        <w:rPr>
          <w:i/>
        </w:rPr>
        <w:t>DISA, Legislation and Race Relations</w:t>
      </w:r>
      <w:r>
        <w:t xml:space="preserve">, pp. 1-10.  </w:t>
      </w:r>
    </w:p>
  </w:footnote>
  <w:footnote w:id="22">
    <w:p w14:paraId="7F45CC29" w14:textId="77777777" w:rsidR="005E6435" w:rsidRPr="00DF2F01" w:rsidRDefault="005E6435">
      <w:pPr>
        <w:pStyle w:val="FootnoteText"/>
        <w:rPr>
          <w:lang w:val="en-US"/>
        </w:rPr>
      </w:pPr>
      <w:r>
        <w:rPr>
          <w:rStyle w:val="FootnoteReference"/>
        </w:rPr>
        <w:footnoteRef/>
      </w:r>
      <w:r>
        <w:t xml:space="preserve"> Sallaz: </w:t>
      </w:r>
      <w:r>
        <w:rPr>
          <w:i/>
        </w:rPr>
        <w:t xml:space="preserve">The Labour of Luck, </w:t>
      </w:r>
      <w:r>
        <w:t>p. 137.</w:t>
      </w:r>
    </w:p>
  </w:footnote>
  <w:footnote w:id="23">
    <w:p w14:paraId="33B635B5" w14:textId="77777777" w:rsidR="005E6435" w:rsidRPr="007D582E" w:rsidRDefault="005E6435">
      <w:pPr>
        <w:pStyle w:val="FootnoteText"/>
        <w:rPr>
          <w:lang w:val="en-US"/>
        </w:rPr>
      </w:pPr>
      <w:r>
        <w:rPr>
          <w:rStyle w:val="FootnoteReference"/>
        </w:rPr>
        <w:footnoteRef/>
      </w:r>
      <w:r>
        <w:t xml:space="preserve"> </w:t>
      </w:r>
      <w:r w:rsidRPr="007D582E">
        <w:t>R</w:t>
      </w:r>
      <w:r>
        <w:t xml:space="preserve">. </w:t>
      </w:r>
      <w:r w:rsidRPr="007D582E">
        <w:t xml:space="preserve">Southall: </w:t>
      </w:r>
      <w:r w:rsidRPr="007D582E">
        <w:rPr>
          <w:i/>
        </w:rPr>
        <w:t>South Africa's Transkei: the political economy of an "independent" Bantustan</w:t>
      </w:r>
      <w:r w:rsidRPr="007D582E">
        <w:t>. Monthly Review Press, t</w:t>
      </w:r>
      <w:r>
        <w:t xml:space="preserve">he University of Michigan, 1983, p. 2. </w:t>
      </w:r>
    </w:p>
  </w:footnote>
  <w:footnote w:id="24">
    <w:p w14:paraId="7037417C" w14:textId="77777777" w:rsidR="005E6435" w:rsidRPr="00A54F0E" w:rsidRDefault="005E6435">
      <w:pPr>
        <w:pStyle w:val="FootnoteText"/>
        <w:rPr>
          <w:lang w:val="en-US"/>
        </w:rPr>
      </w:pPr>
      <w:r>
        <w:rPr>
          <w:rStyle w:val="FootnoteReference"/>
        </w:rPr>
        <w:footnoteRef/>
      </w:r>
      <w:r>
        <w:t xml:space="preserve"> </w:t>
      </w:r>
      <w:r>
        <w:rPr>
          <w:lang w:val="en-US"/>
        </w:rPr>
        <w:t xml:space="preserve">The word independence has been placed in single inverted commas to signal that the independence granted came with limitations as the bantustans were largely controlled by the NP government. </w:t>
      </w:r>
    </w:p>
  </w:footnote>
  <w:footnote w:id="25">
    <w:p w14:paraId="12D81EFF" w14:textId="77777777" w:rsidR="005E6435" w:rsidRPr="001E600F" w:rsidRDefault="005E6435" w:rsidP="007C2563">
      <w:pPr>
        <w:pStyle w:val="NoSpacing"/>
      </w:pPr>
      <w:r>
        <w:rPr>
          <w:rStyle w:val="FootnoteReference"/>
        </w:rPr>
        <w:footnoteRef/>
      </w:r>
      <w:r>
        <w:t xml:space="preserve"> L. </w:t>
      </w:r>
      <w:r>
        <w:rPr>
          <w:lang w:val="en-US"/>
        </w:rPr>
        <w:t xml:space="preserve">Evans: ‘South Africa’s Bantustans and the Dynamics of “Decolonization”: Reflections on Writing Histories of the Homelands.’ </w:t>
      </w:r>
      <w:r>
        <w:rPr>
          <w:i/>
          <w:lang w:val="en-US"/>
        </w:rPr>
        <w:t xml:space="preserve">South African Historical Journal, </w:t>
      </w:r>
      <w:r>
        <w:rPr>
          <w:lang w:val="en-US"/>
        </w:rPr>
        <w:t>(2012, 64:1), p. 21-24.</w:t>
      </w:r>
    </w:p>
  </w:footnote>
  <w:footnote w:id="26">
    <w:p w14:paraId="0829D450" w14:textId="77777777" w:rsidR="005E6435" w:rsidRPr="00F660E3" w:rsidRDefault="005E6435" w:rsidP="003E2FD6">
      <w:pPr>
        <w:pStyle w:val="FootnoteText"/>
        <w:jc w:val="left"/>
      </w:pPr>
      <w:r>
        <w:rPr>
          <w:rStyle w:val="FootnoteReference"/>
        </w:rPr>
        <w:footnoteRef/>
      </w:r>
      <w:r>
        <w:t xml:space="preserve"> Quoted in Staff reporter: ‘South Africa: The Birth of Bophuthatswana.’ </w:t>
      </w:r>
      <w:r>
        <w:rPr>
          <w:i/>
        </w:rPr>
        <w:t xml:space="preserve">Time Magazine, </w:t>
      </w:r>
      <w:r>
        <w:t>19 December 1977.</w:t>
      </w:r>
      <w:r>
        <w:rPr>
          <w:i/>
        </w:rPr>
        <w:t xml:space="preserve">  </w:t>
      </w:r>
    </w:p>
  </w:footnote>
  <w:footnote w:id="27">
    <w:p w14:paraId="47C2B2F7" w14:textId="77777777" w:rsidR="005E6435" w:rsidRPr="005A68F2" w:rsidRDefault="005E6435">
      <w:pPr>
        <w:pStyle w:val="FootnoteText"/>
        <w:rPr>
          <w:lang w:val="en-US"/>
        </w:rPr>
      </w:pPr>
      <w:r>
        <w:rPr>
          <w:rStyle w:val="FootnoteReference"/>
        </w:rPr>
        <w:footnoteRef/>
      </w:r>
      <w:r>
        <w:t xml:space="preserve"> H. Wolpe</w:t>
      </w:r>
      <w:r w:rsidRPr="005A68F2">
        <w:t xml:space="preserve">: ‘Capitalism and cheap Labour-Power in South Africa: From Segregation to Apartheid’. </w:t>
      </w:r>
      <w:r w:rsidRPr="005A68F2">
        <w:rPr>
          <w:i/>
        </w:rPr>
        <w:t>Economy and Society</w:t>
      </w:r>
      <w:r w:rsidRPr="005A68F2">
        <w:t>, (1972, 1:4), pp. 425-456</w:t>
      </w:r>
    </w:p>
  </w:footnote>
  <w:footnote w:id="28">
    <w:p w14:paraId="13588686" w14:textId="77777777" w:rsidR="005E6435" w:rsidRPr="00807E09" w:rsidRDefault="005E6435" w:rsidP="00DF2F01">
      <w:pPr>
        <w:pStyle w:val="FootnoteText"/>
      </w:pPr>
      <w:r>
        <w:rPr>
          <w:rStyle w:val="FootnoteReference"/>
        </w:rPr>
        <w:footnoteRef/>
      </w:r>
      <w:r>
        <w:t xml:space="preserve"> D.J. Timothy: </w:t>
      </w:r>
      <w:r>
        <w:rPr>
          <w:i/>
        </w:rPr>
        <w:t xml:space="preserve">Tourism and Political Boundaries. </w:t>
      </w:r>
      <w:r>
        <w:t>Routledge, New York, 2002, pp.122-124.</w:t>
      </w:r>
    </w:p>
  </w:footnote>
  <w:footnote w:id="29">
    <w:p w14:paraId="462D7F85" w14:textId="77777777" w:rsidR="005E6435" w:rsidRDefault="005E6435" w:rsidP="003E2FD6">
      <w:pPr>
        <w:pStyle w:val="FootnoteText"/>
        <w:jc w:val="left"/>
      </w:pPr>
      <w:r>
        <w:rPr>
          <w:rStyle w:val="FootnoteReference"/>
        </w:rPr>
        <w:footnoteRef/>
      </w:r>
      <w:r>
        <w:t xml:space="preserve"> Staff reporter: ‘South Africa: The Birth of Bophuthatswana.’</w:t>
      </w:r>
      <w:r>
        <w:rPr>
          <w:i/>
        </w:rPr>
        <w:t xml:space="preserve">. </w:t>
      </w:r>
    </w:p>
  </w:footnote>
  <w:footnote w:id="30">
    <w:p w14:paraId="5A81FE09" w14:textId="77777777" w:rsidR="005E6435" w:rsidRPr="004411B3" w:rsidRDefault="005E6435">
      <w:pPr>
        <w:pStyle w:val="FootnoteText"/>
        <w:rPr>
          <w:lang w:val="en-US"/>
        </w:rPr>
      </w:pPr>
      <w:r>
        <w:rPr>
          <w:rStyle w:val="FootnoteReference"/>
        </w:rPr>
        <w:footnoteRef/>
      </w:r>
      <w:r>
        <w:t xml:space="preserve"> </w:t>
      </w:r>
      <w:r>
        <w:rPr>
          <w:lang w:val="en-US"/>
        </w:rPr>
        <w:t>Evans: ‘South Africa’s Bantustans and the Dynamics of “Decolonization”’, pp. 9-21.</w:t>
      </w:r>
    </w:p>
  </w:footnote>
  <w:footnote w:id="31">
    <w:p w14:paraId="47FB8E9D" w14:textId="77777777" w:rsidR="005E6435" w:rsidRPr="002C7C45" w:rsidRDefault="005E6435" w:rsidP="00490EC3">
      <w:pPr>
        <w:pStyle w:val="FootnoteText"/>
        <w:jc w:val="left"/>
      </w:pPr>
      <w:r>
        <w:rPr>
          <w:rStyle w:val="FootnoteReference"/>
        </w:rPr>
        <w:footnoteRef/>
      </w:r>
      <w:r>
        <w:t xml:space="preserve"> </w:t>
      </w:r>
      <w:r>
        <w:rPr>
          <w:lang w:val="en-US"/>
        </w:rPr>
        <w:t>Evans: ‘South Africa’s Bantustans and the Dynamics of “Decolonization”’</w:t>
      </w:r>
      <w:r>
        <w:rPr>
          <w:i/>
        </w:rPr>
        <w:t xml:space="preserve">, </w:t>
      </w:r>
      <w:r>
        <w:t>p. 233.</w:t>
      </w:r>
    </w:p>
  </w:footnote>
  <w:footnote w:id="32">
    <w:p w14:paraId="189AF3BB" w14:textId="77777777" w:rsidR="005E6435" w:rsidRDefault="005E6435" w:rsidP="00415272">
      <w:pPr>
        <w:pStyle w:val="FootnoteText"/>
        <w:jc w:val="left"/>
      </w:pPr>
      <w:r>
        <w:rPr>
          <w:rStyle w:val="FootnoteReference"/>
        </w:rPr>
        <w:footnoteRef/>
      </w:r>
      <w:r>
        <w:t xml:space="preserve"> L. Korf: </w:t>
      </w:r>
      <w:r>
        <w:rPr>
          <w:i/>
        </w:rPr>
        <w:t xml:space="preserve">D.F. Malan: An Intellectual Biography, 1874-1915. </w:t>
      </w:r>
      <w:r>
        <w:t>MA Thesis, University of Johannesburg, June 2005, pp. 1-29</w:t>
      </w:r>
    </w:p>
  </w:footnote>
  <w:footnote w:id="33">
    <w:p w14:paraId="0B85067B" w14:textId="77777777" w:rsidR="005E6435" w:rsidRPr="00E41606" w:rsidRDefault="005E6435" w:rsidP="00826ABC">
      <w:pPr>
        <w:pStyle w:val="FootnoteText"/>
      </w:pPr>
      <w:r>
        <w:rPr>
          <w:rStyle w:val="FootnoteReference"/>
        </w:rPr>
        <w:footnoteRef/>
      </w:r>
      <w:r>
        <w:t xml:space="preserve"> Sallaz: </w:t>
      </w:r>
      <w:r>
        <w:rPr>
          <w:i/>
        </w:rPr>
        <w:t>The Labour of Luck</w:t>
      </w:r>
      <w:r>
        <w:t xml:space="preserve">, p. 134. </w:t>
      </w:r>
    </w:p>
  </w:footnote>
  <w:footnote w:id="34">
    <w:p w14:paraId="09566358" w14:textId="77777777" w:rsidR="005E6435" w:rsidRPr="003A7210" w:rsidRDefault="005E6435">
      <w:pPr>
        <w:pStyle w:val="FootnoteText"/>
        <w:rPr>
          <w:lang w:val="en-US"/>
        </w:rPr>
      </w:pPr>
      <w:r>
        <w:rPr>
          <w:rStyle w:val="FootnoteReference"/>
        </w:rPr>
        <w:footnoteRef/>
      </w:r>
      <w:r>
        <w:t xml:space="preserve"> </w:t>
      </w:r>
      <w:r>
        <w:rPr>
          <w:lang w:val="en-US"/>
        </w:rPr>
        <w:t xml:space="preserve">Trade unions were banned in Bophuthatswana. </w:t>
      </w:r>
    </w:p>
  </w:footnote>
  <w:footnote w:id="35">
    <w:p w14:paraId="522DE575" w14:textId="77777777" w:rsidR="005E6435" w:rsidRPr="00034A3A" w:rsidRDefault="005E6435" w:rsidP="00826ABC">
      <w:pPr>
        <w:pStyle w:val="NoSpacing"/>
      </w:pPr>
      <w:r>
        <w:rPr>
          <w:rStyle w:val="FootnoteReference"/>
        </w:rPr>
        <w:footnoteRef/>
      </w:r>
      <w:r>
        <w:t xml:space="preserve"> B. Keller: ‘Resort (Not Too African) for Rich Tourists.’ </w:t>
      </w:r>
      <w:r>
        <w:rPr>
          <w:i/>
        </w:rPr>
        <w:t>The New York Times</w:t>
      </w:r>
      <w:r w:rsidRPr="00034A3A">
        <w:rPr>
          <w:szCs w:val="20"/>
          <w:lang w:val="en-US"/>
        </w:rPr>
        <w:t>, 3 December 1992.</w:t>
      </w:r>
      <w:r>
        <w:rPr>
          <w:i/>
        </w:rPr>
        <w:t xml:space="preserve"> </w:t>
      </w:r>
      <w:r>
        <w:t xml:space="preserve">[Online] </w:t>
      </w:r>
      <w:hyperlink r:id="rId5" w:history="1">
        <w:r w:rsidRPr="00A77294">
          <w:rPr>
            <w:rStyle w:val="Hyperlink"/>
          </w:rPr>
          <w:t xml:space="preserve">http://www.nytimes.com/1992/12/03/world/resort-not-too-african-for-rich-tourists.html </w:t>
        </w:r>
        <w:r w:rsidRPr="00034A3A">
          <w:rPr>
            <w:szCs w:val="20"/>
            <w:lang w:val="en-US"/>
          </w:rPr>
          <w:t>(25</w:t>
        </w:r>
      </w:hyperlink>
      <w:r>
        <w:t xml:space="preserve"> February 2015). </w:t>
      </w:r>
    </w:p>
  </w:footnote>
  <w:footnote w:id="36">
    <w:p w14:paraId="45C8A613" w14:textId="77777777" w:rsidR="005E6435" w:rsidRDefault="005E6435" w:rsidP="00693B29">
      <w:pPr>
        <w:pStyle w:val="FootnoteText"/>
      </w:pPr>
      <w:r>
        <w:rPr>
          <w:rStyle w:val="FootnoteReference"/>
        </w:rPr>
        <w:footnoteRef/>
      </w:r>
      <w:r>
        <w:t xml:space="preserve"> </w:t>
      </w:r>
      <w:r>
        <w:rPr>
          <w:i/>
        </w:rPr>
        <w:t>Ibid,</w:t>
      </w:r>
      <w:r>
        <w:t xml:space="preserve"> 137.</w:t>
      </w:r>
    </w:p>
  </w:footnote>
  <w:footnote w:id="37">
    <w:p w14:paraId="3D98084F" w14:textId="77777777" w:rsidR="005E6435" w:rsidRPr="003A7210" w:rsidRDefault="005E6435">
      <w:pPr>
        <w:pStyle w:val="FootnoteText"/>
        <w:rPr>
          <w:lang w:val="en-US"/>
        </w:rPr>
      </w:pPr>
      <w:r>
        <w:rPr>
          <w:rStyle w:val="FootnoteReference"/>
        </w:rPr>
        <w:footnoteRef/>
      </w:r>
      <w:r>
        <w:t xml:space="preserve"> Sallaz: </w:t>
      </w:r>
      <w:r>
        <w:rPr>
          <w:i/>
        </w:rPr>
        <w:t>The Labour of Luck</w:t>
      </w:r>
      <w:r>
        <w:t>, p. 144.</w:t>
      </w:r>
    </w:p>
  </w:footnote>
  <w:footnote w:id="38">
    <w:p w14:paraId="0C839DA3" w14:textId="77777777" w:rsidR="005E6435" w:rsidRDefault="005E6435" w:rsidP="00415272">
      <w:pPr>
        <w:pStyle w:val="FootnoteText"/>
        <w:jc w:val="left"/>
      </w:pPr>
      <w:r>
        <w:rPr>
          <w:rStyle w:val="FootnoteReference"/>
        </w:rPr>
        <w:footnoteRef/>
      </w:r>
      <w:r>
        <w:t xml:space="preserve"> J.J. Sallaz: </w:t>
      </w:r>
      <w:r w:rsidRPr="009C1495">
        <w:rPr>
          <w:i/>
        </w:rPr>
        <w:t xml:space="preserve">Gambling with Development: Casino Capitalism in South Africa and on Indian Lands in </w:t>
      </w:r>
      <w:r w:rsidRPr="00586D3A">
        <w:rPr>
          <w:i/>
        </w:rPr>
        <w:t xml:space="preserve">California. </w:t>
      </w:r>
      <w:hyperlink r:id="rId6" w:history="1">
        <w:r w:rsidRPr="00586D3A">
          <w:rPr>
            <w:rStyle w:val="Hyperlink"/>
          </w:rPr>
          <w:t>http://www.irle.berkeley.edu/culture/conference/sallaz.pdf</w:t>
        </w:r>
        <w:r w:rsidRPr="00586D3A">
          <w:rPr>
            <w:rStyle w:val="Hyperlink"/>
            <w:color w:val="auto"/>
          </w:rPr>
          <w:t xml:space="preserve"> (3</w:t>
        </w:r>
      </w:hyperlink>
      <w:r>
        <w:t xml:space="preserve"> August 2014), pp. 12-16. </w:t>
      </w:r>
    </w:p>
  </w:footnote>
  <w:footnote w:id="39">
    <w:p w14:paraId="30432F03" w14:textId="77777777" w:rsidR="005E6435" w:rsidRPr="00586D3A" w:rsidRDefault="005E6435" w:rsidP="00415272">
      <w:pPr>
        <w:pStyle w:val="FootnoteText"/>
        <w:jc w:val="left"/>
        <w:rPr>
          <w:i/>
        </w:rPr>
      </w:pPr>
      <w:r>
        <w:rPr>
          <w:rStyle w:val="FootnoteReference"/>
        </w:rPr>
        <w:footnoteRef/>
      </w:r>
      <w:r>
        <w:t xml:space="preserve"> </w:t>
      </w:r>
      <w:r w:rsidRPr="00586D3A">
        <w:t>S</w:t>
      </w:r>
      <w:r>
        <w:t>allaz</w:t>
      </w:r>
      <w:r w:rsidRPr="00586D3A">
        <w:t>:</w:t>
      </w:r>
      <w:r>
        <w:t xml:space="preserve"> </w:t>
      </w:r>
      <w:r w:rsidRPr="00586D3A">
        <w:rPr>
          <w:i/>
        </w:rPr>
        <w:t>The Labour of Luck</w:t>
      </w:r>
      <w:r>
        <w:rPr>
          <w:i/>
        </w:rPr>
        <w:t xml:space="preserve">, </w:t>
      </w:r>
      <w:r>
        <w:t>pp. 65-72.</w:t>
      </w:r>
    </w:p>
  </w:footnote>
  <w:footnote w:id="40">
    <w:p w14:paraId="1C6F53CB" w14:textId="77777777" w:rsidR="005E6435" w:rsidRPr="00C7587E" w:rsidRDefault="005E6435" w:rsidP="00415272">
      <w:pPr>
        <w:pStyle w:val="FootnoteText"/>
        <w:jc w:val="left"/>
        <w:rPr>
          <w:lang w:val="en-US"/>
        </w:rPr>
      </w:pPr>
      <w:r>
        <w:rPr>
          <w:rStyle w:val="FootnoteReference"/>
        </w:rPr>
        <w:footnoteRef/>
      </w:r>
      <w:r>
        <w:t xml:space="preserve"> T.T. Sannar. ‘Playing Sun City: The Politics of Entertainment at a South African Mega-Resort.’ PhD thesis, University of California, Santa Barbara, 2011.</w:t>
      </w:r>
    </w:p>
  </w:footnote>
  <w:footnote w:id="41">
    <w:p w14:paraId="75EE5415" w14:textId="77777777" w:rsidR="005E6435" w:rsidRPr="00DF4277" w:rsidRDefault="005E6435" w:rsidP="00415272">
      <w:pPr>
        <w:pStyle w:val="FootnoteText"/>
        <w:jc w:val="left"/>
        <w:rPr>
          <w:lang w:val="en-US"/>
        </w:rPr>
      </w:pPr>
      <w:r>
        <w:rPr>
          <w:rStyle w:val="FootnoteReference"/>
        </w:rPr>
        <w:footnoteRef/>
      </w:r>
      <w:r>
        <w:t xml:space="preserve"> J.R. Freeman: ‘Sun City and the Sounds of Liberation: Cultural Resistance for Social Justice in Apartheid South Africa.’ MA thesis, University of California, Los Angeles, 2014, pp. 19-20.</w:t>
      </w:r>
    </w:p>
  </w:footnote>
  <w:footnote w:id="42">
    <w:p w14:paraId="531C9274" w14:textId="77777777" w:rsidR="005E6435" w:rsidRDefault="005E6435" w:rsidP="00A201C2">
      <w:pPr>
        <w:pStyle w:val="NoSpacing"/>
      </w:pPr>
      <w:r>
        <w:rPr>
          <w:rStyle w:val="FootnoteReference"/>
        </w:rPr>
        <w:footnoteRef/>
      </w:r>
      <w:r>
        <w:t xml:space="preserve"> S. Ally &amp; A. Lissoni: ‘Let’s talk about Bantustans.’ </w:t>
      </w:r>
      <w:r>
        <w:rPr>
          <w:i/>
        </w:rPr>
        <w:t xml:space="preserve">South African Historical Journal, </w:t>
      </w:r>
      <w:r>
        <w:t xml:space="preserve">(2012, 64:1), pp. 1-4. </w:t>
      </w:r>
    </w:p>
  </w:footnote>
  <w:footnote w:id="43">
    <w:p w14:paraId="0A2B4A7B" w14:textId="77777777" w:rsidR="005E6435" w:rsidRPr="00C16453" w:rsidRDefault="005E6435" w:rsidP="00A201C2">
      <w:pPr>
        <w:pStyle w:val="FootnoteText"/>
        <w:jc w:val="left"/>
        <w:rPr>
          <w:lang w:val="en-US"/>
        </w:rPr>
      </w:pPr>
      <w:r>
        <w:rPr>
          <w:rStyle w:val="FootnoteReference"/>
        </w:rPr>
        <w:footnoteRef/>
      </w:r>
      <w:r>
        <w:t xml:space="preserve"> A. Manson</w:t>
      </w:r>
      <w:r w:rsidRPr="004A310E">
        <w:t xml:space="preserve"> &amp; </w:t>
      </w:r>
      <w:r>
        <w:t xml:space="preserve">B. </w:t>
      </w:r>
      <w:r w:rsidRPr="004A310E">
        <w:t>Mbenga</w:t>
      </w:r>
      <w:r>
        <w:t>:</w:t>
      </w:r>
      <w:r w:rsidRPr="004A310E">
        <w:t xml:space="preserve"> ‘Bophuthatswana and the North-West Province: From Pan-Tswanaism to Mine</w:t>
      </w:r>
      <w:r>
        <w:t>ral-Based Ethnic Assertiveness.’</w:t>
      </w:r>
      <w:r w:rsidRPr="004A310E">
        <w:t xml:space="preserve"> </w:t>
      </w:r>
      <w:r w:rsidRPr="004A310E">
        <w:rPr>
          <w:i/>
        </w:rPr>
        <w:t xml:space="preserve">South African Historical Journal, </w:t>
      </w:r>
      <w:r>
        <w:t xml:space="preserve">(2012, 64:1), pp. 96-116; A. Manson &amp; B.K. Mbenga: </w:t>
      </w:r>
      <w:r w:rsidRPr="001D0CC5">
        <w:rPr>
          <w:i/>
        </w:rPr>
        <w:t>Land, Chiefs, Mining: South Africa’s North West province since 1840</w:t>
      </w:r>
      <w:r>
        <w:t xml:space="preserve">. Wits University Press, Johannesburg, 2014, p. 164; A. Manson, B. Mbenga &amp; A. Lissoni: </w:t>
      </w:r>
      <w:r>
        <w:rPr>
          <w:i/>
        </w:rPr>
        <w:t xml:space="preserve">Khongolose: A Short History of the ANC in the North-West Province from 1909. </w:t>
      </w:r>
      <w:r>
        <w:t xml:space="preserve">UNISA Press, Pretoria, 2016, pp. 79-88 et al. </w:t>
      </w:r>
    </w:p>
  </w:footnote>
  <w:footnote w:id="44">
    <w:p w14:paraId="39D4F819" w14:textId="77777777" w:rsidR="005E6435" w:rsidRPr="00DB2AA1" w:rsidRDefault="005E6435" w:rsidP="00A201C2">
      <w:pPr>
        <w:pStyle w:val="FootnoteText"/>
        <w:jc w:val="left"/>
        <w:rPr>
          <w:lang w:val="en-US"/>
        </w:rPr>
      </w:pPr>
      <w:r>
        <w:rPr>
          <w:rStyle w:val="FootnoteReference"/>
        </w:rPr>
        <w:footnoteRef/>
      </w:r>
      <w:r>
        <w:t xml:space="preserve"> South African Historical </w:t>
      </w:r>
      <w:r w:rsidRPr="00DB2AA1">
        <w:t>Journal</w:t>
      </w:r>
      <w:r>
        <w:t xml:space="preserve"> special </w:t>
      </w:r>
      <w:r w:rsidRPr="00DB2AA1">
        <w:t>i</w:t>
      </w:r>
      <w:r w:rsidRPr="009F5F5C">
        <w:t>ssue</w:t>
      </w:r>
      <w:r>
        <w:t>, volume number</w:t>
      </w:r>
      <w:r w:rsidRPr="00757572">
        <w:t xml:space="preserve"> 64, issue 1, 2012</w:t>
      </w:r>
    </w:p>
  </w:footnote>
  <w:footnote w:id="45">
    <w:p w14:paraId="3A3E9F63" w14:textId="77777777" w:rsidR="005E6435" w:rsidRPr="00182441" w:rsidRDefault="005E6435" w:rsidP="00A201C2">
      <w:pPr>
        <w:pStyle w:val="FootnoteText"/>
        <w:jc w:val="left"/>
        <w:rPr>
          <w:lang w:val="en-US"/>
        </w:rPr>
      </w:pPr>
      <w:r>
        <w:rPr>
          <w:rStyle w:val="FootnoteReference"/>
        </w:rPr>
        <w:footnoteRef/>
      </w:r>
      <w:r>
        <w:t xml:space="preserve"> Ally &amp; Lissoni: ‘Let’s talk about Bantustans’, pp. 1-4.</w:t>
      </w:r>
    </w:p>
  </w:footnote>
  <w:footnote w:id="46">
    <w:p w14:paraId="0F757DAC" w14:textId="77777777" w:rsidR="005E6435" w:rsidRPr="00D4070D" w:rsidRDefault="005E6435" w:rsidP="00A201C2">
      <w:pPr>
        <w:pStyle w:val="FootnoteText"/>
        <w:jc w:val="left"/>
        <w:rPr>
          <w:lang w:val="en-US"/>
        </w:rPr>
      </w:pPr>
      <w:r>
        <w:rPr>
          <w:rStyle w:val="FootnoteReference"/>
        </w:rPr>
        <w:footnoteRef/>
      </w:r>
      <w:r>
        <w:t xml:space="preserve"> C.M. Chipkin: </w:t>
      </w:r>
      <w:r w:rsidRPr="00D4070D">
        <w:rPr>
          <w:i/>
        </w:rPr>
        <w:t>Johannesburg Transition – Architecture and Society from 1950</w:t>
      </w:r>
      <w:r>
        <w:t xml:space="preserve">. STE Publishers, Johannesburg, 2008. </w:t>
      </w:r>
    </w:p>
  </w:footnote>
  <w:footnote w:id="47">
    <w:p w14:paraId="2962E7C2" w14:textId="77777777" w:rsidR="005E6435" w:rsidRDefault="005E6435" w:rsidP="00CD4878">
      <w:pPr>
        <w:pStyle w:val="FootnoteText"/>
      </w:pPr>
      <w:r>
        <w:rPr>
          <w:rStyle w:val="FootnoteReference"/>
        </w:rPr>
        <w:footnoteRef/>
      </w:r>
      <w:r>
        <w:t xml:space="preserve"> C.M. Chipkin: </w:t>
      </w:r>
      <w:r w:rsidRPr="00034A3A">
        <w:rPr>
          <w:i/>
        </w:rPr>
        <w:t>Johannesburg Transition</w:t>
      </w:r>
      <w:r>
        <w:t xml:space="preserve">, p. 278. </w:t>
      </w:r>
    </w:p>
  </w:footnote>
  <w:footnote w:id="48">
    <w:p w14:paraId="5261C0C3" w14:textId="77777777" w:rsidR="005E6435" w:rsidRPr="00A44873" w:rsidRDefault="005E6435" w:rsidP="00CD4878">
      <w:pPr>
        <w:pStyle w:val="NoSpacing"/>
      </w:pPr>
      <w:r>
        <w:rPr>
          <w:rStyle w:val="FootnoteReference"/>
        </w:rPr>
        <w:footnoteRef/>
      </w:r>
      <w:r>
        <w:t xml:space="preserve"> </w:t>
      </w:r>
      <w:r>
        <w:rPr>
          <w:lang w:val="en-US"/>
        </w:rPr>
        <w:t>Staff writer: ‘</w:t>
      </w:r>
      <w:r>
        <w:t xml:space="preserve">Sol Kerzner: back with a bang’ </w:t>
      </w:r>
      <w:r>
        <w:rPr>
          <w:i/>
        </w:rPr>
        <w:t xml:space="preserve">Brand South Africa, </w:t>
      </w:r>
      <w:r>
        <w:t xml:space="preserve">2 January 2004 [Online] </w:t>
      </w:r>
      <w:hyperlink r:id="rId7" w:anchor=".V-tblvl97IU" w:history="1">
        <w:r w:rsidRPr="006805F0">
          <w:rPr>
            <w:rStyle w:val="Hyperlink"/>
          </w:rPr>
          <w:t>http://www.southafrica.info/business/investing/kerzner-one&amp;only.htm#.V-tblvl97IU</w:t>
        </w:r>
      </w:hyperlink>
      <w:r>
        <w:t xml:space="preserve"> (28 September 2016).</w:t>
      </w:r>
    </w:p>
  </w:footnote>
  <w:footnote w:id="49">
    <w:p w14:paraId="0B2CD707" w14:textId="77777777" w:rsidR="005E6435" w:rsidRDefault="005E6435" w:rsidP="00CD4878">
      <w:pPr>
        <w:pStyle w:val="NoSpacing"/>
      </w:pPr>
      <w:r>
        <w:rPr>
          <w:rStyle w:val="FootnoteReference"/>
        </w:rPr>
        <w:footnoteRef/>
      </w:r>
      <w:r>
        <w:t xml:space="preserve"> Staff reporter: ‘King Sol.’ </w:t>
      </w:r>
      <w:r>
        <w:rPr>
          <w:i/>
        </w:rPr>
        <w:t xml:space="preserve">Time Magazine, </w:t>
      </w:r>
      <w:r>
        <w:t>12 September 1983.</w:t>
      </w:r>
      <w:r>
        <w:rPr>
          <w:i/>
        </w:rPr>
        <w:t xml:space="preserve"> </w:t>
      </w:r>
      <w:r>
        <w:t xml:space="preserve">[Online] </w:t>
      </w:r>
      <w:hyperlink r:id="rId8" w:history="1">
        <w:r w:rsidRPr="00F004AF">
          <w:rPr>
            <w:rStyle w:val="Hyperlink"/>
          </w:rPr>
          <w:t>http://content.time.com/time/subscriber/article/0,33009,926196,00.html</w:t>
        </w:r>
      </w:hyperlink>
      <w:r>
        <w:t xml:space="preserve"> (21 October 2015).</w:t>
      </w:r>
    </w:p>
  </w:footnote>
  <w:footnote w:id="50">
    <w:p w14:paraId="5241E762" w14:textId="77777777" w:rsidR="005E6435" w:rsidRPr="008276D7" w:rsidRDefault="005E6435" w:rsidP="00CD4878">
      <w:pPr>
        <w:spacing w:after="0" w:line="240" w:lineRule="auto"/>
        <w:jc w:val="left"/>
        <w:rPr>
          <w:sz w:val="20"/>
        </w:rPr>
      </w:pPr>
      <w:r>
        <w:rPr>
          <w:rStyle w:val="FootnoteReference"/>
        </w:rPr>
        <w:footnoteRef/>
      </w:r>
      <w:r>
        <w:t xml:space="preserve"> </w:t>
      </w:r>
      <w:r>
        <w:rPr>
          <w:rStyle w:val="NoSpacingChar"/>
        </w:rPr>
        <w:t>Keller</w:t>
      </w:r>
      <w:r w:rsidRPr="008276D7">
        <w:rPr>
          <w:rStyle w:val="NoSpacingChar"/>
        </w:rPr>
        <w:t xml:space="preserve">: ‘Resort (Not Too African) for Rich Tourists’ </w:t>
      </w:r>
    </w:p>
  </w:footnote>
  <w:footnote w:id="51">
    <w:p w14:paraId="45566B26" w14:textId="77777777" w:rsidR="005E6435" w:rsidRPr="00CD1F89" w:rsidRDefault="005E6435" w:rsidP="00CD4878">
      <w:pPr>
        <w:pStyle w:val="FootnoteText"/>
        <w:jc w:val="left"/>
      </w:pPr>
      <w:r>
        <w:rPr>
          <w:rStyle w:val="FootnoteReference"/>
        </w:rPr>
        <w:footnoteRef/>
      </w:r>
      <w:r>
        <w:t xml:space="preserve"> M. Hall: ‘The Legend of the Lost City; Or; the Man with Golden Balls.’ </w:t>
      </w:r>
      <w:r>
        <w:rPr>
          <w:i/>
        </w:rPr>
        <w:t xml:space="preserve">Journal of Southern African Studies. </w:t>
      </w:r>
      <w:r>
        <w:t>(1995, 21:2), pp. 179-180.</w:t>
      </w:r>
    </w:p>
  </w:footnote>
  <w:footnote w:id="52">
    <w:p w14:paraId="1F5974C3" w14:textId="77777777" w:rsidR="005E6435" w:rsidRPr="00362550" w:rsidRDefault="005E6435" w:rsidP="00CD4878">
      <w:pPr>
        <w:pStyle w:val="FootnoteText"/>
        <w:rPr>
          <w:lang w:val="en-US"/>
        </w:rPr>
      </w:pPr>
      <w:r>
        <w:rPr>
          <w:rStyle w:val="FootnoteReference"/>
        </w:rPr>
        <w:footnoteRef/>
      </w:r>
      <w:r>
        <w:t xml:space="preserve"> A. Manson &amp; B.K. Mbenga: </w:t>
      </w:r>
      <w:r w:rsidRPr="001D0CC5">
        <w:rPr>
          <w:i/>
        </w:rPr>
        <w:t>Land, Chiefs, Mining: South Africa’s North West province since 1840</w:t>
      </w:r>
      <w:r>
        <w:t xml:space="preserve">. Wits University Press, Johannesburg, 2014, p. 164. </w:t>
      </w:r>
    </w:p>
  </w:footnote>
  <w:footnote w:id="53">
    <w:p w14:paraId="45E11C27" w14:textId="77777777" w:rsidR="005E6435" w:rsidRPr="00213394" w:rsidRDefault="005E6435" w:rsidP="00CD4878">
      <w:pPr>
        <w:pStyle w:val="FootnoteText"/>
        <w:jc w:val="left"/>
      </w:pPr>
      <w:r>
        <w:rPr>
          <w:rStyle w:val="FootnoteReference"/>
        </w:rPr>
        <w:footnoteRef/>
      </w:r>
      <w:r>
        <w:t xml:space="preserve"> D.G. Schwartz: </w:t>
      </w:r>
      <w:r>
        <w:rPr>
          <w:i/>
        </w:rPr>
        <w:t xml:space="preserve">Roll the Bones: The History of Gambling. </w:t>
      </w:r>
      <w:r>
        <w:t xml:space="preserve">Penguin Books, New York, 2006, p. 465. </w:t>
      </w:r>
    </w:p>
  </w:footnote>
  <w:footnote w:id="54">
    <w:p w14:paraId="6801F0A9" w14:textId="77777777" w:rsidR="005E6435" w:rsidRPr="00C53FFA" w:rsidRDefault="005E6435" w:rsidP="00CD4878">
      <w:pPr>
        <w:pStyle w:val="FootnoteText"/>
        <w:jc w:val="left"/>
      </w:pPr>
      <w:r>
        <w:rPr>
          <w:rStyle w:val="FootnoteReference"/>
        </w:rPr>
        <w:footnoteRef/>
      </w:r>
      <w:r>
        <w:t xml:space="preserve"> Staff reporter: ‘Police move closer to Sol’ </w:t>
      </w:r>
      <w:r>
        <w:rPr>
          <w:i/>
        </w:rPr>
        <w:t xml:space="preserve">Mail and Guardian, </w:t>
      </w:r>
      <w:r>
        <w:t>17 November 1995.</w:t>
      </w:r>
      <w:r>
        <w:rPr>
          <w:i/>
        </w:rPr>
        <w:t xml:space="preserve"> </w:t>
      </w:r>
      <w:r>
        <w:t xml:space="preserve">[Online] </w:t>
      </w:r>
      <w:hyperlink r:id="rId9" w:history="1">
        <w:r w:rsidRPr="007A5D1E">
          <w:rPr>
            <w:rStyle w:val="Hyperlink"/>
          </w:rPr>
          <w:t>http://mg.co.za/article/1995-11-17-police-move-closer-to-sol (</w:t>
        </w:r>
      </w:hyperlink>
      <w:r>
        <w:t xml:space="preserve">9 February 2015). </w:t>
      </w:r>
    </w:p>
  </w:footnote>
  <w:footnote w:id="55">
    <w:p w14:paraId="2D7A8433" w14:textId="77777777" w:rsidR="005E6435" w:rsidRDefault="005E6435" w:rsidP="00415272">
      <w:pPr>
        <w:pStyle w:val="FootnoteText"/>
        <w:jc w:val="left"/>
      </w:pPr>
      <w:r>
        <w:rPr>
          <w:rStyle w:val="FootnoteReference"/>
        </w:rPr>
        <w:footnoteRef/>
      </w:r>
      <w:r>
        <w:t xml:space="preserve"> </w:t>
      </w:r>
      <w:r w:rsidRPr="00415272">
        <w:rPr>
          <w:i/>
        </w:rPr>
        <w:t>My Story: Solomon Kerzner</w:t>
      </w:r>
      <w:r w:rsidRPr="00415272">
        <w:t>, South Africa, 6 June 2015.</w:t>
      </w:r>
    </w:p>
  </w:footnote>
  <w:footnote w:id="56">
    <w:p w14:paraId="502E5538" w14:textId="77777777" w:rsidR="005E6435" w:rsidRDefault="005E6435" w:rsidP="00415272">
      <w:pPr>
        <w:pStyle w:val="FootnoteText"/>
        <w:jc w:val="left"/>
      </w:pPr>
      <w:r>
        <w:rPr>
          <w:rStyle w:val="FootnoteReference"/>
        </w:rPr>
        <w:footnoteRef/>
      </w:r>
      <w:r>
        <w:t xml:space="preserve"> C.M. Chipkin: </w:t>
      </w:r>
      <w:r w:rsidRPr="00D56BB9">
        <w:rPr>
          <w:i/>
        </w:rPr>
        <w:t>Johannesburg Transition</w:t>
      </w:r>
      <w:r>
        <w:rPr>
          <w:i/>
        </w:rPr>
        <w:t xml:space="preserve">, </w:t>
      </w:r>
      <w:r>
        <w:t xml:space="preserve">p. 278. </w:t>
      </w:r>
    </w:p>
  </w:footnote>
  <w:footnote w:id="57">
    <w:p w14:paraId="1C882421" w14:textId="77777777" w:rsidR="005E6435" w:rsidRDefault="005E6435" w:rsidP="00415272">
      <w:pPr>
        <w:pStyle w:val="NoSpacing"/>
      </w:pPr>
      <w:r>
        <w:rPr>
          <w:rStyle w:val="FootnoteReference"/>
        </w:rPr>
        <w:footnoteRef/>
      </w:r>
      <w:r>
        <w:t xml:space="preserve"> Staff reporter: ‘Sol Kerzner’s first hotel turns 50’ </w:t>
      </w:r>
      <w:r>
        <w:rPr>
          <w:i/>
        </w:rPr>
        <w:t>Fin 24</w:t>
      </w:r>
      <w:r>
        <w:t xml:space="preserve">, 24 November 2014. [Online] </w:t>
      </w:r>
      <w:hyperlink r:id="rId10" w:history="1">
        <w:r w:rsidRPr="00CF6C26">
          <w:rPr>
            <w:rStyle w:val="Hyperlink"/>
          </w:rPr>
          <w:t xml:space="preserve">http://www.fin24.com/Companies/TravelAndLeisure/Sol-Kerzners-first-hotel-turns-50-20141124 </w:t>
        </w:r>
        <w:r w:rsidRPr="004D0C71">
          <w:t>(26</w:t>
        </w:r>
      </w:hyperlink>
      <w:r>
        <w:t xml:space="preserve"> January 2016). </w:t>
      </w:r>
    </w:p>
  </w:footnote>
  <w:footnote w:id="58">
    <w:p w14:paraId="2DDED736" w14:textId="77777777" w:rsidR="005E6435" w:rsidRPr="00CB770C" w:rsidRDefault="005E6435" w:rsidP="00415272">
      <w:pPr>
        <w:pStyle w:val="FootnoteText"/>
        <w:jc w:val="left"/>
        <w:rPr>
          <w:lang w:val="en-US"/>
        </w:rPr>
      </w:pPr>
      <w:r>
        <w:rPr>
          <w:rStyle w:val="FootnoteReference"/>
        </w:rPr>
        <w:footnoteRef/>
      </w:r>
      <w:r>
        <w:t xml:space="preserve"> C.M. </w:t>
      </w:r>
      <w:r>
        <w:rPr>
          <w:rStyle w:val="NoSpacingChar"/>
        </w:rPr>
        <w:t>Rogerson</w:t>
      </w:r>
      <w:r w:rsidRPr="00872C1A">
        <w:rPr>
          <w:rStyle w:val="NoSpacingChar"/>
        </w:rPr>
        <w:t xml:space="preserve">: ‘Sun International: The Making of a South African Tourismus Multinational.’ </w:t>
      </w:r>
      <w:r w:rsidRPr="00F46783">
        <w:rPr>
          <w:rStyle w:val="NoSpacingChar"/>
          <w:i/>
        </w:rPr>
        <w:t>GeoJournal</w:t>
      </w:r>
      <w:r w:rsidRPr="00872C1A">
        <w:rPr>
          <w:rStyle w:val="NoSpacingChar"/>
        </w:rPr>
        <w:t>, (1990, 22:</w:t>
      </w:r>
      <w:r>
        <w:rPr>
          <w:rStyle w:val="NoSpacingChar"/>
        </w:rPr>
        <w:t>3), pp. 346-350</w:t>
      </w:r>
    </w:p>
  </w:footnote>
  <w:footnote w:id="59">
    <w:p w14:paraId="58F3088F" w14:textId="77777777" w:rsidR="005E6435" w:rsidRPr="00CB770C" w:rsidRDefault="005E6435" w:rsidP="00415272">
      <w:pPr>
        <w:pStyle w:val="FootnoteText"/>
        <w:jc w:val="left"/>
        <w:rPr>
          <w:lang w:val="en-US"/>
        </w:rPr>
      </w:pPr>
      <w:r>
        <w:rPr>
          <w:rStyle w:val="FootnoteReference"/>
        </w:rPr>
        <w:footnoteRef/>
      </w:r>
      <w:r>
        <w:t xml:space="preserve"> </w:t>
      </w:r>
      <w:r w:rsidRPr="00CB770C">
        <w:rPr>
          <w:rStyle w:val="NoSpacingChar"/>
        </w:rPr>
        <w:t xml:space="preserve">A. Grundlingh: ‘Revisiting the ‘Old’ South Africa: Excursions into South Africa’s Tourist History under Apartheid, 1948-1990.’ </w:t>
      </w:r>
      <w:r w:rsidRPr="00415272">
        <w:rPr>
          <w:rStyle w:val="NoSpacingChar"/>
          <w:i/>
        </w:rPr>
        <w:t>South African Historical Journal</w:t>
      </w:r>
      <w:r w:rsidRPr="00CB770C">
        <w:rPr>
          <w:rStyle w:val="NoSpacingChar"/>
        </w:rPr>
        <w:t>, (2009, 56:1), pp. 1</w:t>
      </w:r>
      <w:r>
        <w:rPr>
          <w:rStyle w:val="NoSpacingChar"/>
        </w:rPr>
        <w:t>05-106</w:t>
      </w:r>
      <w:r w:rsidRPr="00CB770C">
        <w:rPr>
          <w:rStyle w:val="NoSpacingChar"/>
        </w:rPr>
        <w:t>.</w:t>
      </w:r>
    </w:p>
  </w:footnote>
  <w:footnote w:id="60">
    <w:p w14:paraId="7E9C3CE6" w14:textId="77777777" w:rsidR="005E6435" w:rsidRPr="00083BC1" w:rsidRDefault="005E6435" w:rsidP="00415272">
      <w:pPr>
        <w:pStyle w:val="FootnoteText"/>
        <w:jc w:val="left"/>
        <w:rPr>
          <w:lang w:val="en-US"/>
        </w:rPr>
      </w:pPr>
      <w:r>
        <w:rPr>
          <w:rStyle w:val="FootnoteReference"/>
        </w:rPr>
        <w:footnoteRef/>
      </w:r>
      <w:r>
        <w:t xml:space="preserve"> </w:t>
      </w:r>
      <w:r>
        <w:rPr>
          <w:rStyle w:val="NoSpacingChar"/>
        </w:rPr>
        <w:t>Rogerson</w:t>
      </w:r>
      <w:r w:rsidRPr="00872C1A">
        <w:rPr>
          <w:rStyle w:val="NoSpacingChar"/>
        </w:rPr>
        <w:t>: ‘Sun International</w:t>
      </w:r>
      <w:r>
        <w:rPr>
          <w:rStyle w:val="NoSpacingChar"/>
        </w:rPr>
        <w:t>’, pp. 346-350</w:t>
      </w:r>
    </w:p>
  </w:footnote>
  <w:footnote w:id="61">
    <w:p w14:paraId="4AD9336C" w14:textId="77777777" w:rsidR="005E6435" w:rsidRPr="00D56BB9" w:rsidRDefault="005E6435" w:rsidP="00415272">
      <w:pPr>
        <w:pStyle w:val="FootnoteText"/>
        <w:jc w:val="left"/>
        <w:rPr>
          <w:lang w:val="en-US"/>
        </w:rPr>
      </w:pPr>
      <w:r>
        <w:rPr>
          <w:rStyle w:val="FootnoteReference"/>
        </w:rPr>
        <w:footnoteRef/>
      </w:r>
      <w:r>
        <w:t xml:space="preserve"> </w:t>
      </w:r>
      <w:r>
        <w:rPr>
          <w:lang w:val="en-US"/>
        </w:rPr>
        <w:t xml:space="preserve">Newco was a company set up in 1983 to aid in the establishment of hotels and casino in territories outside of South Africa. Later, the name was changed to </w:t>
      </w:r>
      <w:r>
        <w:rPr>
          <w:i/>
          <w:lang w:val="en-US"/>
        </w:rPr>
        <w:t xml:space="preserve">Sun International, </w:t>
      </w:r>
      <w:r>
        <w:rPr>
          <w:lang w:val="en-US"/>
        </w:rPr>
        <w:t>with subsidiaries of Sun International for each territory.</w:t>
      </w:r>
    </w:p>
  </w:footnote>
  <w:footnote w:id="62">
    <w:p w14:paraId="0996976C" w14:textId="77777777" w:rsidR="005E6435" w:rsidRPr="00861E63" w:rsidRDefault="005E6435" w:rsidP="00415272">
      <w:pPr>
        <w:pStyle w:val="FootnoteText"/>
        <w:jc w:val="left"/>
        <w:rPr>
          <w:lang w:val="en-US"/>
        </w:rPr>
      </w:pPr>
      <w:r>
        <w:rPr>
          <w:rStyle w:val="FootnoteReference"/>
        </w:rPr>
        <w:footnoteRef/>
      </w:r>
      <w:r>
        <w:t xml:space="preserve"> </w:t>
      </w:r>
      <w:r>
        <w:rPr>
          <w:rStyle w:val="NoSpacingChar"/>
        </w:rPr>
        <w:t>Rogerson</w:t>
      </w:r>
      <w:r w:rsidRPr="00872C1A">
        <w:rPr>
          <w:rStyle w:val="NoSpacingChar"/>
        </w:rPr>
        <w:t>: ‘Sun International</w:t>
      </w:r>
      <w:r>
        <w:rPr>
          <w:rStyle w:val="NoSpacingChar"/>
        </w:rPr>
        <w:t>’</w:t>
      </w:r>
      <w:r w:rsidRPr="00F708CC">
        <w:rPr>
          <w:i/>
        </w:rPr>
        <w:t xml:space="preserve">, </w:t>
      </w:r>
      <w:r w:rsidRPr="00861E63">
        <w:t xml:space="preserve">p. </w:t>
      </w:r>
      <w:r>
        <w:t>34</w:t>
      </w:r>
      <w:r w:rsidRPr="00861E63">
        <w:t>6</w:t>
      </w:r>
      <w:r w:rsidRPr="00F708CC">
        <w:rPr>
          <w:i/>
        </w:rPr>
        <w:t>.</w:t>
      </w:r>
    </w:p>
  </w:footnote>
  <w:footnote w:id="63">
    <w:p w14:paraId="713BADE6" w14:textId="77777777" w:rsidR="005E6435" w:rsidRPr="00861E63" w:rsidRDefault="005E6435" w:rsidP="00415272">
      <w:pPr>
        <w:pStyle w:val="NoSpacing"/>
      </w:pPr>
      <w:r>
        <w:rPr>
          <w:rStyle w:val="FootnoteReference"/>
        </w:rPr>
        <w:footnoteRef/>
      </w:r>
      <w:r>
        <w:t xml:space="preserve"> Anonymous 5: Interviewed by Nicola van der Merwe. </w:t>
      </w:r>
      <w:r>
        <w:rPr>
          <w:lang w:val="en-US"/>
        </w:rPr>
        <w:t>Johannesburg, 4 May 2016.</w:t>
      </w:r>
    </w:p>
  </w:footnote>
  <w:footnote w:id="64">
    <w:p w14:paraId="198B3C14" w14:textId="77777777" w:rsidR="005E6435" w:rsidRPr="001C6C32" w:rsidRDefault="005E6435" w:rsidP="00415272">
      <w:pPr>
        <w:pStyle w:val="FootnoteText"/>
        <w:jc w:val="left"/>
        <w:rPr>
          <w:lang w:val="en-US"/>
        </w:rPr>
      </w:pPr>
      <w:r>
        <w:rPr>
          <w:rStyle w:val="FootnoteReference"/>
        </w:rPr>
        <w:footnoteRef/>
      </w:r>
      <w:r>
        <w:t xml:space="preserve"> </w:t>
      </w:r>
      <w:r>
        <w:rPr>
          <w:lang w:val="en-US"/>
        </w:rPr>
        <w:t xml:space="preserve">Peter Bacon was the managing director of the Sun International subsidiary </w:t>
      </w:r>
      <w:r>
        <w:rPr>
          <w:i/>
          <w:lang w:val="en-US"/>
        </w:rPr>
        <w:t xml:space="preserve">Sun International (Bophuthatswana) </w:t>
      </w:r>
      <w:r>
        <w:rPr>
          <w:lang w:val="en-US"/>
        </w:rPr>
        <w:t>and oversaw the various hotels and casinos in Bophuthatswana. Peter Wagner was also the general manager of Sun City.</w:t>
      </w:r>
    </w:p>
  </w:footnote>
  <w:footnote w:id="65">
    <w:p w14:paraId="0D8C97EC" w14:textId="77777777" w:rsidR="005E6435" w:rsidRPr="00980623" w:rsidRDefault="005E6435" w:rsidP="00415272">
      <w:pPr>
        <w:pStyle w:val="FootnoteText"/>
        <w:jc w:val="left"/>
      </w:pPr>
      <w:r>
        <w:rPr>
          <w:rStyle w:val="FootnoteReference"/>
        </w:rPr>
        <w:footnoteRef/>
      </w:r>
      <w:r>
        <w:t xml:space="preserve"> Tsogo Sun: </w:t>
      </w:r>
      <w:r>
        <w:rPr>
          <w:i/>
        </w:rPr>
        <w:t>About the Company</w:t>
      </w:r>
      <w:r>
        <w:t xml:space="preserve">. [Online] </w:t>
      </w:r>
      <w:hyperlink r:id="rId11" w:history="1">
        <w:r w:rsidRPr="0085644C">
          <w:rPr>
            <w:rStyle w:val="Hyperlink"/>
          </w:rPr>
          <w:t>http://fspinvest.co.za/articles/stocks/about-the-company-tsogo-sun-holdings-ltd-jsetsh-3149.html</w:t>
        </w:r>
      </w:hyperlink>
      <w:r>
        <w:t xml:space="preserve"> (2 March 2015).</w:t>
      </w:r>
    </w:p>
  </w:footnote>
  <w:footnote w:id="66">
    <w:p w14:paraId="65ACE53D" w14:textId="77777777" w:rsidR="005E6435" w:rsidRPr="006E44C2" w:rsidRDefault="005E6435" w:rsidP="006E44C2">
      <w:pPr>
        <w:pStyle w:val="FootnoteText"/>
        <w:jc w:val="left"/>
      </w:pPr>
      <w:r>
        <w:rPr>
          <w:rStyle w:val="FootnoteReference"/>
        </w:rPr>
        <w:footnoteRef/>
      </w:r>
      <w:r>
        <w:t xml:space="preserve"> </w:t>
      </w:r>
      <w:r>
        <w:rPr>
          <w:lang w:val="en-US"/>
        </w:rPr>
        <w:t xml:space="preserve">R. Morgan: </w:t>
      </w:r>
      <w:r>
        <w:rPr>
          <w:i/>
          <w:lang w:val="en-US"/>
        </w:rPr>
        <w:t xml:space="preserve">Sun City: Bophuthatswana Southern Africa. </w:t>
      </w:r>
      <w:r>
        <w:rPr>
          <w:lang w:val="en-US"/>
        </w:rPr>
        <w:t>Sun International, 195, p. 8</w:t>
      </w:r>
    </w:p>
    <w:p w14:paraId="34E35151" w14:textId="77777777" w:rsidR="005E6435" w:rsidRPr="005A0C23" w:rsidRDefault="005E6435" w:rsidP="00415272">
      <w:pPr>
        <w:pStyle w:val="FootnoteText"/>
        <w:jc w:val="left"/>
        <w:rPr>
          <w:lang w:val="en-US"/>
        </w:rPr>
      </w:pPr>
    </w:p>
  </w:footnote>
  <w:footnote w:id="67">
    <w:p w14:paraId="0FB36972" w14:textId="77777777" w:rsidR="005E6435" w:rsidRPr="005A0C23" w:rsidRDefault="005E6435" w:rsidP="00E86F93">
      <w:pPr>
        <w:pStyle w:val="FootnoteText"/>
        <w:rPr>
          <w:lang w:val="en-US"/>
        </w:rPr>
      </w:pPr>
      <w:r>
        <w:rPr>
          <w:rStyle w:val="FootnoteReference"/>
        </w:rPr>
        <w:footnoteRef/>
      </w:r>
      <w:r>
        <w:t xml:space="preserve"> </w:t>
      </w:r>
      <w:r>
        <w:rPr>
          <w:lang w:val="en-US"/>
        </w:rPr>
        <w:t>Anonymous 3: Interviewed by Nicola van der Merwe. Johannesburg, 4 May 2016.</w:t>
      </w:r>
    </w:p>
  </w:footnote>
  <w:footnote w:id="68">
    <w:p w14:paraId="70E0E5CB" w14:textId="77777777" w:rsidR="005E6435" w:rsidRPr="00EB7496" w:rsidRDefault="005E6435" w:rsidP="006D0B95">
      <w:pPr>
        <w:pStyle w:val="FootnoteText"/>
        <w:jc w:val="left"/>
        <w:rPr>
          <w:lang w:val="en-US"/>
        </w:rPr>
      </w:pPr>
      <w:r>
        <w:rPr>
          <w:rStyle w:val="FootnoteReference"/>
        </w:rPr>
        <w:footnoteRef/>
      </w:r>
      <w:r>
        <w:t xml:space="preserve"> </w:t>
      </w:r>
      <w:r>
        <w:rPr>
          <w:lang w:val="en-US"/>
        </w:rPr>
        <w:t xml:space="preserve">J. Pederson (Ed): </w:t>
      </w:r>
      <w:r>
        <w:rPr>
          <w:i/>
          <w:lang w:val="en-US"/>
        </w:rPr>
        <w:t>International Directory of Company Histories</w:t>
      </w:r>
      <w:r>
        <w:rPr>
          <w:lang w:val="en-US"/>
        </w:rPr>
        <w:t xml:space="preserve">. St James Press, New York, 1995, p. 303-310. </w:t>
      </w:r>
    </w:p>
  </w:footnote>
  <w:footnote w:id="69">
    <w:p w14:paraId="7EDCA377" w14:textId="77777777" w:rsidR="005E6435" w:rsidRPr="00415272" w:rsidRDefault="005E6435" w:rsidP="006D0B95">
      <w:pPr>
        <w:pStyle w:val="FootnoteText"/>
        <w:jc w:val="left"/>
        <w:rPr>
          <w:lang w:val="en-US"/>
        </w:rPr>
      </w:pPr>
      <w:r>
        <w:rPr>
          <w:rStyle w:val="FootnoteReference"/>
        </w:rPr>
        <w:footnoteRef/>
      </w:r>
      <w:r>
        <w:t xml:space="preserve"> NASA, BTS, 1/230/3/2</w:t>
      </w:r>
      <w:r w:rsidRPr="00415272">
        <w:t xml:space="preserve">: ‘Meeting Minutes: State Tender Board.’ 1984-1985. </w:t>
      </w:r>
    </w:p>
  </w:footnote>
  <w:footnote w:id="70">
    <w:p w14:paraId="7177FCD8" w14:textId="77777777" w:rsidR="005E6435" w:rsidRPr="00415272" w:rsidRDefault="005E6435" w:rsidP="006D0B95">
      <w:pPr>
        <w:pStyle w:val="FootnoteText"/>
        <w:jc w:val="left"/>
      </w:pPr>
      <w:r w:rsidRPr="00415272">
        <w:rPr>
          <w:rStyle w:val="FootnoteReference"/>
        </w:rPr>
        <w:footnoteRef/>
      </w:r>
      <w:r w:rsidRPr="00415272">
        <w:t xml:space="preserve"> </w:t>
      </w:r>
      <w:r>
        <w:t>NASA, BTS, 1/230/3/2:</w:t>
      </w:r>
      <w:r w:rsidRPr="00415272">
        <w:t xml:space="preserve"> ‘Meeting Minutes, Pretoria.’ 1984-1985. </w:t>
      </w:r>
    </w:p>
  </w:footnote>
  <w:footnote w:id="71">
    <w:p w14:paraId="232BEAF9" w14:textId="77777777" w:rsidR="005E6435" w:rsidRDefault="005E6435" w:rsidP="006D0B95">
      <w:pPr>
        <w:pStyle w:val="FootnoteText"/>
        <w:jc w:val="left"/>
      </w:pPr>
      <w:r w:rsidRPr="00415272">
        <w:rPr>
          <w:rStyle w:val="FootnoteReference"/>
        </w:rPr>
        <w:footnoteRef/>
      </w:r>
      <w:r w:rsidRPr="00415272">
        <w:t xml:space="preserve"> </w:t>
      </w:r>
      <w:r>
        <w:t>NASA, BTS, 1/230/3/2</w:t>
      </w:r>
      <w:r w:rsidRPr="00415272">
        <w:t xml:space="preserve">: ‘Meeting Minutes: State Tender Board.’ 1984-1985. </w:t>
      </w:r>
    </w:p>
  </w:footnote>
  <w:footnote w:id="72">
    <w:p w14:paraId="66E219B6" w14:textId="77777777" w:rsidR="005E6435" w:rsidRPr="006D0B95" w:rsidRDefault="005E6435" w:rsidP="006D0B95">
      <w:pPr>
        <w:pStyle w:val="FootnoteText"/>
        <w:jc w:val="left"/>
      </w:pPr>
      <w:r w:rsidRPr="006D0B95">
        <w:rPr>
          <w:rStyle w:val="FootnoteReference"/>
        </w:rPr>
        <w:footnoteRef/>
      </w:r>
      <w:r w:rsidRPr="006D0B95">
        <w:t xml:space="preserve"> NASA</w:t>
      </w:r>
      <w:r>
        <w:t>, BTS, 1/230/3/2:</w:t>
      </w:r>
      <w:r w:rsidRPr="006D0B95">
        <w:t xml:space="preserve"> ‘Meeting Minutes: between South Africa, Bophuthatswana and Botswana rounds 1-</w:t>
      </w:r>
      <w:r>
        <w:t>3</w:t>
      </w:r>
      <w:r w:rsidRPr="006D0B95">
        <w:t xml:space="preserve">.’ 1984-1985. </w:t>
      </w:r>
    </w:p>
  </w:footnote>
  <w:footnote w:id="73">
    <w:p w14:paraId="0B01515C" w14:textId="77777777" w:rsidR="005E6435" w:rsidRPr="006D0B95" w:rsidRDefault="005E6435" w:rsidP="006D0B95">
      <w:pPr>
        <w:pStyle w:val="FootnoteText"/>
        <w:jc w:val="left"/>
      </w:pPr>
      <w:r w:rsidRPr="006D0B95">
        <w:rPr>
          <w:rStyle w:val="FootnoteReference"/>
        </w:rPr>
        <w:footnoteRef/>
      </w:r>
      <w:r w:rsidRPr="006D0B95">
        <w:t xml:space="preserve"> Unknown: ‘Botswana expects homeland problem.’ </w:t>
      </w:r>
      <w:r w:rsidRPr="006D0B95">
        <w:rPr>
          <w:i/>
        </w:rPr>
        <w:t xml:space="preserve">The Star, </w:t>
      </w:r>
      <w:r w:rsidRPr="006D0B95">
        <w:t xml:space="preserve">13 October 1977. </w:t>
      </w:r>
    </w:p>
  </w:footnote>
  <w:footnote w:id="74">
    <w:p w14:paraId="4C9ADBA9" w14:textId="77777777" w:rsidR="005E6435" w:rsidRDefault="005E6435" w:rsidP="006D0B95">
      <w:pPr>
        <w:pStyle w:val="FootnoteText"/>
        <w:jc w:val="left"/>
      </w:pPr>
      <w:r w:rsidRPr="006D0B95">
        <w:rPr>
          <w:rStyle w:val="FootnoteReference"/>
        </w:rPr>
        <w:footnoteRef/>
      </w:r>
      <w:r w:rsidRPr="006D0B95">
        <w:t xml:space="preserve"> </w:t>
      </w:r>
      <w:r>
        <w:t>NASA</w:t>
      </w:r>
      <w:r w:rsidRPr="006D0B95">
        <w:t>, BTS, 1/230/3/2</w:t>
      </w:r>
      <w:r>
        <w:t>:</w:t>
      </w:r>
      <w:r w:rsidRPr="006D0B95">
        <w:t xml:space="preserve"> ‘Agreement between South Africa and Bophuthatswana: Health Services and </w:t>
      </w:r>
      <w:r>
        <w:t xml:space="preserve">Maintenance of Standards.’ 1977. </w:t>
      </w:r>
      <w:r w:rsidRPr="006D0B95">
        <w:t>;</w:t>
      </w:r>
      <w:r>
        <w:t xml:space="preserve"> NASA, BTS, 1/230/3/2</w:t>
      </w:r>
      <w:r w:rsidRPr="006D0B95">
        <w:t xml:space="preserve">: ‘Agreement between South Africa and Bophuthatswana: Employment of Bophuthatswana Citizens in South Africa and the Employment of South African Citizens in Bophuthatswana’ 1977. </w:t>
      </w:r>
    </w:p>
  </w:footnote>
  <w:footnote w:id="75">
    <w:p w14:paraId="6BE9C6CC" w14:textId="77777777" w:rsidR="005E6435" w:rsidRPr="006D0B95" w:rsidRDefault="005E6435" w:rsidP="006D0B95">
      <w:pPr>
        <w:pStyle w:val="FootnoteText"/>
        <w:jc w:val="left"/>
      </w:pPr>
      <w:r>
        <w:rPr>
          <w:rStyle w:val="FootnoteReference"/>
        </w:rPr>
        <w:footnoteRef/>
      </w:r>
      <w:r>
        <w:t xml:space="preserve"> </w:t>
      </w:r>
      <w:r w:rsidRPr="006D0B95">
        <w:t>NASA, BTS, 1/230/3/2: ‘Agreements between South Africa and Bophuthatswana: Mining Rights and Prospecting.’ 1977-1986.</w:t>
      </w:r>
    </w:p>
  </w:footnote>
  <w:footnote w:id="76">
    <w:p w14:paraId="027C693D" w14:textId="77777777" w:rsidR="005E6435" w:rsidRPr="006D0B95" w:rsidRDefault="005E6435" w:rsidP="006D0B95">
      <w:pPr>
        <w:pStyle w:val="FootnoteText"/>
        <w:jc w:val="left"/>
      </w:pPr>
      <w:r w:rsidRPr="006D0B95">
        <w:rPr>
          <w:rStyle w:val="FootnoteReference"/>
        </w:rPr>
        <w:footnoteRef/>
      </w:r>
      <w:r w:rsidRPr="006D0B95">
        <w:t xml:space="preserve"> NASA, BTS, 1/230/3/2: ‘Agreement between South Africa and Bophuthatswana: Employment of Bophuthatswana Citizens in South Africa and the Employment of South African C</w:t>
      </w:r>
      <w:r>
        <w:t>itizens in Bophuthatswana’ 1977</w:t>
      </w:r>
      <w:r w:rsidRPr="006D0B95">
        <w:t xml:space="preserve">; NASA, BTS, 1/230/3/: ‘Bophuthatswana: Independence, Proposed Agreement Concerning the Employment of Citizens.’ 4 October 1977. </w:t>
      </w:r>
    </w:p>
  </w:footnote>
  <w:footnote w:id="77">
    <w:p w14:paraId="79DDF6A3" w14:textId="77777777" w:rsidR="005E6435" w:rsidRPr="00116DC6" w:rsidRDefault="005E6435" w:rsidP="006D0B95">
      <w:pPr>
        <w:pStyle w:val="FootnoteText"/>
        <w:jc w:val="left"/>
        <w:rPr>
          <w:highlight w:val="cyan"/>
        </w:rPr>
      </w:pPr>
      <w:r w:rsidRPr="006D0B95">
        <w:rPr>
          <w:rStyle w:val="FootnoteReference"/>
        </w:rPr>
        <w:footnoteRef/>
      </w:r>
      <w:r w:rsidRPr="006D0B95">
        <w:t xml:space="preserve"> NASA</w:t>
      </w:r>
      <w:r>
        <w:t>, BTS,</w:t>
      </w:r>
      <w:r w:rsidRPr="006D0B95">
        <w:t xml:space="preserve"> 1/230/3/2a: ‘Agreement between South Africa and Bophuthatswana: Economic Development.’ 1977. </w:t>
      </w:r>
    </w:p>
  </w:footnote>
  <w:footnote w:id="78">
    <w:p w14:paraId="534BD53C" w14:textId="77777777" w:rsidR="005E6435" w:rsidRPr="009A42D6" w:rsidRDefault="005E6435" w:rsidP="00192471">
      <w:pPr>
        <w:pStyle w:val="FootnoteText"/>
        <w:jc w:val="left"/>
        <w:rPr>
          <w:lang w:val="en-US"/>
        </w:rPr>
      </w:pPr>
      <w:r w:rsidRPr="006D0B95">
        <w:rPr>
          <w:rStyle w:val="FootnoteReference"/>
        </w:rPr>
        <w:footnoteRef/>
      </w:r>
      <w:r w:rsidRPr="006D0B95">
        <w:t xml:space="preserve"> NASA, SON, D1/6/3/4/57: ‘Casinowetsonwerp 1977: U1/2 vqn 20 Oktober 1977.’ 20 October 1977. </w:t>
      </w:r>
    </w:p>
  </w:footnote>
  <w:footnote w:id="79">
    <w:p w14:paraId="1F403FAE" w14:textId="77777777" w:rsidR="005E6435" w:rsidRDefault="005E6435" w:rsidP="00192471">
      <w:pPr>
        <w:pStyle w:val="FootnoteText"/>
        <w:jc w:val="left"/>
      </w:pPr>
      <w:r>
        <w:rPr>
          <w:rStyle w:val="FootnoteReference"/>
        </w:rPr>
        <w:footnoteRef/>
      </w:r>
      <w:r>
        <w:t xml:space="preserve"> North-West Provincial Archives, Bophuthatswana Papers, Office of the President, 4.5.90: ‘Sol Kerzner letter to Lucas Mangope.’. </w:t>
      </w:r>
    </w:p>
  </w:footnote>
  <w:footnote w:id="80">
    <w:p w14:paraId="7ED7CABA" w14:textId="77777777" w:rsidR="005E6435" w:rsidRDefault="005E6435" w:rsidP="00192471">
      <w:pPr>
        <w:pStyle w:val="FootnoteText"/>
        <w:jc w:val="left"/>
      </w:pPr>
      <w:r>
        <w:rPr>
          <w:rStyle w:val="FootnoteReference"/>
        </w:rPr>
        <w:footnoteRef/>
      </w:r>
      <w:r>
        <w:t xml:space="preserve"> Unknown: ‘A lesson from</w:t>
      </w:r>
    </w:p>
    <w:p w14:paraId="37893D94" w14:textId="77777777" w:rsidR="005E6435" w:rsidRDefault="005E6435" w:rsidP="00192471">
      <w:pPr>
        <w:pStyle w:val="FootnoteText"/>
        <w:jc w:val="left"/>
      </w:pPr>
      <w:r>
        <w:t xml:space="preserve"> Sol: it’s OK if it’s over the Kei.’ </w:t>
      </w:r>
    </w:p>
  </w:footnote>
  <w:footnote w:id="81">
    <w:p w14:paraId="270C21EC" w14:textId="77777777" w:rsidR="005E6435" w:rsidRDefault="005E6435" w:rsidP="00CD4878">
      <w:pPr>
        <w:pStyle w:val="FootnoteText"/>
      </w:pPr>
      <w:r>
        <w:rPr>
          <w:rStyle w:val="FootnoteReference"/>
        </w:rPr>
        <w:footnoteRef/>
      </w:r>
      <w:r>
        <w:t xml:space="preserve"> Anonymous 1: Interviewed by Nicola van der Merwe.</w:t>
      </w:r>
    </w:p>
  </w:footnote>
  <w:footnote w:id="82">
    <w:p w14:paraId="177E1555" w14:textId="77777777" w:rsidR="005E6435" w:rsidRDefault="005E6435" w:rsidP="00CD4878">
      <w:pPr>
        <w:pStyle w:val="FootnoteText"/>
      </w:pPr>
      <w:r>
        <w:rPr>
          <w:rStyle w:val="FootnoteReference"/>
        </w:rPr>
        <w:footnoteRef/>
      </w:r>
      <w:r>
        <w:t xml:space="preserve"> Chipkin: </w:t>
      </w:r>
      <w:r w:rsidRPr="00661158">
        <w:rPr>
          <w:i/>
        </w:rPr>
        <w:t>Johannesburg Transition</w:t>
      </w:r>
      <w:r>
        <w:t xml:space="preserve">, pp. 278-279. </w:t>
      </w:r>
    </w:p>
  </w:footnote>
  <w:footnote w:id="83">
    <w:p w14:paraId="5B051300" w14:textId="77777777" w:rsidR="005E6435" w:rsidRPr="00D56BB9" w:rsidRDefault="005E6435" w:rsidP="00CD4878">
      <w:pPr>
        <w:pStyle w:val="FootnoteText"/>
      </w:pPr>
      <w:r>
        <w:rPr>
          <w:rStyle w:val="FootnoteReference"/>
        </w:rPr>
        <w:footnoteRef/>
      </w:r>
      <w:r>
        <w:t xml:space="preserve"> Unknown: ‘A lesson from Sol: it’s OK if it’s over the Kei.’</w:t>
      </w:r>
    </w:p>
  </w:footnote>
  <w:footnote w:id="84">
    <w:p w14:paraId="6CB6DEE2" w14:textId="77777777" w:rsidR="005E6435" w:rsidRDefault="005E6435" w:rsidP="00192471">
      <w:pPr>
        <w:pStyle w:val="NoSpacing"/>
      </w:pPr>
      <w:r>
        <w:rPr>
          <w:rStyle w:val="FootnoteReference"/>
        </w:rPr>
        <w:footnoteRef/>
      </w:r>
      <w:r>
        <w:t xml:space="preserve"> </w:t>
      </w:r>
      <w:r w:rsidRPr="00727CC1">
        <w:t xml:space="preserve">North-West Provincial Archives, </w:t>
      </w:r>
      <w:r>
        <w:t>Bophuthatswana Papers, Office of the President</w:t>
      </w:r>
      <w:r w:rsidRPr="00727CC1">
        <w:t xml:space="preserve">, 4.5.90. 13: </w:t>
      </w:r>
      <w:r w:rsidRPr="00727CC1">
        <w:rPr>
          <w:i/>
        </w:rPr>
        <w:t>Legal Agreement between the Government of Bophuthatswana and Southern Sun Hotel Holdings (Proprietary) Limited</w:t>
      </w:r>
      <w:r w:rsidRPr="00727CC1">
        <w:t xml:space="preserve">, December 1976, pp. 1-2. </w:t>
      </w:r>
    </w:p>
  </w:footnote>
  <w:footnote w:id="85">
    <w:p w14:paraId="3E9175EB" w14:textId="77777777" w:rsidR="005E6435" w:rsidRPr="00286D2D" w:rsidRDefault="005E6435" w:rsidP="00192471">
      <w:pPr>
        <w:pStyle w:val="FootnoteText"/>
        <w:jc w:val="left"/>
        <w:rPr>
          <w:lang w:val="en-US"/>
        </w:rPr>
      </w:pPr>
      <w:r>
        <w:rPr>
          <w:rStyle w:val="FootnoteReference"/>
        </w:rPr>
        <w:footnoteRef/>
      </w:r>
      <w:r>
        <w:t xml:space="preserve"> P.S. Jones: ‘From ‘Nationhood’ to Regionalism to the North-West Province: ‘Bophuthatswananess’ and the Birth of the ‘New’ South Africa.’ </w:t>
      </w:r>
      <w:r>
        <w:rPr>
          <w:i/>
        </w:rPr>
        <w:t xml:space="preserve">African Affairs, </w:t>
      </w:r>
      <w:r>
        <w:t>(1999. 98:393), p. 533.</w:t>
      </w:r>
    </w:p>
  </w:footnote>
  <w:footnote w:id="86">
    <w:p w14:paraId="6D658EE9" w14:textId="77777777" w:rsidR="005E6435" w:rsidRPr="00C16453" w:rsidRDefault="005E6435" w:rsidP="00192471">
      <w:pPr>
        <w:pStyle w:val="FootnoteText"/>
        <w:jc w:val="left"/>
      </w:pPr>
      <w:r>
        <w:rPr>
          <w:rStyle w:val="FootnoteReference"/>
        </w:rPr>
        <w:footnoteRef/>
      </w:r>
      <w:r>
        <w:t xml:space="preserve"> </w:t>
      </w:r>
      <w:r>
        <w:rPr>
          <w:i/>
        </w:rPr>
        <w:t>Ibid,</w:t>
      </w:r>
      <w:r w:rsidRPr="00116DC6">
        <w:rPr>
          <w:i/>
        </w:rPr>
        <w:t xml:space="preserve"> </w:t>
      </w:r>
      <w:r w:rsidRPr="00116DC6">
        <w:t>pp. 509-534.</w:t>
      </w:r>
    </w:p>
  </w:footnote>
  <w:footnote w:id="87">
    <w:p w14:paraId="6C2878FA" w14:textId="77777777" w:rsidR="005E6435" w:rsidRPr="001160FC" w:rsidRDefault="005E6435" w:rsidP="00192471">
      <w:pPr>
        <w:pStyle w:val="FootnoteText"/>
        <w:jc w:val="left"/>
        <w:rPr>
          <w:lang w:val="en-US"/>
        </w:rPr>
      </w:pPr>
      <w:r>
        <w:rPr>
          <w:rStyle w:val="FootnoteReference"/>
        </w:rPr>
        <w:footnoteRef/>
      </w:r>
      <w:r>
        <w:t xml:space="preserve"> M. Lawrence</w:t>
      </w:r>
      <w:r w:rsidRPr="006D618C">
        <w:t xml:space="preserve"> &amp; </w:t>
      </w:r>
      <w:r>
        <w:t>A. Manson: ‘“The ‘Dog of the Boers”</w:t>
      </w:r>
      <w:r w:rsidRPr="006D618C">
        <w:t xml:space="preserve">: The Rise and Fall of Mangope in Bophuthatswana. </w:t>
      </w:r>
      <w:r w:rsidRPr="006D618C">
        <w:rPr>
          <w:i/>
        </w:rPr>
        <w:t>Jour</w:t>
      </w:r>
      <w:r>
        <w:rPr>
          <w:i/>
        </w:rPr>
        <w:t>nal of Southern African Studies</w:t>
      </w:r>
      <w:r>
        <w:t>.</w:t>
      </w:r>
      <w:r w:rsidRPr="00727CC1">
        <w:t>’</w:t>
      </w:r>
      <w:r w:rsidRPr="006D618C">
        <w:rPr>
          <w:i/>
        </w:rPr>
        <w:t xml:space="preserve"> </w:t>
      </w:r>
      <w:r>
        <w:t>(1994, 20:3), p. 450.</w:t>
      </w:r>
    </w:p>
  </w:footnote>
  <w:footnote w:id="88">
    <w:p w14:paraId="67B6043B" w14:textId="77777777" w:rsidR="005E6435" w:rsidRPr="00192471" w:rsidRDefault="005E6435" w:rsidP="00CD4878">
      <w:pPr>
        <w:pStyle w:val="FootnoteText"/>
        <w:rPr>
          <w:lang w:val="en-US"/>
        </w:rPr>
      </w:pPr>
      <w:r>
        <w:rPr>
          <w:rStyle w:val="FootnoteReference"/>
        </w:rPr>
        <w:footnoteRef/>
      </w:r>
      <w:r>
        <w:t xml:space="preserve"> </w:t>
      </w:r>
      <w:r w:rsidRPr="00192471">
        <w:t>North-West Provincial Archives, Bophuthatswana Papers, Office of the President, 4.5.90.</w:t>
      </w:r>
      <w:r>
        <w:t xml:space="preserve"> </w:t>
      </w:r>
      <w:r w:rsidRPr="00192471">
        <w:t xml:space="preserve">Southern Sun: </w:t>
      </w:r>
      <w:r w:rsidRPr="00192471">
        <w:rPr>
          <w:i/>
        </w:rPr>
        <w:t xml:space="preserve">Tourism Development in Bophuthatswana, </w:t>
      </w:r>
      <w:r w:rsidRPr="00192471">
        <w:t xml:space="preserve">May 1976. </w:t>
      </w:r>
    </w:p>
  </w:footnote>
  <w:footnote w:id="89">
    <w:p w14:paraId="4CCD3D8D" w14:textId="77777777" w:rsidR="005E6435" w:rsidRPr="00CE2992" w:rsidRDefault="005E6435" w:rsidP="00CD4878">
      <w:pPr>
        <w:pStyle w:val="FootnoteText"/>
      </w:pPr>
      <w:r w:rsidRPr="00192471">
        <w:rPr>
          <w:rStyle w:val="FootnoteReference"/>
        </w:rPr>
        <w:footnoteRef/>
      </w:r>
      <w:r w:rsidRPr="00192471">
        <w:t xml:space="preserve"> </w:t>
      </w:r>
      <w:r w:rsidRPr="00192471">
        <w:rPr>
          <w:i/>
        </w:rPr>
        <w:t>Ibid</w:t>
      </w:r>
      <w:r w:rsidRPr="00192471">
        <w:t>, pp. 1-5.</w:t>
      </w:r>
    </w:p>
  </w:footnote>
  <w:footnote w:id="90">
    <w:p w14:paraId="78BF1632" w14:textId="77777777" w:rsidR="005E6435" w:rsidRPr="00192471" w:rsidRDefault="005E6435" w:rsidP="00CD4878">
      <w:pPr>
        <w:pStyle w:val="NoSpacing"/>
      </w:pPr>
      <w:r>
        <w:rPr>
          <w:rStyle w:val="FootnoteReference"/>
        </w:rPr>
        <w:footnoteRef/>
      </w:r>
      <w:r>
        <w:t xml:space="preserve"> </w:t>
      </w:r>
      <w:r w:rsidRPr="00192471">
        <w:t xml:space="preserve">Southern Sun: </w:t>
      </w:r>
      <w:r w:rsidRPr="00192471">
        <w:rPr>
          <w:i/>
        </w:rPr>
        <w:t>Tourism Developm</w:t>
      </w:r>
      <w:r>
        <w:rPr>
          <w:i/>
        </w:rPr>
        <w:t>ent in Bophuthatswana</w:t>
      </w:r>
      <w:r w:rsidRPr="00192471">
        <w:t>, pp</w:t>
      </w:r>
      <w:r w:rsidRPr="00192471">
        <w:rPr>
          <w:rStyle w:val="NoSpacingChar"/>
        </w:rPr>
        <w:t xml:space="preserve">. 7-15. </w:t>
      </w:r>
    </w:p>
  </w:footnote>
  <w:footnote w:id="91">
    <w:p w14:paraId="55C38369" w14:textId="77777777" w:rsidR="005E6435" w:rsidRDefault="005E6435" w:rsidP="00CD4878">
      <w:pPr>
        <w:pStyle w:val="FootnoteText"/>
      </w:pPr>
      <w:r w:rsidRPr="00192471">
        <w:rPr>
          <w:rStyle w:val="FootnoteReference"/>
        </w:rPr>
        <w:footnoteRef/>
      </w:r>
      <w:r w:rsidRPr="00192471">
        <w:t xml:space="preserve"> </w:t>
      </w:r>
      <w:r w:rsidRPr="00727CC1">
        <w:t xml:space="preserve">North-West Provincial Archives, </w:t>
      </w:r>
      <w:r>
        <w:t>Bophuthatswana Papers, Office of the President</w:t>
      </w:r>
      <w:r w:rsidRPr="00727CC1">
        <w:t>, 4.5.90. 13</w:t>
      </w:r>
      <w:r>
        <w:t xml:space="preserve">: </w:t>
      </w:r>
      <w:r w:rsidRPr="00192471">
        <w:rPr>
          <w:i/>
        </w:rPr>
        <w:t>Heads of Agreement between the Government of Bophuthatswana and Southern Sun Hotel Holdings (Proprietary) Limited</w:t>
      </w:r>
      <w:r w:rsidRPr="00192471">
        <w:t>. 13 December 1976, pp. 3-10.</w:t>
      </w:r>
      <w:r>
        <w:t xml:space="preserve"> </w:t>
      </w:r>
    </w:p>
  </w:footnote>
  <w:footnote w:id="92">
    <w:p w14:paraId="489527BD" w14:textId="77777777" w:rsidR="005E6435" w:rsidRDefault="005E6435" w:rsidP="00CD4878">
      <w:pPr>
        <w:pStyle w:val="NoSpacing"/>
      </w:pPr>
      <w:r>
        <w:rPr>
          <w:rStyle w:val="FootnoteReference"/>
        </w:rPr>
        <w:footnoteRef/>
      </w:r>
      <w:r>
        <w:t xml:space="preserve"> </w:t>
      </w:r>
      <w:r w:rsidRPr="00727CC1">
        <w:t xml:space="preserve">North-West Provincial Archives, </w:t>
      </w:r>
      <w:r>
        <w:t>Bophuthatswana Papers, Office of the President</w:t>
      </w:r>
      <w:r w:rsidRPr="00727CC1">
        <w:t>, 4.5.90. 13</w:t>
      </w:r>
      <w:r>
        <w:t xml:space="preserve">: </w:t>
      </w:r>
      <w:r w:rsidRPr="00192471">
        <w:rPr>
          <w:i/>
        </w:rPr>
        <w:t>Barclays National Bank Limited</w:t>
      </w:r>
      <w:r>
        <w:t xml:space="preserve">: </w:t>
      </w:r>
      <w:r w:rsidRPr="00DB5D4A">
        <w:rPr>
          <w:i/>
        </w:rPr>
        <w:t>Bophuthatswana: An Economic Survey and Businessman’s Guide</w:t>
      </w:r>
      <w:r>
        <w:t xml:space="preserve">. 1980, p. 12. </w:t>
      </w:r>
    </w:p>
  </w:footnote>
  <w:footnote w:id="93">
    <w:p w14:paraId="1D225A46" w14:textId="77777777" w:rsidR="005E6435" w:rsidRPr="00BF0AB3" w:rsidRDefault="005E6435" w:rsidP="00CD4878">
      <w:pPr>
        <w:pStyle w:val="FootnoteText"/>
        <w:rPr>
          <w:lang w:val="en-US"/>
        </w:rPr>
      </w:pPr>
      <w:r>
        <w:rPr>
          <w:rStyle w:val="FootnoteReference"/>
        </w:rPr>
        <w:footnoteRef/>
      </w:r>
      <w:r>
        <w:t xml:space="preserve"> </w:t>
      </w:r>
      <w:r>
        <w:rPr>
          <w:lang w:val="en-US"/>
        </w:rPr>
        <w:t xml:space="preserve">H. van Vuuren: ‘Apartheid Grand Corruption: Assessing the scale of crimes of profit in South Africa from 1976 to 1994.’ </w:t>
      </w:r>
      <w:r>
        <w:rPr>
          <w:i/>
          <w:lang w:val="en-US"/>
        </w:rPr>
        <w:t xml:space="preserve">Institute for Security Studies. </w:t>
      </w:r>
      <w:r>
        <w:rPr>
          <w:lang w:val="en-US"/>
        </w:rPr>
        <w:t>May 2006, pp. 81-82.</w:t>
      </w:r>
    </w:p>
  </w:footnote>
  <w:footnote w:id="94">
    <w:p w14:paraId="49EDF663" w14:textId="77777777" w:rsidR="005E6435" w:rsidRDefault="005E6435" w:rsidP="00CD4878">
      <w:pPr>
        <w:pStyle w:val="NoSpacing"/>
      </w:pPr>
      <w:r>
        <w:rPr>
          <w:rStyle w:val="FootnoteReference"/>
        </w:rPr>
        <w:footnoteRef/>
      </w:r>
      <w:r>
        <w:t xml:space="preserve"> P. Collins: </w:t>
      </w:r>
      <w:r>
        <w:rPr>
          <w:i/>
        </w:rPr>
        <w:t>Gambling and the Public Interest.</w:t>
      </w:r>
      <w:r>
        <w:t xml:space="preserve"> Praeger Publishers, Westport, 2003, p.3. </w:t>
      </w:r>
    </w:p>
  </w:footnote>
  <w:footnote w:id="95">
    <w:p w14:paraId="49120E54" w14:textId="77777777" w:rsidR="005E6435" w:rsidRDefault="005E6435" w:rsidP="00CD4878">
      <w:pPr>
        <w:pStyle w:val="FootnoteText"/>
      </w:pPr>
      <w:r>
        <w:rPr>
          <w:rStyle w:val="FootnoteReference"/>
        </w:rPr>
        <w:footnoteRef/>
      </w:r>
      <w:r>
        <w:t xml:space="preserve"> Southern Sun: </w:t>
      </w:r>
      <w:r>
        <w:rPr>
          <w:i/>
        </w:rPr>
        <w:t>Tourism Development in Bophuthatswana</w:t>
      </w:r>
      <w:r>
        <w:t xml:space="preserve">, pp. 5-8. </w:t>
      </w:r>
    </w:p>
  </w:footnote>
  <w:footnote w:id="96">
    <w:p w14:paraId="54BC889A" w14:textId="77777777" w:rsidR="005E6435" w:rsidRDefault="005E6435" w:rsidP="00CD4878">
      <w:pPr>
        <w:pStyle w:val="FootnoteText"/>
      </w:pPr>
      <w:r>
        <w:rPr>
          <w:rStyle w:val="FootnoteReference"/>
        </w:rPr>
        <w:footnoteRef/>
      </w:r>
      <w:r>
        <w:t xml:space="preserve"> Chipkin</w:t>
      </w:r>
      <w:r w:rsidRPr="004B60DE">
        <w:rPr>
          <w:i/>
        </w:rPr>
        <w:t>: Johannesburg Transition</w:t>
      </w:r>
      <w:r>
        <w:t xml:space="preserve">, p. 278. </w:t>
      </w:r>
    </w:p>
  </w:footnote>
  <w:footnote w:id="97">
    <w:p w14:paraId="5FD15ED9" w14:textId="77777777" w:rsidR="005E6435" w:rsidRDefault="005E6435" w:rsidP="00192471">
      <w:pPr>
        <w:pStyle w:val="FootnoteText"/>
        <w:jc w:val="left"/>
      </w:pPr>
      <w:r>
        <w:rPr>
          <w:rStyle w:val="FootnoteReference"/>
        </w:rPr>
        <w:footnoteRef/>
      </w:r>
      <w:r>
        <w:t xml:space="preserve"> Southern Sun: </w:t>
      </w:r>
      <w:r>
        <w:rPr>
          <w:i/>
        </w:rPr>
        <w:t>Tourism Development in Bophuthatswana</w:t>
      </w:r>
      <w:r>
        <w:t xml:space="preserve">, pp. 5-8. </w:t>
      </w:r>
    </w:p>
  </w:footnote>
  <w:footnote w:id="98">
    <w:p w14:paraId="7E30A20A" w14:textId="77777777" w:rsidR="005E6435" w:rsidRDefault="005E6435" w:rsidP="00192471">
      <w:pPr>
        <w:pStyle w:val="NoSpacing"/>
      </w:pPr>
      <w:r>
        <w:rPr>
          <w:rStyle w:val="FootnoteReference"/>
        </w:rPr>
        <w:footnoteRef/>
      </w:r>
      <w:r>
        <w:t xml:space="preserve"> </w:t>
      </w:r>
      <w:r w:rsidRPr="00727CC1">
        <w:t xml:space="preserve">North-West Provincial Archives, </w:t>
      </w:r>
      <w:r>
        <w:t>Bophuthatswana Papers, Office of the President</w:t>
      </w:r>
      <w:r w:rsidRPr="00727CC1">
        <w:t>, 4.5.90. 13</w:t>
      </w:r>
      <w:r>
        <w:t xml:space="preserve">: </w:t>
      </w:r>
      <w:r w:rsidRPr="00192471">
        <w:rPr>
          <w:i/>
        </w:rPr>
        <w:t>Potential Spending Power of Southern Sun Hotels</w:t>
      </w:r>
      <w:r w:rsidRPr="00192471">
        <w:t>, p. 2.</w:t>
      </w:r>
      <w:r>
        <w:t xml:space="preserve"> </w:t>
      </w:r>
    </w:p>
  </w:footnote>
  <w:footnote w:id="99">
    <w:p w14:paraId="2AC55976" w14:textId="77777777" w:rsidR="005E6435" w:rsidRPr="003A2509" w:rsidRDefault="005E6435" w:rsidP="00192471">
      <w:pPr>
        <w:pStyle w:val="FootnoteText"/>
        <w:jc w:val="left"/>
        <w:rPr>
          <w:lang w:val="en-US"/>
        </w:rPr>
      </w:pPr>
      <w:r>
        <w:rPr>
          <w:rStyle w:val="FootnoteReference"/>
        </w:rPr>
        <w:footnoteRef/>
      </w:r>
      <w:r>
        <w:t xml:space="preserve"> </w:t>
      </w:r>
      <w:r>
        <w:rPr>
          <w:lang w:val="en-ZA"/>
        </w:rPr>
        <w:t xml:space="preserve">Anonymous 1: Interviewed by Nicola van der Merwe. </w:t>
      </w:r>
    </w:p>
  </w:footnote>
  <w:footnote w:id="100">
    <w:p w14:paraId="7005D935" w14:textId="77777777" w:rsidR="005E6435" w:rsidRDefault="005E6435" w:rsidP="00192471">
      <w:pPr>
        <w:pStyle w:val="FootnoteText"/>
        <w:jc w:val="left"/>
      </w:pPr>
      <w:r>
        <w:rPr>
          <w:rStyle w:val="FootnoteReference"/>
        </w:rPr>
        <w:footnoteRef/>
      </w:r>
      <w:r>
        <w:t xml:space="preserve"> Mnet: ‘My Story: Solomon Kerzner’ </w:t>
      </w:r>
    </w:p>
  </w:footnote>
  <w:footnote w:id="101">
    <w:p w14:paraId="2B6AC230" w14:textId="77777777" w:rsidR="005E6435" w:rsidRPr="003A2509" w:rsidRDefault="005E6435" w:rsidP="00192471">
      <w:pPr>
        <w:pStyle w:val="FootnoteText"/>
        <w:jc w:val="left"/>
        <w:rPr>
          <w:lang w:val="en-US"/>
        </w:rPr>
      </w:pPr>
      <w:r>
        <w:rPr>
          <w:rStyle w:val="FootnoteReference"/>
        </w:rPr>
        <w:footnoteRef/>
      </w:r>
      <w:r>
        <w:t xml:space="preserve"> </w:t>
      </w:r>
      <w:r>
        <w:rPr>
          <w:lang w:val="en-ZA"/>
        </w:rPr>
        <w:t xml:space="preserve">Anonymous 1: Interviewed by Nicola van der Merwe. </w:t>
      </w:r>
    </w:p>
  </w:footnote>
  <w:footnote w:id="102">
    <w:p w14:paraId="39A86FB3" w14:textId="77777777" w:rsidR="005E6435" w:rsidRDefault="005E6435" w:rsidP="00CD4878">
      <w:pPr>
        <w:pStyle w:val="NoSpacing"/>
      </w:pPr>
      <w:r>
        <w:rPr>
          <w:rStyle w:val="FootnoteReference"/>
        </w:rPr>
        <w:footnoteRef/>
      </w:r>
      <w:r>
        <w:t xml:space="preserve"> </w:t>
      </w:r>
      <w:r w:rsidRPr="00727CC1">
        <w:t xml:space="preserve">North-West Provincial Archives, </w:t>
      </w:r>
      <w:r>
        <w:t xml:space="preserve">Bophuthatswana Papers, Office of the President, 4.5.90: </w:t>
      </w:r>
      <w:r w:rsidRPr="00192471">
        <w:rPr>
          <w:i/>
        </w:rPr>
        <w:t xml:space="preserve">Barclays National Bank Limited: </w:t>
      </w:r>
      <w:r>
        <w:rPr>
          <w:i/>
        </w:rPr>
        <w:t xml:space="preserve">Bophuthatswana: An Investment Guide. </w:t>
      </w:r>
      <w:r>
        <w:t xml:space="preserve">1981, p. 24. </w:t>
      </w:r>
    </w:p>
  </w:footnote>
  <w:footnote w:id="103">
    <w:p w14:paraId="0DD1EBB7" w14:textId="77777777" w:rsidR="005E6435" w:rsidRPr="00192471" w:rsidRDefault="005E6435" w:rsidP="00CD4878">
      <w:pPr>
        <w:pStyle w:val="NoSpacing"/>
      </w:pPr>
      <w:r>
        <w:rPr>
          <w:rStyle w:val="FootnoteReference"/>
        </w:rPr>
        <w:footnoteRef/>
      </w:r>
      <w:r>
        <w:t xml:space="preserve"> </w:t>
      </w:r>
      <w:r w:rsidRPr="00727CC1">
        <w:t xml:space="preserve">North-West Provincial Archives, </w:t>
      </w:r>
      <w:r>
        <w:t xml:space="preserve">Bophuthatswana Papers, Office of the President, </w:t>
      </w:r>
      <w:r w:rsidRPr="00192471">
        <w:t>4.5.90</w:t>
      </w:r>
      <w:r>
        <w:t>:</w:t>
      </w:r>
      <w:r w:rsidRPr="00727CC1">
        <w:t xml:space="preserve"> </w:t>
      </w:r>
      <w:r w:rsidRPr="00192471">
        <w:rPr>
          <w:i/>
        </w:rPr>
        <w:t>Notarial Agreement of Lease between Sun City and the Government of Bophuthatswana</w:t>
      </w:r>
      <w:r w:rsidRPr="00192471">
        <w:t xml:space="preserve">, 23 October 1978. </w:t>
      </w:r>
    </w:p>
  </w:footnote>
  <w:footnote w:id="104">
    <w:p w14:paraId="494C7C1C" w14:textId="77777777" w:rsidR="005E6435" w:rsidRPr="008841AB" w:rsidRDefault="005E6435" w:rsidP="008841AB">
      <w:pPr>
        <w:pStyle w:val="FootnoteText"/>
        <w:jc w:val="left"/>
        <w:rPr>
          <w:lang w:val="en-ZA"/>
        </w:rPr>
      </w:pPr>
      <w:r>
        <w:rPr>
          <w:rStyle w:val="FootnoteReference"/>
        </w:rPr>
        <w:footnoteRef/>
      </w:r>
      <w:r>
        <w:t xml:space="preserve"> </w:t>
      </w:r>
      <w:r>
        <w:rPr>
          <w:lang w:val="en-ZA"/>
        </w:rPr>
        <w:t>Sasha Planting: ‘Sun International: Risks and Opportunities.’</w:t>
      </w:r>
      <w:r>
        <w:rPr>
          <w:i/>
          <w:lang w:val="en-ZA"/>
        </w:rPr>
        <w:t xml:space="preserve">Moneyweb </w:t>
      </w:r>
      <w:r>
        <w:rPr>
          <w:lang w:val="en-ZA"/>
        </w:rPr>
        <w:t xml:space="preserve">[Online] </w:t>
      </w:r>
      <w:hyperlink r:id="rId12" w:history="1">
        <w:r w:rsidRPr="00E96126">
          <w:rPr>
            <w:rStyle w:val="Hyperlink"/>
            <w:lang w:val="en-ZA"/>
          </w:rPr>
          <w:t>https://www.moneyweb.co.za/news/companies-and-deals/sun-international-risks-and-opportunity/</w:t>
        </w:r>
      </w:hyperlink>
      <w:r>
        <w:rPr>
          <w:lang w:val="en-ZA"/>
        </w:rPr>
        <w:t xml:space="preserve"> 5 July 217. </w:t>
      </w:r>
    </w:p>
  </w:footnote>
  <w:footnote w:id="105">
    <w:p w14:paraId="16421398" w14:textId="77777777" w:rsidR="005E6435" w:rsidRPr="00660F43" w:rsidRDefault="005E6435" w:rsidP="00CD4878">
      <w:pPr>
        <w:pStyle w:val="FootnoteText"/>
      </w:pPr>
      <w:r w:rsidRPr="00192471">
        <w:rPr>
          <w:rStyle w:val="FootnoteReference"/>
        </w:rPr>
        <w:footnoteRef/>
      </w:r>
      <w:r w:rsidRPr="00192471">
        <w:t xml:space="preserve"> </w:t>
      </w:r>
      <w:r w:rsidRPr="00727CC1">
        <w:t xml:space="preserve">North-West Provincial Archives, </w:t>
      </w:r>
      <w:r>
        <w:t xml:space="preserve">Bophuthatswana Papers, Office of the President, 4.5: </w:t>
      </w:r>
      <w:r w:rsidRPr="00192471">
        <w:t xml:space="preserve">Republic of Bophuthatswana: </w:t>
      </w:r>
      <w:r w:rsidRPr="00192471">
        <w:rPr>
          <w:i/>
        </w:rPr>
        <w:t xml:space="preserve">Government Gazette, </w:t>
      </w:r>
      <w:r w:rsidRPr="00192471">
        <w:t>(1979, 8:48), pp. 3-6.</w:t>
      </w:r>
      <w:r>
        <w:t xml:space="preserve"> </w:t>
      </w:r>
    </w:p>
  </w:footnote>
  <w:footnote w:id="106">
    <w:p w14:paraId="7FF66463" w14:textId="77777777" w:rsidR="005E6435" w:rsidRPr="006F7691" w:rsidRDefault="005E6435" w:rsidP="00CD4878">
      <w:pPr>
        <w:pStyle w:val="NoSpacing"/>
      </w:pPr>
      <w:r>
        <w:rPr>
          <w:rStyle w:val="FootnoteReference"/>
        </w:rPr>
        <w:footnoteRef/>
      </w:r>
      <w:r>
        <w:t xml:space="preserve"> </w:t>
      </w:r>
      <w:r w:rsidRPr="00192471">
        <w:t xml:space="preserve">Quoted in Morgan: </w:t>
      </w:r>
      <w:r w:rsidRPr="00192471">
        <w:rPr>
          <w:i/>
        </w:rPr>
        <w:t>Sun City,</w:t>
      </w:r>
      <w:r w:rsidRPr="00192471">
        <w:t xml:space="preserve"> p. 4.</w:t>
      </w:r>
      <w:r>
        <w:t xml:space="preserve"> </w:t>
      </w:r>
    </w:p>
  </w:footnote>
  <w:footnote w:id="107">
    <w:p w14:paraId="2A7636AF" w14:textId="77777777" w:rsidR="005E6435" w:rsidRPr="004B4294" w:rsidRDefault="005E6435" w:rsidP="00CD4878">
      <w:pPr>
        <w:pStyle w:val="FootnoteText"/>
        <w:rPr>
          <w:lang w:val="en-US"/>
        </w:rPr>
      </w:pPr>
      <w:r>
        <w:rPr>
          <w:rStyle w:val="FootnoteReference"/>
        </w:rPr>
        <w:footnoteRef/>
      </w:r>
      <w:r>
        <w:t xml:space="preserve"> </w:t>
      </w:r>
      <w:r>
        <w:rPr>
          <w:lang w:val="en-US"/>
        </w:rPr>
        <w:t xml:space="preserve">Morgan: </w:t>
      </w:r>
      <w:r>
        <w:rPr>
          <w:i/>
          <w:lang w:val="en-US"/>
        </w:rPr>
        <w:t>Sun City</w:t>
      </w:r>
      <w:r>
        <w:rPr>
          <w:lang w:val="en-US"/>
        </w:rPr>
        <w:t>, p. 4.</w:t>
      </w:r>
    </w:p>
  </w:footnote>
  <w:footnote w:id="108">
    <w:p w14:paraId="141C8FD9" w14:textId="77777777" w:rsidR="005E6435" w:rsidRPr="007375C7" w:rsidRDefault="005E6435" w:rsidP="00CD4878">
      <w:pPr>
        <w:pStyle w:val="FootnoteText"/>
        <w:rPr>
          <w:lang w:val="en-ZA"/>
        </w:rPr>
      </w:pPr>
      <w:r>
        <w:rPr>
          <w:rStyle w:val="FootnoteReference"/>
        </w:rPr>
        <w:footnoteRef/>
      </w:r>
      <w:r>
        <w:t xml:space="preserve"> </w:t>
      </w:r>
      <w:r>
        <w:rPr>
          <w:lang w:val="en-ZA"/>
        </w:rPr>
        <w:t xml:space="preserve">Anonymous 1: Interviewed by Nicola van der Merwe. </w:t>
      </w:r>
    </w:p>
  </w:footnote>
  <w:footnote w:id="109">
    <w:p w14:paraId="26C73B1F" w14:textId="77777777" w:rsidR="005E6435" w:rsidRDefault="005E6435" w:rsidP="00CD4878">
      <w:pPr>
        <w:pStyle w:val="FootnoteText"/>
      </w:pPr>
      <w:r>
        <w:rPr>
          <w:rStyle w:val="FootnoteReference"/>
        </w:rPr>
        <w:footnoteRef/>
      </w:r>
      <w:r>
        <w:t xml:space="preserve"> Southern Sun: </w:t>
      </w:r>
      <w:r>
        <w:rPr>
          <w:i/>
        </w:rPr>
        <w:t xml:space="preserve">Tourism Development in Bophuthatswana, </w:t>
      </w:r>
      <w:r>
        <w:t xml:space="preserve">pp. 6-10. </w:t>
      </w:r>
    </w:p>
  </w:footnote>
  <w:footnote w:id="110">
    <w:p w14:paraId="4433CC15" w14:textId="77777777" w:rsidR="005E6435" w:rsidRDefault="005E6435" w:rsidP="00CD4878">
      <w:pPr>
        <w:pStyle w:val="FootnoteText"/>
      </w:pPr>
      <w:r>
        <w:rPr>
          <w:rStyle w:val="FootnoteReference"/>
        </w:rPr>
        <w:footnoteRef/>
      </w:r>
      <w:r>
        <w:t xml:space="preserve"> </w:t>
      </w:r>
      <w:r w:rsidRPr="00727CC1">
        <w:t xml:space="preserve">North-West Provincial Archives, </w:t>
      </w:r>
      <w:r>
        <w:t xml:space="preserve">Bophuthatswana Papers, Office of the President, </w:t>
      </w:r>
      <w:r w:rsidRPr="00192471">
        <w:t>4.5.90</w:t>
      </w:r>
      <w:r>
        <w:t xml:space="preserve">: </w:t>
      </w:r>
      <w:r w:rsidRPr="00192471">
        <w:rPr>
          <w:i/>
        </w:rPr>
        <w:t>Southern Sun Hotel Holdings Limited:</w:t>
      </w:r>
      <w:r w:rsidRPr="00192471">
        <w:t xml:space="preserve"> </w:t>
      </w:r>
      <w:r w:rsidRPr="00192471">
        <w:rPr>
          <w:i/>
        </w:rPr>
        <w:t xml:space="preserve">Prospectus, </w:t>
      </w:r>
      <w:r w:rsidRPr="00192471">
        <w:t xml:space="preserve">25 July 1979, p. 10. </w:t>
      </w:r>
    </w:p>
  </w:footnote>
  <w:footnote w:id="111">
    <w:p w14:paraId="122927D6" w14:textId="77777777" w:rsidR="005E6435" w:rsidRDefault="005E6435" w:rsidP="00CD4878">
      <w:pPr>
        <w:pStyle w:val="FootnoteText"/>
      </w:pPr>
      <w:r>
        <w:rPr>
          <w:rStyle w:val="FootnoteReference"/>
        </w:rPr>
        <w:footnoteRef/>
      </w:r>
      <w:r>
        <w:t xml:space="preserve"> </w:t>
      </w:r>
      <w:r w:rsidRPr="00B246DC">
        <w:rPr>
          <w:rStyle w:val="NoSpacingChar"/>
        </w:rPr>
        <w:t xml:space="preserve">Southern Sun: </w:t>
      </w:r>
      <w:r w:rsidRPr="00C0477B">
        <w:rPr>
          <w:rStyle w:val="NoSpacingChar"/>
          <w:i/>
        </w:rPr>
        <w:t>Tourism Development in Bophuthatswana,</w:t>
      </w:r>
      <w:r w:rsidRPr="00B246DC">
        <w:rPr>
          <w:rStyle w:val="NoSpacingChar"/>
        </w:rPr>
        <w:t xml:space="preserve"> </w:t>
      </w:r>
      <w:r>
        <w:rPr>
          <w:rStyle w:val="NoSpacingChar"/>
        </w:rPr>
        <w:t>pp. 3-5.</w:t>
      </w:r>
    </w:p>
  </w:footnote>
  <w:footnote w:id="112">
    <w:p w14:paraId="4FE9E6ED" w14:textId="77777777" w:rsidR="005E6435" w:rsidRDefault="005E6435" w:rsidP="00CD4878">
      <w:pPr>
        <w:pStyle w:val="FootnoteText"/>
      </w:pPr>
      <w:r>
        <w:rPr>
          <w:rStyle w:val="FootnoteReference"/>
        </w:rPr>
        <w:footnoteRef/>
      </w:r>
      <w:r>
        <w:t xml:space="preserve"> </w:t>
      </w:r>
      <w:r>
        <w:rPr>
          <w:rStyle w:val="NoSpacingChar"/>
          <w:i/>
        </w:rPr>
        <w:t>Ibid</w:t>
      </w:r>
      <w:r>
        <w:rPr>
          <w:rStyle w:val="NoSpacingChar"/>
        </w:rPr>
        <w:t>, pp. 5-15.</w:t>
      </w:r>
    </w:p>
  </w:footnote>
  <w:footnote w:id="113">
    <w:p w14:paraId="5B4CF60D" w14:textId="77777777" w:rsidR="005E6435" w:rsidRPr="00240B36" w:rsidRDefault="005E6435" w:rsidP="00CD4878">
      <w:pPr>
        <w:pStyle w:val="FootnoteText"/>
      </w:pPr>
      <w:r>
        <w:rPr>
          <w:rStyle w:val="FootnoteReference"/>
        </w:rPr>
        <w:footnoteRef/>
      </w:r>
      <w:r>
        <w:t xml:space="preserve"> North-West Provincial Archives, Bophuthatswana Papers, Office of the President, 4.5.90: </w:t>
      </w:r>
      <w:r>
        <w:rPr>
          <w:i/>
        </w:rPr>
        <w:t xml:space="preserve">Development at Heystekrand, </w:t>
      </w:r>
      <w:r>
        <w:t xml:space="preserve">6 February 1978, pp. 1-4. </w:t>
      </w:r>
    </w:p>
  </w:footnote>
  <w:footnote w:id="114">
    <w:p w14:paraId="32883667" w14:textId="77777777" w:rsidR="005E6435" w:rsidRDefault="005E6435" w:rsidP="00CD4878">
      <w:pPr>
        <w:pStyle w:val="NoSpacing"/>
      </w:pPr>
      <w:r>
        <w:rPr>
          <w:rStyle w:val="FootnoteReference"/>
        </w:rPr>
        <w:footnoteRef/>
      </w:r>
      <w:r>
        <w:t xml:space="preserve"> T.C.Mackey, &amp; L. Roodt: </w:t>
      </w:r>
      <w:r>
        <w:rPr>
          <w:i/>
        </w:rPr>
        <w:t xml:space="preserve">Speed – Is it relevant? </w:t>
      </w:r>
      <w:r>
        <w:t xml:space="preserve">University of Pretoria. </w:t>
      </w:r>
      <w:hyperlink r:id="rId13" w:history="1">
        <w:r w:rsidRPr="00F57B51">
          <w:rPr>
            <w:rStyle w:val="Hyperlink"/>
          </w:rPr>
          <w:t>http://repository.up.ac.za/bitstream/handle/2263/7700/011.pdf?sequence=1</w:t>
        </w:r>
      </w:hyperlink>
      <w:r>
        <w:t xml:space="preserve"> (9 October 2015). </w:t>
      </w:r>
    </w:p>
  </w:footnote>
  <w:footnote w:id="115">
    <w:p w14:paraId="2E9BD38D" w14:textId="77777777" w:rsidR="005E6435" w:rsidRDefault="005E6435" w:rsidP="00CD4878">
      <w:pPr>
        <w:pStyle w:val="FootnoteText"/>
      </w:pPr>
      <w:r w:rsidRPr="00192471">
        <w:rPr>
          <w:rStyle w:val="FootnoteReference"/>
        </w:rPr>
        <w:footnoteRef/>
      </w:r>
      <w:r w:rsidRPr="00192471">
        <w:t xml:space="preserve"> North-West Provincial Archives, Bophuthatswana Papers, Office of the President</w:t>
      </w:r>
      <w:r>
        <w:t xml:space="preserve">, 4.5.90: </w:t>
      </w:r>
      <w:r w:rsidRPr="00192471">
        <w:rPr>
          <w:i/>
        </w:rPr>
        <w:t xml:space="preserve">Brief for Infrastructure of </w:t>
      </w:r>
      <w:r w:rsidRPr="00500F20">
        <w:rPr>
          <w:i/>
        </w:rPr>
        <w:t>Letsatsing.</w:t>
      </w:r>
      <w:r w:rsidRPr="00192471">
        <w:rPr>
          <w:i/>
        </w:rPr>
        <w:t xml:space="preserve"> Hotel Complex, </w:t>
      </w:r>
      <w:r w:rsidRPr="00192471">
        <w:t xml:space="preserve">16 October 1979, pp. 2-14. </w:t>
      </w:r>
    </w:p>
  </w:footnote>
  <w:footnote w:id="116">
    <w:p w14:paraId="2B0FA2AA" w14:textId="77777777" w:rsidR="005E6435" w:rsidRPr="00F65C38" w:rsidRDefault="005E6435" w:rsidP="00CD4878">
      <w:pPr>
        <w:pStyle w:val="FootnoteText"/>
        <w:rPr>
          <w:lang w:val="en-US"/>
        </w:rPr>
      </w:pPr>
      <w:r>
        <w:rPr>
          <w:rStyle w:val="FootnoteReference"/>
        </w:rPr>
        <w:footnoteRef/>
      </w:r>
      <w:r>
        <w:t xml:space="preserve"> </w:t>
      </w:r>
      <w:r>
        <w:rPr>
          <w:i/>
        </w:rPr>
        <w:t xml:space="preserve">Brief for Infrastructure, </w:t>
      </w:r>
      <w:r>
        <w:t>pp. 4-11.</w:t>
      </w:r>
    </w:p>
  </w:footnote>
  <w:footnote w:id="117">
    <w:p w14:paraId="11E01074" w14:textId="77777777" w:rsidR="005E6435" w:rsidRPr="00025601" w:rsidRDefault="005E6435" w:rsidP="00CD4878">
      <w:pPr>
        <w:pStyle w:val="FootnoteText"/>
      </w:pPr>
      <w:r>
        <w:rPr>
          <w:rStyle w:val="FootnoteReference"/>
        </w:rPr>
        <w:footnoteRef/>
      </w:r>
      <w:r>
        <w:t xml:space="preserve"> </w:t>
      </w:r>
      <w:r>
        <w:rPr>
          <w:i/>
        </w:rPr>
        <w:t xml:space="preserve">Ibid, </w:t>
      </w:r>
      <w:r>
        <w:t xml:space="preserve">pp. 5-16. </w:t>
      </w:r>
    </w:p>
  </w:footnote>
  <w:footnote w:id="118">
    <w:p w14:paraId="5BE3EA8F" w14:textId="77777777" w:rsidR="005E6435" w:rsidRPr="00F65C38" w:rsidRDefault="005E6435" w:rsidP="00CD4878">
      <w:pPr>
        <w:pStyle w:val="FootnoteText"/>
        <w:rPr>
          <w:lang w:val="en-US"/>
        </w:rPr>
      </w:pPr>
      <w:r>
        <w:rPr>
          <w:rStyle w:val="FootnoteReference"/>
        </w:rPr>
        <w:footnoteRef/>
      </w:r>
      <w:r>
        <w:t xml:space="preserve"> </w:t>
      </w:r>
      <w:r>
        <w:rPr>
          <w:i/>
        </w:rPr>
        <w:t>Brief for Infrastructure</w:t>
      </w:r>
      <w:r>
        <w:t>, pp. 5-10.</w:t>
      </w:r>
    </w:p>
  </w:footnote>
  <w:footnote w:id="119">
    <w:p w14:paraId="51AA6789" w14:textId="77777777" w:rsidR="005E6435" w:rsidRDefault="005E6435" w:rsidP="00CD4878">
      <w:pPr>
        <w:pStyle w:val="FootnoteText"/>
      </w:pPr>
      <w:r>
        <w:rPr>
          <w:rStyle w:val="FootnoteReference"/>
        </w:rPr>
        <w:footnoteRef/>
      </w:r>
      <w:r>
        <w:t xml:space="preserve"> </w:t>
      </w:r>
      <w:r>
        <w:rPr>
          <w:i/>
        </w:rPr>
        <w:t xml:space="preserve">Ibid, </w:t>
      </w:r>
      <w:r>
        <w:t>pp. 5-6.</w:t>
      </w:r>
    </w:p>
  </w:footnote>
  <w:footnote w:id="120">
    <w:p w14:paraId="1152C8B7" w14:textId="77777777" w:rsidR="005E6435" w:rsidRDefault="005E6435" w:rsidP="00CD4878">
      <w:pPr>
        <w:pStyle w:val="NoSpacing"/>
      </w:pPr>
      <w:r>
        <w:rPr>
          <w:rStyle w:val="FootnoteReference"/>
        </w:rPr>
        <w:footnoteRef/>
      </w:r>
      <w:r>
        <w:t xml:space="preserve"> </w:t>
      </w:r>
      <w:r w:rsidRPr="00192471">
        <w:rPr>
          <w:i/>
        </w:rPr>
        <w:t>Southern Sun Hotel Holdings Limited:</w:t>
      </w:r>
      <w:r>
        <w:t xml:space="preserve"> </w:t>
      </w:r>
      <w:r>
        <w:rPr>
          <w:i/>
        </w:rPr>
        <w:t xml:space="preserve">Prospectus, </w:t>
      </w:r>
      <w:r>
        <w:t xml:space="preserve">pp. 4-12. </w:t>
      </w:r>
    </w:p>
  </w:footnote>
  <w:footnote w:id="121">
    <w:p w14:paraId="2FEAD512" w14:textId="77777777" w:rsidR="005E6435" w:rsidRDefault="005E6435" w:rsidP="00CD4878">
      <w:pPr>
        <w:pStyle w:val="FootnoteText"/>
      </w:pPr>
      <w:r>
        <w:rPr>
          <w:rStyle w:val="FootnoteReference"/>
        </w:rPr>
        <w:footnoteRef/>
      </w:r>
      <w:r>
        <w:t xml:space="preserve"> </w:t>
      </w:r>
      <w:r>
        <w:rPr>
          <w:i/>
        </w:rPr>
        <w:t>Heads of Agreement,</w:t>
      </w:r>
      <w:r>
        <w:t xml:space="preserve"> pp. 5-6. </w:t>
      </w:r>
    </w:p>
  </w:footnote>
  <w:footnote w:id="122">
    <w:p w14:paraId="5EFCDD0B" w14:textId="77777777" w:rsidR="005E6435" w:rsidRDefault="005E6435" w:rsidP="00CD4878">
      <w:pPr>
        <w:pStyle w:val="FootnoteText"/>
      </w:pPr>
      <w:r>
        <w:rPr>
          <w:rStyle w:val="FootnoteReference"/>
        </w:rPr>
        <w:footnoteRef/>
      </w:r>
      <w:r>
        <w:t xml:space="preserve"> </w:t>
      </w:r>
      <w:r>
        <w:rPr>
          <w:i/>
        </w:rPr>
        <w:t>Hvd8/BK Agreement,</w:t>
      </w:r>
      <w:r>
        <w:t xml:space="preserve"> 1-6.</w:t>
      </w:r>
    </w:p>
  </w:footnote>
  <w:footnote w:id="123">
    <w:p w14:paraId="25B8D01B" w14:textId="77777777" w:rsidR="005E6435" w:rsidRDefault="005E6435" w:rsidP="00CD4878">
      <w:pPr>
        <w:pStyle w:val="FootnoteText"/>
      </w:pPr>
      <w:r>
        <w:rPr>
          <w:rStyle w:val="FootnoteReference"/>
        </w:rPr>
        <w:footnoteRef/>
      </w:r>
      <w:r>
        <w:t xml:space="preserve"> </w:t>
      </w:r>
      <w:r w:rsidRPr="00192471">
        <w:t>North-West Provincial Archives, Bophuthatswana Papers, Office of the President</w:t>
      </w:r>
      <w:r>
        <w:t xml:space="preserve">, 4.5.90: </w:t>
      </w:r>
      <w:r w:rsidRPr="00192471">
        <w:rPr>
          <w:i/>
        </w:rPr>
        <w:t>Proposed Notarial Addendum to the Notarial Agreement of Lease</w:t>
      </w:r>
      <w:r>
        <w:t>. 7 March 1979.</w:t>
      </w:r>
    </w:p>
  </w:footnote>
  <w:footnote w:id="124">
    <w:p w14:paraId="3E145EDF" w14:textId="77777777" w:rsidR="005E6435" w:rsidRDefault="005E6435" w:rsidP="00CD4878">
      <w:pPr>
        <w:pStyle w:val="NoSpacing"/>
      </w:pPr>
      <w:r>
        <w:rPr>
          <w:rStyle w:val="FootnoteReference"/>
        </w:rPr>
        <w:footnoteRef/>
      </w:r>
      <w:r>
        <w:t xml:space="preserve"> </w:t>
      </w:r>
      <w:r w:rsidRPr="0075732F">
        <w:rPr>
          <w:i/>
        </w:rPr>
        <w:t>Hvd8/BK Agreement</w:t>
      </w:r>
      <w:r>
        <w:rPr>
          <w:i/>
        </w:rPr>
        <w:t xml:space="preserve">, </w:t>
      </w:r>
      <w:r>
        <w:t xml:space="preserve">pp. 3-6. </w:t>
      </w:r>
    </w:p>
  </w:footnote>
  <w:footnote w:id="125">
    <w:p w14:paraId="2E885A4B" w14:textId="77777777" w:rsidR="005E6435" w:rsidRDefault="005E6435" w:rsidP="00CD4878">
      <w:pPr>
        <w:pStyle w:val="NoSpacing"/>
      </w:pPr>
      <w:r>
        <w:rPr>
          <w:rStyle w:val="FootnoteReference"/>
        </w:rPr>
        <w:footnoteRef/>
      </w:r>
      <w:r>
        <w:t xml:space="preserve"> Staff reporter: ‘King Sol.’ </w:t>
      </w:r>
    </w:p>
  </w:footnote>
  <w:footnote w:id="126">
    <w:p w14:paraId="3FFCBB73" w14:textId="77777777" w:rsidR="005E6435" w:rsidRPr="00541338" w:rsidRDefault="005E6435" w:rsidP="00CD4878">
      <w:pPr>
        <w:pStyle w:val="NoSpacing"/>
      </w:pPr>
      <w:r>
        <w:rPr>
          <w:rStyle w:val="FootnoteReference"/>
        </w:rPr>
        <w:footnoteRef/>
      </w:r>
      <w:r w:rsidRPr="00192471">
        <w:rPr>
          <w:i/>
        </w:rPr>
        <w:t>Southern Sun Hotel Holdings Limited:</w:t>
      </w:r>
      <w:r>
        <w:t xml:space="preserve"> </w:t>
      </w:r>
      <w:r>
        <w:rPr>
          <w:i/>
        </w:rPr>
        <w:t xml:space="preserve">Prospectus, </w:t>
      </w:r>
      <w:r>
        <w:t>p. 15.</w:t>
      </w:r>
    </w:p>
  </w:footnote>
  <w:footnote w:id="127">
    <w:p w14:paraId="5DAFFA33" w14:textId="77777777" w:rsidR="005E6435" w:rsidRPr="00541338" w:rsidRDefault="005E6435" w:rsidP="00CD4878">
      <w:pPr>
        <w:pStyle w:val="FootnoteText"/>
      </w:pPr>
      <w:r>
        <w:rPr>
          <w:rStyle w:val="FootnoteReference"/>
        </w:rPr>
        <w:footnoteRef/>
      </w:r>
      <w:r>
        <w:t xml:space="preserve"> Staff reporter: ‘BNDC – Past successes and future hopes.’ </w:t>
      </w:r>
      <w:r>
        <w:rPr>
          <w:i/>
        </w:rPr>
        <w:t xml:space="preserve">The Mail, </w:t>
      </w:r>
      <w:r>
        <w:t xml:space="preserve">4 December 1992, p. 10. </w:t>
      </w:r>
    </w:p>
  </w:footnote>
  <w:footnote w:id="128">
    <w:p w14:paraId="431E650C" w14:textId="77777777" w:rsidR="005E6435" w:rsidRPr="002627E7" w:rsidRDefault="005E6435" w:rsidP="00CD4878">
      <w:pPr>
        <w:pStyle w:val="NoSpacing"/>
        <w:rPr>
          <w:szCs w:val="24"/>
        </w:rPr>
      </w:pPr>
      <w:r>
        <w:rPr>
          <w:rStyle w:val="FootnoteReference"/>
        </w:rPr>
        <w:footnoteRef/>
      </w:r>
      <w:r>
        <w:t xml:space="preserve"> </w:t>
      </w:r>
      <w:r w:rsidRPr="00192471">
        <w:rPr>
          <w:i/>
        </w:rPr>
        <w:t>Southern Sun Hotel Holdings Limited:</w:t>
      </w:r>
      <w:r>
        <w:t xml:space="preserve"> </w:t>
      </w:r>
      <w:r>
        <w:rPr>
          <w:i/>
        </w:rPr>
        <w:t>Prospectus</w:t>
      </w:r>
      <w:r>
        <w:t xml:space="preserve">, p. 58. </w:t>
      </w:r>
    </w:p>
  </w:footnote>
  <w:footnote w:id="129">
    <w:p w14:paraId="00175421" w14:textId="77777777" w:rsidR="005E6435" w:rsidRPr="007121A3" w:rsidRDefault="005E6435" w:rsidP="00CD4878">
      <w:pPr>
        <w:pStyle w:val="FootnoteText"/>
        <w:rPr>
          <w:lang w:val="en-US"/>
        </w:rPr>
      </w:pPr>
      <w:r>
        <w:rPr>
          <w:rStyle w:val="FootnoteReference"/>
        </w:rPr>
        <w:footnoteRef/>
      </w:r>
      <w:r>
        <w:t xml:space="preserve"> H. P</w:t>
      </w:r>
      <w:r w:rsidRPr="00754572">
        <w:t>ortenschlager</w:t>
      </w:r>
      <w:r>
        <w:t xml:space="preserve">: Interviewed by Nicola van der Merwe. </w:t>
      </w:r>
    </w:p>
  </w:footnote>
  <w:footnote w:id="130">
    <w:p w14:paraId="1A033681" w14:textId="77777777" w:rsidR="005E6435" w:rsidRPr="00F53297" w:rsidRDefault="005E6435" w:rsidP="00CD4878">
      <w:pPr>
        <w:pStyle w:val="FootnoteText"/>
        <w:rPr>
          <w:lang w:val="en-US"/>
        </w:rPr>
      </w:pPr>
      <w:r>
        <w:rPr>
          <w:rStyle w:val="FootnoteReference"/>
        </w:rPr>
        <w:footnoteRef/>
      </w:r>
      <w:r>
        <w:t xml:space="preserve"> Sannar. ‘Playing Sun City’, p. 58.</w:t>
      </w:r>
    </w:p>
  </w:footnote>
  <w:footnote w:id="131">
    <w:p w14:paraId="084EB568" w14:textId="77777777" w:rsidR="005E6435" w:rsidRDefault="005E6435" w:rsidP="00CD4878">
      <w:pPr>
        <w:pStyle w:val="NoSpacing"/>
      </w:pPr>
      <w:r>
        <w:rPr>
          <w:rStyle w:val="FootnoteReference"/>
        </w:rPr>
        <w:footnoteRef/>
      </w:r>
      <w:r>
        <w:t xml:space="preserve"> Staff reporter: ‘King Sol.’ </w:t>
      </w:r>
    </w:p>
  </w:footnote>
  <w:footnote w:id="132">
    <w:p w14:paraId="4E91FCF0" w14:textId="77777777" w:rsidR="005E6435" w:rsidRDefault="005E6435" w:rsidP="00CD4878">
      <w:pPr>
        <w:pStyle w:val="FootnoteText"/>
        <w:jc w:val="left"/>
      </w:pPr>
      <w:r>
        <w:rPr>
          <w:rStyle w:val="FootnoteReference"/>
        </w:rPr>
        <w:footnoteRef/>
      </w:r>
      <w:r>
        <w:t xml:space="preserve"> </w:t>
      </w:r>
      <w:r>
        <w:rPr>
          <w:rStyle w:val="NoSpacingChar"/>
        </w:rPr>
        <w:t>Keller</w:t>
      </w:r>
      <w:r w:rsidRPr="008276D7">
        <w:rPr>
          <w:rStyle w:val="NoSpacingChar"/>
        </w:rPr>
        <w:t xml:space="preserve">: ‘Resort (Not Too African) for Rich Tourists’ </w:t>
      </w:r>
    </w:p>
  </w:footnote>
  <w:footnote w:id="133">
    <w:p w14:paraId="51A166A3" w14:textId="77777777" w:rsidR="005E6435" w:rsidRPr="000A0AF1" w:rsidRDefault="005E6435" w:rsidP="00CD4878">
      <w:pPr>
        <w:pStyle w:val="FootnoteText"/>
        <w:rPr>
          <w:lang w:val="en-US"/>
        </w:rPr>
      </w:pPr>
      <w:r>
        <w:rPr>
          <w:rStyle w:val="FootnoteReference"/>
        </w:rPr>
        <w:footnoteRef/>
      </w:r>
      <w:r>
        <w:t xml:space="preserve"> Evans: Interviewed by Nicola van der Merwe. </w:t>
      </w:r>
    </w:p>
  </w:footnote>
  <w:footnote w:id="134">
    <w:p w14:paraId="37EB4E9C" w14:textId="77777777" w:rsidR="005E6435" w:rsidRPr="00E36EA2" w:rsidRDefault="005E6435" w:rsidP="00CD4878">
      <w:pPr>
        <w:pStyle w:val="FootnoteText"/>
        <w:rPr>
          <w:lang w:val="en-US"/>
        </w:rPr>
      </w:pPr>
      <w:r>
        <w:rPr>
          <w:rStyle w:val="FootnoteReference"/>
        </w:rPr>
        <w:footnoteRef/>
      </w:r>
      <w:r>
        <w:t xml:space="preserve"> </w:t>
      </w:r>
      <w:r>
        <w:rPr>
          <w:lang w:val="en-US"/>
        </w:rPr>
        <w:t xml:space="preserve">Morgan: </w:t>
      </w:r>
      <w:r>
        <w:rPr>
          <w:i/>
          <w:lang w:val="en-US"/>
        </w:rPr>
        <w:t>Sun City</w:t>
      </w:r>
      <w:r>
        <w:rPr>
          <w:lang w:val="en-US"/>
        </w:rPr>
        <w:t>, p. 16.</w:t>
      </w:r>
    </w:p>
  </w:footnote>
  <w:footnote w:id="135">
    <w:p w14:paraId="593396E1" w14:textId="77777777" w:rsidR="005E6435" w:rsidRPr="00E36EA2" w:rsidRDefault="005E6435" w:rsidP="00CD4878">
      <w:pPr>
        <w:pStyle w:val="FootnoteText"/>
        <w:rPr>
          <w:lang w:val="en-US"/>
        </w:rPr>
      </w:pPr>
      <w:r>
        <w:rPr>
          <w:rStyle w:val="FootnoteReference"/>
        </w:rPr>
        <w:footnoteRef/>
      </w:r>
      <w:r>
        <w:t xml:space="preserve"> </w:t>
      </w:r>
      <w:r>
        <w:rPr>
          <w:i/>
          <w:lang w:val="en-US"/>
        </w:rPr>
        <w:t>Ibid</w:t>
      </w:r>
      <w:r>
        <w:rPr>
          <w:lang w:val="en-US"/>
        </w:rPr>
        <w:t>, p. 16.</w:t>
      </w:r>
    </w:p>
  </w:footnote>
  <w:footnote w:id="136">
    <w:p w14:paraId="2B301845" w14:textId="77777777" w:rsidR="005E6435" w:rsidRDefault="005E6435" w:rsidP="00CD4878">
      <w:pPr>
        <w:pStyle w:val="NoSpacing"/>
      </w:pPr>
      <w:r>
        <w:rPr>
          <w:rStyle w:val="FootnoteReference"/>
        </w:rPr>
        <w:footnoteRef/>
      </w:r>
      <w:r>
        <w:t xml:space="preserve"> </w:t>
      </w:r>
      <w:r w:rsidRPr="006D618C">
        <w:rPr>
          <w:rFonts w:cs="Times New Roman"/>
          <w:szCs w:val="24"/>
        </w:rPr>
        <w:t>J</w:t>
      </w:r>
      <w:r>
        <w:rPr>
          <w:rFonts w:cs="Times New Roman"/>
          <w:szCs w:val="24"/>
        </w:rPr>
        <w:t>.</w:t>
      </w:r>
      <w:r w:rsidRPr="006D618C">
        <w:rPr>
          <w:rFonts w:cs="Times New Roman"/>
          <w:szCs w:val="24"/>
        </w:rPr>
        <w:t xml:space="preserve"> Hannigan</w:t>
      </w:r>
      <w:r>
        <w:rPr>
          <w:rFonts w:cs="Times New Roman"/>
          <w:szCs w:val="24"/>
        </w:rPr>
        <w:t>:</w:t>
      </w:r>
      <w:r w:rsidRPr="006D618C">
        <w:rPr>
          <w:rFonts w:cs="Times New Roman"/>
          <w:szCs w:val="24"/>
        </w:rPr>
        <w:t xml:space="preserve"> ‘Casino Cities</w:t>
      </w:r>
      <w:r>
        <w:rPr>
          <w:rFonts w:cs="Times New Roman"/>
          <w:szCs w:val="24"/>
        </w:rPr>
        <w:t>.</w:t>
      </w:r>
      <w:r w:rsidRPr="006D618C">
        <w:rPr>
          <w:rFonts w:cs="Times New Roman"/>
          <w:szCs w:val="24"/>
        </w:rPr>
        <w:t xml:space="preserve">’ </w:t>
      </w:r>
      <w:r w:rsidRPr="006D618C">
        <w:rPr>
          <w:rFonts w:cs="Times New Roman"/>
          <w:i/>
          <w:szCs w:val="24"/>
        </w:rPr>
        <w:t xml:space="preserve">Geography Compass, </w:t>
      </w:r>
      <w:r w:rsidRPr="006D618C">
        <w:rPr>
          <w:rFonts w:cs="Times New Roman"/>
          <w:szCs w:val="24"/>
        </w:rPr>
        <w:t>(2007, 1:4</w:t>
      </w:r>
      <w:r>
        <w:rPr>
          <w:rFonts w:cs="Times New Roman"/>
          <w:szCs w:val="24"/>
        </w:rPr>
        <w:t xml:space="preserve">), </w:t>
      </w:r>
      <w:r>
        <w:t>pp. 964-965.</w:t>
      </w:r>
    </w:p>
  </w:footnote>
  <w:footnote w:id="137">
    <w:p w14:paraId="6F1FE36F" w14:textId="77777777" w:rsidR="005E6435" w:rsidRDefault="005E6435" w:rsidP="00192471">
      <w:pPr>
        <w:pStyle w:val="FootnoteText"/>
        <w:jc w:val="left"/>
      </w:pPr>
      <w:r>
        <w:rPr>
          <w:rStyle w:val="FootnoteReference"/>
        </w:rPr>
        <w:footnoteRef/>
      </w:r>
      <w:r>
        <w:t xml:space="preserve"> </w:t>
      </w:r>
      <w:r>
        <w:rPr>
          <w:rStyle w:val="NoSpacingChar"/>
        </w:rPr>
        <w:t xml:space="preserve">Hall &amp; </w:t>
      </w:r>
      <w:r w:rsidRPr="00935B7E">
        <w:rPr>
          <w:rStyle w:val="NoSpacingChar"/>
        </w:rPr>
        <w:t>Bomb</w:t>
      </w:r>
      <w:r>
        <w:rPr>
          <w:rStyle w:val="NoSpacingChar"/>
        </w:rPr>
        <w:t>ardella: ‘Las Vegas in Africa’, pp. 1-18.</w:t>
      </w:r>
    </w:p>
  </w:footnote>
  <w:footnote w:id="138">
    <w:p w14:paraId="35650765" w14:textId="77777777" w:rsidR="005E6435" w:rsidRDefault="005E6435" w:rsidP="00192471">
      <w:pPr>
        <w:pStyle w:val="FootnoteText"/>
        <w:jc w:val="left"/>
      </w:pPr>
      <w:r>
        <w:rPr>
          <w:rStyle w:val="FootnoteReference"/>
        </w:rPr>
        <w:footnoteRef/>
      </w:r>
      <w:r>
        <w:rPr>
          <w:rStyle w:val="NoSpacingChar"/>
        </w:rPr>
        <w:t xml:space="preserve"> </w:t>
      </w:r>
      <w:r>
        <w:rPr>
          <w:rStyle w:val="NoSpacingChar"/>
          <w:i/>
        </w:rPr>
        <w:t>Ibid,</w:t>
      </w:r>
      <w:r>
        <w:t xml:space="preserve"> p. 279.</w:t>
      </w:r>
    </w:p>
  </w:footnote>
  <w:footnote w:id="139">
    <w:p w14:paraId="7FD98115" w14:textId="77777777" w:rsidR="005E6435" w:rsidRPr="00C11069" w:rsidRDefault="005E6435" w:rsidP="00192471">
      <w:pPr>
        <w:pStyle w:val="FootnoteText"/>
        <w:jc w:val="left"/>
      </w:pPr>
      <w:r>
        <w:rPr>
          <w:rStyle w:val="FootnoteReference"/>
        </w:rPr>
        <w:footnoteRef/>
      </w:r>
      <w:r>
        <w:t xml:space="preserve"> </w:t>
      </w:r>
      <w:r w:rsidRPr="00192471">
        <w:t>North-West Provincial Archives, Bophuthatswana Papers, Office of the President, 4.5.90</w:t>
      </w:r>
      <w:r>
        <w:t xml:space="preserve">: </w:t>
      </w:r>
      <w:r w:rsidRPr="00192471">
        <w:rPr>
          <w:i/>
        </w:rPr>
        <w:t xml:space="preserve">Letter to from Southern Sun to </w:t>
      </w:r>
      <w:r>
        <w:rPr>
          <w:i/>
        </w:rPr>
        <w:t>Jerry Reid.</w:t>
      </w:r>
      <w:r w:rsidRPr="00192471">
        <w:rPr>
          <w:i/>
        </w:rPr>
        <w:t xml:space="preserve"> </w:t>
      </w:r>
      <w:r w:rsidRPr="00192471">
        <w:t xml:space="preserve">18 April 1980. </w:t>
      </w:r>
    </w:p>
  </w:footnote>
  <w:footnote w:id="140">
    <w:p w14:paraId="563A0933" w14:textId="77777777" w:rsidR="005E6435" w:rsidRPr="00192471" w:rsidRDefault="005E6435" w:rsidP="00192471">
      <w:pPr>
        <w:pStyle w:val="FootnoteText"/>
        <w:jc w:val="left"/>
      </w:pPr>
      <w:r>
        <w:rPr>
          <w:rStyle w:val="FootnoteReference"/>
        </w:rPr>
        <w:footnoteRef/>
      </w:r>
      <w:r>
        <w:t xml:space="preserve"> </w:t>
      </w:r>
      <w:r w:rsidRPr="00192471">
        <w:t>North-West Provincial Archives, Bophuthatswana Papers, Office of the President, 4.5.90</w:t>
      </w:r>
      <w:r>
        <w:t xml:space="preserve">: </w:t>
      </w:r>
      <w:r w:rsidRPr="00192471">
        <w:rPr>
          <w:i/>
        </w:rPr>
        <w:t xml:space="preserve">Letter from </w:t>
      </w:r>
      <w:r>
        <w:rPr>
          <w:i/>
        </w:rPr>
        <w:t xml:space="preserve">Peter Bacon at </w:t>
      </w:r>
      <w:r w:rsidRPr="00192471">
        <w:rPr>
          <w:i/>
        </w:rPr>
        <w:t>Sou</w:t>
      </w:r>
      <w:r>
        <w:rPr>
          <w:i/>
        </w:rPr>
        <w:t>thern Sun to Jerry Reid.</w:t>
      </w:r>
      <w:r w:rsidRPr="00192471">
        <w:rPr>
          <w:i/>
        </w:rPr>
        <w:t xml:space="preserve"> </w:t>
      </w:r>
      <w:r w:rsidRPr="00192471">
        <w:t xml:space="preserve">9 September 1980. </w:t>
      </w:r>
    </w:p>
  </w:footnote>
  <w:footnote w:id="141">
    <w:p w14:paraId="0B7FCC10" w14:textId="77777777" w:rsidR="005E6435" w:rsidRPr="00421A11" w:rsidRDefault="005E6435" w:rsidP="00192471">
      <w:pPr>
        <w:pStyle w:val="FootnoteText"/>
        <w:jc w:val="left"/>
      </w:pPr>
      <w:r w:rsidRPr="00192471">
        <w:rPr>
          <w:rStyle w:val="FootnoteReference"/>
        </w:rPr>
        <w:footnoteRef/>
      </w:r>
      <w:r w:rsidRPr="00192471">
        <w:t xml:space="preserve"> North-West Provincial Archives, Bophuthatswana Papers, Office of the President</w:t>
      </w:r>
      <w:r>
        <w:t>:</w:t>
      </w:r>
      <w:r w:rsidRPr="00192471">
        <w:t xml:space="preserve"> 4.5.90</w:t>
      </w:r>
      <w:r w:rsidRPr="00192471">
        <w:rPr>
          <w:i/>
        </w:rPr>
        <w:t xml:space="preserve">Documents </w:t>
      </w:r>
      <w:r w:rsidRPr="00500F20">
        <w:rPr>
          <w:i/>
        </w:rPr>
        <w:t>from P. Wagner at Southern</w:t>
      </w:r>
      <w:r w:rsidRPr="00192471">
        <w:rPr>
          <w:i/>
        </w:rPr>
        <w:t xml:space="preserve"> Sun to </w:t>
      </w:r>
      <w:r>
        <w:rPr>
          <w:i/>
        </w:rPr>
        <w:t>Jerry Reid.</w:t>
      </w:r>
      <w:r w:rsidRPr="00192471">
        <w:rPr>
          <w:i/>
        </w:rPr>
        <w:t xml:space="preserve"> </w:t>
      </w:r>
      <w:r>
        <w:t>7 &amp; 8 December 1980.</w:t>
      </w:r>
    </w:p>
  </w:footnote>
  <w:footnote w:id="142">
    <w:p w14:paraId="40C42FD2" w14:textId="77777777" w:rsidR="005E6435" w:rsidRDefault="005E6435" w:rsidP="00CD4878">
      <w:pPr>
        <w:pStyle w:val="NoSpacing"/>
      </w:pPr>
      <w:r>
        <w:rPr>
          <w:rStyle w:val="FootnoteReference"/>
        </w:rPr>
        <w:footnoteRef/>
      </w:r>
      <w:r>
        <w:t xml:space="preserve"> J. &amp; J. Comaroff: </w:t>
      </w:r>
      <w:r>
        <w:rPr>
          <w:i/>
        </w:rPr>
        <w:t xml:space="preserve">Ethnicity Inc. </w:t>
      </w:r>
      <w:r>
        <w:t xml:space="preserve">The University of Chicago Press, Chicago, 2009, pp. 102-103. </w:t>
      </w:r>
    </w:p>
  </w:footnote>
  <w:footnote w:id="143">
    <w:p w14:paraId="416B52FF" w14:textId="77777777" w:rsidR="005E6435" w:rsidRDefault="005E6435" w:rsidP="00CD4878">
      <w:pPr>
        <w:pStyle w:val="NoSpacing"/>
      </w:pPr>
      <w:r>
        <w:rPr>
          <w:rStyle w:val="FootnoteReference"/>
        </w:rPr>
        <w:footnoteRef/>
      </w:r>
      <w:r>
        <w:t xml:space="preserve"> </w:t>
      </w:r>
      <w:r w:rsidRPr="00192471">
        <w:t>North-West Provincial Archives, Bophuthatswana Papers, Office of the President, 4.5.90</w:t>
      </w:r>
      <w:r>
        <w:t xml:space="preserve">: </w:t>
      </w:r>
      <w:r w:rsidRPr="00500F20">
        <w:rPr>
          <w:i/>
        </w:rPr>
        <w:t xml:space="preserve">Potential Spending Power of Southern Sun Hotels (Bophuthatswana) (Pty) Ltd. in Year One (1980). </w:t>
      </w:r>
      <w:r w:rsidRPr="00500F20">
        <w:t>27 June 1978, p. 12.</w:t>
      </w:r>
      <w:r>
        <w:t xml:space="preserve"> </w:t>
      </w:r>
    </w:p>
  </w:footnote>
  <w:footnote w:id="144">
    <w:p w14:paraId="4D5BD3F5" w14:textId="77777777" w:rsidR="005E6435" w:rsidRDefault="005E6435" w:rsidP="00CD4878">
      <w:pPr>
        <w:pStyle w:val="FootnoteText"/>
      </w:pPr>
      <w:r>
        <w:rPr>
          <w:rStyle w:val="FootnoteReference"/>
        </w:rPr>
        <w:footnoteRef/>
      </w:r>
      <w:r>
        <w:t xml:space="preserve"> </w:t>
      </w:r>
      <w:r>
        <w:rPr>
          <w:i/>
        </w:rPr>
        <w:t>Brief for Infrastructure</w:t>
      </w:r>
      <w:r>
        <w:t>, pp. 125-192.</w:t>
      </w:r>
    </w:p>
  </w:footnote>
  <w:footnote w:id="145">
    <w:p w14:paraId="56DF373E" w14:textId="77777777" w:rsidR="005E6435" w:rsidRPr="005033B6" w:rsidRDefault="005E6435" w:rsidP="00CD4878">
      <w:pPr>
        <w:pStyle w:val="FootnoteText"/>
        <w:rPr>
          <w:lang w:val="en-US"/>
        </w:rPr>
      </w:pPr>
      <w:r>
        <w:rPr>
          <w:rStyle w:val="FootnoteReference"/>
        </w:rPr>
        <w:footnoteRef/>
      </w:r>
      <w:r>
        <w:t xml:space="preserve"> </w:t>
      </w:r>
      <w:r>
        <w:rPr>
          <w:lang w:val="en-US"/>
        </w:rPr>
        <w:t xml:space="preserve">Morgan: </w:t>
      </w:r>
      <w:r>
        <w:rPr>
          <w:i/>
          <w:lang w:val="en-US"/>
        </w:rPr>
        <w:t>Sun City</w:t>
      </w:r>
      <w:r>
        <w:rPr>
          <w:lang w:val="en-US"/>
        </w:rPr>
        <w:t>, p. 8</w:t>
      </w:r>
    </w:p>
  </w:footnote>
  <w:footnote w:id="146">
    <w:p w14:paraId="4C572C2D" w14:textId="77777777" w:rsidR="005E6435" w:rsidRPr="002E00DE" w:rsidRDefault="005E6435" w:rsidP="00CD4878">
      <w:pPr>
        <w:pStyle w:val="FootnoteText"/>
        <w:rPr>
          <w:lang w:val="en-US"/>
        </w:rPr>
      </w:pPr>
      <w:r>
        <w:rPr>
          <w:rStyle w:val="FootnoteReference"/>
        </w:rPr>
        <w:footnoteRef/>
      </w:r>
      <w:r>
        <w:t xml:space="preserve"> </w:t>
      </w:r>
      <w:r>
        <w:rPr>
          <w:lang w:val="en-US"/>
        </w:rPr>
        <w:t xml:space="preserve">Anonymous 4: Interviewed by Nicola van der Merwe. </w:t>
      </w:r>
    </w:p>
  </w:footnote>
  <w:footnote w:id="147">
    <w:p w14:paraId="47468E58" w14:textId="77777777" w:rsidR="005E6435" w:rsidRPr="00FD0DF8" w:rsidRDefault="005E6435" w:rsidP="00CD4878">
      <w:pPr>
        <w:pStyle w:val="FootnoteText"/>
        <w:rPr>
          <w:lang w:val="en-US"/>
        </w:rPr>
      </w:pPr>
      <w:r>
        <w:rPr>
          <w:rStyle w:val="FootnoteReference"/>
        </w:rPr>
        <w:footnoteRef/>
      </w:r>
      <w:r>
        <w:t xml:space="preserve"> J. </w:t>
      </w:r>
      <w:r w:rsidRPr="007074B9">
        <w:rPr>
          <w:rStyle w:val="NoSpacingChar"/>
        </w:rPr>
        <w:t>Keenan:</w:t>
      </w:r>
      <w:r w:rsidRPr="00FD0DF8">
        <w:rPr>
          <w:rStyle w:val="NoSpacingChar"/>
        </w:rPr>
        <w:t xml:space="preserve"> ‘Report on the socio-economic effects of the Pilanesberg Game Reserve on the surrounding population and the attitudes of the surrounding population to the game reserve</w:t>
      </w:r>
      <w:r>
        <w:rPr>
          <w:rStyle w:val="NoSpacingChar"/>
        </w:rPr>
        <w:t>’</w:t>
      </w:r>
      <w:r w:rsidRPr="00FD0DF8">
        <w:rPr>
          <w:rStyle w:val="NoSpacingChar"/>
        </w:rPr>
        <w:t xml:space="preserve">, </w:t>
      </w:r>
      <w:r>
        <w:rPr>
          <w:rStyle w:val="NoSpacingChar"/>
        </w:rPr>
        <w:t xml:space="preserve">unpublished report, </w:t>
      </w:r>
      <w:r w:rsidRPr="00FD0DF8">
        <w:rPr>
          <w:rStyle w:val="NoSpacingChar"/>
        </w:rPr>
        <w:t>University of the Witwatersrand, on behalf of the Pilanesberg Game Reserve, South Africa, 1984.</w:t>
      </w:r>
    </w:p>
  </w:footnote>
  <w:footnote w:id="148">
    <w:p w14:paraId="78CF9132" w14:textId="77777777" w:rsidR="005E6435" w:rsidRPr="001904B1" w:rsidRDefault="005E6435" w:rsidP="00CD4878">
      <w:pPr>
        <w:pStyle w:val="FootnoteText"/>
        <w:rPr>
          <w:lang w:val="en-US"/>
        </w:rPr>
      </w:pPr>
      <w:r>
        <w:rPr>
          <w:rStyle w:val="FootnoteReference"/>
        </w:rPr>
        <w:footnoteRef/>
      </w:r>
      <w:r>
        <w:t xml:space="preserve"> Manson &amp; Mbenga: </w:t>
      </w:r>
      <w:r w:rsidRPr="006E44C2">
        <w:rPr>
          <w:i/>
        </w:rPr>
        <w:t xml:space="preserve">Land, Chiefs, Mining, </w:t>
      </w:r>
      <w:r>
        <w:t>p. 165</w:t>
      </w:r>
    </w:p>
  </w:footnote>
  <w:footnote w:id="149">
    <w:p w14:paraId="4E021317" w14:textId="77777777" w:rsidR="005E6435" w:rsidRPr="001904B1" w:rsidRDefault="005E6435" w:rsidP="00500F20">
      <w:pPr>
        <w:pStyle w:val="NoSpacing"/>
        <w:rPr>
          <w:lang w:val="en-US"/>
        </w:rPr>
      </w:pPr>
      <w:r>
        <w:rPr>
          <w:rStyle w:val="FootnoteReference"/>
        </w:rPr>
        <w:footnoteRef/>
      </w:r>
      <w:r>
        <w:t xml:space="preserve"> Rowan Cronje, a Zimbabwean, became a member of Lucas Mangope’s cabinet. He later became the Bophuthatswana Minister of Foreign Affairs in the early 1990s. </w:t>
      </w:r>
    </w:p>
  </w:footnote>
  <w:footnote w:id="150">
    <w:p w14:paraId="40A330CC" w14:textId="77777777" w:rsidR="005E6435" w:rsidRPr="00217C50" w:rsidRDefault="005E6435" w:rsidP="00500F20">
      <w:pPr>
        <w:pStyle w:val="NoSpacing"/>
        <w:rPr>
          <w:lang w:val="en-US"/>
        </w:rPr>
      </w:pPr>
      <w:r>
        <w:rPr>
          <w:rStyle w:val="FootnoteReference"/>
        </w:rPr>
        <w:footnoteRef/>
      </w:r>
      <w:r>
        <w:t xml:space="preserve"> Manson &amp; Mbenga: </w:t>
      </w:r>
      <w:r w:rsidRPr="001D0CC5">
        <w:rPr>
          <w:i/>
        </w:rPr>
        <w:t>Land, Chiefs, Mining</w:t>
      </w:r>
      <w:r>
        <w:rPr>
          <w:i/>
        </w:rPr>
        <w:t>’</w:t>
      </w:r>
      <w:r>
        <w:t>, p. 165.</w:t>
      </w:r>
    </w:p>
  </w:footnote>
  <w:footnote w:id="151">
    <w:p w14:paraId="4F93DAF9" w14:textId="77777777" w:rsidR="005E6435" w:rsidRDefault="005E6435" w:rsidP="00500F20">
      <w:pPr>
        <w:pStyle w:val="NoSpacing"/>
      </w:pPr>
      <w:r>
        <w:rPr>
          <w:rStyle w:val="FootnoteReference"/>
        </w:rPr>
        <w:footnoteRef/>
      </w:r>
      <w:r>
        <w:t xml:space="preserve"> </w:t>
      </w:r>
      <w:r>
        <w:rPr>
          <w:i/>
        </w:rPr>
        <w:t>Ibid,</w:t>
      </w:r>
      <w:r>
        <w:t xml:space="preserve"> pp. 27-28. </w:t>
      </w:r>
    </w:p>
  </w:footnote>
  <w:footnote w:id="152">
    <w:p w14:paraId="76446CA1" w14:textId="77777777" w:rsidR="005E6435" w:rsidRPr="00E5608F" w:rsidRDefault="005E6435" w:rsidP="00500F20">
      <w:pPr>
        <w:pStyle w:val="NoSpacing"/>
        <w:rPr>
          <w:lang w:val="en-US"/>
        </w:rPr>
      </w:pPr>
      <w:r>
        <w:rPr>
          <w:rStyle w:val="FootnoteReference"/>
        </w:rPr>
        <w:footnoteRef/>
      </w:r>
      <w:r w:rsidRPr="00500F20">
        <w:t>North-West Provincial Archive</w:t>
      </w:r>
      <w:r>
        <w:t xml:space="preserve">s, </w:t>
      </w:r>
      <w:r w:rsidRPr="00192471">
        <w:t>Bophuthatswana Papers, Office of the President</w:t>
      </w:r>
      <w:r>
        <w:t>, 4.5.90</w:t>
      </w:r>
      <w:r w:rsidRPr="00500F20">
        <w:rPr>
          <w:lang w:val="en-US"/>
        </w:rPr>
        <w:t xml:space="preserve">: </w:t>
      </w:r>
      <w:r w:rsidRPr="00500F20">
        <w:rPr>
          <w:i/>
          <w:lang w:val="en-US"/>
        </w:rPr>
        <w:t xml:space="preserve">List of Sun City employees sent to office of Lucas Mangope. </w:t>
      </w:r>
      <w:r w:rsidRPr="00500F20">
        <w:rPr>
          <w:lang w:val="en-US"/>
        </w:rPr>
        <w:t>26 October 1982, pp. 1-68.</w:t>
      </w:r>
    </w:p>
  </w:footnote>
  <w:footnote w:id="153">
    <w:p w14:paraId="3A084517" w14:textId="77777777" w:rsidR="005E6435" w:rsidRPr="00500F20" w:rsidRDefault="005E6435" w:rsidP="00CD4878">
      <w:pPr>
        <w:pStyle w:val="FootnoteText"/>
        <w:rPr>
          <w:lang w:val="en-US"/>
        </w:rPr>
      </w:pPr>
      <w:r w:rsidRPr="00500F20">
        <w:rPr>
          <w:rStyle w:val="FootnoteReference"/>
        </w:rPr>
        <w:footnoteRef/>
      </w:r>
      <w:r w:rsidRPr="00500F20">
        <w:t xml:space="preserve"> </w:t>
      </w:r>
      <w:r w:rsidRPr="00500F20">
        <w:rPr>
          <w:i/>
          <w:lang w:val="en-US"/>
        </w:rPr>
        <w:t xml:space="preserve">List of Sun City employees </w:t>
      </w:r>
      <w:r>
        <w:rPr>
          <w:i/>
          <w:lang w:val="en-US"/>
        </w:rPr>
        <w:t>sent to office of Lucas Mangope</w:t>
      </w:r>
      <w:r w:rsidRPr="00500F20">
        <w:rPr>
          <w:lang w:val="en-US"/>
        </w:rPr>
        <w:t xml:space="preserve">, pp. 1-68. </w:t>
      </w:r>
    </w:p>
  </w:footnote>
  <w:footnote w:id="154">
    <w:p w14:paraId="6A4F4CB5" w14:textId="77777777" w:rsidR="005E6435" w:rsidRPr="002E00DE" w:rsidRDefault="005E6435" w:rsidP="00CD4878">
      <w:pPr>
        <w:pStyle w:val="FootnoteText"/>
        <w:rPr>
          <w:lang w:val="en-US"/>
        </w:rPr>
      </w:pPr>
      <w:r w:rsidRPr="00500F20">
        <w:rPr>
          <w:rStyle w:val="FootnoteReference"/>
        </w:rPr>
        <w:footnoteRef/>
      </w:r>
      <w:r w:rsidRPr="00500F20">
        <w:t xml:space="preserve"> </w:t>
      </w:r>
      <w:r>
        <w:rPr>
          <w:i/>
        </w:rPr>
        <w:t>Ibid</w:t>
      </w:r>
      <w:r w:rsidRPr="00500F20">
        <w:rPr>
          <w:lang w:val="en-US"/>
        </w:rPr>
        <w:t>, pp. 1-68.</w:t>
      </w:r>
    </w:p>
  </w:footnote>
  <w:footnote w:id="155">
    <w:p w14:paraId="7F3EB549" w14:textId="77777777" w:rsidR="005E6435" w:rsidRPr="00DA6A70" w:rsidRDefault="005E6435" w:rsidP="00CD4878">
      <w:pPr>
        <w:pStyle w:val="FootnoteText"/>
        <w:rPr>
          <w:lang w:val="en-US"/>
        </w:rPr>
      </w:pPr>
      <w:r>
        <w:rPr>
          <w:rStyle w:val="FootnoteReference"/>
        </w:rPr>
        <w:footnoteRef/>
      </w:r>
      <w:r>
        <w:t xml:space="preserve"> </w:t>
      </w:r>
      <w:r>
        <w:rPr>
          <w:lang w:val="en-US"/>
        </w:rPr>
        <w:t xml:space="preserve">Dreyer: Interviewed by Nicola van der Merwe. </w:t>
      </w:r>
    </w:p>
  </w:footnote>
  <w:footnote w:id="156">
    <w:p w14:paraId="23BDA330" w14:textId="77777777" w:rsidR="005E6435" w:rsidRPr="00E034F6" w:rsidRDefault="005E6435" w:rsidP="00CD4878">
      <w:pPr>
        <w:pStyle w:val="FootnoteText"/>
        <w:rPr>
          <w:lang w:val="en-US"/>
        </w:rPr>
      </w:pPr>
      <w:r>
        <w:rPr>
          <w:rStyle w:val="FootnoteReference"/>
        </w:rPr>
        <w:footnoteRef/>
      </w:r>
      <w:r>
        <w:t xml:space="preserve"> Dreyer: Interviewed by Nicola van der Merwe. </w:t>
      </w:r>
    </w:p>
  </w:footnote>
  <w:footnote w:id="157">
    <w:p w14:paraId="3D2A310B" w14:textId="77777777" w:rsidR="005E6435" w:rsidRPr="009F775A" w:rsidRDefault="005E6435" w:rsidP="00CD4878">
      <w:pPr>
        <w:pStyle w:val="FootnoteText"/>
        <w:rPr>
          <w:lang w:val="en-US"/>
        </w:rPr>
      </w:pPr>
      <w:r>
        <w:rPr>
          <w:rStyle w:val="FootnoteReference"/>
        </w:rPr>
        <w:footnoteRef/>
      </w:r>
      <w:r>
        <w:t xml:space="preserve"> </w:t>
      </w:r>
      <w:r>
        <w:rPr>
          <w:i/>
        </w:rPr>
        <w:t>Ibid.</w:t>
      </w:r>
    </w:p>
  </w:footnote>
  <w:footnote w:id="158">
    <w:p w14:paraId="16A84D36" w14:textId="77777777" w:rsidR="005E6435" w:rsidRDefault="005E6435" w:rsidP="00CD4878">
      <w:pPr>
        <w:pStyle w:val="NoSpacing"/>
      </w:pPr>
      <w:r>
        <w:rPr>
          <w:rStyle w:val="FootnoteReference"/>
        </w:rPr>
        <w:footnoteRef/>
      </w:r>
      <w:r>
        <w:t xml:space="preserve"> H. Potgieter &amp; G. Cubitt: </w:t>
      </w:r>
      <w:r>
        <w:rPr>
          <w:i/>
        </w:rPr>
        <w:t xml:space="preserve">Sun City. </w:t>
      </w:r>
      <w:r>
        <w:t xml:space="preserve">C. Struik (Pty) Ltd., 1987, p. 1. </w:t>
      </w:r>
    </w:p>
  </w:footnote>
  <w:footnote w:id="159">
    <w:p w14:paraId="51A6DEC4" w14:textId="77777777" w:rsidR="005E6435" w:rsidRPr="00E034F6" w:rsidRDefault="005E6435" w:rsidP="00CD4878">
      <w:pPr>
        <w:pStyle w:val="FootnoteText"/>
        <w:rPr>
          <w:lang w:val="en-US"/>
        </w:rPr>
      </w:pPr>
      <w:r>
        <w:rPr>
          <w:rStyle w:val="FootnoteReference"/>
        </w:rPr>
        <w:footnoteRef/>
      </w:r>
      <w:r>
        <w:t xml:space="preserve"> Dreyer: Interviewed by Nicola van der Merwe. </w:t>
      </w:r>
    </w:p>
  </w:footnote>
  <w:footnote w:id="160">
    <w:p w14:paraId="09BCF05B" w14:textId="77777777" w:rsidR="005E6435" w:rsidRPr="004231AA" w:rsidRDefault="005E6435" w:rsidP="00CD4878">
      <w:pPr>
        <w:pStyle w:val="FootnoteText"/>
        <w:rPr>
          <w:lang w:val="en-US"/>
        </w:rPr>
      </w:pPr>
      <w:r>
        <w:rPr>
          <w:rStyle w:val="FootnoteReference"/>
        </w:rPr>
        <w:footnoteRef/>
      </w:r>
      <w:r>
        <w:t xml:space="preserve"> Anonymous 4: Interviewed by Nicola van der Merwe.</w:t>
      </w:r>
    </w:p>
  </w:footnote>
  <w:footnote w:id="161">
    <w:p w14:paraId="305D7CCC" w14:textId="77777777" w:rsidR="005E6435" w:rsidRPr="00E034F6" w:rsidRDefault="005E6435" w:rsidP="00CD4878">
      <w:pPr>
        <w:pStyle w:val="FootnoteText"/>
        <w:rPr>
          <w:lang w:val="en-US"/>
        </w:rPr>
      </w:pPr>
      <w:r>
        <w:rPr>
          <w:rStyle w:val="FootnoteReference"/>
        </w:rPr>
        <w:footnoteRef/>
      </w:r>
      <w:r>
        <w:t xml:space="preserve"> Dreyer: Interviewed by Nicola van der Merwe.</w:t>
      </w:r>
    </w:p>
  </w:footnote>
  <w:footnote w:id="162">
    <w:p w14:paraId="0D895842" w14:textId="77777777" w:rsidR="005E6435" w:rsidRPr="005E3F49" w:rsidRDefault="005E6435" w:rsidP="00CD4878">
      <w:pPr>
        <w:pStyle w:val="FootnoteText"/>
        <w:rPr>
          <w:lang w:val="en-US"/>
        </w:rPr>
      </w:pPr>
      <w:r>
        <w:rPr>
          <w:rStyle w:val="FootnoteReference"/>
        </w:rPr>
        <w:footnoteRef/>
      </w:r>
      <w:r>
        <w:t xml:space="preserve"> </w:t>
      </w:r>
      <w:r>
        <w:rPr>
          <w:i/>
        </w:rPr>
        <w:t>Ibid.</w:t>
      </w:r>
    </w:p>
  </w:footnote>
  <w:footnote w:id="163">
    <w:p w14:paraId="690B8DA7" w14:textId="77777777" w:rsidR="005E6435" w:rsidRPr="009177A3" w:rsidRDefault="005E6435" w:rsidP="00CD4878">
      <w:pPr>
        <w:pStyle w:val="FootnoteText"/>
        <w:rPr>
          <w:lang w:val="en-ZA"/>
        </w:rPr>
      </w:pPr>
      <w:r>
        <w:rPr>
          <w:rStyle w:val="FootnoteReference"/>
        </w:rPr>
        <w:footnoteRef/>
      </w:r>
      <w:r>
        <w:t xml:space="preserve"> </w:t>
      </w:r>
      <w:r w:rsidRPr="00F42595">
        <w:rPr>
          <w:rStyle w:val="NoSpacingChar"/>
        </w:rPr>
        <w:t xml:space="preserve">Sun International: </w:t>
      </w:r>
      <w:r w:rsidRPr="00500F20">
        <w:rPr>
          <w:rStyle w:val="NoSpacingChar"/>
          <w:i/>
        </w:rPr>
        <w:t>SunBop.</w:t>
      </w:r>
      <w:r w:rsidRPr="00F42595">
        <w:rPr>
          <w:rStyle w:val="NoSpacingChar"/>
        </w:rPr>
        <w:t>, October/November 1991</w:t>
      </w:r>
      <w:r>
        <w:rPr>
          <w:rStyle w:val="NoSpacingChar"/>
        </w:rPr>
        <w:t xml:space="preserve">, p. 8. </w:t>
      </w:r>
    </w:p>
  </w:footnote>
  <w:footnote w:id="164">
    <w:p w14:paraId="7B4629EA" w14:textId="77777777" w:rsidR="005E6435" w:rsidRPr="00F52BAB" w:rsidRDefault="005E6435" w:rsidP="00CD4878">
      <w:pPr>
        <w:pStyle w:val="NoSpacing"/>
      </w:pPr>
      <w:r>
        <w:rPr>
          <w:rStyle w:val="FootnoteReference"/>
        </w:rPr>
        <w:footnoteRef/>
      </w:r>
      <w:r>
        <w:t xml:space="preserve"> Sun International: </w:t>
      </w:r>
      <w:r w:rsidRPr="00500F20">
        <w:rPr>
          <w:i/>
        </w:rPr>
        <w:t>Letsatsing.</w:t>
      </w:r>
      <w:r>
        <w:t xml:space="preserve">. October 1985; Sun International: </w:t>
      </w:r>
      <w:r w:rsidRPr="001315DE">
        <w:rPr>
          <w:i/>
        </w:rPr>
        <w:t>SunBop</w:t>
      </w:r>
      <w:r>
        <w:t xml:space="preserve">. October/November 1991; Sun International: </w:t>
      </w:r>
      <w:r w:rsidRPr="00500F20">
        <w:rPr>
          <w:i/>
        </w:rPr>
        <w:t>Letsatsing.</w:t>
      </w:r>
      <w:r>
        <w:rPr>
          <w:i/>
        </w:rPr>
        <w:t xml:space="preserve">, </w:t>
      </w:r>
      <w:r>
        <w:t xml:space="preserve">June 1985; Sun International: </w:t>
      </w:r>
      <w:r w:rsidRPr="00500F20">
        <w:rPr>
          <w:i/>
        </w:rPr>
        <w:t>Letsatsing.</w:t>
      </w:r>
      <w:r>
        <w:rPr>
          <w:i/>
        </w:rPr>
        <w:t xml:space="preserve">, </w:t>
      </w:r>
      <w:r>
        <w:t xml:space="preserve">May 1985, Sun International: </w:t>
      </w:r>
      <w:r w:rsidRPr="00500F20">
        <w:rPr>
          <w:i/>
        </w:rPr>
        <w:t>Letsatsing.</w:t>
      </w:r>
      <w:r>
        <w:rPr>
          <w:i/>
        </w:rPr>
        <w:t xml:space="preserve">, </w:t>
      </w:r>
      <w:r>
        <w:t>July 1985.</w:t>
      </w:r>
    </w:p>
  </w:footnote>
  <w:footnote w:id="165">
    <w:p w14:paraId="4DC2E593" w14:textId="77777777" w:rsidR="005E6435" w:rsidRPr="009F775A" w:rsidRDefault="005E6435" w:rsidP="00CD4878">
      <w:pPr>
        <w:pStyle w:val="FootnoteText"/>
        <w:rPr>
          <w:lang w:val="en-US"/>
        </w:rPr>
      </w:pPr>
      <w:r>
        <w:rPr>
          <w:rStyle w:val="FootnoteReference"/>
        </w:rPr>
        <w:footnoteRef/>
      </w:r>
      <w:r>
        <w:t xml:space="preserve"> </w:t>
      </w:r>
      <w:r>
        <w:rPr>
          <w:lang w:val="en-US"/>
        </w:rPr>
        <w:t xml:space="preserve">Anonymous 4. Interviewed by Nicola van der Merwe. </w:t>
      </w:r>
    </w:p>
  </w:footnote>
  <w:footnote w:id="166">
    <w:p w14:paraId="48EE2413" w14:textId="77777777" w:rsidR="005E6435" w:rsidRPr="00B82759" w:rsidRDefault="005E6435" w:rsidP="00CD4878">
      <w:pPr>
        <w:pStyle w:val="FootnoteText"/>
        <w:rPr>
          <w:lang w:val="en-US"/>
        </w:rPr>
      </w:pPr>
      <w:r>
        <w:rPr>
          <w:rStyle w:val="FootnoteReference"/>
        </w:rPr>
        <w:footnoteRef/>
      </w:r>
      <w:r>
        <w:t xml:space="preserve"> </w:t>
      </w:r>
      <w:r>
        <w:rPr>
          <w:lang w:val="en-US"/>
        </w:rPr>
        <w:t xml:space="preserve">R. Morgan: </w:t>
      </w:r>
      <w:r>
        <w:rPr>
          <w:i/>
          <w:lang w:val="en-US"/>
        </w:rPr>
        <w:t xml:space="preserve">Sun City: Bophuthatswana Southern Africa. </w:t>
      </w:r>
      <w:r>
        <w:rPr>
          <w:lang w:val="en-US"/>
        </w:rPr>
        <w:t>Sun International, 1985, p. 16.</w:t>
      </w:r>
    </w:p>
  </w:footnote>
  <w:footnote w:id="167">
    <w:p w14:paraId="72EAC76A" w14:textId="77777777" w:rsidR="005E6435" w:rsidRPr="00ED4B9C" w:rsidRDefault="005E6435">
      <w:pPr>
        <w:pStyle w:val="FootnoteText"/>
        <w:rPr>
          <w:lang w:val="en-US"/>
        </w:rPr>
      </w:pPr>
      <w:r>
        <w:rPr>
          <w:rStyle w:val="FootnoteReference"/>
        </w:rPr>
        <w:footnoteRef/>
      </w:r>
      <w:r>
        <w:t xml:space="preserve"> </w:t>
      </w:r>
      <w:r>
        <w:rPr>
          <w:lang w:val="en-US"/>
        </w:rPr>
        <w:t xml:space="preserve">Dreyer: Interviewed by Nicola van der Merwe. </w:t>
      </w:r>
    </w:p>
  </w:footnote>
  <w:footnote w:id="168">
    <w:p w14:paraId="33F11788" w14:textId="77777777" w:rsidR="005E6435" w:rsidRDefault="005E6435" w:rsidP="00CD4878">
      <w:pPr>
        <w:pStyle w:val="NoSpacing"/>
      </w:pPr>
      <w:r>
        <w:rPr>
          <w:rStyle w:val="FootnoteReference"/>
        </w:rPr>
        <w:footnoteRef/>
      </w:r>
      <w:r>
        <w:t xml:space="preserve"> B. Saul: ‘Thousands Storm Civic Centre for Hotel Jobs.’ </w:t>
      </w:r>
      <w:r>
        <w:rPr>
          <w:i/>
        </w:rPr>
        <w:t xml:space="preserve">The Mail, </w:t>
      </w:r>
      <w:r>
        <w:t xml:space="preserve">18 July 1986. </w:t>
      </w:r>
    </w:p>
  </w:footnote>
  <w:footnote w:id="169">
    <w:p w14:paraId="43209725" w14:textId="77777777" w:rsidR="005E6435" w:rsidRPr="002E00DE" w:rsidRDefault="005E6435" w:rsidP="00CD4878">
      <w:pPr>
        <w:pStyle w:val="FootnoteText"/>
        <w:rPr>
          <w:lang w:val="en-US"/>
        </w:rPr>
      </w:pPr>
      <w:r>
        <w:rPr>
          <w:rStyle w:val="FootnoteReference"/>
        </w:rPr>
        <w:footnoteRef/>
      </w:r>
      <w:r>
        <w:t xml:space="preserve"> </w:t>
      </w:r>
      <w:r>
        <w:rPr>
          <w:lang w:val="en-US"/>
        </w:rPr>
        <w:t xml:space="preserve">Dreyer: Interviewed by Nicola van der Merwe </w:t>
      </w:r>
    </w:p>
  </w:footnote>
  <w:footnote w:id="170">
    <w:p w14:paraId="54533F01" w14:textId="77777777" w:rsidR="005E6435" w:rsidRPr="002D08CD" w:rsidRDefault="005E6435" w:rsidP="00CD4878">
      <w:pPr>
        <w:pStyle w:val="FootnoteText"/>
        <w:rPr>
          <w:lang w:val="en-US"/>
        </w:rPr>
      </w:pPr>
      <w:r>
        <w:rPr>
          <w:rStyle w:val="FootnoteReference"/>
        </w:rPr>
        <w:footnoteRef/>
      </w:r>
      <w:r>
        <w:t xml:space="preserve"> Sun International: </w:t>
      </w:r>
      <w:r w:rsidRPr="00500F20">
        <w:rPr>
          <w:i/>
        </w:rPr>
        <w:t>Letsatsing.</w:t>
      </w:r>
      <w:r>
        <w:t xml:space="preserve"> October 1985; Sun International: </w:t>
      </w:r>
      <w:r w:rsidRPr="00500F20">
        <w:rPr>
          <w:i/>
        </w:rPr>
        <w:t>SunBop.</w:t>
      </w:r>
      <w:r>
        <w:t xml:space="preserve"> October/November 1991; Sun International: </w:t>
      </w:r>
      <w:r w:rsidRPr="00500F20">
        <w:rPr>
          <w:i/>
        </w:rPr>
        <w:t>Letsatsing.</w:t>
      </w:r>
      <w:r>
        <w:t xml:space="preserve"> June 1985; Sun International: </w:t>
      </w:r>
      <w:r w:rsidRPr="00500F20">
        <w:rPr>
          <w:i/>
        </w:rPr>
        <w:t>Letsatsing.</w:t>
      </w:r>
      <w:r>
        <w:t xml:space="preserve"> May 1985, Sun International: </w:t>
      </w:r>
      <w:r w:rsidRPr="00500F20">
        <w:rPr>
          <w:i/>
        </w:rPr>
        <w:t>Letsatsing.</w:t>
      </w:r>
      <w:r>
        <w:t xml:space="preserve"> July 1985.</w:t>
      </w:r>
    </w:p>
  </w:footnote>
  <w:footnote w:id="171">
    <w:p w14:paraId="18A4FE08" w14:textId="77777777" w:rsidR="005E6435" w:rsidRPr="002D08CD" w:rsidRDefault="005E6435" w:rsidP="00CD4878">
      <w:pPr>
        <w:pStyle w:val="FootnoteText"/>
        <w:rPr>
          <w:lang w:val="en-US"/>
        </w:rPr>
      </w:pPr>
      <w:r>
        <w:rPr>
          <w:rStyle w:val="FootnoteReference"/>
        </w:rPr>
        <w:footnoteRef/>
      </w:r>
      <w:r>
        <w:t xml:space="preserve"> Sun International: </w:t>
      </w:r>
      <w:r>
        <w:rPr>
          <w:i/>
        </w:rPr>
        <w:t xml:space="preserve">Letsatsing. </w:t>
      </w:r>
      <w:r>
        <w:t>July 1985, p. 7.</w:t>
      </w:r>
    </w:p>
  </w:footnote>
  <w:footnote w:id="172">
    <w:p w14:paraId="0CB22544" w14:textId="77777777" w:rsidR="005E6435" w:rsidRPr="001C5B3C" w:rsidRDefault="005E6435" w:rsidP="00CD4878">
      <w:pPr>
        <w:pStyle w:val="FootnoteText"/>
        <w:rPr>
          <w:lang w:val="en-ZA"/>
        </w:rPr>
      </w:pPr>
      <w:r>
        <w:rPr>
          <w:rStyle w:val="FootnoteReference"/>
        </w:rPr>
        <w:footnoteRef/>
      </w:r>
      <w:r>
        <w:t xml:space="preserve"> </w:t>
      </w:r>
      <w:r>
        <w:rPr>
          <w:lang w:val="en-ZA"/>
        </w:rPr>
        <w:t xml:space="preserve">Sun International: </w:t>
      </w:r>
      <w:r w:rsidRPr="00500F20">
        <w:rPr>
          <w:i/>
        </w:rPr>
        <w:t>SunBop</w:t>
      </w:r>
      <w:r>
        <w:rPr>
          <w:lang w:val="en-ZA"/>
        </w:rPr>
        <w:t xml:space="preserve">. 1989, p.2. </w:t>
      </w:r>
    </w:p>
  </w:footnote>
  <w:footnote w:id="173">
    <w:p w14:paraId="294C6990" w14:textId="77777777" w:rsidR="005E6435" w:rsidRPr="00FD4C98" w:rsidRDefault="005E6435" w:rsidP="00CD4878">
      <w:pPr>
        <w:pStyle w:val="FootnoteText"/>
        <w:rPr>
          <w:lang w:val="en-US"/>
        </w:rPr>
      </w:pPr>
      <w:r>
        <w:rPr>
          <w:rStyle w:val="FootnoteReference"/>
        </w:rPr>
        <w:footnoteRef/>
      </w:r>
      <w:r>
        <w:t xml:space="preserve"> Manson &amp; Mbenga: </w:t>
      </w:r>
      <w:r w:rsidRPr="006E44C2">
        <w:rPr>
          <w:i/>
        </w:rPr>
        <w:t xml:space="preserve">Land, Chiefs, Mining, </w:t>
      </w:r>
      <w:r>
        <w:t>p. 165</w:t>
      </w:r>
    </w:p>
  </w:footnote>
  <w:footnote w:id="174">
    <w:p w14:paraId="737A7434" w14:textId="77777777" w:rsidR="005E6435" w:rsidRPr="00FA06CB" w:rsidRDefault="005E6435" w:rsidP="00CD4878">
      <w:pPr>
        <w:pStyle w:val="FootnoteText"/>
        <w:rPr>
          <w:lang w:val="en-US"/>
        </w:rPr>
      </w:pPr>
      <w:r>
        <w:rPr>
          <w:rStyle w:val="FootnoteReference"/>
        </w:rPr>
        <w:footnoteRef/>
      </w:r>
      <w:r>
        <w:t xml:space="preserve"> Dreyer: Interviewed by Nicola van der Merwe. </w:t>
      </w:r>
    </w:p>
  </w:footnote>
  <w:footnote w:id="175">
    <w:p w14:paraId="3BC8E641" w14:textId="77777777" w:rsidR="005E6435" w:rsidRPr="00376D52" w:rsidRDefault="005E6435" w:rsidP="00CD4878">
      <w:pPr>
        <w:pStyle w:val="FootnoteText"/>
        <w:rPr>
          <w:lang w:val="en-US"/>
        </w:rPr>
      </w:pPr>
      <w:r>
        <w:rPr>
          <w:rStyle w:val="FootnoteReference"/>
        </w:rPr>
        <w:footnoteRef/>
      </w:r>
      <w:r>
        <w:t xml:space="preserve"> </w:t>
      </w:r>
      <w:r>
        <w:rPr>
          <w:lang w:val="en-US"/>
        </w:rPr>
        <w:t>C. B</w:t>
      </w:r>
      <w:r>
        <w:rPr>
          <w:rFonts w:cs="Times New Roman"/>
          <w:lang w:val="en-US"/>
        </w:rPr>
        <w:t>ü</w:t>
      </w:r>
      <w:r>
        <w:rPr>
          <w:lang w:val="en-US"/>
        </w:rPr>
        <w:t>hrer: Interviewed by Nicola van der Merwe. Cape Town, 21 April 2016.</w:t>
      </w:r>
    </w:p>
  </w:footnote>
  <w:footnote w:id="176">
    <w:p w14:paraId="25360CBA" w14:textId="77777777" w:rsidR="005E6435" w:rsidRPr="00376D52" w:rsidRDefault="005E6435" w:rsidP="00CD4878">
      <w:pPr>
        <w:pStyle w:val="FootnoteText"/>
        <w:rPr>
          <w:lang w:val="en-US"/>
        </w:rPr>
      </w:pPr>
      <w:r>
        <w:rPr>
          <w:rStyle w:val="FootnoteReference"/>
        </w:rPr>
        <w:footnoteRef/>
      </w:r>
      <w:r>
        <w:t xml:space="preserve"> </w:t>
      </w:r>
      <w:r>
        <w:rPr>
          <w:lang w:val="en-US"/>
        </w:rPr>
        <w:t xml:space="preserve">P. Cackett: Interviewed by Nicola van der Merwe. Cape Town, 23 April 2016. </w:t>
      </w:r>
    </w:p>
  </w:footnote>
  <w:footnote w:id="177">
    <w:p w14:paraId="25930F7E" w14:textId="77777777" w:rsidR="005E6435" w:rsidRPr="00EE7A60" w:rsidRDefault="005E6435" w:rsidP="00CD4878">
      <w:pPr>
        <w:pStyle w:val="FootnoteText"/>
        <w:rPr>
          <w:lang w:val="en-US"/>
        </w:rPr>
      </w:pPr>
      <w:r>
        <w:rPr>
          <w:rStyle w:val="FootnoteReference"/>
        </w:rPr>
        <w:footnoteRef/>
      </w:r>
      <w:r>
        <w:t xml:space="preserve"> H. P</w:t>
      </w:r>
      <w:r w:rsidRPr="00754572">
        <w:t>ortenschlager</w:t>
      </w:r>
      <w:r>
        <w:t xml:space="preserve">: Interviewed by Nicola van der Merwe. </w:t>
      </w:r>
    </w:p>
  </w:footnote>
  <w:footnote w:id="178">
    <w:p w14:paraId="15C61909" w14:textId="77777777" w:rsidR="005E6435" w:rsidRPr="005E26A1" w:rsidRDefault="005E6435" w:rsidP="00CD4878">
      <w:pPr>
        <w:pStyle w:val="FootnoteText"/>
        <w:rPr>
          <w:lang w:val="en-US"/>
        </w:rPr>
      </w:pPr>
      <w:r>
        <w:rPr>
          <w:rStyle w:val="FootnoteReference"/>
        </w:rPr>
        <w:footnoteRef/>
      </w:r>
      <w:r>
        <w:t xml:space="preserve"> P</w:t>
      </w:r>
      <w:r w:rsidRPr="00754572">
        <w:t>ortenschlager</w:t>
      </w:r>
      <w:r>
        <w:t xml:space="preserve">: Interviewed by Nicola van der Merwe. </w:t>
      </w:r>
    </w:p>
  </w:footnote>
  <w:footnote w:id="179">
    <w:p w14:paraId="6BBB33F3" w14:textId="77777777" w:rsidR="005E6435" w:rsidRPr="002E00DE" w:rsidRDefault="005E6435" w:rsidP="00CD4878">
      <w:pPr>
        <w:pStyle w:val="FootnoteText"/>
        <w:rPr>
          <w:lang w:val="en-US"/>
        </w:rPr>
      </w:pPr>
      <w:r>
        <w:rPr>
          <w:rStyle w:val="FootnoteReference"/>
        </w:rPr>
        <w:footnoteRef/>
      </w:r>
      <w:r>
        <w:t xml:space="preserve"> </w:t>
      </w:r>
      <w:r>
        <w:rPr>
          <w:i/>
        </w:rPr>
        <w:t xml:space="preserve">Ibid. </w:t>
      </w:r>
    </w:p>
  </w:footnote>
  <w:footnote w:id="180">
    <w:p w14:paraId="07C4EEA3" w14:textId="77777777" w:rsidR="005E6435" w:rsidRPr="003C22EC" w:rsidRDefault="005E6435" w:rsidP="00CD4878">
      <w:pPr>
        <w:pStyle w:val="FootnoteText"/>
        <w:rPr>
          <w:lang w:val="en-US"/>
        </w:rPr>
      </w:pPr>
      <w:r>
        <w:rPr>
          <w:rStyle w:val="FootnoteReference"/>
        </w:rPr>
        <w:footnoteRef/>
      </w:r>
      <w:r>
        <w:t xml:space="preserve"> P</w:t>
      </w:r>
      <w:r w:rsidRPr="00754572">
        <w:t>ortenschlager</w:t>
      </w:r>
      <w:r>
        <w:t>: Interviewed by Nicola van der Merwe.</w:t>
      </w:r>
    </w:p>
  </w:footnote>
  <w:footnote w:id="181">
    <w:p w14:paraId="29039259" w14:textId="77777777" w:rsidR="005E6435" w:rsidRPr="00E034F6" w:rsidRDefault="005E6435" w:rsidP="00CD4878">
      <w:pPr>
        <w:pStyle w:val="FootnoteText"/>
        <w:rPr>
          <w:lang w:val="en-US"/>
        </w:rPr>
      </w:pPr>
      <w:r>
        <w:rPr>
          <w:rStyle w:val="FootnoteReference"/>
        </w:rPr>
        <w:footnoteRef/>
      </w:r>
      <w:r>
        <w:t xml:space="preserve"> Dreyer: Interviewed by Nicola van der Merwe. </w:t>
      </w:r>
    </w:p>
  </w:footnote>
  <w:footnote w:id="182">
    <w:p w14:paraId="09121D7A" w14:textId="77777777" w:rsidR="005E6435" w:rsidRPr="00EA5C7C" w:rsidRDefault="005E6435" w:rsidP="00CD4878">
      <w:pPr>
        <w:pStyle w:val="FootnoteText"/>
        <w:rPr>
          <w:lang w:val="en-US"/>
        </w:rPr>
      </w:pPr>
      <w:r>
        <w:rPr>
          <w:rStyle w:val="FootnoteReference"/>
        </w:rPr>
        <w:footnoteRef/>
      </w:r>
      <w:r>
        <w:t xml:space="preserve"> Anonymous 4: Interviewed by Nicola van der Merwe. </w:t>
      </w:r>
    </w:p>
  </w:footnote>
  <w:footnote w:id="183">
    <w:p w14:paraId="17018D31" w14:textId="77777777" w:rsidR="005E6435" w:rsidRPr="006F2227" w:rsidRDefault="005E6435" w:rsidP="00CD4878">
      <w:pPr>
        <w:pStyle w:val="FootnoteText"/>
        <w:rPr>
          <w:lang w:val="en-US"/>
        </w:rPr>
      </w:pPr>
      <w:r>
        <w:rPr>
          <w:rStyle w:val="FootnoteReference"/>
        </w:rPr>
        <w:footnoteRef/>
      </w:r>
      <w:r>
        <w:t xml:space="preserve"> </w:t>
      </w:r>
      <w:r>
        <w:rPr>
          <w:i/>
        </w:rPr>
        <w:t>Ibid.</w:t>
      </w:r>
    </w:p>
  </w:footnote>
  <w:footnote w:id="184">
    <w:p w14:paraId="3192494C" w14:textId="77777777" w:rsidR="005E6435" w:rsidRPr="00C9690F" w:rsidRDefault="005E6435" w:rsidP="00CD4878">
      <w:pPr>
        <w:pStyle w:val="FootnoteText"/>
        <w:rPr>
          <w:lang w:val="en-US"/>
        </w:rPr>
      </w:pPr>
      <w:r>
        <w:rPr>
          <w:rStyle w:val="FootnoteReference"/>
        </w:rPr>
        <w:footnoteRef/>
      </w:r>
      <w:r>
        <w:t xml:space="preserve"> Sun International: </w:t>
      </w:r>
      <w:r w:rsidRPr="00500F20">
        <w:rPr>
          <w:i/>
        </w:rPr>
        <w:t>Letsatsing.</w:t>
      </w:r>
      <w:r>
        <w:rPr>
          <w:i/>
        </w:rPr>
        <w:t xml:space="preserve"> </w:t>
      </w:r>
      <w:r>
        <w:t xml:space="preserve">October 1985, p. 10. </w:t>
      </w:r>
    </w:p>
  </w:footnote>
  <w:footnote w:id="185">
    <w:p w14:paraId="5412C0CD" w14:textId="77777777" w:rsidR="005E6435" w:rsidRPr="00681A84" w:rsidRDefault="005E6435" w:rsidP="00CD4878">
      <w:pPr>
        <w:pStyle w:val="FootnoteText"/>
        <w:rPr>
          <w:lang w:val="en-US"/>
        </w:rPr>
      </w:pPr>
      <w:r>
        <w:rPr>
          <w:rStyle w:val="FootnoteReference"/>
        </w:rPr>
        <w:footnoteRef/>
      </w:r>
      <w:r>
        <w:t xml:space="preserve"> </w:t>
      </w:r>
      <w:r>
        <w:rPr>
          <w:i/>
        </w:rPr>
        <w:t>Ibid,</w:t>
      </w:r>
      <w:r>
        <w:t xml:space="preserve"> May 1985, p. 13. </w:t>
      </w:r>
    </w:p>
  </w:footnote>
  <w:footnote w:id="186">
    <w:p w14:paraId="6E7B4A4B" w14:textId="77777777" w:rsidR="005E6435" w:rsidRPr="00681A84" w:rsidRDefault="005E6435" w:rsidP="006E44C2">
      <w:pPr>
        <w:pStyle w:val="FootnoteText"/>
        <w:jc w:val="left"/>
        <w:rPr>
          <w:lang w:val="en-US"/>
        </w:rPr>
      </w:pPr>
      <w:r>
        <w:rPr>
          <w:rStyle w:val="FootnoteReference"/>
        </w:rPr>
        <w:footnoteRef/>
      </w:r>
      <w:r>
        <w:t xml:space="preserve"> Sun International: </w:t>
      </w:r>
      <w:r w:rsidRPr="00500F20">
        <w:rPr>
          <w:i/>
        </w:rPr>
        <w:t>Letsatsing.</w:t>
      </w:r>
      <w:r>
        <w:t xml:space="preserve"> May 1985, p. 8. </w:t>
      </w:r>
    </w:p>
  </w:footnote>
  <w:footnote w:id="187">
    <w:p w14:paraId="0ADE0693" w14:textId="77777777" w:rsidR="005E6435" w:rsidRPr="00392745" w:rsidRDefault="005E6435" w:rsidP="006E44C2">
      <w:pPr>
        <w:pStyle w:val="FootnoteText"/>
        <w:jc w:val="left"/>
        <w:rPr>
          <w:lang w:val="en-US"/>
        </w:rPr>
      </w:pPr>
      <w:r>
        <w:rPr>
          <w:rStyle w:val="FootnoteReference"/>
        </w:rPr>
        <w:footnoteRef/>
      </w:r>
      <w:r>
        <w:t xml:space="preserve"> </w:t>
      </w:r>
      <w:r w:rsidRPr="006E44C2">
        <w:t>NASA</w:t>
      </w:r>
      <w:r>
        <w:t xml:space="preserve">, BTS, 1/230/3/2: </w:t>
      </w:r>
      <w:r w:rsidRPr="006E44C2">
        <w:rPr>
          <w:i/>
        </w:rPr>
        <w:t>Agreement between South Africa and Bophuthatswana: The Hotel School at GaRankuwa, Bophuthatswana: 1977.</w:t>
      </w:r>
      <w:r w:rsidRPr="006E44C2">
        <w:t xml:space="preserve"> </w:t>
      </w:r>
    </w:p>
  </w:footnote>
  <w:footnote w:id="188">
    <w:p w14:paraId="02AEFB77" w14:textId="77777777" w:rsidR="005E6435" w:rsidRPr="00C40FE4" w:rsidRDefault="005E6435" w:rsidP="006E44C2">
      <w:pPr>
        <w:pStyle w:val="FootnoteText"/>
        <w:jc w:val="left"/>
        <w:rPr>
          <w:lang w:val="en-US"/>
        </w:rPr>
      </w:pPr>
      <w:r>
        <w:rPr>
          <w:rStyle w:val="FootnoteReference"/>
        </w:rPr>
        <w:footnoteRef/>
      </w:r>
      <w:r>
        <w:t xml:space="preserve"> Sun International: </w:t>
      </w:r>
      <w:r w:rsidRPr="00500F20">
        <w:rPr>
          <w:i/>
        </w:rPr>
        <w:t>Letsatsing.</w:t>
      </w:r>
      <w:r>
        <w:t xml:space="preserve"> July 1985, p. 12. </w:t>
      </w:r>
    </w:p>
  </w:footnote>
  <w:footnote w:id="189">
    <w:p w14:paraId="0DF1B157" w14:textId="77777777" w:rsidR="005E6435" w:rsidRPr="002E00DE" w:rsidRDefault="005E6435" w:rsidP="006E44C2">
      <w:pPr>
        <w:pStyle w:val="FootnoteText"/>
        <w:jc w:val="left"/>
        <w:rPr>
          <w:lang w:val="en-US"/>
        </w:rPr>
      </w:pPr>
      <w:r>
        <w:rPr>
          <w:rStyle w:val="FootnoteReference"/>
        </w:rPr>
        <w:footnoteRef/>
      </w:r>
      <w:r>
        <w:t xml:space="preserve"> </w:t>
      </w:r>
      <w:r>
        <w:rPr>
          <w:i/>
        </w:rPr>
        <w:t>Ibid</w:t>
      </w:r>
      <w:r>
        <w:t>, p. 10.</w:t>
      </w:r>
    </w:p>
  </w:footnote>
  <w:footnote w:id="190">
    <w:p w14:paraId="0C2D176D" w14:textId="77777777" w:rsidR="005E6435" w:rsidRPr="00EA5C7C" w:rsidRDefault="005E6435" w:rsidP="00CD4878">
      <w:pPr>
        <w:pStyle w:val="FootnoteText"/>
        <w:rPr>
          <w:lang w:val="en-US"/>
        </w:rPr>
      </w:pPr>
      <w:r>
        <w:rPr>
          <w:rStyle w:val="FootnoteReference"/>
        </w:rPr>
        <w:footnoteRef/>
      </w:r>
      <w:r>
        <w:t xml:space="preserve"> S. Buthelezi: Interviewed by Nicola van der Merwe. Sun City, 6 May 2016.</w:t>
      </w:r>
    </w:p>
  </w:footnote>
  <w:footnote w:id="191">
    <w:p w14:paraId="38E85949" w14:textId="77777777" w:rsidR="005E6435" w:rsidRPr="002D08CD" w:rsidRDefault="005E6435" w:rsidP="00CD4878">
      <w:pPr>
        <w:pStyle w:val="FootnoteText"/>
        <w:rPr>
          <w:lang w:val="en-US"/>
        </w:rPr>
      </w:pPr>
      <w:r>
        <w:rPr>
          <w:rStyle w:val="FootnoteReference"/>
        </w:rPr>
        <w:footnoteRef/>
      </w:r>
      <w:r>
        <w:t xml:space="preserve"> Sun International: </w:t>
      </w:r>
      <w:r w:rsidRPr="00500F20">
        <w:rPr>
          <w:i/>
        </w:rPr>
        <w:t>Letsatsing.</w:t>
      </w:r>
      <w:r>
        <w:t xml:space="preserve"> May 1985, p. 19. </w:t>
      </w:r>
    </w:p>
  </w:footnote>
  <w:footnote w:id="192">
    <w:p w14:paraId="44B61132" w14:textId="77777777" w:rsidR="005E6435" w:rsidRPr="00595C6E" w:rsidRDefault="005E6435" w:rsidP="00CD4878">
      <w:pPr>
        <w:pStyle w:val="FootnoteText"/>
        <w:rPr>
          <w:lang w:val="en-US"/>
        </w:rPr>
      </w:pPr>
      <w:r>
        <w:rPr>
          <w:rStyle w:val="FootnoteReference"/>
        </w:rPr>
        <w:footnoteRef/>
      </w:r>
      <w:r>
        <w:t xml:space="preserve"> </w:t>
      </w:r>
      <w:r>
        <w:rPr>
          <w:i/>
        </w:rPr>
        <w:t>Ibid,</w:t>
      </w:r>
      <w:r>
        <w:t xml:space="preserve"> July 1986, p. 3.</w:t>
      </w:r>
    </w:p>
  </w:footnote>
  <w:footnote w:id="193">
    <w:p w14:paraId="17BE968A" w14:textId="77777777" w:rsidR="005E6435" w:rsidRPr="00D74623" w:rsidRDefault="005E6435" w:rsidP="00CD4878">
      <w:pPr>
        <w:pStyle w:val="FootnoteText"/>
        <w:rPr>
          <w:lang w:val="en-US"/>
        </w:rPr>
      </w:pPr>
      <w:r>
        <w:rPr>
          <w:rStyle w:val="FootnoteReference"/>
        </w:rPr>
        <w:footnoteRef/>
      </w:r>
      <w:r>
        <w:t xml:space="preserve"> J. Ketane: Interviewed by Nicola van der Merwe. Ledig, 26 April 2016. </w:t>
      </w:r>
    </w:p>
  </w:footnote>
  <w:footnote w:id="194">
    <w:p w14:paraId="05A1EAC7" w14:textId="77777777" w:rsidR="005E6435" w:rsidRPr="00852BB5" w:rsidRDefault="005E6435" w:rsidP="00CD4878">
      <w:pPr>
        <w:pStyle w:val="NoSpacing"/>
      </w:pPr>
      <w:r>
        <w:rPr>
          <w:rStyle w:val="FootnoteReference"/>
        </w:rPr>
        <w:footnoteRef/>
      </w:r>
      <w:r>
        <w:t xml:space="preserve"> Ketane: Interviewed by Nicola van der Merwe. </w:t>
      </w:r>
    </w:p>
  </w:footnote>
  <w:footnote w:id="195">
    <w:p w14:paraId="2FB88213" w14:textId="77777777" w:rsidR="005E6435" w:rsidRPr="003521F1" w:rsidRDefault="005E6435" w:rsidP="00CD4878">
      <w:pPr>
        <w:pStyle w:val="FootnoteText"/>
        <w:rPr>
          <w:lang w:val="en-US"/>
        </w:rPr>
      </w:pPr>
      <w:r>
        <w:rPr>
          <w:rStyle w:val="FootnoteReference"/>
        </w:rPr>
        <w:footnoteRef/>
      </w:r>
      <w:r>
        <w:t xml:space="preserve"> </w:t>
      </w:r>
      <w:r>
        <w:rPr>
          <w:lang w:val="en-US"/>
        </w:rPr>
        <w:t xml:space="preserve">Tsepho: </w:t>
      </w:r>
      <w:r>
        <w:t xml:space="preserve">Interviewed by Nicola van der Merwe. </w:t>
      </w:r>
    </w:p>
  </w:footnote>
  <w:footnote w:id="196">
    <w:p w14:paraId="5462EC11" w14:textId="77777777" w:rsidR="005E6435" w:rsidRPr="00D74623" w:rsidRDefault="005E6435" w:rsidP="00CD4878">
      <w:pPr>
        <w:pStyle w:val="FootnoteText"/>
        <w:rPr>
          <w:lang w:val="en-US"/>
        </w:rPr>
      </w:pPr>
      <w:r>
        <w:rPr>
          <w:rStyle w:val="FootnoteReference"/>
        </w:rPr>
        <w:footnoteRef/>
      </w:r>
      <w:r>
        <w:t xml:space="preserve"> Ketane: Interviewed by Nicola van der Merwe. </w:t>
      </w:r>
    </w:p>
  </w:footnote>
  <w:footnote w:id="197">
    <w:p w14:paraId="720727DB" w14:textId="77777777" w:rsidR="005E6435" w:rsidRPr="00FE475A" w:rsidRDefault="005E6435" w:rsidP="00CD4878">
      <w:pPr>
        <w:pStyle w:val="FootnoteText"/>
        <w:rPr>
          <w:lang w:val="en-US"/>
        </w:rPr>
      </w:pPr>
      <w:r>
        <w:rPr>
          <w:rStyle w:val="FootnoteReference"/>
        </w:rPr>
        <w:footnoteRef/>
      </w:r>
      <w:r>
        <w:t xml:space="preserve"> </w:t>
      </w:r>
      <w:r>
        <w:rPr>
          <w:lang w:val="en-US"/>
        </w:rPr>
        <w:t xml:space="preserve">Anonymous 4: Interviewed by Nicola van der Merwe. </w:t>
      </w:r>
    </w:p>
  </w:footnote>
  <w:footnote w:id="198">
    <w:p w14:paraId="1790FB0A" w14:textId="77777777" w:rsidR="005E6435" w:rsidRPr="00D74623" w:rsidRDefault="005E6435" w:rsidP="00CD4878">
      <w:pPr>
        <w:pStyle w:val="FootnoteText"/>
        <w:rPr>
          <w:lang w:val="en-US"/>
        </w:rPr>
      </w:pPr>
      <w:r>
        <w:rPr>
          <w:rStyle w:val="FootnoteReference"/>
        </w:rPr>
        <w:footnoteRef/>
      </w:r>
      <w:r>
        <w:t xml:space="preserve"> Ketane: Interviewed by Nicola van der Merwe. </w:t>
      </w:r>
    </w:p>
  </w:footnote>
  <w:footnote w:id="199">
    <w:p w14:paraId="2FFB797D" w14:textId="77777777" w:rsidR="005E6435" w:rsidRPr="00892211" w:rsidRDefault="005E6435" w:rsidP="00CD4878">
      <w:pPr>
        <w:pStyle w:val="FootnoteText"/>
        <w:rPr>
          <w:lang w:val="en-US"/>
        </w:rPr>
      </w:pPr>
      <w:r>
        <w:rPr>
          <w:rStyle w:val="FootnoteReference"/>
        </w:rPr>
        <w:footnoteRef/>
      </w:r>
      <w:r>
        <w:t xml:space="preserve"> </w:t>
      </w:r>
      <w:r w:rsidRPr="007074B9">
        <w:rPr>
          <w:rStyle w:val="NoSpacingChar"/>
        </w:rPr>
        <w:t>Keenan:</w:t>
      </w:r>
      <w:r w:rsidRPr="00FD0DF8">
        <w:rPr>
          <w:rStyle w:val="NoSpacingChar"/>
        </w:rPr>
        <w:t xml:space="preserve"> ‘Report on the socio-economic effects of the Pilanesberg</w:t>
      </w:r>
      <w:r>
        <w:rPr>
          <w:rStyle w:val="NoSpacingChar"/>
        </w:rPr>
        <w:t xml:space="preserve"> Game Reserve’.</w:t>
      </w:r>
    </w:p>
  </w:footnote>
  <w:footnote w:id="200">
    <w:p w14:paraId="5D70757E" w14:textId="77777777" w:rsidR="005E6435" w:rsidRPr="00281E71" w:rsidRDefault="005E6435" w:rsidP="00CD4878">
      <w:pPr>
        <w:pStyle w:val="FootnoteText"/>
        <w:rPr>
          <w:lang w:val="en-US"/>
        </w:rPr>
      </w:pPr>
      <w:r>
        <w:rPr>
          <w:rStyle w:val="FootnoteReference"/>
        </w:rPr>
        <w:footnoteRef/>
      </w:r>
      <w:r>
        <w:t xml:space="preserve"> </w:t>
      </w:r>
      <w:r w:rsidRPr="004A2980">
        <w:t>B. Mbenga. &amp;</w:t>
      </w:r>
      <w:r>
        <w:t xml:space="preserve"> </w:t>
      </w:r>
      <w:r w:rsidRPr="004A2980">
        <w:t xml:space="preserve">A.  Manson: </w:t>
      </w:r>
      <w:r w:rsidRPr="005D724A">
        <w:rPr>
          <w:i/>
        </w:rPr>
        <w:t>Peoples of the Pilanesberg Region of South Africa: A History</w:t>
      </w:r>
      <w:r w:rsidRPr="004A2980">
        <w:t xml:space="preserve">. </w:t>
      </w:r>
      <w:r>
        <w:t>Unpublished Paper, August 2008, pp. 27-28.</w:t>
      </w:r>
    </w:p>
  </w:footnote>
  <w:footnote w:id="201">
    <w:p w14:paraId="3E584EBF" w14:textId="77777777" w:rsidR="005E6435" w:rsidRPr="004C51F8" w:rsidRDefault="005E6435" w:rsidP="00CD4878">
      <w:pPr>
        <w:pStyle w:val="NoSpacing"/>
      </w:pPr>
      <w:r>
        <w:rPr>
          <w:rStyle w:val="FootnoteReference"/>
        </w:rPr>
        <w:footnoteRef/>
      </w:r>
      <w:r>
        <w:t xml:space="preserve"> M. Kirsten &amp; C.M. Rogerson: ‘Tourism, business linkages and small enterprise development in South Africa.’ </w:t>
      </w:r>
      <w:r>
        <w:rPr>
          <w:i/>
        </w:rPr>
        <w:t xml:space="preserve">Development Southern Africa, </w:t>
      </w:r>
      <w:r>
        <w:t xml:space="preserve">(2010, 19:1), p. 32. </w:t>
      </w:r>
    </w:p>
  </w:footnote>
  <w:footnote w:id="202">
    <w:p w14:paraId="5CD1C569" w14:textId="77777777" w:rsidR="005E6435" w:rsidRPr="00E5608F" w:rsidRDefault="005E6435" w:rsidP="00CD4878">
      <w:pPr>
        <w:pStyle w:val="FootnoteText"/>
        <w:rPr>
          <w:lang w:val="en-US"/>
        </w:rPr>
      </w:pPr>
      <w:r>
        <w:rPr>
          <w:rStyle w:val="FootnoteReference"/>
        </w:rPr>
        <w:footnoteRef/>
      </w:r>
      <w:r>
        <w:t xml:space="preserve"> </w:t>
      </w:r>
      <w:r>
        <w:rPr>
          <w:lang w:val="en-US"/>
        </w:rPr>
        <w:t xml:space="preserve">Tsepho: </w:t>
      </w:r>
      <w:r>
        <w:t>Interviewed by Nicola van der Merwe.</w:t>
      </w:r>
    </w:p>
  </w:footnote>
  <w:footnote w:id="203">
    <w:p w14:paraId="768F26AE" w14:textId="77777777" w:rsidR="005E6435" w:rsidRPr="005232E9" w:rsidRDefault="005E6435" w:rsidP="00CD4878">
      <w:pPr>
        <w:pStyle w:val="FootnoteText"/>
        <w:rPr>
          <w:lang w:val="en-US"/>
        </w:rPr>
      </w:pPr>
      <w:r>
        <w:rPr>
          <w:rStyle w:val="FootnoteReference"/>
        </w:rPr>
        <w:footnoteRef/>
      </w:r>
      <w:r>
        <w:t xml:space="preserve"> P</w:t>
      </w:r>
      <w:r w:rsidRPr="00754572">
        <w:t>ortenschlager</w:t>
      </w:r>
      <w:r>
        <w:t>: Interviewed by Nicola van der Merwe; Anonymous 4: Interviewed by Nicola van der Merwe.</w:t>
      </w:r>
    </w:p>
  </w:footnote>
  <w:footnote w:id="204">
    <w:p w14:paraId="6CCBE3BC" w14:textId="77777777" w:rsidR="005E6435" w:rsidRPr="009D72FF" w:rsidRDefault="005E6435" w:rsidP="002F536C">
      <w:pPr>
        <w:pStyle w:val="FootnoteText"/>
        <w:rPr>
          <w:lang w:val="en-US"/>
        </w:rPr>
      </w:pPr>
      <w:r>
        <w:rPr>
          <w:rStyle w:val="FootnoteReference"/>
        </w:rPr>
        <w:footnoteRef/>
      </w:r>
      <w:r>
        <w:t xml:space="preserve"> H. Potgieter &amp; G. Cubitt: </w:t>
      </w:r>
      <w:r>
        <w:rPr>
          <w:i/>
        </w:rPr>
        <w:t xml:space="preserve">Sun City. </w:t>
      </w:r>
      <w:r>
        <w:t>C. Struik (Pty) Ltd., 1987, p. 10-22</w:t>
      </w:r>
    </w:p>
  </w:footnote>
  <w:footnote w:id="205">
    <w:p w14:paraId="64EC8D52" w14:textId="77777777" w:rsidR="005E6435" w:rsidRPr="006E44C2" w:rsidRDefault="005E6435" w:rsidP="006E44C2">
      <w:pPr>
        <w:pStyle w:val="FootnoteText"/>
        <w:jc w:val="left"/>
      </w:pPr>
      <w:r>
        <w:rPr>
          <w:rStyle w:val="FootnoteReference"/>
        </w:rPr>
        <w:footnoteRef/>
      </w:r>
      <w:r>
        <w:t xml:space="preserve"> Morgan: </w:t>
      </w:r>
      <w:r>
        <w:rPr>
          <w:i/>
        </w:rPr>
        <w:t>Sun City,</w:t>
      </w:r>
      <w:r>
        <w:t xml:space="preserve"> p. 6.</w:t>
      </w:r>
    </w:p>
  </w:footnote>
  <w:footnote w:id="206">
    <w:p w14:paraId="61F65D87" w14:textId="77777777" w:rsidR="005E6435" w:rsidRPr="00DE526F" w:rsidRDefault="005E6435" w:rsidP="002F536C">
      <w:pPr>
        <w:pStyle w:val="FootnoteText"/>
        <w:rPr>
          <w:lang w:val="en-US"/>
        </w:rPr>
      </w:pPr>
      <w:r>
        <w:rPr>
          <w:rStyle w:val="FootnoteReference"/>
        </w:rPr>
        <w:footnoteRef/>
      </w:r>
      <w:r>
        <w:t xml:space="preserve"> M. West: Interviewed by Nicola van der Merwe. Saldhana Bay, 21 April 2016.</w:t>
      </w:r>
    </w:p>
  </w:footnote>
  <w:footnote w:id="207">
    <w:p w14:paraId="436EDC9C" w14:textId="77777777" w:rsidR="005E6435" w:rsidRPr="00F53297" w:rsidRDefault="005E6435" w:rsidP="002F536C">
      <w:pPr>
        <w:pStyle w:val="FootnoteText"/>
        <w:rPr>
          <w:lang w:val="en-US"/>
        </w:rPr>
      </w:pPr>
      <w:r>
        <w:rPr>
          <w:rStyle w:val="FootnoteReference"/>
        </w:rPr>
        <w:footnoteRef/>
      </w:r>
      <w:r>
        <w:t xml:space="preserve"> </w:t>
      </w:r>
      <w:r>
        <w:rPr>
          <w:lang w:val="en-US"/>
        </w:rPr>
        <w:t xml:space="preserve">J.C. Desmond: </w:t>
      </w:r>
      <w:r w:rsidRPr="00F53297">
        <w:rPr>
          <w:i/>
          <w:lang w:val="en-US"/>
        </w:rPr>
        <w:t>Staging Tourism: Bodies on Display from Waikiki to Sea World.</w:t>
      </w:r>
      <w:r>
        <w:rPr>
          <w:i/>
          <w:lang w:val="en-US"/>
        </w:rPr>
        <w:t xml:space="preserve"> </w:t>
      </w:r>
      <w:r>
        <w:rPr>
          <w:lang w:val="en-US"/>
        </w:rPr>
        <w:t xml:space="preserve">Chicago University Press, Chicago, xviii. </w:t>
      </w:r>
    </w:p>
  </w:footnote>
  <w:footnote w:id="208">
    <w:p w14:paraId="0F121AFA" w14:textId="77777777" w:rsidR="005E6435" w:rsidRPr="009D62E6" w:rsidRDefault="005E6435" w:rsidP="002F536C">
      <w:pPr>
        <w:pStyle w:val="FootnoteText"/>
        <w:rPr>
          <w:lang w:val="en-US"/>
        </w:rPr>
      </w:pPr>
      <w:r>
        <w:rPr>
          <w:rStyle w:val="FootnoteReference"/>
        </w:rPr>
        <w:footnoteRef/>
      </w:r>
      <w:r>
        <w:t xml:space="preserve"> </w:t>
      </w:r>
      <w:r>
        <w:rPr>
          <w:noProof/>
          <w:lang w:val="en-US"/>
        </w:rPr>
        <w:t xml:space="preserve">Morgan: </w:t>
      </w:r>
      <w:r>
        <w:rPr>
          <w:i/>
          <w:noProof/>
          <w:lang w:val="en-US"/>
        </w:rPr>
        <w:t>Sun City</w:t>
      </w:r>
      <w:r>
        <w:rPr>
          <w:noProof/>
          <w:lang w:val="en-US"/>
        </w:rPr>
        <w:t>, p. 29.</w:t>
      </w:r>
    </w:p>
  </w:footnote>
  <w:footnote w:id="209">
    <w:p w14:paraId="44A1952E" w14:textId="77777777" w:rsidR="005E6435" w:rsidRPr="00AD61A0" w:rsidRDefault="005E6435" w:rsidP="002F536C">
      <w:pPr>
        <w:pStyle w:val="FootnoteText"/>
        <w:rPr>
          <w:lang w:val="en-US"/>
        </w:rPr>
      </w:pPr>
      <w:r>
        <w:rPr>
          <w:rStyle w:val="FootnoteReference"/>
        </w:rPr>
        <w:footnoteRef/>
      </w:r>
      <w:r>
        <w:t xml:space="preserve"> Sannar. ‘Playing Sun City’, p. 80.</w:t>
      </w:r>
    </w:p>
  </w:footnote>
  <w:footnote w:id="210">
    <w:p w14:paraId="05E4CD92" w14:textId="77777777" w:rsidR="005E6435" w:rsidRPr="002E00DE" w:rsidRDefault="005E6435" w:rsidP="002F536C">
      <w:pPr>
        <w:pStyle w:val="FootnoteText"/>
        <w:jc w:val="left"/>
        <w:rPr>
          <w:i/>
          <w:lang w:val="en-US"/>
        </w:rPr>
      </w:pPr>
      <w:r>
        <w:rPr>
          <w:rStyle w:val="FootnoteReference"/>
        </w:rPr>
        <w:footnoteRef/>
      </w:r>
      <w:r>
        <w:t xml:space="preserve"> </w:t>
      </w:r>
      <w:r>
        <w:rPr>
          <w:lang w:val="en-US"/>
        </w:rPr>
        <w:t xml:space="preserve">D. Rogers: ‘Sex Mad in Joburg.’ </w:t>
      </w:r>
      <w:r>
        <w:rPr>
          <w:i/>
          <w:lang w:val="en-US"/>
        </w:rPr>
        <w:t xml:space="preserve">The Independent, </w:t>
      </w:r>
      <w:r>
        <w:rPr>
          <w:lang w:val="en-US"/>
        </w:rPr>
        <w:t xml:space="preserve">14 December 1995. [Online] </w:t>
      </w:r>
      <w:hyperlink r:id="rId14" w:history="1">
        <w:r w:rsidRPr="00952215">
          <w:rPr>
            <w:rStyle w:val="Hyperlink"/>
            <w:lang w:val="en-US"/>
          </w:rPr>
          <w:t>http://www.independent.co.uk/news/sex-mad-in-joburg-1525617.html</w:t>
        </w:r>
        <w:r w:rsidRPr="00870845">
          <w:rPr>
            <w:rStyle w:val="Hyperlink"/>
            <w:lang w:val="en-US"/>
          </w:rPr>
          <w:t xml:space="preserve"> (13</w:t>
        </w:r>
      </w:hyperlink>
      <w:r>
        <w:rPr>
          <w:lang w:val="en-US"/>
        </w:rPr>
        <w:t xml:space="preserve"> July 2016).</w:t>
      </w:r>
      <w:r>
        <w:rPr>
          <w:i/>
          <w:lang w:val="en-US"/>
        </w:rPr>
        <w:t xml:space="preserve"> </w:t>
      </w:r>
    </w:p>
  </w:footnote>
  <w:footnote w:id="211">
    <w:p w14:paraId="35AF14EF" w14:textId="77777777" w:rsidR="005E6435" w:rsidRPr="0035372E" w:rsidRDefault="005E6435" w:rsidP="002F536C">
      <w:pPr>
        <w:pStyle w:val="FootnoteText"/>
        <w:rPr>
          <w:lang w:val="en-US"/>
        </w:rPr>
      </w:pPr>
      <w:r>
        <w:rPr>
          <w:rStyle w:val="FootnoteReference"/>
        </w:rPr>
        <w:footnoteRef/>
      </w:r>
      <w:r>
        <w:t xml:space="preserve"> </w:t>
      </w:r>
      <w:r>
        <w:rPr>
          <w:lang w:val="en-US"/>
        </w:rPr>
        <w:t xml:space="preserve">See list of interviews in the bibliography. </w:t>
      </w:r>
    </w:p>
  </w:footnote>
  <w:footnote w:id="212">
    <w:p w14:paraId="18C2E5D3" w14:textId="77777777" w:rsidR="005E6435" w:rsidRPr="00367724" w:rsidRDefault="005E6435" w:rsidP="002F536C">
      <w:pPr>
        <w:pStyle w:val="FootnoteText"/>
      </w:pPr>
      <w:r>
        <w:rPr>
          <w:rStyle w:val="FootnoteReference"/>
        </w:rPr>
        <w:footnoteRef/>
      </w:r>
      <w:r>
        <w:t xml:space="preserve"> Unknown: </w:t>
      </w:r>
      <w:r>
        <w:rPr>
          <w:i/>
        </w:rPr>
        <w:t xml:space="preserve">Visit Bophuthatswana. </w:t>
      </w:r>
      <w:r>
        <w:t xml:space="preserve">BopTour, p. 32. </w:t>
      </w:r>
    </w:p>
  </w:footnote>
  <w:footnote w:id="213">
    <w:p w14:paraId="07F790B2" w14:textId="77777777" w:rsidR="005E6435" w:rsidRPr="002E00DE" w:rsidRDefault="005E6435" w:rsidP="002F536C">
      <w:pPr>
        <w:pStyle w:val="NoSpacing"/>
        <w:rPr>
          <w:i/>
          <w:lang w:val="en-US"/>
        </w:rPr>
      </w:pPr>
      <w:r>
        <w:rPr>
          <w:rStyle w:val="FootnoteReference"/>
        </w:rPr>
        <w:footnoteRef/>
      </w:r>
      <w:r>
        <w:t xml:space="preserve"> Unknown: ‘Busses to Sin City: Soweto’s entertainment.’ </w:t>
      </w:r>
      <w:r>
        <w:rPr>
          <w:i/>
        </w:rPr>
        <w:t xml:space="preserve">The Star, 3 September 1987. </w:t>
      </w:r>
    </w:p>
  </w:footnote>
  <w:footnote w:id="214">
    <w:p w14:paraId="3F76A341" w14:textId="77777777" w:rsidR="005E6435" w:rsidRPr="007B3E58" w:rsidRDefault="005E6435" w:rsidP="002F536C">
      <w:pPr>
        <w:pStyle w:val="NoSpacing"/>
        <w:rPr>
          <w:lang w:val="en-US"/>
        </w:rPr>
      </w:pPr>
      <w:r>
        <w:rPr>
          <w:rStyle w:val="FootnoteReference"/>
        </w:rPr>
        <w:footnoteRef/>
      </w:r>
      <w:r>
        <w:t xml:space="preserve"> </w:t>
      </w:r>
      <w:r>
        <w:rPr>
          <w:lang w:val="en-US"/>
        </w:rPr>
        <w:t xml:space="preserve">F. Patridge: ‘Kicking off the celebrations: South Africa’s Sun City turns 30.’ </w:t>
      </w:r>
      <w:r>
        <w:rPr>
          <w:i/>
          <w:lang w:val="en-US"/>
        </w:rPr>
        <w:t xml:space="preserve">Independent UK, </w:t>
      </w:r>
      <w:r>
        <w:rPr>
          <w:lang w:val="en-US"/>
        </w:rPr>
        <w:t xml:space="preserve">12 December 2009, p. 18. </w:t>
      </w:r>
    </w:p>
  </w:footnote>
  <w:footnote w:id="215">
    <w:p w14:paraId="4561BCFE" w14:textId="77777777" w:rsidR="005E6435" w:rsidRPr="002F536C" w:rsidRDefault="005E6435" w:rsidP="002F536C">
      <w:pPr>
        <w:pStyle w:val="NoSpacing"/>
        <w:rPr>
          <w:lang w:val="en-US"/>
        </w:rPr>
      </w:pPr>
      <w:r>
        <w:rPr>
          <w:rStyle w:val="FootnoteReference"/>
        </w:rPr>
        <w:footnoteRef/>
      </w:r>
      <w:r>
        <w:t xml:space="preserve"> Sannar: ‘Playing Sun City’, p. 82.</w:t>
      </w:r>
    </w:p>
  </w:footnote>
  <w:footnote w:id="216">
    <w:p w14:paraId="519C47F2" w14:textId="77777777" w:rsidR="005E6435" w:rsidRPr="002F536C" w:rsidRDefault="005E6435" w:rsidP="002F536C">
      <w:pPr>
        <w:pStyle w:val="NoSpacing"/>
        <w:rPr>
          <w:lang w:val="en-US"/>
        </w:rPr>
      </w:pPr>
      <w:r>
        <w:rPr>
          <w:rStyle w:val="FootnoteReference"/>
        </w:rPr>
        <w:footnoteRef/>
      </w:r>
      <w:r>
        <w:t xml:space="preserve"> Potgieter &amp; Cubitt: </w:t>
      </w:r>
      <w:r>
        <w:rPr>
          <w:i/>
        </w:rPr>
        <w:t xml:space="preserve">Sun City. </w:t>
      </w:r>
      <w:r>
        <w:t>pp. 1-10</w:t>
      </w:r>
    </w:p>
  </w:footnote>
  <w:footnote w:id="217">
    <w:p w14:paraId="7380E96D" w14:textId="77777777" w:rsidR="005E6435" w:rsidRDefault="005E6435" w:rsidP="002F536C">
      <w:pPr>
        <w:pStyle w:val="FootnoteText"/>
      </w:pPr>
    </w:p>
  </w:footnote>
  <w:footnote w:id="218">
    <w:p w14:paraId="3387E49F" w14:textId="77777777" w:rsidR="005E6435" w:rsidRDefault="005E6435" w:rsidP="002F536C">
      <w:pPr>
        <w:pStyle w:val="FootnoteText"/>
      </w:pPr>
      <w:r>
        <w:rPr>
          <w:rStyle w:val="FootnoteReference"/>
        </w:rPr>
        <w:footnoteRef/>
      </w:r>
      <w:r>
        <w:t xml:space="preserve"> Potgieter &amp; Cubitt: </w:t>
      </w:r>
      <w:r>
        <w:rPr>
          <w:i/>
        </w:rPr>
        <w:t xml:space="preserve">Sun City, </w:t>
      </w:r>
      <w:r>
        <w:t>p. 8</w:t>
      </w:r>
    </w:p>
  </w:footnote>
  <w:footnote w:id="219">
    <w:p w14:paraId="7F5A827F" w14:textId="77777777" w:rsidR="005E6435" w:rsidRPr="00E8009D" w:rsidRDefault="005E6435" w:rsidP="002F536C">
      <w:pPr>
        <w:pStyle w:val="FootnoteText"/>
        <w:rPr>
          <w:lang w:val="en-US"/>
        </w:rPr>
      </w:pPr>
      <w:r>
        <w:rPr>
          <w:rStyle w:val="FootnoteReference"/>
        </w:rPr>
        <w:footnoteRef/>
      </w:r>
      <w:r>
        <w:t xml:space="preserve"> </w:t>
      </w:r>
      <w:r>
        <w:rPr>
          <w:lang w:val="en-US"/>
        </w:rPr>
        <w:t>Anonymous 4: Interviewed by Nicola van der Merwe</w:t>
      </w:r>
    </w:p>
  </w:footnote>
  <w:footnote w:id="220">
    <w:p w14:paraId="4E4D4111" w14:textId="77777777" w:rsidR="005E6435" w:rsidRPr="0084630F" w:rsidRDefault="005E6435" w:rsidP="002F536C">
      <w:pPr>
        <w:pStyle w:val="FootnoteText"/>
        <w:rPr>
          <w:i/>
          <w:lang w:val="en-US"/>
        </w:rPr>
      </w:pPr>
      <w:r>
        <w:rPr>
          <w:rStyle w:val="FootnoteReference"/>
        </w:rPr>
        <w:footnoteRef/>
      </w:r>
      <w:r>
        <w:t xml:space="preserve"> </w:t>
      </w:r>
      <w:r>
        <w:rPr>
          <w:lang w:val="en-US"/>
        </w:rPr>
        <w:t>Anonymous 4: Interviewed by Nicola van der Merwe</w:t>
      </w:r>
    </w:p>
    <w:p w14:paraId="04C5F7A1" w14:textId="77777777" w:rsidR="005E6435" w:rsidRPr="005845FA" w:rsidRDefault="005E6435" w:rsidP="002F536C">
      <w:pPr>
        <w:pStyle w:val="NoSpacing"/>
      </w:pPr>
      <w:r>
        <w:t>Rogerson: ‘Sun International: The Making of a South African Tourismus Multinational.’, pp. 345-354.</w:t>
      </w:r>
    </w:p>
  </w:footnote>
  <w:footnote w:id="221">
    <w:p w14:paraId="39B995C9" w14:textId="77777777" w:rsidR="005E6435" w:rsidRPr="00806539" w:rsidRDefault="005E6435" w:rsidP="002F536C">
      <w:pPr>
        <w:pStyle w:val="NoSpacing"/>
        <w:rPr>
          <w:lang w:val="en-ZA"/>
        </w:rPr>
      </w:pPr>
      <w:r>
        <w:rPr>
          <w:rStyle w:val="FootnoteReference"/>
        </w:rPr>
        <w:footnoteRef/>
      </w:r>
      <w:r>
        <w:t xml:space="preserve"> </w:t>
      </w:r>
      <w:r>
        <w:rPr>
          <w:lang w:val="en-ZA"/>
        </w:rPr>
        <w:t xml:space="preserve">Sun </w:t>
      </w:r>
      <w:r w:rsidRPr="006B328C">
        <w:rPr>
          <w:lang w:val="en-ZA"/>
        </w:rPr>
        <w:t>Interna</w:t>
      </w:r>
      <w:r>
        <w:rPr>
          <w:lang w:val="en-ZA"/>
        </w:rPr>
        <w:t>tional: S</w:t>
      </w:r>
      <w:r w:rsidRPr="0047182B">
        <w:rPr>
          <w:i/>
          <w:lang w:val="en-ZA"/>
        </w:rPr>
        <w:t>unBop</w:t>
      </w:r>
      <w:r>
        <w:rPr>
          <w:i/>
          <w:lang w:val="en-ZA"/>
        </w:rPr>
        <w:t xml:space="preserve">. </w:t>
      </w:r>
      <w:r>
        <w:rPr>
          <w:lang w:val="en-ZA"/>
        </w:rPr>
        <w:t>1989, p.5.</w:t>
      </w:r>
    </w:p>
  </w:footnote>
  <w:footnote w:id="222">
    <w:p w14:paraId="1FB3FFA3" w14:textId="77777777" w:rsidR="005E6435" w:rsidRPr="005D461C" w:rsidRDefault="005E6435" w:rsidP="002F536C">
      <w:pPr>
        <w:pStyle w:val="NoSpacing"/>
        <w:rPr>
          <w:lang w:val="en-US"/>
        </w:rPr>
      </w:pPr>
      <w:r>
        <w:rPr>
          <w:rStyle w:val="FootnoteReference"/>
        </w:rPr>
        <w:footnoteRef/>
      </w:r>
      <w:r>
        <w:t xml:space="preserve"> J. </w:t>
      </w:r>
      <w:r>
        <w:rPr>
          <w:lang w:val="en-US"/>
        </w:rPr>
        <w:t>Baird: Interviewed by Nicola van der Merwe. Komatipoort, 31 April 2016.</w:t>
      </w:r>
    </w:p>
  </w:footnote>
  <w:footnote w:id="223">
    <w:p w14:paraId="5762CBDB" w14:textId="77777777" w:rsidR="005E6435" w:rsidRPr="005A44C5" w:rsidRDefault="005E6435" w:rsidP="002F536C">
      <w:pPr>
        <w:pStyle w:val="NoSpacing"/>
      </w:pPr>
      <w:r>
        <w:rPr>
          <w:rStyle w:val="FootnoteReference"/>
        </w:rPr>
        <w:footnoteRef/>
      </w:r>
      <w:r>
        <w:t xml:space="preserve"> Chipkin:</w:t>
      </w:r>
      <w:r w:rsidRPr="004B0D00">
        <w:t xml:space="preserve"> </w:t>
      </w:r>
      <w:r w:rsidRPr="00125E07">
        <w:rPr>
          <w:i/>
        </w:rPr>
        <w:t>Johannesburg Transition</w:t>
      </w:r>
      <w:r>
        <w:t xml:space="preserve">, p. 279 </w:t>
      </w:r>
    </w:p>
  </w:footnote>
  <w:footnote w:id="224">
    <w:p w14:paraId="043380E1" w14:textId="77777777" w:rsidR="005E6435" w:rsidRPr="000524B5" w:rsidRDefault="005E6435" w:rsidP="002F536C">
      <w:pPr>
        <w:pStyle w:val="FootnoteText"/>
        <w:jc w:val="left"/>
      </w:pPr>
      <w:r>
        <w:rPr>
          <w:rStyle w:val="FootnoteReference"/>
        </w:rPr>
        <w:footnoteRef/>
      </w:r>
      <w:r>
        <w:t xml:space="preserve"> South Africa Legal Information Institute: ‘Immorality Act 23 of 1957’ [Online] </w:t>
      </w:r>
      <w:hyperlink r:id="rId15" w:history="1">
        <w:r w:rsidRPr="000123DE">
          <w:rPr>
            <w:rStyle w:val="Hyperlink"/>
          </w:rPr>
          <w:t xml:space="preserve">http://www.saflii.org/za/legis/hist_act/soa23o1957181/soa23o1957a1j1967264.pdf </w:t>
        </w:r>
        <w:r w:rsidRPr="0047182B">
          <w:rPr>
            <w:rStyle w:val="NoSpacingChar"/>
          </w:rPr>
          <w:t>(19</w:t>
        </w:r>
      </w:hyperlink>
      <w:r>
        <w:t xml:space="preserve"> October 2015). </w:t>
      </w:r>
    </w:p>
  </w:footnote>
  <w:footnote w:id="225">
    <w:p w14:paraId="46E3F5EE" w14:textId="77777777" w:rsidR="005E6435" w:rsidRPr="005845FA" w:rsidRDefault="005E6435" w:rsidP="002F536C">
      <w:pPr>
        <w:pStyle w:val="FootnoteText"/>
        <w:rPr>
          <w:lang w:val="en-US"/>
        </w:rPr>
      </w:pPr>
      <w:r>
        <w:rPr>
          <w:rStyle w:val="FootnoteReference"/>
        </w:rPr>
        <w:footnoteRef/>
      </w:r>
      <w:r>
        <w:t xml:space="preserve"> M. Saayman &amp; R. Smalberger: </w:t>
      </w:r>
      <w:r w:rsidRPr="00A34AAD">
        <w:rPr>
          <w:i/>
        </w:rPr>
        <w:t>Sex tourism in South Africa: A case of four cities</w:t>
      </w:r>
      <w:r>
        <w:t>. Institute for Tourism and Leisure Studies, Potchefstroom University, 1996, pp. 2-10.</w:t>
      </w:r>
    </w:p>
  </w:footnote>
  <w:footnote w:id="226">
    <w:p w14:paraId="325E7C29" w14:textId="77777777" w:rsidR="005E6435" w:rsidRPr="005845FA" w:rsidRDefault="005E6435" w:rsidP="002F536C">
      <w:pPr>
        <w:pStyle w:val="FootnoteText"/>
        <w:rPr>
          <w:lang w:val="en-US"/>
        </w:rPr>
      </w:pPr>
      <w:r>
        <w:rPr>
          <w:rStyle w:val="FootnoteReference"/>
        </w:rPr>
        <w:footnoteRef/>
      </w:r>
      <w:r>
        <w:t xml:space="preserve"> Sannar. ‘Playing Sun City’, pp. 124-125.</w:t>
      </w:r>
    </w:p>
  </w:footnote>
  <w:footnote w:id="227">
    <w:p w14:paraId="6DCDFC6B" w14:textId="77777777" w:rsidR="005E6435" w:rsidRPr="002063B3" w:rsidRDefault="005E6435" w:rsidP="002F536C">
      <w:pPr>
        <w:pStyle w:val="FootnoteText"/>
      </w:pPr>
      <w:r>
        <w:rPr>
          <w:rStyle w:val="FootnoteReference"/>
        </w:rPr>
        <w:footnoteRef/>
      </w:r>
      <w:r>
        <w:t xml:space="preserve"> R. Knight: ‘Black Dispossession in South Africa: The Myth of Bantustan Independence.’ </w:t>
      </w:r>
      <w:r>
        <w:rPr>
          <w:i/>
        </w:rPr>
        <w:t xml:space="preserve">The Africa Fund. </w:t>
      </w:r>
      <w:r>
        <w:t xml:space="preserve">September 1984. </w:t>
      </w:r>
    </w:p>
  </w:footnote>
  <w:footnote w:id="228">
    <w:p w14:paraId="125998AC" w14:textId="77777777" w:rsidR="005E6435" w:rsidRPr="00756A4C" w:rsidRDefault="005E6435" w:rsidP="002F536C">
      <w:pPr>
        <w:pStyle w:val="NoSpacing"/>
      </w:pPr>
      <w:r>
        <w:rPr>
          <w:rStyle w:val="FootnoteReference"/>
        </w:rPr>
        <w:footnoteRef/>
      </w:r>
      <w:r>
        <w:t xml:space="preserve"> Stone: ‘The myth of a prosperous Bophuthatswana.’ </w:t>
      </w:r>
    </w:p>
  </w:footnote>
  <w:footnote w:id="229">
    <w:p w14:paraId="1242C572" w14:textId="77777777" w:rsidR="005E6435" w:rsidRPr="005435DB" w:rsidRDefault="005E6435" w:rsidP="002F536C">
      <w:pPr>
        <w:pStyle w:val="FootnoteText"/>
        <w:rPr>
          <w:lang w:val="en-US"/>
        </w:rPr>
      </w:pPr>
      <w:r>
        <w:rPr>
          <w:rStyle w:val="FootnoteReference"/>
        </w:rPr>
        <w:footnoteRef/>
      </w:r>
      <w:r>
        <w:t xml:space="preserve"> </w:t>
      </w:r>
      <w:r>
        <w:rPr>
          <w:lang w:val="en-US"/>
        </w:rPr>
        <w:t xml:space="preserve">Staff reporter: ‘Free Live Bingo Show.’ </w:t>
      </w:r>
      <w:r>
        <w:rPr>
          <w:i/>
          <w:lang w:val="en-US"/>
        </w:rPr>
        <w:t xml:space="preserve">Sun City The Slots Gazette, </w:t>
      </w:r>
      <w:r>
        <w:rPr>
          <w:lang w:val="en-US"/>
        </w:rPr>
        <w:t xml:space="preserve">January 1991, p. 1. </w:t>
      </w:r>
    </w:p>
  </w:footnote>
  <w:footnote w:id="230">
    <w:p w14:paraId="269D5A6B" w14:textId="77777777" w:rsidR="005E6435" w:rsidRPr="00DB1800" w:rsidRDefault="005E6435" w:rsidP="002F536C">
      <w:pPr>
        <w:pStyle w:val="NoSpacing"/>
        <w:rPr>
          <w:lang w:val="en-US"/>
        </w:rPr>
      </w:pPr>
      <w:r>
        <w:rPr>
          <w:rStyle w:val="FootnoteReference"/>
        </w:rPr>
        <w:footnoteRef/>
      </w:r>
      <w:r>
        <w:t xml:space="preserve"> </w:t>
      </w:r>
      <w:r>
        <w:rPr>
          <w:noProof/>
          <w:lang w:val="en-US"/>
        </w:rPr>
        <w:t xml:space="preserve">Morgan: </w:t>
      </w:r>
      <w:r>
        <w:rPr>
          <w:i/>
          <w:noProof/>
          <w:lang w:val="en-US"/>
        </w:rPr>
        <w:t xml:space="preserve">Sun City.’ </w:t>
      </w:r>
      <w:r>
        <w:rPr>
          <w:noProof/>
          <w:lang w:val="en-US"/>
        </w:rPr>
        <w:t xml:space="preserve">p. 25. </w:t>
      </w:r>
    </w:p>
  </w:footnote>
  <w:footnote w:id="231">
    <w:p w14:paraId="7DA27097" w14:textId="77777777" w:rsidR="005E6435" w:rsidRPr="001851DD" w:rsidRDefault="005E6435" w:rsidP="002F536C">
      <w:pPr>
        <w:pStyle w:val="FootnoteText"/>
        <w:rPr>
          <w:lang w:val="en-US"/>
        </w:rPr>
      </w:pPr>
      <w:r>
        <w:rPr>
          <w:rStyle w:val="FootnoteReference"/>
        </w:rPr>
        <w:footnoteRef/>
      </w:r>
      <w:r>
        <w:t xml:space="preserve"> Sannar. ‘Playing Sun City.’, pp. 124-125.</w:t>
      </w:r>
    </w:p>
  </w:footnote>
  <w:footnote w:id="232">
    <w:p w14:paraId="5BC65A1F" w14:textId="77777777" w:rsidR="005E6435" w:rsidRPr="00CD24C0" w:rsidRDefault="005E6435" w:rsidP="002F536C">
      <w:pPr>
        <w:pStyle w:val="FootnoteText"/>
        <w:rPr>
          <w:lang w:val="en-US"/>
        </w:rPr>
      </w:pPr>
      <w:r>
        <w:rPr>
          <w:rStyle w:val="FootnoteReference"/>
        </w:rPr>
        <w:footnoteRef/>
      </w:r>
      <w:r>
        <w:t xml:space="preserve"> </w:t>
      </w:r>
      <w:r>
        <w:rPr>
          <w:i/>
          <w:lang w:val="en-US"/>
        </w:rPr>
        <w:t xml:space="preserve">Ibid, </w:t>
      </w:r>
      <w:r>
        <w:rPr>
          <w:lang w:val="en-US"/>
        </w:rPr>
        <w:t>pp. 125-126.</w:t>
      </w:r>
    </w:p>
  </w:footnote>
  <w:footnote w:id="233">
    <w:p w14:paraId="637C4E79" w14:textId="77777777" w:rsidR="005E6435" w:rsidRPr="005435DB" w:rsidRDefault="005E6435" w:rsidP="002F536C">
      <w:pPr>
        <w:pStyle w:val="FootnoteText"/>
        <w:rPr>
          <w:lang w:val="en-US"/>
        </w:rPr>
      </w:pPr>
      <w:r>
        <w:rPr>
          <w:rStyle w:val="FootnoteReference"/>
        </w:rPr>
        <w:footnoteRef/>
      </w:r>
      <w:r>
        <w:t xml:space="preserve"> </w:t>
      </w:r>
      <w:r>
        <w:rPr>
          <w:lang w:val="en-US"/>
        </w:rPr>
        <w:t xml:space="preserve">Staff reporter: ‘Everything for your pleasure at the Entertainment Centre.’ January 1991, p. 3. </w:t>
      </w:r>
    </w:p>
  </w:footnote>
  <w:footnote w:id="234">
    <w:p w14:paraId="32DB516C" w14:textId="77777777" w:rsidR="005E6435" w:rsidRPr="007B3E58" w:rsidRDefault="005E6435" w:rsidP="002F536C">
      <w:pPr>
        <w:pStyle w:val="FootnoteText"/>
        <w:rPr>
          <w:lang w:val="en-US"/>
        </w:rPr>
      </w:pPr>
      <w:r>
        <w:rPr>
          <w:rStyle w:val="FootnoteReference"/>
        </w:rPr>
        <w:footnoteRef/>
      </w:r>
      <w:r>
        <w:t xml:space="preserve"> Quoted in </w:t>
      </w:r>
      <w:r>
        <w:rPr>
          <w:lang w:val="en-US"/>
        </w:rPr>
        <w:t xml:space="preserve">Staff reporter: ‘The Feather Masters of the Universe.’ </w:t>
      </w:r>
      <w:r>
        <w:rPr>
          <w:i/>
          <w:lang w:val="en-US"/>
        </w:rPr>
        <w:t xml:space="preserve">Mail and Guardian, </w:t>
      </w:r>
      <w:r>
        <w:rPr>
          <w:lang w:val="en-US"/>
        </w:rPr>
        <w:t xml:space="preserve">9 September 1994, p. 13. </w:t>
      </w:r>
    </w:p>
  </w:footnote>
  <w:footnote w:id="235">
    <w:p w14:paraId="22CF716E" w14:textId="77777777" w:rsidR="005E6435" w:rsidRPr="00460B61" w:rsidRDefault="005E6435" w:rsidP="002F536C">
      <w:pPr>
        <w:pStyle w:val="FootnoteText"/>
        <w:rPr>
          <w:lang w:val="en-US"/>
        </w:rPr>
      </w:pPr>
      <w:r>
        <w:rPr>
          <w:rStyle w:val="FootnoteReference"/>
        </w:rPr>
        <w:footnoteRef/>
      </w:r>
      <w:r>
        <w:t xml:space="preserve"> Nixon: </w:t>
      </w:r>
      <w:r w:rsidRPr="007E7D73">
        <w:rPr>
          <w:i/>
        </w:rPr>
        <w:t>Homelands, Harlem and Hollywood</w:t>
      </w:r>
      <w:r>
        <w:t>, p. 133.</w:t>
      </w:r>
    </w:p>
  </w:footnote>
  <w:footnote w:id="236">
    <w:p w14:paraId="0B3F5099" w14:textId="77777777" w:rsidR="005E6435" w:rsidRPr="004562C4" w:rsidRDefault="005E6435" w:rsidP="002F536C">
      <w:pPr>
        <w:pStyle w:val="FootnoteText"/>
        <w:jc w:val="left"/>
        <w:rPr>
          <w:lang w:val="en-US"/>
        </w:rPr>
      </w:pPr>
      <w:r>
        <w:rPr>
          <w:rStyle w:val="FootnoteReference"/>
        </w:rPr>
        <w:footnoteRef/>
      </w:r>
      <w:r>
        <w:t xml:space="preserve"> Manson &amp; Mbenga: </w:t>
      </w:r>
      <w:r w:rsidRPr="001D0CC5">
        <w:rPr>
          <w:i/>
        </w:rPr>
        <w:t>Land, Chiefs, Mining</w:t>
      </w:r>
      <w:r>
        <w:t>, p. 161.</w:t>
      </w:r>
    </w:p>
  </w:footnote>
  <w:footnote w:id="237">
    <w:p w14:paraId="1703A393" w14:textId="77777777" w:rsidR="005E6435" w:rsidRPr="001C715B" w:rsidRDefault="005E6435" w:rsidP="002F536C">
      <w:pPr>
        <w:pStyle w:val="FootnoteText"/>
        <w:rPr>
          <w:lang w:val="en-US"/>
        </w:rPr>
      </w:pPr>
      <w:r>
        <w:rPr>
          <w:rStyle w:val="FootnoteReference"/>
        </w:rPr>
        <w:footnoteRef/>
      </w:r>
      <w:r>
        <w:t xml:space="preserve"> Manson &amp; Mbenga: </w:t>
      </w:r>
      <w:r w:rsidRPr="001D0CC5">
        <w:rPr>
          <w:i/>
        </w:rPr>
        <w:t>Land, Chiefs, Mining</w:t>
      </w:r>
      <w:r>
        <w:rPr>
          <w:i/>
        </w:rPr>
        <w:t>,</w:t>
      </w:r>
      <w:r>
        <w:t xml:space="preserve"> p 162.</w:t>
      </w:r>
    </w:p>
  </w:footnote>
  <w:footnote w:id="238">
    <w:p w14:paraId="01A6F567" w14:textId="77777777" w:rsidR="005E6435" w:rsidRDefault="005E6435" w:rsidP="002F536C">
      <w:pPr>
        <w:pStyle w:val="NoSpacing"/>
      </w:pPr>
      <w:r>
        <w:rPr>
          <w:rStyle w:val="FootnoteReference"/>
        </w:rPr>
        <w:footnoteRef/>
      </w:r>
      <w:r>
        <w:t xml:space="preserve"> North-West Provincial Archives, Bophuthatswana Papers, Office of the President, 4.5.90: </w:t>
      </w:r>
      <w:r>
        <w:rPr>
          <w:i/>
        </w:rPr>
        <w:t>Development at Heystekrand,</w:t>
      </w:r>
      <w:r>
        <w:t xml:space="preserve"> 6 February 1978.</w:t>
      </w:r>
    </w:p>
  </w:footnote>
  <w:footnote w:id="239">
    <w:p w14:paraId="7D213054" w14:textId="77777777" w:rsidR="005E6435" w:rsidRPr="005D66DC" w:rsidRDefault="005E6435" w:rsidP="002F536C">
      <w:pPr>
        <w:pStyle w:val="FootnoteText"/>
        <w:rPr>
          <w:lang w:val="en-US"/>
        </w:rPr>
      </w:pPr>
      <w:r>
        <w:rPr>
          <w:rStyle w:val="FootnoteReference"/>
        </w:rPr>
        <w:footnoteRef/>
      </w:r>
      <w:r>
        <w:t xml:space="preserve"> Anonymous 1: Interviewed by Nicola van der Merwe.</w:t>
      </w:r>
    </w:p>
  </w:footnote>
  <w:footnote w:id="240">
    <w:p w14:paraId="7D480465" w14:textId="77777777" w:rsidR="005E6435" w:rsidRDefault="005E6435" w:rsidP="002F536C">
      <w:pPr>
        <w:pStyle w:val="NoSpacing"/>
      </w:pPr>
      <w:r>
        <w:rPr>
          <w:rStyle w:val="FootnoteReference"/>
        </w:rPr>
        <w:footnoteRef/>
      </w:r>
      <w:r>
        <w:t xml:space="preserve"> J. </w:t>
      </w:r>
      <w:r>
        <w:rPr>
          <w:rStyle w:val="NoSpacingChar"/>
        </w:rPr>
        <w:t>Carruthers</w:t>
      </w:r>
      <w:r w:rsidRPr="00742791">
        <w:rPr>
          <w:rStyle w:val="NoSpacingChar"/>
        </w:rPr>
        <w:t>: ‘Pilanesberg National Park, North West Province, South Africa: Uniting economic development with ecological design – A history, 196</w:t>
      </w:r>
      <w:r>
        <w:rPr>
          <w:rStyle w:val="NoSpacingChar"/>
        </w:rPr>
        <w:t>0s</w:t>
      </w:r>
      <w:r w:rsidRPr="00742791">
        <w:rPr>
          <w:rStyle w:val="NoSpacingChar"/>
        </w:rPr>
        <w:t xml:space="preserve"> to 1984.’ Koedoe (2011, </w:t>
      </w:r>
      <w:r>
        <w:rPr>
          <w:rStyle w:val="NoSpacingChar"/>
        </w:rPr>
        <w:t>53:1), pp. 2-3</w:t>
      </w:r>
      <w:r w:rsidRPr="00742791">
        <w:rPr>
          <w:rStyle w:val="NoSpacingChar"/>
        </w:rPr>
        <w:t>.</w:t>
      </w:r>
      <w:r>
        <w:t xml:space="preserve"> </w:t>
      </w:r>
    </w:p>
  </w:footnote>
  <w:footnote w:id="241">
    <w:p w14:paraId="4EDD8210" w14:textId="77777777" w:rsidR="005E6435" w:rsidRDefault="005E6435" w:rsidP="002F536C">
      <w:pPr>
        <w:pStyle w:val="NoSpacing"/>
      </w:pPr>
      <w:r>
        <w:rPr>
          <w:rStyle w:val="FootnoteReference"/>
        </w:rPr>
        <w:footnoteRef/>
      </w:r>
      <w:r>
        <w:t xml:space="preserve"> </w:t>
      </w:r>
      <w:r w:rsidRPr="00C85A73">
        <w:t xml:space="preserve">Nauright: </w:t>
      </w:r>
      <w:r w:rsidRPr="001C715B">
        <w:rPr>
          <w:i/>
        </w:rPr>
        <w:t>Sports around the World</w:t>
      </w:r>
      <w:r w:rsidRPr="00C85A73">
        <w:t>, p. 160.</w:t>
      </w:r>
      <w:r>
        <w:t xml:space="preserve"> </w:t>
      </w:r>
    </w:p>
  </w:footnote>
  <w:footnote w:id="242">
    <w:p w14:paraId="22D384E5" w14:textId="77777777" w:rsidR="005E6435" w:rsidRPr="00162DB0" w:rsidRDefault="005E6435" w:rsidP="002F536C">
      <w:pPr>
        <w:pStyle w:val="FootnoteText"/>
        <w:rPr>
          <w:i/>
        </w:rPr>
      </w:pPr>
      <w:r>
        <w:rPr>
          <w:rStyle w:val="FootnoteReference"/>
        </w:rPr>
        <w:footnoteRef/>
      </w:r>
      <w:r>
        <w:t xml:space="preserve"> Manson &amp; Mbenga: </w:t>
      </w:r>
      <w:r w:rsidRPr="001D0CC5">
        <w:rPr>
          <w:i/>
        </w:rPr>
        <w:t>Land, Chiefs, Mining</w:t>
      </w:r>
      <w:r>
        <w:rPr>
          <w:i/>
        </w:rPr>
        <w:t xml:space="preserve">’ </w:t>
      </w:r>
      <w:r>
        <w:t>p. 162.</w:t>
      </w:r>
    </w:p>
  </w:footnote>
  <w:footnote w:id="243">
    <w:p w14:paraId="279DF9F1" w14:textId="77777777" w:rsidR="005E6435" w:rsidRDefault="005E6435" w:rsidP="002F536C">
      <w:pPr>
        <w:pStyle w:val="FootnoteText"/>
      </w:pPr>
      <w:r>
        <w:rPr>
          <w:rStyle w:val="FootnoteReference"/>
        </w:rPr>
        <w:footnoteRef/>
      </w:r>
      <w:r>
        <w:t xml:space="preserve"> Staff reporter: ‘Tourism set to boom’ </w:t>
      </w:r>
      <w:r>
        <w:rPr>
          <w:i/>
        </w:rPr>
        <w:t xml:space="preserve">The Mail, </w:t>
      </w:r>
      <w:r>
        <w:t>13 November 1992, p. 10.</w:t>
      </w:r>
    </w:p>
  </w:footnote>
  <w:footnote w:id="244">
    <w:p w14:paraId="728A6797" w14:textId="77777777" w:rsidR="005E6435" w:rsidRDefault="005E6435" w:rsidP="002F536C">
      <w:pPr>
        <w:pStyle w:val="FootnoteText"/>
      </w:pPr>
      <w:r>
        <w:rPr>
          <w:rStyle w:val="FootnoteReference"/>
        </w:rPr>
        <w:footnoteRef/>
      </w:r>
      <w:r>
        <w:t xml:space="preserve"> </w:t>
      </w:r>
      <w:r w:rsidRPr="004A2980">
        <w:t>B. Mbenga. &amp;</w:t>
      </w:r>
      <w:r>
        <w:t xml:space="preserve"> </w:t>
      </w:r>
      <w:r w:rsidRPr="004A2980">
        <w:t xml:space="preserve">A.  Manson: </w:t>
      </w:r>
      <w:r>
        <w:t>‘</w:t>
      </w:r>
      <w:r w:rsidRPr="004A2980">
        <w:t>Peoples of the Pilanesberg Region of South Africa: A History</w:t>
      </w:r>
      <w:r>
        <w:t>’</w:t>
      </w:r>
      <w:r w:rsidRPr="004A2980">
        <w:t xml:space="preserve">. </w:t>
      </w:r>
      <w:r w:rsidRPr="001C715B">
        <w:rPr>
          <w:i/>
        </w:rPr>
        <w:t>Unpublished Paper</w:t>
      </w:r>
      <w:r>
        <w:t>, August 2008, p. 26.</w:t>
      </w:r>
    </w:p>
  </w:footnote>
  <w:footnote w:id="245">
    <w:p w14:paraId="42B51247" w14:textId="77777777" w:rsidR="005E6435" w:rsidRPr="001D710E" w:rsidRDefault="005E6435" w:rsidP="002F536C">
      <w:pPr>
        <w:pStyle w:val="FootnoteText"/>
      </w:pPr>
      <w:r>
        <w:rPr>
          <w:rStyle w:val="FootnoteReference"/>
        </w:rPr>
        <w:footnoteRef/>
      </w:r>
      <w:r>
        <w:t xml:space="preserve"> J. Carruthers: ‘Wildlife Protection and Human Geography in the Western Transvaal 1850 – 1990.’ </w:t>
      </w:r>
      <w:r>
        <w:rPr>
          <w:i/>
        </w:rPr>
        <w:t xml:space="preserve">Unpublished Paper, </w:t>
      </w:r>
      <w:r>
        <w:t xml:space="preserve">p. 10. </w:t>
      </w:r>
    </w:p>
  </w:footnote>
  <w:footnote w:id="246">
    <w:p w14:paraId="378B028A" w14:textId="77777777" w:rsidR="005E6435" w:rsidRDefault="005E6435" w:rsidP="002F536C">
      <w:pPr>
        <w:pStyle w:val="FootnoteText"/>
      </w:pPr>
      <w:r>
        <w:rPr>
          <w:rStyle w:val="FootnoteReference"/>
        </w:rPr>
        <w:footnoteRef/>
      </w:r>
      <w:r>
        <w:t xml:space="preserve"> </w:t>
      </w:r>
      <w:r>
        <w:rPr>
          <w:rStyle w:val="NoSpacingChar"/>
        </w:rPr>
        <w:t>Carruthers: ‘Pilanesberg National Park’, p. 5.</w:t>
      </w:r>
    </w:p>
  </w:footnote>
  <w:footnote w:id="247">
    <w:p w14:paraId="6AED2C51" w14:textId="77777777" w:rsidR="005E6435" w:rsidRPr="00C47ED5" w:rsidRDefault="005E6435" w:rsidP="002F536C">
      <w:pPr>
        <w:pStyle w:val="FootnoteText"/>
        <w:rPr>
          <w:i/>
          <w:lang w:val="en-US"/>
        </w:rPr>
      </w:pPr>
      <w:r>
        <w:rPr>
          <w:rStyle w:val="FootnoteReference"/>
        </w:rPr>
        <w:footnoteRef/>
      </w:r>
      <w:r>
        <w:t xml:space="preserve"> </w:t>
      </w:r>
      <w:r>
        <w:rPr>
          <w:rStyle w:val="NoSpacingChar"/>
          <w:i/>
        </w:rPr>
        <w:t>Ibid</w:t>
      </w:r>
      <w:r>
        <w:rPr>
          <w:rStyle w:val="NoSpacingChar"/>
        </w:rPr>
        <w:t xml:space="preserve">, </w:t>
      </w:r>
      <w:r w:rsidRPr="00E81CA3">
        <w:rPr>
          <w:lang w:val="en-US"/>
        </w:rPr>
        <w:t>pp. 5-6.</w:t>
      </w:r>
      <w:r>
        <w:rPr>
          <w:i/>
          <w:lang w:val="en-US"/>
        </w:rPr>
        <w:t xml:space="preserve"> </w:t>
      </w:r>
    </w:p>
  </w:footnote>
  <w:footnote w:id="248">
    <w:p w14:paraId="27CA0481" w14:textId="77777777" w:rsidR="005E6435" w:rsidRDefault="005E6435" w:rsidP="002F536C">
      <w:pPr>
        <w:pStyle w:val="FootnoteText"/>
      </w:pPr>
      <w:r>
        <w:rPr>
          <w:rStyle w:val="FootnoteReference"/>
        </w:rPr>
        <w:footnoteRef/>
      </w:r>
      <w:r>
        <w:t xml:space="preserve"> </w:t>
      </w:r>
      <w:r w:rsidRPr="004A2980">
        <w:t>Mbenga. &amp;</w:t>
      </w:r>
      <w:r>
        <w:t xml:space="preserve"> </w:t>
      </w:r>
      <w:r w:rsidRPr="004A2980">
        <w:t>Manson: Peoples of the Pilanesberg</w:t>
      </w:r>
      <w:r>
        <w:t>’, p. 26.</w:t>
      </w:r>
    </w:p>
  </w:footnote>
  <w:footnote w:id="249">
    <w:p w14:paraId="0C1BA40E" w14:textId="77777777" w:rsidR="005E6435" w:rsidRPr="00292AF4" w:rsidRDefault="005E6435" w:rsidP="002F536C">
      <w:pPr>
        <w:pStyle w:val="FootnoteText"/>
        <w:rPr>
          <w:lang w:val="en-US"/>
        </w:rPr>
      </w:pPr>
      <w:r>
        <w:rPr>
          <w:rStyle w:val="FootnoteReference"/>
        </w:rPr>
        <w:footnoteRef/>
      </w:r>
      <w:r>
        <w:t xml:space="preserve"> Manson &amp; Mbenga: </w:t>
      </w:r>
      <w:r w:rsidRPr="001D0CC5">
        <w:rPr>
          <w:i/>
        </w:rPr>
        <w:t>Land, Chiefs, Mining</w:t>
      </w:r>
      <w:r>
        <w:t>, pp. 161-162.</w:t>
      </w:r>
    </w:p>
  </w:footnote>
  <w:footnote w:id="250">
    <w:p w14:paraId="1B7162BD" w14:textId="77777777" w:rsidR="005E6435" w:rsidRDefault="005E6435" w:rsidP="002F536C">
      <w:pPr>
        <w:pStyle w:val="FootnoteText"/>
      </w:pPr>
      <w:r>
        <w:rPr>
          <w:rStyle w:val="FootnoteReference"/>
        </w:rPr>
        <w:footnoteRef/>
      </w:r>
      <w:r>
        <w:t xml:space="preserve"> </w:t>
      </w:r>
      <w:r w:rsidRPr="00355DF8">
        <w:rPr>
          <w:rStyle w:val="NoSpacingChar"/>
          <w:i/>
        </w:rPr>
        <w:t>Ibid</w:t>
      </w:r>
      <w:r>
        <w:rPr>
          <w:rStyle w:val="NoSpacingChar"/>
        </w:rPr>
        <w:t>, pp. 5-8.</w:t>
      </w:r>
    </w:p>
  </w:footnote>
  <w:footnote w:id="251">
    <w:p w14:paraId="67E5A23B" w14:textId="77777777" w:rsidR="005E6435" w:rsidRPr="001267F4" w:rsidRDefault="005E6435" w:rsidP="002F536C">
      <w:pPr>
        <w:pStyle w:val="FootnoteText"/>
        <w:rPr>
          <w:lang w:val="en-US"/>
        </w:rPr>
      </w:pPr>
      <w:r>
        <w:rPr>
          <w:rStyle w:val="FootnoteReference"/>
        </w:rPr>
        <w:footnoteRef/>
      </w:r>
      <w:r>
        <w:t xml:space="preserve"> Carruthers: ‘Wildlife Protection and Human Geography in the Western Transvaal’</w:t>
      </w:r>
      <w:r>
        <w:rPr>
          <w:i/>
        </w:rPr>
        <w:t xml:space="preserve">, </w:t>
      </w:r>
      <w:r>
        <w:t>pp. 9-10.</w:t>
      </w:r>
    </w:p>
  </w:footnote>
  <w:footnote w:id="252">
    <w:p w14:paraId="6F8DACC3" w14:textId="77777777" w:rsidR="005E6435" w:rsidRDefault="005E6435" w:rsidP="002F536C">
      <w:pPr>
        <w:pStyle w:val="NoSpacing"/>
      </w:pPr>
      <w:r>
        <w:rPr>
          <w:rStyle w:val="FootnoteReference"/>
        </w:rPr>
        <w:footnoteRef/>
      </w:r>
      <w:r>
        <w:t xml:space="preserve"> </w:t>
      </w:r>
      <w:r>
        <w:rPr>
          <w:i/>
        </w:rPr>
        <w:t xml:space="preserve">Ibid, </w:t>
      </w:r>
      <w:r>
        <w:t xml:space="preserve">pp. 9-10. </w:t>
      </w:r>
    </w:p>
  </w:footnote>
  <w:footnote w:id="253">
    <w:p w14:paraId="2929B44B" w14:textId="77777777" w:rsidR="005E6435" w:rsidRPr="00A8502D" w:rsidRDefault="005E6435" w:rsidP="002F536C">
      <w:pPr>
        <w:pStyle w:val="NoSpacing"/>
        <w:rPr>
          <w:i/>
        </w:rPr>
      </w:pPr>
      <w:r>
        <w:rPr>
          <w:rStyle w:val="FootnoteReference"/>
        </w:rPr>
        <w:footnoteRef/>
      </w:r>
      <w:r>
        <w:t xml:space="preserve"> Carruthers: ‘Wildlife Protection and Human Geography in the Western Transvaal’</w:t>
      </w:r>
      <w:r>
        <w:rPr>
          <w:i/>
        </w:rPr>
        <w:t xml:space="preserve">, </w:t>
      </w:r>
      <w:r>
        <w:t>p. 10.</w:t>
      </w:r>
      <w:r>
        <w:rPr>
          <w:i/>
        </w:rPr>
        <w:t xml:space="preserve"> </w:t>
      </w:r>
    </w:p>
  </w:footnote>
  <w:footnote w:id="254">
    <w:p w14:paraId="3FF67A09" w14:textId="77777777" w:rsidR="005E6435" w:rsidRPr="00162DB0" w:rsidRDefault="005E6435" w:rsidP="002F536C">
      <w:pPr>
        <w:pStyle w:val="FootnoteText"/>
        <w:rPr>
          <w:i/>
        </w:rPr>
      </w:pPr>
      <w:r>
        <w:rPr>
          <w:rStyle w:val="FootnoteReference"/>
        </w:rPr>
        <w:footnoteRef/>
      </w:r>
      <w:r>
        <w:t xml:space="preserve"> Mbenga. &amp; </w:t>
      </w:r>
      <w:r w:rsidRPr="004A2980">
        <w:t xml:space="preserve">Manson: </w:t>
      </w:r>
      <w:r w:rsidRPr="005D724A">
        <w:rPr>
          <w:i/>
        </w:rPr>
        <w:t>Peoples of the Pilanesberg Region of South Afric</w:t>
      </w:r>
      <w:r>
        <w:rPr>
          <w:i/>
        </w:rPr>
        <w:t xml:space="preserve">a’, </w:t>
      </w:r>
      <w:r>
        <w:t>pp. 27-28</w:t>
      </w:r>
    </w:p>
  </w:footnote>
  <w:footnote w:id="255">
    <w:p w14:paraId="6DB48E79" w14:textId="77777777" w:rsidR="005E6435" w:rsidRPr="008951AF" w:rsidRDefault="005E6435" w:rsidP="002F536C">
      <w:pPr>
        <w:pStyle w:val="FootnoteText"/>
        <w:rPr>
          <w:lang w:val="en-US"/>
        </w:rPr>
      </w:pPr>
      <w:r>
        <w:rPr>
          <w:rStyle w:val="FootnoteReference"/>
        </w:rPr>
        <w:footnoteRef/>
      </w:r>
      <w:r>
        <w:t xml:space="preserve"> </w:t>
      </w:r>
      <w:r>
        <w:rPr>
          <w:lang w:val="en-US"/>
        </w:rPr>
        <w:t>E.S. Reddy: ‘United Nations, India and Boycott of Apartheid Sport.’ Conference Paper, Seminar of the Sports Authority of India and the Arjuna Awardees Associations, New Delhi, 28-29 July 1988, p. 3.</w:t>
      </w:r>
    </w:p>
  </w:footnote>
  <w:footnote w:id="256">
    <w:p w14:paraId="42CAA4AE" w14:textId="77777777" w:rsidR="005E6435" w:rsidRPr="00B82754" w:rsidRDefault="005E6435" w:rsidP="002F536C">
      <w:pPr>
        <w:pStyle w:val="FootnoteText"/>
        <w:rPr>
          <w:lang w:val="en-US"/>
        </w:rPr>
      </w:pPr>
      <w:r>
        <w:rPr>
          <w:rStyle w:val="FootnoteReference"/>
        </w:rPr>
        <w:footnoteRef/>
      </w:r>
      <w:r>
        <w:t xml:space="preserve"> R. Nixon: </w:t>
      </w:r>
      <w:r w:rsidRPr="000F6BF6">
        <w:rPr>
          <w:i/>
        </w:rPr>
        <w:t>Homelands, Harlem and Hollywood: South African Culture and the World Beyond</w:t>
      </w:r>
      <w:r>
        <w:t>. Routledge, New York, 1994, p. 132.</w:t>
      </w:r>
    </w:p>
  </w:footnote>
  <w:footnote w:id="257">
    <w:p w14:paraId="731C7043" w14:textId="77777777" w:rsidR="005E6435" w:rsidRPr="008951AF" w:rsidRDefault="005E6435" w:rsidP="0021632D">
      <w:pPr>
        <w:pStyle w:val="FootnoteText"/>
        <w:jc w:val="left"/>
        <w:rPr>
          <w:lang w:val="en-US"/>
        </w:rPr>
      </w:pPr>
      <w:r>
        <w:rPr>
          <w:rStyle w:val="FootnoteReference"/>
        </w:rPr>
        <w:footnoteRef/>
      </w:r>
      <w:r>
        <w:t xml:space="preserve"> </w:t>
      </w:r>
      <w:r>
        <w:rPr>
          <w:lang w:val="en-US"/>
        </w:rPr>
        <w:t>E.S. Reddy: ‘United Nations, India and Boycott of Apartheid Sport.’ Conference Paper, Seminar of the Sports Authority of India and the Arjuna Awardees Associations, New Delhi, 28-29 July 1988, p. 7.</w:t>
      </w:r>
    </w:p>
  </w:footnote>
  <w:footnote w:id="258">
    <w:p w14:paraId="250BBE5E" w14:textId="77777777" w:rsidR="005E6435" w:rsidRPr="008951AF" w:rsidRDefault="005E6435" w:rsidP="0021632D">
      <w:pPr>
        <w:pStyle w:val="FootnoteText"/>
        <w:jc w:val="left"/>
        <w:rPr>
          <w:lang w:val="en-US"/>
        </w:rPr>
      </w:pPr>
      <w:r>
        <w:rPr>
          <w:rStyle w:val="FootnoteReference"/>
        </w:rPr>
        <w:footnoteRef/>
      </w:r>
      <w:r>
        <w:t xml:space="preserve"> </w:t>
      </w:r>
      <w:r>
        <w:rPr>
          <w:lang w:val="en-US"/>
        </w:rPr>
        <w:t xml:space="preserve">Evans: </w:t>
      </w:r>
      <w:r>
        <w:rPr>
          <w:i/>
          <w:lang w:val="en-US"/>
        </w:rPr>
        <w:t xml:space="preserve">Broadcasting the End of Apartheid, </w:t>
      </w:r>
      <w:r>
        <w:rPr>
          <w:lang w:val="en-US"/>
        </w:rPr>
        <w:t>p. 223.</w:t>
      </w:r>
    </w:p>
  </w:footnote>
  <w:footnote w:id="259">
    <w:p w14:paraId="4E92D1B9" w14:textId="77777777" w:rsidR="005E6435" w:rsidRPr="008A21B6" w:rsidRDefault="005E6435" w:rsidP="0021632D">
      <w:pPr>
        <w:pStyle w:val="FootnoteText"/>
        <w:jc w:val="left"/>
      </w:pPr>
      <w:r>
        <w:rPr>
          <w:rStyle w:val="FootnoteReference"/>
        </w:rPr>
        <w:footnoteRef/>
      </w:r>
      <w:r>
        <w:t xml:space="preserve"> United Nations: ‘South Africa: Apartheid and Boycotts’ [Online] http:www.un.org/resolution/25/206 (25 February 2015). </w:t>
      </w:r>
    </w:p>
  </w:footnote>
  <w:footnote w:id="260">
    <w:p w14:paraId="71847B2C" w14:textId="77777777" w:rsidR="005E6435" w:rsidRDefault="005E6435" w:rsidP="00505A1B">
      <w:pPr>
        <w:pStyle w:val="NoSpacing"/>
      </w:pPr>
      <w:r>
        <w:rPr>
          <w:rStyle w:val="FootnoteReference"/>
        </w:rPr>
        <w:footnoteRef/>
      </w:r>
      <w:r>
        <w:t xml:space="preserve"> J.M. Wilson: ‘U.N.’s Register of Performers Raises Blacklist in S.Africa Boycott.’ </w:t>
      </w:r>
      <w:r>
        <w:rPr>
          <w:i/>
        </w:rPr>
        <w:t>Chicago Tribune.</w:t>
      </w:r>
      <w:r>
        <w:t xml:space="preserve"> 19 May 1985.</w:t>
      </w:r>
      <w:r>
        <w:rPr>
          <w:i/>
        </w:rPr>
        <w:t xml:space="preserve"> </w:t>
      </w:r>
      <w:r>
        <w:t xml:space="preserve">[Online] </w:t>
      </w:r>
      <w:hyperlink r:id="rId16" w:history="1">
        <w:r w:rsidRPr="008E4D1A">
          <w:rPr>
            <w:rStyle w:val="Hyperlink"/>
          </w:rPr>
          <w:t xml:space="preserve">http://articles.chicagotribune.com/1985-05-19/entertainment/8501310597_1_south-africa-cultural-boycott-apartheid/2 </w:t>
        </w:r>
        <w:r w:rsidRPr="00505A1B">
          <w:t>(17</w:t>
        </w:r>
      </w:hyperlink>
      <w:r>
        <w:t xml:space="preserve"> March 2016).</w:t>
      </w:r>
    </w:p>
  </w:footnote>
  <w:footnote w:id="261">
    <w:p w14:paraId="02764671" w14:textId="77777777" w:rsidR="005E6435" w:rsidRPr="008718FE" w:rsidRDefault="005E6435" w:rsidP="00505A1B">
      <w:pPr>
        <w:pStyle w:val="FootnoteText"/>
        <w:jc w:val="left"/>
      </w:pPr>
      <w:r>
        <w:rPr>
          <w:rStyle w:val="FootnoteReference"/>
        </w:rPr>
        <w:footnoteRef/>
      </w:r>
      <w:r>
        <w:t xml:space="preserve"> Staff reporter: ’Choose Frankie or Liberation’ </w:t>
      </w:r>
      <w:r>
        <w:rPr>
          <w:i/>
        </w:rPr>
        <w:t xml:space="preserve">The Sowetan, </w:t>
      </w:r>
      <w:r>
        <w:t xml:space="preserve">27 July 1981. </w:t>
      </w:r>
    </w:p>
  </w:footnote>
  <w:footnote w:id="262">
    <w:p w14:paraId="0E790F7B" w14:textId="77777777" w:rsidR="005E6435" w:rsidRPr="00C14CD1" w:rsidRDefault="005E6435" w:rsidP="00505A1B">
      <w:pPr>
        <w:pStyle w:val="FootnoteText"/>
        <w:jc w:val="left"/>
        <w:rPr>
          <w:lang w:val="en-US"/>
        </w:rPr>
      </w:pPr>
      <w:r>
        <w:rPr>
          <w:rStyle w:val="FootnoteReference"/>
        </w:rPr>
        <w:footnoteRef/>
      </w:r>
      <w:r>
        <w:t xml:space="preserve"> Michigan State University, African Activist Archive. 32-130-1182-84: ‘Sinatra Sings for Apartheid.’ </w:t>
      </w:r>
      <w:r>
        <w:rPr>
          <w:i/>
        </w:rPr>
        <w:t xml:space="preserve">American Committee on Africa Publication, </w:t>
      </w:r>
      <w:r>
        <w:t xml:space="preserve">August 1981. </w:t>
      </w:r>
    </w:p>
  </w:footnote>
  <w:footnote w:id="263">
    <w:p w14:paraId="55539E87" w14:textId="77777777" w:rsidR="005E6435" w:rsidRPr="000936A5" w:rsidRDefault="005E6435" w:rsidP="002F536C">
      <w:pPr>
        <w:pStyle w:val="FootnoteText"/>
        <w:rPr>
          <w:i/>
        </w:rPr>
      </w:pPr>
      <w:r>
        <w:rPr>
          <w:rStyle w:val="FootnoteReference"/>
        </w:rPr>
        <w:footnoteRef/>
      </w:r>
      <w:r>
        <w:t xml:space="preserve"> ‘Sinatra Sings for Apartheid.’ </w:t>
      </w:r>
    </w:p>
  </w:footnote>
  <w:footnote w:id="264">
    <w:p w14:paraId="03F57E68" w14:textId="77777777" w:rsidR="005E6435" w:rsidRDefault="005E6435" w:rsidP="002F536C">
      <w:pPr>
        <w:pStyle w:val="NoSpacing"/>
      </w:pPr>
      <w:r>
        <w:rPr>
          <w:rStyle w:val="FootnoteReference"/>
        </w:rPr>
        <w:footnoteRef/>
      </w:r>
      <w:r>
        <w:t xml:space="preserve"> Michigan State University, African Activist Archive. 32-130-1182-84: The Africa Fund: ‘Sun City’,</w:t>
      </w:r>
    </w:p>
  </w:footnote>
  <w:footnote w:id="265">
    <w:p w14:paraId="7BFF1BB1" w14:textId="77777777" w:rsidR="005E6435" w:rsidRPr="00007A3F" w:rsidRDefault="005E6435" w:rsidP="002F536C">
      <w:pPr>
        <w:pStyle w:val="FootnoteText"/>
        <w:rPr>
          <w:i/>
        </w:rPr>
      </w:pPr>
      <w:r>
        <w:rPr>
          <w:rStyle w:val="FootnoteReference"/>
        </w:rPr>
        <w:footnoteRef/>
      </w:r>
      <w:r>
        <w:t xml:space="preserve"> </w:t>
      </w:r>
      <w:r>
        <w:rPr>
          <w:i/>
        </w:rPr>
        <w:t>Ibid.</w:t>
      </w:r>
    </w:p>
  </w:footnote>
  <w:footnote w:id="266">
    <w:p w14:paraId="04D6532F" w14:textId="77777777" w:rsidR="005E6435" w:rsidRDefault="005E6435" w:rsidP="002F536C">
      <w:pPr>
        <w:pStyle w:val="NoSpacing"/>
      </w:pPr>
      <w:r>
        <w:rPr>
          <w:rStyle w:val="FootnoteReference"/>
        </w:rPr>
        <w:footnoteRef/>
      </w:r>
      <w:r>
        <w:t xml:space="preserve"> J. Lelyveld: ‘Why Bophuthatswana needs American Stars’ </w:t>
      </w:r>
      <w:r>
        <w:rPr>
          <w:i/>
        </w:rPr>
        <w:t xml:space="preserve">The New York Times </w:t>
      </w:r>
      <w:r>
        <w:t xml:space="preserve">[Online] </w:t>
      </w:r>
      <w:hyperlink r:id="rId17" w:history="1">
        <w:r w:rsidRPr="00261864">
          <w:rPr>
            <w:rStyle w:val="Hyperlink"/>
          </w:rPr>
          <w:t>http://www.nytimes.com/1982/10/12/arts/why-bophuthatswana-needs-american-stars.html?pagewanted=all</w:t>
        </w:r>
      </w:hyperlink>
      <w:r>
        <w:t xml:space="preserve"> (1 March 2016). </w:t>
      </w:r>
    </w:p>
  </w:footnote>
  <w:footnote w:id="267">
    <w:p w14:paraId="2D41EB8C" w14:textId="77777777" w:rsidR="005E6435" w:rsidRDefault="005E6435" w:rsidP="002F536C">
      <w:pPr>
        <w:pStyle w:val="NoSpacing"/>
      </w:pPr>
      <w:r>
        <w:rPr>
          <w:rStyle w:val="FootnoteReference"/>
        </w:rPr>
        <w:footnoteRef/>
      </w:r>
      <w:r>
        <w:t xml:space="preserve"> J. Harris: ‘The sins of St. Freddie.’ </w:t>
      </w:r>
      <w:r>
        <w:rPr>
          <w:i/>
        </w:rPr>
        <w:t xml:space="preserve">The Guardian UK, </w:t>
      </w:r>
      <w:r>
        <w:t xml:space="preserve">14 January 2005. [Online] </w:t>
      </w:r>
      <w:hyperlink r:id="rId18" w:history="1">
        <w:r w:rsidRPr="008E4D1A">
          <w:rPr>
            <w:rStyle w:val="Hyperlink"/>
          </w:rPr>
          <w:t xml:space="preserve">http://www.theguardian.com/music/2005/jan/14/2 </w:t>
        </w:r>
        <w:r w:rsidRPr="00505A1B">
          <w:t>(17</w:t>
        </w:r>
      </w:hyperlink>
      <w:r>
        <w:t xml:space="preserve"> March 2016).</w:t>
      </w:r>
    </w:p>
  </w:footnote>
  <w:footnote w:id="268">
    <w:p w14:paraId="54F6198C" w14:textId="77777777" w:rsidR="005E6435" w:rsidRPr="009422B0" w:rsidRDefault="005E6435" w:rsidP="002F536C">
      <w:pPr>
        <w:pStyle w:val="FootnoteText"/>
        <w:jc w:val="left"/>
        <w:rPr>
          <w:lang w:val="en-US"/>
        </w:rPr>
      </w:pPr>
      <w:r>
        <w:rPr>
          <w:rStyle w:val="FootnoteReference"/>
        </w:rPr>
        <w:footnoteRef/>
      </w:r>
      <w:r>
        <w:t xml:space="preserve"> C. </w:t>
      </w:r>
      <w:r w:rsidRPr="008E2F8C">
        <w:t>Connelly</w:t>
      </w:r>
      <w:r>
        <w:t xml:space="preserve">: ‘Apartheid Rock.’ </w:t>
      </w:r>
      <w:r>
        <w:rPr>
          <w:i/>
        </w:rPr>
        <w:t xml:space="preserve">Rolling Stone. </w:t>
      </w:r>
      <w:r>
        <w:t>[Online]</w:t>
      </w:r>
      <w:r>
        <w:rPr>
          <w:i/>
        </w:rPr>
        <w:t xml:space="preserve"> </w:t>
      </w:r>
      <w:r>
        <w:t xml:space="preserve">10 June 1982. </w:t>
      </w:r>
      <w:hyperlink r:id="rId19" w:history="1">
        <w:r w:rsidRPr="004C197C">
          <w:rPr>
            <w:rStyle w:val="Hyperlink"/>
          </w:rPr>
          <w:t xml:space="preserve">http://.rollingstone.com/music/features/apartheid-rock-19820610 </w:t>
        </w:r>
        <w:r w:rsidRPr="00505A1B">
          <w:rPr>
            <w:rStyle w:val="NoSpacingChar"/>
          </w:rPr>
          <w:t>(12</w:t>
        </w:r>
      </w:hyperlink>
      <w:r>
        <w:t xml:space="preserve"> April 2016).</w:t>
      </w:r>
    </w:p>
  </w:footnote>
  <w:footnote w:id="269">
    <w:p w14:paraId="003EF8D7" w14:textId="77777777" w:rsidR="005E6435" w:rsidRPr="003C4B06" w:rsidRDefault="005E6435" w:rsidP="002F536C">
      <w:pPr>
        <w:pStyle w:val="FootnoteText"/>
        <w:rPr>
          <w:lang w:val="en-US"/>
        </w:rPr>
      </w:pPr>
      <w:r>
        <w:rPr>
          <w:rStyle w:val="FootnoteReference"/>
        </w:rPr>
        <w:footnoteRef/>
      </w:r>
      <w:r>
        <w:t xml:space="preserve"> Freeman: ‘Sun City and the Sounds of Liberation’, pp. 34-35.</w:t>
      </w:r>
    </w:p>
  </w:footnote>
  <w:footnote w:id="270">
    <w:p w14:paraId="0ADCEF94" w14:textId="77777777" w:rsidR="005E6435" w:rsidRDefault="005E6435" w:rsidP="002F536C">
      <w:pPr>
        <w:pStyle w:val="FootnoteText"/>
      </w:pPr>
      <w:r>
        <w:rPr>
          <w:rStyle w:val="FootnoteReference"/>
        </w:rPr>
        <w:footnoteRef/>
      </w:r>
      <w:r>
        <w:t xml:space="preserve"> </w:t>
      </w:r>
      <w:r>
        <w:rPr>
          <w:i/>
        </w:rPr>
        <w:t>Ibid</w:t>
      </w:r>
      <w:r>
        <w:t xml:space="preserve">, p. 18. </w:t>
      </w:r>
    </w:p>
  </w:footnote>
  <w:footnote w:id="271">
    <w:p w14:paraId="58DFBF55" w14:textId="77777777" w:rsidR="005E6435" w:rsidRDefault="005E6435" w:rsidP="00505A1B">
      <w:pPr>
        <w:pStyle w:val="NoSpacing"/>
      </w:pPr>
      <w:r>
        <w:rPr>
          <w:rStyle w:val="FootnoteReference"/>
        </w:rPr>
        <w:footnoteRef/>
      </w:r>
      <w:r>
        <w:t xml:space="preserve"> Patrice Lumumba Coalition: ‘Unity in Action – Towards a Programme to End Cultural Collaboration with the Apartheid Regime in South Africa.’ 10 October 1983, p. 2. </w:t>
      </w:r>
    </w:p>
  </w:footnote>
  <w:footnote w:id="272">
    <w:p w14:paraId="1ABBFB6F" w14:textId="77777777" w:rsidR="005E6435" w:rsidRDefault="005E6435" w:rsidP="00505A1B">
      <w:pPr>
        <w:pStyle w:val="FootnoteText"/>
        <w:jc w:val="left"/>
      </w:pPr>
      <w:r>
        <w:rPr>
          <w:rStyle w:val="FootnoteReference"/>
        </w:rPr>
        <w:footnoteRef/>
      </w:r>
      <w:r>
        <w:t xml:space="preserve"> </w:t>
      </w:r>
      <w:r>
        <w:rPr>
          <w:i/>
        </w:rPr>
        <w:t>Ibid</w:t>
      </w:r>
      <w:r>
        <w:t>, p. 21.</w:t>
      </w:r>
    </w:p>
  </w:footnote>
  <w:footnote w:id="273">
    <w:p w14:paraId="38A99A88" w14:textId="77777777" w:rsidR="005E6435" w:rsidRDefault="005E6435" w:rsidP="00505A1B">
      <w:pPr>
        <w:pStyle w:val="FootnoteText"/>
        <w:jc w:val="left"/>
      </w:pPr>
      <w:r>
        <w:rPr>
          <w:rStyle w:val="FootnoteReference"/>
        </w:rPr>
        <w:footnoteRef/>
      </w:r>
      <w:r>
        <w:t xml:space="preserve"> J.H. Johnson. &amp; R.E. Johnson: ‘Should Famous Blacks Entertain in South African?’ </w:t>
      </w:r>
      <w:r>
        <w:rPr>
          <w:i/>
        </w:rPr>
        <w:t xml:space="preserve">Jet. </w:t>
      </w:r>
      <w:r>
        <w:t xml:space="preserve">27 May 1985, p.52.  </w:t>
      </w:r>
    </w:p>
  </w:footnote>
  <w:footnote w:id="274">
    <w:p w14:paraId="5D9A18A3" w14:textId="77777777" w:rsidR="005E6435" w:rsidRDefault="005E6435" w:rsidP="00505A1B">
      <w:pPr>
        <w:pStyle w:val="FootnoteText"/>
        <w:jc w:val="left"/>
      </w:pPr>
      <w:r>
        <w:rPr>
          <w:rStyle w:val="FootnoteReference"/>
        </w:rPr>
        <w:footnoteRef/>
      </w:r>
      <w:r>
        <w:t xml:space="preserve"> Freeman: ‘Sun City and the Sounds of Liberation’, pp. 34-35.</w:t>
      </w:r>
    </w:p>
  </w:footnote>
  <w:footnote w:id="275">
    <w:p w14:paraId="7BB01F1F" w14:textId="77777777" w:rsidR="005E6435" w:rsidRDefault="005E6435" w:rsidP="00492DDD">
      <w:pPr>
        <w:pStyle w:val="FootnoteText"/>
        <w:jc w:val="left"/>
      </w:pPr>
      <w:r>
        <w:rPr>
          <w:rStyle w:val="FootnoteReference"/>
        </w:rPr>
        <w:footnoteRef/>
      </w:r>
      <w:r>
        <w:t xml:space="preserve"> Nixon: </w:t>
      </w:r>
      <w:r w:rsidRPr="00984690">
        <w:rPr>
          <w:i/>
        </w:rPr>
        <w:t>Homelands, Harlem and Hollywood</w:t>
      </w:r>
      <w:r>
        <w:t xml:space="preserve">, p. 164. </w:t>
      </w:r>
    </w:p>
  </w:footnote>
  <w:footnote w:id="276">
    <w:p w14:paraId="2EA6D668" w14:textId="77777777" w:rsidR="005E6435" w:rsidRDefault="005E6435" w:rsidP="00505A1B">
      <w:pPr>
        <w:pStyle w:val="FootnoteText"/>
        <w:jc w:val="left"/>
      </w:pPr>
      <w:r>
        <w:rPr>
          <w:rStyle w:val="FootnoteReference"/>
        </w:rPr>
        <w:footnoteRef/>
      </w:r>
      <w:r>
        <w:t xml:space="preserve"> R. Deneslow: ‘Paul Simon’s Graceland: the acclaim and the outrage.’ </w:t>
      </w:r>
      <w:r>
        <w:rPr>
          <w:i/>
        </w:rPr>
        <w:t xml:space="preserve">The Guardian </w:t>
      </w:r>
      <w:r>
        <w:t xml:space="preserve">[Online] </w:t>
      </w:r>
      <w:hyperlink r:id="rId20" w:history="1">
        <w:r w:rsidRPr="002B0A0B">
          <w:rPr>
            <w:rStyle w:val="Hyperlink"/>
          </w:rPr>
          <w:t xml:space="preserve">http://www.theguardian.com/music/2012/apr/19/paul-simon-graceland-acclaim-outrage </w:t>
        </w:r>
        <w:r w:rsidRPr="008A6C6F">
          <w:rPr>
            <w:rStyle w:val="NoSpacingChar"/>
          </w:rPr>
          <w:t>(12</w:t>
        </w:r>
      </w:hyperlink>
      <w:r>
        <w:t xml:space="preserve"> February 2016).</w:t>
      </w:r>
    </w:p>
  </w:footnote>
  <w:footnote w:id="277">
    <w:p w14:paraId="517C2E38" w14:textId="77777777" w:rsidR="005E6435" w:rsidRDefault="005E6435" w:rsidP="008A6C6F">
      <w:pPr>
        <w:pStyle w:val="FootnoteText"/>
        <w:jc w:val="left"/>
      </w:pPr>
      <w:r>
        <w:rPr>
          <w:rStyle w:val="FootnoteReference"/>
        </w:rPr>
        <w:footnoteRef/>
      </w:r>
      <w:r>
        <w:t xml:space="preserve"> Nixon: </w:t>
      </w:r>
      <w:r w:rsidRPr="00984690">
        <w:rPr>
          <w:i/>
        </w:rPr>
        <w:t>Homelands, Harlem and Hollywood</w:t>
      </w:r>
      <w:r>
        <w:rPr>
          <w:i/>
        </w:rPr>
        <w:t xml:space="preserve">, </w:t>
      </w:r>
      <w:r>
        <w:t>p. 163.</w:t>
      </w:r>
    </w:p>
  </w:footnote>
  <w:footnote w:id="278">
    <w:p w14:paraId="2405FD67" w14:textId="77777777" w:rsidR="005E6435" w:rsidRDefault="005E6435" w:rsidP="008A6C6F">
      <w:pPr>
        <w:pStyle w:val="NoSpacing"/>
      </w:pPr>
      <w:r>
        <w:rPr>
          <w:rStyle w:val="FootnoteReference"/>
        </w:rPr>
        <w:footnoteRef/>
      </w:r>
      <w:r>
        <w:t xml:space="preserve"> Staff reporter: ‘100 Best Albums of the Eighties’ </w:t>
      </w:r>
      <w:r>
        <w:rPr>
          <w:i/>
        </w:rPr>
        <w:t>Rolling Stone</w:t>
      </w:r>
      <w:r>
        <w:t xml:space="preserve">. [Online] </w:t>
      </w:r>
      <w:hyperlink r:id="rId21" w:history="1">
        <w:r w:rsidRPr="000123DE">
          <w:rPr>
            <w:rStyle w:val="Hyperlink"/>
          </w:rPr>
          <w:t>http://www.rollingstone.com/music/lists/100-best-albums-of-the-eighties-20110418/artists-united-against-apartheid-sun-city-20110330</w:t>
        </w:r>
        <w:r w:rsidRPr="008951AF">
          <w:rPr>
            <w:rStyle w:val="Hyperlink"/>
          </w:rPr>
          <w:t xml:space="preserve"> (21</w:t>
        </w:r>
      </w:hyperlink>
      <w:r>
        <w:t xml:space="preserve"> October 2015). </w:t>
      </w:r>
    </w:p>
  </w:footnote>
  <w:footnote w:id="279">
    <w:p w14:paraId="14D710D8" w14:textId="77777777" w:rsidR="005E6435" w:rsidRDefault="005E6435" w:rsidP="008A6C6F">
      <w:pPr>
        <w:pStyle w:val="NoSpacing"/>
      </w:pPr>
      <w:r>
        <w:rPr>
          <w:rStyle w:val="FootnoteReference"/>
        </w:rPr>
        <w:footnoteRef/>
      </w:r>
      <w:r>
        <w:t xml:space="preserve"> Michigan State University, African Activist Archive: S. Van Zandt, D. Schechter, A. Baker, R. Dutka. &amp; O. Epstein: ‘Sun City Project Lyrics.’ </w:t>
      </w:r>
      <w:r>
        <w:rPr>
          <w:i/>
        </w:rPr>
        <w:t>Audio Production Credits</w:t>
      </w:r>
      <w:r>
        <w:t xml:space="preserve">. </w:t>
      </w:r>
    </w:p>
  </w:footnote>
  <w:footnote w:id="280">
    <w:p w14:paraId="19ADD955" w14:textId="77777777" w:rsidR="005E6435" w:rsidRPr="00286FB4" w:rsidRDefault="005E6435" w:rsidP="008A6C6F">
      <w:pPr>
        <w:pStyle w:val="NoSpacing"/>
      </w:pPr>
      <w:r>
        <w:rPr>
          <w:rStyle w:val="FootnoteReference"/>
        </w:rPr>
        <w:footnoteRef/>
      </w:r>
      <w:r>
        <w:t xml:space="preserve"> J. Cooks: ‘Music: That Road is All Mine.’ </w:t>
      </w:r>
      <w:r>
        <w:rPr>
          <w:i/>
        </w:rPr>
        <w:t xml:space="preserve">Time Magazine. </w:t>
      </w:r>
      <w:r>
        <w:t xml:space="preserve">[Online] </w:t>
      </w:r>
      <w:hyperlink r:id="rId22" w:history="1">
        <w:r w:rsidRPr="00F004AF">
          <w:rPr>
            <w:rStyle w:val="Hyperlink"/>
          </w:rPr>
          <w:t>http://content.time.com/time/subscriber/article/0,33009,964283,00.html</w:t>
        </w:r>
      </w:hyperlink>
      <w:r>
        <w:t xml:space="preserve"> (21 October 2015). Publication date?</w:t>
      </w:r>
    </w:p>
  </w:footnote>
  <w:footnote w:id="281">
    <w:p w14:paraId="3D774175" w14:textId="77777777" w:rsidR="005E6435" w:rsidRDefault="005E6435" w:rsidP="008A6C6F">
      <w:pPr>
        <w:pStyle w:val="NoSpacing"/>
      </w:pPr>
      <w:r>
        <w:rPr>
          <w:rStyle w:val="FootnoteReference"/>
        </w:rPr>
        <w:footnoteRef/>
      </w:r>
      <w:r>
        <w:t xml:space="preserve"> Van Zandt et al: ‘Sun City Project Lyrics.’  </w:t>
      </w:r>
    </w:p>
  </w:footnote>
  <w:footnote w:id="282">
    <w:p w14:paraId="23170C75" w14:textId="77777777" w:rsidR="005E6435" w:rsidRDefault="005E6435" w:rsidP="002F536C">
      <w:pPr>
        <w:pStyle w:val="NoSpacing"/>
      </w:pPr>
      <w:r>
        <w:rPr>
          <w:rStyle w:val="FootnoteReference"/>
        </w:rPr>
        <w:footnoteRef/>
      </w:r>
      <w:r>
        <w:t xml:space="preserve"> Staff reporter: ‘100 Best Albums of the Eighties’ newspaper?</w:t>
      </w:r>
    </w:p>
  </w:footnote>
  <w:footnote w:id="283">
    <w:p w14:paraId="4645AE02" w14:textId="77777777" w:rsidR="005E6435" w:rsidRPr="008A6C6F" w:rsidRDefault="005E6435" w:rsidP="002F536C">
      <w:pPr>
        <w:pStyle w:val="FootnoteText"/>
        <w:jc w:val="left"/>
      </w:pPr>
      <w:r>
        <w:rPr>
          <w:rStyle w:val="FootnoteReference"/>
        </w:rPr>
        <w:footnoteRef/>
      </w:r>
      <w:r>
        <w:t xml:space="preserve"> J. Cocks: ‘Music: Songs from the High Ground from Farm Aid to Apartheid, Rock Wrestles with Big Issues.’ </w:t>
      </w:r>
      <w:r>
        <w:rPr>
          <w:i/>
        </w:rPr>
        <w:t xml:space="preserve">Time Magazine, </w:t>
      </w:r>
      <w:r>
        <w:t xml:space="preserve">7 October 1985 [Online] </w:t>
      </w:r>
      <w:hyperlink r:id="rId23" w:history="1">
        <w:r w:rsidRPr="00B70B12">
          <w:rPr>
            <w:rStyle w:val="Hyperlink"/>
          </w:rPr>
          <w:t>http://content.time.com/time/magazine/article/0,9171,960065,00.html</w:t>
        </w:r>
      </w:hyperlink>
      <w:r>
        <w:t xml:space="preserve"> (25 February 2017).</w:t>
      </w:r>
    </w:p>
  </w:footnote>
  <w:footnote w:id="284">
    <w:p w14:paraId="7A3163D5" w14:textId="77777777" w:rsidR="005E6435" w:rsidRDefault="005E6435" w:rsidP="002F536C">
      <w:pPr>
        <w:pStyle w:val="FootnoteText"/>
      </w:pPr>
      <w:r>
        <w:rPr>
          <w:rStyle w:val="FootnoteReference"/>
        </w:rPr>
        <w:footnoteRef/>
      </w:r>
      <w:r>
        <w:t xml:space="preserve"> Freeman: ‘Sun City and the Sounds of Liberation’, p. 22.</w:t>
      </w:r>
    </w:p>
  </w:footnote>
  <w:footnote w:id="285">
    <w:p w14:paraId="53CFCBCD" w14:textId="77777777" w:rsidR="005E6435" w:rsidRDefault="005E6435" w:rsidP="002F536C">
      <w:pPr>
        <w:pStyle w:val="NoSpacing"/>
      </w:pPr>
      <w:r>
        <w:rPr>
          <w:rStyle w:val="FootnoteReference"/>
        </w:rPr>
        <w:footnoteRef/>
      </w:r>
      <w:r>
        <w:t xml:space="preserve"> Michigan State University, African Activist Archive, 32-130-1332-84: </w:t>
      </w:r>
      <w:r w:rsidRPr="008A6C6F">
        <w:rPr>
          <w:i/>
        </w:rPr>
        <w:t>Letter to All Anti-Apartheid Activists.</w:t>
      </w:r>
      <w:r>
        <w:t xml:space="preserve"> </w:t>
      </w:r>
    </w:p>
  </w:footnote>
  <w:footnote w:id="286">
    <w:p w14:paraId="65CA6730" w14:textId="77777777" w:rsidR="005E6435" w:rsidRDefault="005E6435" w:rsidP="002F536C">
      <w:pPr>
        <w:pStyle w:val="FootnoteText"/>
      </w:pPr>
      <w:r>
        <w:rPr>
          <w:rStyle w:val="FootnoteReference"/>
        </w:rPr>
        <w:footnoteRef/>
      </w:r>
      <w:r>
        <w:t xml:space="preserve"> Freeman: ‘Sun City and the Sounds of Liberation’, pp. 20-23.</w:t>
      </w:r>
    </w:p>
  </w:footnote>
  <w:footnote w:id="287">
    <w:p w14:paraId="20E595F9" w14:textId="77777777" w:rsidR="005E6435" w:rsidRDefault="005E6435" w:rsidP="002F536C">
      <w:pPr>
        <w:pStyle w:val="FootnoteText"/>
        <w:jc w:val="left"/>
      </w:pPr>
      <w:r>
        <w:rPr>
          <w:rStyle w:val="FootnoteReference"/>
        </w:rPr>
        <w:footnoteRef/>
      </w:r>
      <w:r>
        <w:t xml:space="preserve"> Staff reporter: ‘100 Best Albums of the Eighties’ </w:t>
      </w:r>
      <w:r>
        <w:rPr>
          <w:i/>
        </w:rPr>
        <w:t>Rolling Stone</w:t>
      </w:r>
      <w:r>
        <w:t xml:space="preserve">. [Online] </w:t>
      </w:r>
      <w:hyperlink r:id="rId24" w:history="1">
        <w:r w:rsidRPr="000123DE">
          <w:rPr>
            <w:rStyle w:val="Hyperlink"/>
          </w:rPr>
          <w:t>http://www.rollingstone.com/music/lists/100-best-albums-of-the-eighties-20110418/artists-united-against-apartheid-sun-city-20110330</w:t>
        </w:r>
        <w:r w:rsidRPr="0095424B">
          <w:rPr>
            <w:rStyle w:val="Hyperlink"/>
          </w:rPr>
          <w:t xml:space="preserve"> </w:t>
        </w:r>
        <w:r w:rsidRPr="008951AF">
          <w:rPr>
            <w:rStyle w:val="Hyperlink"/>
          </w:rPr>
          <w:t>(21</w:t>
        </w:r>
      </w:hyperlink>
      <w:r>
        <w:t xml:space="preserve"> October 2015).</w:t>
      </w:r>
    </w:p>
  </w:footnote>
  <w:footnote w:id="288">
    <w:p w14:paraId="22B73CC3" w14:textId="77777777" w:rsidR="005E6435" w:rsidRDefault="005E6435" w:rsidP="002F536C">
      <w:pPr>
        <w:pStyle w:val="FootnoteText"/>
      </w:pPr>
      <w:r>
        <w:rPr>
          <w:rStyle w:val="FootnoteReference"/>
        </w:rPr>
        <w:footnoteRef/>
      </w:r>
      <w:r>
        <w:t xml:space="preserve"> Nixon: </w:t>
      </w:r>
      <w:r>
        <w:rPr>
          <w:i/>
        </w:rPr>
        <w:t>Homelands, Harlem</w:t>
      </w:r>
      <w:r w:rsidRPr="008951AF">
        <w:rPr>
          <w:i/>
        </w:rPr>
        <w:t xml:space="preserve"> and Hollywood</w:t>
      </w:r>
      <w:r>
        <w:t xml:space="preserve">, p. 163. </w:t>
      </w:r>
    </w:p>
  </w:footnote>
  <w:footnote w:id="289">
    <w:p w14:paraId="6AA2CD5E" w14:textId="77777777" w:rsidR="005E6435" w:rsidRDefault="005E6435" w:rsidP="002F536C">
      <w:pPr>
        <w:pStyle w:val="FootnoteText"/>
      </w:pPr>
      <w:r>
        <w:rPr>
          <w:rStyle w:val="FootnoteReference"/>
        </w:rPr>
        <w:footnoteRef/>
      </w:r>
      <w:r>
        <w:t xml:space="preserve"> Freeman: ‘Sun City and the Sounds of Liberation’, pp. 26-27.</w:t>
      </w:r>
    </w:p>
  </w:footnote>
  <w:footnote w:id="290">
    <w:p w14:paraId="02AD88C3" w14:textId="77777777" w:rsidR="005E6435" w:rsidRDefault="005E6435" w:rsidP="002F536C">
      <w:pPr>
        <w:pStyle w:val="FootnoteText"/>
      </w:pPr>
      <w:r>
        <w:rPr>
          <w:rStyle w:val="FootnoteReference"/>
        </w:rPr>
        <w:footnoteRef/>
      </w:r>
      <w:r>
        <w:t xml:space="preserve"> Nixon: </w:t>
      </w:r>
      <w:r w:rsidRPr="00324B64">
        <w:rPr>
          <w:i/>
        </w:rPr>
        <w:t>Homelands, Harlem and Hollywood</w:t>
      </w:r>
      <w:r>
        <w:t xml:space="preserve">, pp. 163-164. </w:t>
      </w:r>
    </w:p>
  </w:footnote>
  <w:footnote w:id="291">
    <w:p w14:paraId="56644CBF" w14:textId="77777777" w:rsidR="005E6435" w:rsidRPr="00B14B24" w:rsidRDefault="005E6435" w:rsidP="002F536C">
      <w:pPr>
        <w:pStyle w:val="FootnoteText"/>
        <w:rPr>
          <w:lang w:val="en-US"/>
        </w:rPr>
      </w:pPr>
      <w:r>
        <w:rPr>
          <w:rStyle w:val="FootnoteReference"/>
        </w:rPr>
        <w:footnoteRef/>
      </w:r>
      <w:r>
        <w:t xml:space="preserve"> Evans: </w:t>
      </w:r>
      <w:r w:rsidRPr="008951AF">
        <w:rPr>
          <w:i/>
        </w:rPr>
        <w:t>Broadcasting the End of Apartheid</w:t>
      </w:r>
      <w:r>
        <w:t>, p. 139.</w:t>
      </w:r>
    </w:p>
  </w:footnote>
  <w:footnote w:id="292">
    <w:p w14:paraId="60E12629" w14:textId="77777777" w:rsidR="005E6435" w:rsidRPr="003874BE" w:rsidRDefault="005E6435" w:rsidP="002F536C">
      <w:pPr>
        <w:pStyle w:val="FootnoteText"/>
        <w:rPr>
          <w:lang w:val="en-US"/>
        </w:rPr>
      </w:pPr>
      <w:r>
        <w:rPr>
          <w:rStyle w:val="FootnoteReference"/>
        </w:rPr>
        <w:footnoteRef/>
      </w:r>
      <w:r>
        <w:t xml:space="preserve"> </w:t>
      </w:r>
      <w:r>
        <w:rPr>
          <w:i/>
        </w:rPr>
        <w:t>Ibid</w:t>
      </w:r>
      <w:r>
        <w:t xml:space="preserve">, p. 38. </w:t>
      </w:r>
    </w:p>
  </w:footnote>
  <w:footnote w:id="293">
    <w:p w14:paraId="3881DD85" w14:textId="77777777" w:rsidR="005E6435" w:rsidRPr="005132B7" w:rsidRDefault="005E6435" w:rsidP="008A6C6F">
      <w:pPr>
        <w:pStyle w:val="FootnoteText"/>
        <w:jc w:val="left"/>
        <w:rPr>
          <w:lang w:val="en-US"/>
        </w:rPr>
      </w:pPr>
      <w:r>
        <w:rPr>
          <w:rStyle w:val="FootnoteReference"/>
        </w:rPr>
        <w:footnoteRef/>
      </w:r>
      <w:r>
        <w:t xml:space="preserve"> </w:t>
      </w:r>
      <w:r>
        <w:rPr>
          <w:lang w:val="en-US"/>
        </w:rPr>
        <w:t xml:space="preserve">T. Sacks: ‘A hollow sporting footnote in apartheid-era South Africa’ </w:t>
      </w:r>
      <w:r w:rsidRPr="005132B7">
        <w:rPr>
          <w:i/>
          <w:lang w:val="en-US"/>
        </w:rPr>
        <w:t>New York Times</w:t>
      </w:r>
      <w:r>
        <w:rPr>
          <w:lang w:val="en-US"/>
        </w:rPr>
        <w:t xml:space="preserve"> [Online] </w:t>
      </w:r>
      <w:hyperlink r:id="rId25" w:history="1">
        <w:r w:rsidRPr="00F071A9">
          <w:rPr>
            <w:rStyle w:val="Hyperlink"/>
            <w:lang w:val="en-US"/>
          </w:rPr>
          <w:t>http://www.nytimes.com/2012/10/21/sports/gerrie-coetzee-vs-john-tate-in-apartheid-era-south-africa.html?_r=0</w:t>
        </w:r>
      </w:hyperlink>
      <w:r>
        <w:rPr>
          <w:lang w:val="en-US"/>
        </w:rPr>
        <w:t xml:space="preserve"> (2 September 2015). </w:t>
      </w:r>
    </w:p>
  </w:footnote>
  <w:footnote w:id="294">
    <w:p w14:paraId="691BFCFF" w14:textId="77777777" w:rsidR="005E6435" w:rsidRDefault="005E6435" w:rsidP="008A6C6F">
      <w:pPr>
        <w:pStyle w:val="NoSpacing"/>
      </w:pPr>
      <w:r>
        <w:rPr>
          <w:rStyle w:val="FootnoteReference"/>
        </w:rPr>
        <w:footnoteRef/>
      </w:r>
      <w:r>
        <w:t xml:space="preserve"> </w:t>
      </w:r>
      <w:r>
        <w:rPr>
          <w:shd w:val="clear" w:color="auto" w:fill="FFFFFF"/>
        </w:rPr>
        <w:t xml:space="preserve">M, Magasela: ‘Boxing Great Norman “Pangaman. ’[Online] </w:t>
      </w:r>
      <w:hyperlink r:id="rId26" w:history="1">
        <w:r w:rsidRPr="00F859C5">
          <w:rPr>
            <w:rStyle w:val="Hyperlink"/>
            <w:shd w:val="clear" w:color="auto" w:fill="FFFFFF"/>
          </w:rPr>
          <w:t xml:space="preserve">http://www.sowetanlive.co.za/sport/2015/03/30/boxing-event-to-help-pangaman </w:t>
        </w:r>
        <w:r w:rsidRPr="008A6C6F">
          <w:t>(16</w:t>
        </w:r>
      </w:hyperlink>
      <w:r>
        <w:rPr>
          <w:shd w:val="clear" w:color="auto" w:fill="FFFFFF"/>
        </w:rPr>
        <w:t xml:space="preserve"> October 2015).  </w:t>
      </w:r>
    </w:p>
  </w:footnote>
  <w:footnote w:id="295">
    <w:p w14:paraId="71C5BFFD" w14:textId="77777777" w:rsidR="005E6435" w:rsidRPr="006F3971" w:rsidRDefault="005E6435" w:rsidP="008A6C6F">
      <w:pPr>
        <w:pStyle w:val="FootnoteText"/>
        <w:jc w:val="left"/>
      </w:pPr>
      <w:r>
        <w:rPr>
          <w:rStyle w:val="FootnoteReference"/>
        </w:rPr>
        <w:footnoteRef/>
      </w:r>
      <w:r>
        <w:t xml:space="preserve"> North-West Provincial Archives, Bophuthatswana Papers, Office of the President, 4.5.90: </w:t>
      </w:r>
      <w:r>
        <w:rPr>
          <w:i/>
        </w:rPr>
        <w:t xml:space="preserve">Letter </w:t>
      </w:r>
      <w:r w:rsidRPr="008A6C6F">
        <w:rPr>
          <w:i/>
        </w:rPr>
        <w:t>from  B. Ickinger to Lucas Ma</w:t>
      </w:r>
      <w:r>
        <w:rPr>
          <w:i/>
        </w:rPr>
        <w:t xml:space="preserve">ngope, </w:t>
      </w:r>
      <w:r>
        <w:t>11 September 1984.</w:t>
      </w:r>
    </w:p>
  </w:footnote>
  <w:footnote w:id="296">
    <w:p w14:paraId="4A6348B1" w14:textId="77777777" w:rsidR="005E6435" w:rsidRDefault="005E6435" w:rsidP="008A6C6F">
      <w:pPr>
        <w:pStyle w:val="FootnoteText"/>
        <w:jc w:val="left"/>
      </w:pPr>
      <w:r>
        <w:rPr>
          <w:rStyle w:val="FootnoteReference"/>
        </w:rPr>
        <w:footnoteRef/>
      </w:r>
      <w:r>
        <w:t xml:space="preserve"> D. Potgieter: ‘</w:t>
      </w:r>
      <w:r w:rsidRPr="00776713">
        <w:t>Two by Two</w:t>
      </w:r>
      <w:r>
        <w:t>.’ [Online]</w:t>
      </w:r>
      <w:r>
        <w:rPr>
          <w:i/>
        </w:rPr>
        <w:t xml:space="preserve"> </w:t>
      </w:r>
      <w:hyperlink r:id="rId27" w:history="1">
        <w:r w:rsidRPr="00F859C5">
          <w:rPr>
            <w:rStyle w:val="Hyperlink"/>
          </w:rPr>
          <w:t>http://www.gerriecoetzee.com/gerrie-coetzee-article-sa-heavyweights.htm</w:t>
        </w:r>
        <w:r w:rsidRPr="008A6C6F">
          <w:rPr>
            <w:rStyle w:val="NoSpacingChar"/>
          </w:rPr>
          <w:t xml:space="preserve"> (16</w:t>
        </w:r>
      </w:hyperlink>
      <w:r>
        <w:t xml:space="preserve"> October 2015). </w:t>
      </w:r>
    </w:p>
  </w:footnote>
  <w:footnote w:id="297">
    <w:p w14:paraId="5DE88AD6" w14:textId="77777777" w:rsidR="005E6435" w:rsidRPr="004A794C" w:rsidRDefault="005E6435" w:rsidP="008A6C6F">
      <w:pPr>
        <w:pStyle w:val="FootnoteText"/>
        <w:jc w:val="left"/>
      </w:pPr>
      <w:r>
        <w:rPr>
          <w:rStyle w:val="FootnoteReference"/>
        </w:rPr>
        <w:footnoteRef/>
      </w:r>
      <w:r>
        <w:t xml:space="preserve"> T. Rogers: ‘U.N. Reports Contacts with South Africa’ </w:t>
      </w:r>
      <w:r>
        <w:rPr>
          <w:i/>
        </w:rPr>
        <w:t xml:space="preserve">New York Times </w:t>
      </w:r>
      <w:r>
        <w:t xml:space="preserve">[Online] </w:t>
      </w:r>
      <w:hyperlink r:id="rId28" w:history="1">
        <w:r w:rsidRPr="000123DE">
          <w:rPr>
            <w:rStyle w:val="Hyperlink"/>
          </w:rPr>
          <w:t xml:space="preserve">http://www.nytimes.com/1988/04/15/sports/un-reports-contacts-with-south-africa.html </w:t>
        </w:r>
        <w:r w:rsidRPr="008A6C6F">
          <w:rPr>
            <w:rStyle w:val="NoSpacingChar"/>
          </w:rPr>
          <w:t>(21</w:t>
        </w:r>
      </w:hyperlink>
      <w:r>
        <w:t xml:space="preserve"> October 2015). </w:t>
      </w:r>
    </w:p>
    <w:p w14:paraId="3D231A18" w14:textId="77777777" w:rsidR="005E6435" w:rsidRDefault="005E6435" w:rsidP="008A6C6F">
      <w:pPr>
        <w:pStyle w:val="FootnoteText"/>
        <w:jc w:val="left"/>
      </w:pPr>
      <w:r>
        <w:rPr>
          <w:rStyle w:val="FootnoteReference"/>
        </w:rPr>
        <w:footnoteRef/>
      </w:r>
      <w:r>
        <w:t xml:space="preserve"> Staff reporter: ‘Sport: Boycott Blues.’ </w:t>
      </w:r>
      <w:r>
        <w:rPr>
          <w:i/>
        </w:rPr>
        <w:t xml:space="preserve">Time Magazine, </w:t>
      </w:r>
      <w:r>
        <w:t xml:space="preserve">31 March 1981. [Online] </w:t>
      </w:r>
      <w:hyperlink r:id="rId29" w:history="1">
        <w:r w:rsidRPr="00B70B12">
          <w:rPr>
            <w:rStyle w:val="Hyperlink"/>
          </w:rPr>
          <w:t>http://content.time.com/time/magazine/article/0,9171,922516,00.html</w:t>
        </w:r>
      </w:hyperlink>
      <w:r>
        <w:t xml:space="preserve"> (25 February 2017).</w:t>
      </w:r>
    </w:p>
  </w:footnote>
  <w:footnote w:id="298">
    <w:p w14:paraId="06ACE935" w14:textId="77777777" w:rsidR="005E6435" w:rsidRDefault="005E6435" w:rsidP="002F536C">
      <w:pPr>
        <w:pStyle w:val="FootnoteText"/>
        <w:jc w:val="left"/>
      </w:pPr>
      <w:r>
        <w:rPr>
          <w:rStyle w:val="FootnoteReference"/>
        </w:rPr>
        <w:footnoteRef/>
      </w:r>
      <w:r>
        <w:t xml:space="preserve"> M. Christie: ‘On this day: Greg Page knocks out Gerrie Coetzee in bizarre extra time ending.’ [Online] </w:t>
      </w:r>
      <w:hyperlink r:id="rId30" w:history="1">
        <w:r w:rsidRPr="00F859C5">
          <w:rPr>
            <w:rStyle w:val="Hyperlink"/>
          </w:rPr>
          <w:t>http://www.boxingnewsonline.net/on-this-day-greg-page-knocks-out-gerrie-coetzee-in-bizarre-extra-time-ending/</w:t>
        </w:r>
      </w:hyperlink>
      <w:r>
        <w:t xml:space="preserve"> (16 October 2015). </w:t>
      </w:r>
    </w:p>
  </w:footnote>
  <w:footnote w:id="299">
    <w:p w14:paraId="327B4B9B" w14:textId="77777777" w:rsidR="005E6435" w:rsidRPr="00C16D74" w:rsidRDefault="005E6435" w:rsidP="002F536C">
      <w:pPr>
        <w:pStyle w:val="FootnoteText"/>
        <w:jc w:val="left"/>
      </w:pPr>
      <w:r>
        <w:rPr>
          <w:rStyle w:val="FootnoteReference"/>
        </w:rPr>
        <w:footnoteRef/>
      </w:r>
      <w:r>
        <w:t xml:space="preserve"> Buthelezi: Interviewed by Nicola van der Merwe. </w:t>
      </w:r>
    </w:p>
  </w:footnote>
  <w:footnote w:id="300">
    <w:p w14:paraId="3F10395F" w14:textId="77777777" w:rsidR="005E6435" w:rsidRDefault="005E6435" w:rsidP="002F536C">
      <w:pPr>
        <w:pStyle w:val="FootnoteText"/>
      </w:pPr>
      <w:r>
        <w:rPr>
          <w:rStyle w:val="FootnoteReference"/>
        </w:rPr>
        <w:footnoteRef/>
      </w:r>
      <w:r>
        <w:t xml:space="preserve"> S. Ostler: ‘Some golfers can’t resist temptation of Sun City.’ </w:t>
      </w:r>
      <w:r w:rsidRPr="002C5F4F">
        <w:rPr>
          <w:i/>
        </w:rPr>
        <w:t>The Bulletin</w:t>
      </w:r>
      <w:r w:rsidRPr="002C5F4F">
        <w:t>, 10 December 1987¸ p. 17.</w:t>
      </w:r>
    </w:p>
  </w:footnote>
  <w:footnote w:id="301">
    <w:p w14:paraId="6C75D6F6" w14:textId="77777777" w:rsidR="005E6435" w:rsidRPr="008951AF" w:rsidRDefault="005E6435" w:rsidP="002F536C">
      <w:pPr>
        <w:pStyle w:val="FootnoteText"/>
        <w:rPr>
          <w:lang w:val="en-US"/>
        </w:rPr>
      </w:pPr>
      <w:r>
        <w:rPr>
          <w:rStyle w:val="FootnoteReference"/>
        </w:rPr>
        <w:footnoteRef/>
      </w:r>
      <w:r>
        <w:t xml:space="preserve"> </w:t>
      </w:r>
      <w:r>
        <w:rPr>
          <w:lang w:val="en-US"/>
        </w:rPr>
        <w:t xml:space="preserve">Buthelezi: Interviewed by Nicola van der Merwe. </w:t>
      </w:r>
    </w:p>
  </w:footnote>
  <w:footnote w:id="302">
    <w:p w14:paraId="7FC49951" w14:textId="77777777" w:rsidR="005E6435" w:rsidRPr="008F5905" w:rsidRDefault="005E6435" w:rsidP="002F536C">
      <w:pPr>
        <w:pStyle w:val="FootnoteText"/>
      </w:pPr>
      <w:r>
        <w:rPr>
          <w:rStyle w:val="FootnoteReference"/>
        </w:rPr>
        <w:footnoteRef/>
      </w:r>
      <w:r>
        <w:t xml:space="preserve"> S. Jacobson: ‘Did golfers err by playing Sun City?’ </w:t>
      </w:r>
      <w:r>
        <w:rPr>
          <w:i/>
        </w:rPr>
        <w:t>The Register Guard,</w:t>
      </w:r>
      <w:r>
        <w:t xml:space="preserve"> 12 December 1985, p. 3B. </w:t>
      </w:r>
    </w:p>
  </w:footnote>
  <w:footnote w:id="303">
    <w:p w14:paraId="343AC5AB" w14:textId="77777777" w:rsidR="005E6435" w:rsidRPr="00355DF8" w:rsidRDefault="005E6435" w:rsidP="002F536C">
      <w:pPr>
        <w:pStyle w:val="FootnoteText"/>
        <w:rPr>
          <w:lang w:val="en-US"/>
        </w:rPr>
      </w:pPr>
      <w:r>
        <w:rPr>
          <w:rStyle w:val="FootnoteReference"/>
        </w:rPr>
        <w:footnoteRef/>
      </w:r>
      <w:r>
        <w:t xml:space="preserve"> </w:t>
      </w:r>
      <w:r w:rsidRPr="008A6C6F">
        <w:rPr>
          <w:i/>
        </w:rPr>
        <w:t xml:space="preserve">Ibid, </w:t>
      </w:r>
      <w:r w:rsidRPr="008A6C6F">
        <w:t>p, 3B.</w:t>
      </w:r>
      <w:r>
        <w:t xml:space="preserve"> </w:t>
      </w:r>
    </w:p>
  </w:footnote>
  <w:footnote w:id="304">
    <w:p w14:paraId="4DBDF3BB" w14:textId="77777777" w:rsidR="005E6435" w:rsidRPr="008951AF" w:rsidRDefault="005E6435" w:rsidP="002F536C">
      <w:pPr>
        <w:pStyle w:val="FootnoteText"/>
        <w:rPr>
          <w:lang w:val="en-US"/>
        </w:rPr>
      </w:pPr>
      <w:r>
        <w:rPr>
          <w:rStyle w:val="FootnoteReference"/>
        </w:rPr>
        <w:footnoteRef/>
      </w:r>
      <w:r>
        <w:t xml:space="preserve"> Ostler: ‘Some golfers can’t resist temptation of Sun City.’ </w:t>
      </w:r>
    </w:p>
  </w:footnote>
  <w:footnote w:id="305">
    <w:p w14:paraId="0B3C3922" w14:textId="77777777" w:rsidR="005E6435" w:rsidRPr="00FA4F20" w:rsidRDefault="005E6435" w:rsidP="002F536C">
      <w:pPr>
        <w:pStyle w:val="FootnoteText"/>
        <w:rPr>
          <w:lang w:val="en-US"/>
        </w:rPr>
      </w:pPr>
      <w:r>
        <w:rPr>
          <w:rStyle w:val="FootnoteReference"/>
        </w:rPr>
        <w:footnoteRef/>
      </w:r>
      <w:r>
        <w:t xml:space="preserve"> Nixon: </w:t>
      </w:r>
      <w:r w:rsidRPr="00E47EF5">
        <w:rPr>
          <w:i/>
        </w:rPr>
        <w:t>Homelands, Harlem and Hollywood</w:t>
      </w:r>
      <w:r>
        <w:t>, p. 144.</w:t>
      </w:r>
    </w:p>
  </w:footnote>
  <w:footnote w:id="306">
    <w:p w14:paraId="20688BEB" w14:textId="77777777" w:rsidR="005E6435" w:rsidRPr="00B61430" w:rsidRDefault="005E6435" w:rsidP="002F536C">
      <w:pPr>
        <w:pStyle w:val="FootnoteText"/>
        <w:rPr>
          <w:lang w:val="en-US"/>
        </w:rPr>
      </w:pPr>
      <w:r>
        <w:rPr>
          <w:rStyle w:val="FootnoteReference"/>
        </w:rPr>
        <w:footnoteRef/>
      </w:r>
      <w:r>
        <w:t xml:space="preserve"> Evans: Interviewed by Nicola van der Merwe. </w:t>
      </w:r>
    </w:p>
  </w:footnote>
  <w:footnote w:id="307">
    <w:p w14:paraId="65CC838C" w14:textId="77777777" w:rsidR="005E6435" w:rsidRPr="001E0889" w:rsidRDefault="005E6435" w:rsidP="002F536C">
      <w:pPr>
        <w:pStyle w:val="FootnoteText"/>
        <w:rPr>
          <w:lang w:val="en-US"/>
        </w:rPr>
      </w:pPr>
      <w:r>
        <w:rPr>
          <w:rStyle w:val="FootnoteReference"/>
        </w:rPr>
        <w:footnoteRef/>
      </w:r>
      <w:r>
        <w:t xml:space="preserve"> West: Interviewed by Nicola van der Merwe. </w:t>
      </w:r>
    </w:p>
  </w:footnote>
  <w:footnote w:id="308">
    <w:p w14:paraId="71DF6F24" w14:textId="77777777" w:rsidR="005E6435" w:rsidRPr="00734E05" w:rsidRDefault="005E6435" w:rsidP="002F536C">
      <w:pPr>
        <w:pStyle w:val="FootnoteText"/>
        <w:rPr>
          <w:lang w:val="en-US"/>
        </w:rPr>
      </w:pPr>
      <w:r>
        <w:rPr>
          <w:rStyle w:val="FootnoteReference"/>
        </w:rPr>
        <w:footnoteRef/>
      </w:r>
      <w:r>
        <w:t xml:space="preserve"> </w:t>
      </w:r>
      <w:r>
        <w:rPr>
          <w:lang w:val="en-US"/>
        </w:rPr>
        <w:t xml:space="preserve">Anonymous 1: Interviewed by Nicola van der Merwe. </w:t>
      </w:r>
    </w:p>
  </w:footnote>
  <w:footnote w:id="309">
    <w:p w14:paraId="23B7BDC1" w14:textId="77777777" w:rsidR="005E6435" w:rsidRPr="00005CE2" w:rsidRDefault="005E6435" w:rsidP="002F536C">
      <w:pPr>
        <w:pStyle w:val="FootnoteText"/>
        <w:rPr>
          <w:i/>
          <w:lang w:val="en-US"/>
        </w:rPr>
      </w:pPr>
      <w:r>
        <w:rPr>
          <w:rStyle w:val="FootnoteReference"/>
        </w:rPr>
        <w:footnoteRef/>
      </w:r>
      <w:r>
        <w:t xml:space="preserve"> </w:t>
      </w:r>
      <w:r>
        <w:rPr>
          <w:i/>
          <w:lang w:val="en-US"/>
        </w:rPr>
        <w:t>Ibid.</w:t>
      </w:r>
    </w:p>
  </w:footnote>
  <w:footnote w:id="310">
    <w:p w14:paraId="5AF74A63" w14:textId="77777777" w:rsidR="005E6435" w:rsidRPr="00007BAC" w:rsidRDefault="005E6435" w:rsidP="002F536C">
      <w:pPr>
        <w:pStyle w:val="FootnoteText"/>
        <w:rPr>
          <w:lang w:val="en-US"/>
        </w:rPr>
      </w:pPr>
      <w:r>
        <w:rPr>
          <w:rStyle w:val="FootnoteReference"/>
        </w:rPr>
        <w:footnoteRef/>
      </w:r>
      <w:r>
        <w:t xml:space="preserve"> P</w:t>
      </w:r>
      <w:r w:rsidRPr="00754572">
        <w:t>ortenschlager</w:t>
      </w:r>
      <w:r>
        <w:t xml:space="preserve">: Interviewed by Nicola van der Merwe. </w:t>
      </w:r>
    </w:p>
  </w:footnote>
  <w:footnote w:id="311">
    <w:p w14:paraId="5BED976C" w14:textId="77777777" w:rsidR="005E6435" w:rsidRPr="0029052C" w:rsidRDefault="005E6435">
      <w:pPr>
        <w:pStyle w:val="FootnoteText"/>
        <w:rPr>
          <w:lang w:val="en-US"/>
        </w:rPr>
      </w:pPr>
      <w:r>
        <w:rPr>
          <w:rStyle w:val="FootnoteReference"/>
        </w:rPr>
        <w:footnoteRef/>
      </w:r>
      <w:r>
        <w:t xml:space="preserve"> </w:t>
      </w:r>
      <w:r>
        <w:rPr>
          <w:lang w:val="en-US"/>
        </w:rPr>
        <w:t>The Pretoria Minute was an agreement signed on 6 August 1990 between the ANC and the NP regarding the release of political prisoners, return of exiles and obstacles in the International Security Act.</w:t>
      </w:r>
    </w:p>
  </w:footnote>
  <w:footnote w:id="312">
    <w:p w14:paraId="44D6F3CF" w14:textId="77777777" w:rsidR="005E6435" w:rsidRPr="00554751" w:rsidRDefault="005E6435" w:rsidP="002F536C">
      <w:pPr>
        <w:pStyle w:val="FootnoteText"/>
        <w:rPr>
          <w:lang w:val="en-US"/>
        </w:rPr>
      </w:pPr>
      <w:r>
        <w:rPr>
          <w:rStyle w:val="FootnoteReference"/>
        </w:rPr>
        <w:footnoteRef/>
      </w:r>
      <w:r>
        <w:t xml:space="preserve"> A. Manson, B. Mbenga &amp; A. Lissoni: </w:t>
      </w:r>
      <w:r>
        <w:rPr>
          <w:i/>
        </w:rPr>
        <w:t xml:space="preserve">Khongolose: A Short History of the ANC in the North-West Province from 1909. </w:t>
      </w:r>
      <w:r>
        <w:t>UNISA Press, Pretoria, 2016, pp. 79-88.</w:t>
      </w:r>
    </w:p>
  </w:footnote>
  <w:footnote w:id="313">
    <w:p w14:paraId="0554236B" w14:textId="77777777" w:rsidR="005E6435" w:rsidRPr="007D28F6" w:rsidRDefault="005E6435" w:rsidP="002F536C">
      <w:pPr>
        <w:pStyle w:val="FootnoteText"/>
        <w:rPr>
          <w:lang w:val="en-US"/>
        </w:rPr>
      </w:pPr>
      <w:r>
        <w:rPr>
          <w:rStyle w:val="FootnoteReference"/>
        </w:rPr>
        <w:footnoteRef/>
      </w:r>
      <w:r>
        <w:t xml:space="preserve"> Manson, Mbenga &amp; Lissoni: </w:t>
      </w:r>
      <w:r>
        <w:rPr>
          <w:i/>
        </w:rPr>
        <w:t>Khongolose: A Short History of the ANC</w:t>
      </w:r>
      <w:r>
        <w:t>, pp. 79-88.</w:t>
      </w:r>
    </w:p>
  </w:footnote>
  <w:footnote w:id="314">
    <w:p w14:paraId="07DF83D6" w14:textId="77777777" w:rsidR="005E6435" w:rsidRPr="00822F7D" w:rsidRDefault="005E6435" w:rsidP="002F536C">
      <w:pPr>
        <w:pStyle w:val="FootnoteText"/>
        <w:rPr>
          <w:lang w:val="en-US"/>
        </w:rPr>
      </w:pPr>
      <w:r>
        <w:rPr>
          <w:rStyle w:val="FootnoteReference"/>
        </w:rPr>
        <w:footnoteRef/>
      </w:r>
      <w:r>
        <w:t xml:space="preserve"> </w:t>
      </w:r>
      <w:r>
        <w:rPr>
          <w:lang w:val="en-US"/>
        </w:rPr>
        <w:t>West: Interviewed by Nicola van der Merwe.</w:t>
      </w:r>
    </w:p>
  </w:footnote>
  <w:footnote w:id="315">
    <w:p w14:paraId="24D1528E" w14:textId="77777777" w:rsidR="005E6435" w:rsidRPr="00E47EF5" w:rsidRDefault="005E6435" w:rsidP="002F536C">
      <w:pPr>
        <w:pStyle w:val="FootnoteText"/>
        <w:rPr>
          <w:lang w:val="en-ZA"/>
        </w:rPr>
      </w:pPr>
      <w:r>
        <w:rPr>
          <w:rStyle w:val="FootnoteReference"/>
        </w:rPr>
        <w:footnoteRef/>
      </w:r>
      <w:r>
        <w:t xml:space="preserve"> Evans: </w:t>
      </w:r>
      <w:r w:rsidRPr="0052330D">
        <w:rPr>
          <w:i/>
        </w:rPr>
        <w:t>Broadcasting the End of Apartheid</w:t>
      </w:r>
      <w:r>
        <w:t>, pp. 55-60.</w:t>
      </w:r>
    </w:p>
  </w:footnote>
  <w:footnote w:id="316">
    <w:p w14:paraId="0D58D2B4" w14:textId="77777777" w:rsidR="005E6435" w:rsidRDefault="005E6435" w:rsidP="002F536C">
      <w:pPr>
        <w:pStyle w:val="FootnoteText"/>
      </w:pPr>
      <w:r>
        <w:rPr>
          <w:rStyle w:val="FootnoteReference"/>
        </w:rPr>
        <w:footnoteRef/>
      </w:r>
      <w:r>
        <w:t xml:space="preserve"> </w:t>
      </w:r>
      <w:r>
        <w:rPr>
          <w:i/>
        </w:rPr>
        <w:t>Ibid</w:t>
      </w:r>
      <w:r>
        <w:t>, pp. 56-58.</w:t>
      </w:r>
    </w:p>
  </w:footnote>
  <w:footnote w:id="317">
    <w:p w14:paraId="2397F0F3" w14:textId="77777777" w:rsidR="005E6435" w:rsidRPr="00AD2799" w:rsidRDefault="005E6435" w:rsidP="002F536C">
      <w:pPr>
        <w:pStyle w:val="FootnoteText"/>
        <w:rPr>
          <w:lang w:val="en-US"/>
        </w:rPr>
      </w:pPr>
      <w:r>
        <w:rPr>
          <w:rStyle w:val="FootnoteReference"/>
        </w:rPr>
        <w:footnoteRef/>
      </w:r>
      <w:r>
        <w:t xml:space="preserve"> Kleinhans-Curd: Interviewed by Nicola van der Merwe. </w:t>
      </w:r>
    </w:p>
  </w:footnote>
  <w:footnote w:id="318">
    <w:p w14:paraId="17035E8A" w14:textId="77777777" w:rsidR="005E6435" w:rsidRPr="00E156C8" w:rsidRDefault="005E6435" w:rsidP="002F536C">
      <w:pPr>
        <w:pStyle w:val="FootnoteText"/>
        <w:rPr>
          <w:lang w:val="en-US"/>
        </w:rPr>
      </w:pPr>
      <w:r>
        <w:rPr>
          <w:rStyle w:val="FootnoteReference"/>
        </w:rPr>
        <w:footnoteRef/>
      </w:r>
      <w:r>
        <w:t xml:space="preserve"> </w:t>
      </w:r>
      <w:r>
        <w:rPr>
          <w:lang w:val="en-US"/>
        </w:rPr>
        <w:t xml:space="preserve">Portschenlager: Interviewed by </w:t>
      </w:r>
      <w:r>
        <w:t xml:space="preserve">Nicola van der Merwe. </w:t>
      </w:r>
    </w:p>
  </w:footnote>
  <w:footnote w:id="319">
    <w:p w14:paraId="774E99D0" w14:textId="77777777" w:rsidR="005E6435" w:rsidRPr="002D528B" w:rsidRDefault="005E6435" w:rsidP="002F536C">
      <w:pPr>
        <w:pStyle w:val="FootnoteText"/>
        <w:rPr>
          <w:lang w:val="en-US"/>
        </w:rPr>
      </w:pPr>
      <w:r>
        <w:rPr>
          <w:rStyle w:val="FootnoteReference"/>
        </w:rPr>
        <w:footnoteRef/>
      </w:r>
      <w:r>
        <w:t xml:space="preserve"> </w:t>
      </w:r>
      <w:r>
        <w:rPr>
          <w:lang w:val="en-US"/>
        </w:rPr>
        <w:t xml:space="preserve">Evans: Interviewed by </w:t>
      </w:r>
      <w:r>
        <w:t>Nicola van der Merwe.</w:t>
      </w:r>
    </w:p>
  </w:footnote>
  <w:footnote w:id="320">
    <w:p w14:paraId="1D6FBDEC" w14:textId="77777777" w:rsidR="005E6435" w:rsidRPr="00B80D26" w:rsidRDefault="005E6435" w:rsidP="002F536C">
      <w:pPr>
        <w:pStyle w:val="FootnoteText"/>
        <w:rPr>
          <w:lang w:val="en-ZA"/>
        </w:rPr>
      </w:pPr>
      <w:r>
        <w:rPr>
          <w:rStyle w:val="FootnoteReference"/>
        </w:rPr>
        <w:footnoteRef/>
      </w:r>
      <w:r>
        <w:t xml:space="preserve"> Evans: </w:t>
      </w:r>
      <w:r w:rsidRPr="008951AF">
        <w:rPr>
          <w:i/>
        </w:rPr>
        <w:t>Broadcasting the End of Apartheid</w:t>
      </w:r>
      <w:r>
        <w:t>, p. 197.</w:t>
      </w:r>
    </w:p>
  </w:footnote>
  <w:footnote w:id="321">
    <w:p w14:paraId="62D5B5DD" w14:textId="77777777" w:rsidR="005E6435" w:rsidRPr="00494646" w:rsidRDefault="005E6435" w:rsidP="002F536C">
      <w:pPr>
        <w:pStyle w:val="NoSpacing"/>
      </w:pPr>
      <w:r>
        <w:rPr>
          <w:rStyle w:val="FootnoteReference"/>
        </w:rPr>
        <w:footnoteRef/>
      </w:r>
      <w:r>
        <w:t xml:space="preserve"> West: Interviewed by Nicola van der Merwe. </w:t>
      </w:r>
    </w:p>
  </w:footnote>
  <w:footnote w:id="322">
    <w:p w14:paraId="3BAEC2CA" w14:textId="77777777" w:rsidR="005E6435" w:rsidRPr="00EA4779" w:rsidRDefault="005E6435">
      <w:pPr>
        <w:pStyle w:val="FootnoteText"/>
        <w:rPr>
          <w:lang w:val="en-US"/>
        </w:rPr>
      </w:pPr>
      <w:r>
        <w:rPr>
          <w:rStyle w:val="FootnoteReference"/>
        </w:rPr>
        <w:footnoteRef/>
      </w:r>
      <w:r>
        <w:t xml:space="preserve"> </w:t>
      </w:r>
      <w:r>
        <w:rPr>
          <w:lang w:val="en-US"/>
        </w:rPr>
        <w:t xml:space="preserve">Eric and Julia Morley were the owners of the Miss World beauty pageant franchise. </w:t>
      </w:r>
    </w:p>
  </w:footnote>
  <w:footnote w:id="323">
    <w:p w14:paraId="3A73A19D" w14:textId="77777777" w:rsidR="005E6435" w:rsidRPr="00B11330" w:rsidRDefault="005E6435" w:rsidP="002F536C">
      <w:pPr>
        <w:pStyle w:val="FootnoteText"/>
        <w:rPr>
          <w:lang w:val="en-ZA"/>
        </w:rPr>
      </w:pPr>
      <w:r>
        <w:rPr>
          <w:rStyle w:val="FootnoteReference"/>
        </w:rPr>
        <w:footnoteRef/>
      </w:r>
      <w:r>
        <w:t xml:space="preserve"> Evans: </w:t>
      </w:r>
      <w:r w:rsidRPr="008951AF">
        <w:rPr>
          <w:i/>
        </w:rPr>
        <w:t>Broadcasting the End of Apartheid</w:t>
      </w:r>
      <w:r>
        <w:t>, pp. 197-200.</w:t>
      </w:r>
    </w:p>
  </w:footnote>
  <w:footnote w:id="324">
    <w:p w14:paraId="010BE2E6" w14:textId="77777777" w:rsidR="005E6435" w:rsidRPr="008951AF" w:rsidRDefault="005E6435" w:rsidP="002F536C">
      <w:pPr>
        <w:pStyle w:val="FootnoteText"/>
        <w:rPr>
          <w:lang w:val="en-US"/>
        </w:rPr>
      </w:pPr>
      <w:r>
        <w:rPr>
          <w:rStyle w:val="FootnoteReference"/>
        </w:rPr>
        <w:footnoteRef/>
      </w:r>
      <w:r>
        <w:t xml:space="preserve"> Evans: </w:t>
      </w:r>
      <w:r w:rsidRPr="008951AF">
        <w:rPr>
          <w:i/>
        </w:rPr>
        <w:t>Broadcasting the End of Apartheid</w:t>
      </w:r>
      <w:r>
        <w:rPr>
          <w:i/>
        </w:rPr>
        <w:t xml:space="preserve">, </w:t>
      </w:r>
      <w:r>
        <w:t xml:space="preserve">p. 199. </w:t>
      </w:r>
    </w:p>
  </w:footnote>
  <w:footnote w:id="325">
    <w:p w14:paraId="400C4362" w14:textId="77777777" w:rsidR="005E6435" w:rsidRPr="00494646" w:rsidRDefault="005E6435" w:rsidP="002F536C">
      <w:pPr>
        <w:pStyle w:val="FootnoteText"/>
        <w:rPr>
          <w:lang w:val="en-US"/>
        </w:rPr>
      </w:pPr>
      <w:r>
        <w:rPr>
          <w:rStyle w:val="FootnoteReference"/>
        </w:rPr>
        <w:footnoteRef/>
      </w:r>
      <w:r>
        <w:t xml:space="preserve"> West: Interviewed by Nicola van der Merwe. </w:t>
      </w:r>
    </w:p>
  </w:footnote>
  <w:footnote w:id="326">
    <w:p w14:paraId="3181D86D" w14:textId="77777777" w:rsidR="005E6435" w:rsidRDefault="005E6435" w:rsidP="002F536C">
      <w:pPr>
        <w:pStyle w:val="NoSpacing"/>
      </w:pPr>
      <w:r>
        <w:rPr>
          <w:rStyle w:val="FootnoteReference"/>
        </w:rPr>
        <w:footnoteRef/>
      </w:r>
      <w:r>
        <w:t xml:space="preserve"> R. Wessels: ‘Miss Bop will be in Miss World final!’ </w:t>
      </w:r>
      <w:r>
        <w:rPr>
          <w:i/>
        </w:rPr>
        <w:t xml:space="preserve">The Mail, </w:t>
      </w:r>
      <w:r>
        <w:t xml:space="preserve">4 September 1992. </w:t>
      </w:r>
    </w:p>
  </w:footnote>
  <w:footnote w:id="327">
    <w:p w14:paraId="5D589A06" w14:textId="77777777" w:rsidR="005E6435" w:rsidRPr="002B3288" w:rsidRDefault="005E6435" w:rsidP="002F536C">
      <w:pPr>
        <w:pStyle w:val="FootnoteText"/>
        <w:rPr>
          <w:i/>
        </w:rPr>
      </w:pPr>
      <w:r>
        <w:rPr>
          <w:rStyle w:val="FootnoteReference"/>
        </w:rPr>
        <w:footnoteRef/>
      </w:r>
      <w:r>
        <w:t xml:space="preserve"> </w:t>
      </w:r>
      <w:r>
        <w:rPr>
          <w:i/>
        </w:rPr>
        <w:t xml:space="preserve">Ibid. </w:t>
      </w:r>
      <w:r>
        <w:t xml:space="preserve"> </w:t>
      </w:r>
    </w:p>
  </w:footnote>
  <w:footnote w:id="328">
    <w:p w14:paraId="2B19BC83" w14:textId="77777777" w:rsidR="005E6435" w:rsidRDefault="005E6435" w:rsidP="002F536C">
      <w:pPr>
        <w:pStyle w:val="NoSpacing"/>
      </w:pPr>
      <w:r>
        <w:rPr>
          <w:rStyle w:val="FootnoteReference"/>
        </w:rPr>
        <w:footnoteRef/>
      </w:r>
      <w:r>
        <w:t xml:space="preserve"> T. Rantlha: ‘Miss Bop’s exclusion angers citizens.’ </w:t>
      </w:r>
      <w:r>
        <w:rPr>
          <w:i/>
        </w:rPr>
        <w:t xml:space="preserve">The Mail, </w:t>
      </w:r>
      <w:r>
        <w:t xml:space="preserve">1992. </w:t>
      </w:r>
    </w:p>
  </w:footnote>
  <w:footnote w:id="329">
    <w:p w14:paraId="1561A963" w14:textId="77777777" w:rsidR="005E6435" w:rsidRPr="0074747A" w:rsidRDefault="005E6435" w:rsidP="002F536C">
      <w:pPr>
        <w:pStyle w:val="FootnoteText"/>
        <w:rPr>
          <w:lang w:val="en-ZA"/>
        </w:rPr>
      </w:pPr>
      <w:r>
        <w:rPr>
          <w:rStyle w:val="FootnoteReference"/>
        </w:rPr>
        <w:footnoteRef/>
      </w:r>
      <w:r>
        <w:t xml:space="preserve"> Evans: </w:t>
      </w:r>
      <w:r w:rsidRPr="008951AF">
        <w:rPr>
          <w:i/>
        </w:rPr>
        <w:t>Broadcasting the End of Apartheid</w:t>
      </w:r>
      <w:r>
        <w:t>, pp. 197-198.</w:t>
      </w:r>
    </w:p>
  </w:footnote>
  <w:footnote w:id="330">
    <w:p w14:paraId="5EABEC7E" w14:textId="77777777" w:rsidR="005E6435" w:rsidRPr="00D57AC6" w:rsidRDefault="005E6435" w:rsidP="002F536C">
      <w:pPr>
        <w:pStyle w:val="FootnoteText"/>
        <w:rPr>
          <w:lang w:val="en-US"/>
        </w:rPr>
      </w:pPr>
      <w:r>
        <w:rPr>
          <w:rStyle w:val="FootnoteReference"/>
        </w:rPr>
        <w:footnoteRef/>
      </w:r>
      <w:r>
        <w:t xml:space="preserve"> West: Interviewed by Nicola van der Merwe. </w:t>
      </w:r>
    </w:p>
  </w:footnote>
  <w:footnote w:id="331">
    <w:p w14:paraId="049C7A17" w14:textId="77777777" w:rsidR="005E6435" w:rsidRPr="00F80945" w:rsidRDefault="005E6435" w:rsidP="002F536C">
      <w:pPr>
        <w:pStyle w:val="FootnoteText"/>
        <w:rPr>
          <w:lang w:val="en-US"/>
        </w:rPr>
      </w:pPr>
      <w:r>
        <w:rPr>
          <w:rStyle w:val="FootnoteReference"/>
        </w:rPr>
        <w:footnoteRef/>
      </w:r>
      <w:r>
        <w:t xml:space="preserve"> Manson, Mbenga &amp; Lissoni: </w:t>
      </w:r>
      <w:r>
        <w:rPr>
          <w:i/>
        </w:rPr>
        <w:t>Khongolose,</w:t>
      </w:r>
      <w:r>
        <w:t xml:space="preserve"> p. 81.</w:t>
      </w:r>
    </w:p>
  </w:footnote>
  <w:footnote w:id="332">
    <w:p w14:paraId="02046F71" w14:textId="77777777" w:rsidR="005E6435" w:rsidRPr="00B87B8E" w:rsidRDefault="005E6435" w:rsidP="002F536C">
      <w:pPr>
        <w:pStyle w:val="FootnoteText"/>
        <w:rPr>
          <w:lang w:val="en-ZA"/>
        </w:rPr>
      </w:pPr>
      <w:r>
        <w:rPr>
          <w:rStyle w:val="FootnoteReference"/>
        </w:rPr>
        <w:footnoteRef/>
      </w:r>
      <w:r>
        <w:t xml:space="preserve"> Evans: </w:t>
      </w:r>
      <w:r w:rsidRPr="008951AF">
        <w:rPr>
          <w:i/>
        </w:rPr>
        <w:t>Broadcasting the End of Apartheid</w:t>
      </w:r>
      <w:r>
        <w:t>, p. 199.</w:t>
      </w:r>
    </w:p>
  </w:footnote>
  <w:footnote w:id="333">
    <w:p w14:paraId="7F340688" w14:textId="77777777" w:rsidR="005E6435" w:rsidRPr="008951AF" w:rsidRDefault="005E6435" w:rsidP="002F536C">
      <w:pPr>
        <w:pStyle w:val="FootnoteText"/>
        <w:rPr>
          <w:lang w:val="en-US"/>
        </w:rPr>
      </w:pPr>
      <w:r>
        <w:rPr>
          <w:rStyle w:val="FootnoteReference"/>
        </w:rPr>
        <w:footnoteRef/>
      </w:r>
      <w:r>
        <w:t xml:space="preserve"> </w:t>
      </w:r>
      <w:r>
        <w:rPr>
          <w:lang w:val="en-US"/>
        </w:rPr>
        <w:t>King: Interviewed by Nicola van der Merwe</w:t>
      </w:r>
    </w:p>
  </w:footnote>
  <w:footnote w:id="334">
    <w:p w14:paraId="09EB905D" w14:textId="77777777" w:rsidR="005E6435" w:rsidRPr="008951AF" w:rsidRDefault="005E6435" w:rsidP="002F536C">
      <w:pPr>
        <w:pStyle w:val="FootnoteText"/>
        <w:rPr>
          <w:i/>
          <w:lang w:val="en-US"/>
        </w:rPr>
      </w:pPr>
      <w:r>
        <w:rPr>
          <w:rStyle w:val="FootnoteReference"/>
        </w:rPr>
        <w:footnoteRef/>
      </w:r>
      <w:r>
        <w:t xml:space="preserve"> </w:t>
      </w:r>
      <w:r>
        <w:rPr>
          <w:i/>
          <w:lang w:val="en-US"/>
        </w:rPr>
        <w:t>Ibid.</w:t>
      </w:r>
    </w:p>
  </w:footnote>
  <w:footnote w:id="335">
    <w:p w14:paraId="2D0DFB0E" w14:textId="77777777" w:rsidR="005E6435" w:rsidRPr="008D50DA" w:rsidRDefault="005E6435" w:rsidP="002F536C">
      <w:pPr>
        <w:pStyle w:val="NoSpacing"/>
      </w:pPr>
      <w:r>
        <w:rPr>
          <w:rStyle w:val="FootnoteReference"/>
        </w:rPr>
        <w:footnoteRef/>
      </w:r>
      <w:r>
        <w:t xml:space="preserve"> Kleinhans-Curd: Interviewed by Nicola van der Merwe</w:t>
      </w:r>
    </w:p>
  </w:footnote>
  <w:footnote w:id="336">
    <w:p w14:paraId="0C651591" w14:textId="77777777" w:rsidR="005E6435" w:rsidRPr="00BA6FFF" w:rsidRDefault="005E6435" w:rsidP="002F536C">
      <w:pPr>
        <w:pStyle w:val="FootnoteText"/>
        <w:rPr>
          <w:lang w:val="en-US"/>
        </w:rPr>
      </w:pPr>
      <w:r>
        <w:rPr>
          <w:rStyle w:val="FootnoteReference"/>
        </w:rPr>
        <w:footnoteRef/>
      </w:r>
      <w:r>
        <w:t xml:space="preserve"> </w:t>
      </w:r>
      <w:r>
        <w:rPr>
          <w:i/>
        </w:rPr>
        <w:t>Ibid.</w:t>
      </w:r>
      <w:r>
        <w:t xml:space="preserve"> </w:t>
      </w:r>
    </w:p>
  </w:footnote>
  <w:footnote w:id="337">
    <w:p w14:paraId="1CF9081C" w14:textId="77777777" w:rsidR="005E6435" w:rsidRPr="00BA6FFF" w:rsidRDefault="005E6435" w:rsidP="002F536C">
      <w:pPr>
        <w:pStyle w:val="FootnoteText"/>
        <w:rPr>
          <w:lang w:val="en-US"/>
        </w:rPr>
      </w:pPr>
      <w:r>
        <w:rPr>
          <w:rStyle w:val="FootnoteReference"/>
        </w:rPr>
        <w:footnoteRef/>
      </w:r>
      <w:r>
        <w:t xml:space="preserve"> West: Interviewed by Nicola van der Merwe. </w:t>
      </w:r>
    </w:p>
  </w:footnote>
  <w:footnote w:id="338">
    <w:p w14:paraId="18B8E900" w14:textId="77777777" w:rsidR="005E6435" w:rsidRPr="00BA6FFF" w:rsidRDefault="005E6435" w:rsidP="002F536C">
      <w:pPr>
        <w:pStyle w:val="FootnoteText"/>
        <w:rPr>
          <w:lang w:val="en-US"/>
        </w:rPr>
      </w:pPr>
      <w:r>
        <w:rPr>
          <w:rStyle w:val="FootnoteReference"/>
        </w:rPr>
        <w:footnoteRef/>
      </w:r>
      <w:r>
        <w:t xml:space="preserve"> Kleinhans-Curd: Interviewed by Nicola van der Merwe. </w:t>
      </w:r>
    </w:p>
  </w:footnote>
  <w:footnote w:id="339">
    <w:p w14:paraId="08CF5BC7" w14:textId="77777777" w:rsidR="005E6435" w:rsidRPr="004460D5" w:rsidRDefault="005E6435" w:rsidP="002F536C">
      <w:pPr>
        <w:pStyle w:val="FootnoteText"/>
        <w:rPr>
          <w:lang w:val="en-US"/>
        </w:rPr>
      </w:pPr>
      <w:r>
        <w:rPr>
          <w:rStyle w:val="FootnoteReference"/>
        </w:rPr>
        <w:footnoteRef/>
      </w:r>
      <w:r>
        <w:t xml:space="preserve"> </w:t>
      </w:r>
      <w:r>
        <w:rPr>
          <w:lang w:val="en-US"/>
        </w:rPr>
        <w:t xml:space="preserve">C. Blignaut: ‘Beauty and the Beast.” </w:t>
      </w:r>
      <w:r>
        <w:rPr>
          <w:i/>
          <w:lang w:val="en-US"/>
        </w:rPr>
        <w:t xml:space="preserve">Sunday Times, </w:t>
      </w:r>
      <w:r>
        <w:rPr>
          <w:lang w:val="en-US"/>
        </w:rPr>
        <w:t>11 December 2011, p. 3.</w:t>
      </w:r>
    </w:p>
  </w:footnote>
  <w:footnote w:id="340">
    <w:p w14:paraId="16008C4E" w14:textId="77777777" w:rsidR="005E6435" w:rsidRPr="007F27BC" w:rsidRDefault="005E6435" w:rsidP="002F536C">
      <w:pPr>
        <w:pStyle w:val="FootnoteText"/>
        <w:rPr>
          <w:lang w:val="en-US"/>
        </w:rPr>
      </w:pPr>
      <w:r>
        <w:rPr>
          <w:rStyle w:val="FootnoteReference"/>
        </w:rPr>
        <w:footnoteRef/>
      </w:r>
      <w:r>
        <w:t xml:space="preserve"> Kleinhans-Curd: Interviewed by Nicola van der Merwe.</w:t>
      </w:r>
    </w:p>
  </w:footnote>
  <w:footnote w:id="341">
    <w:p w14:paraId="2E1349DA" w14:textId="77777777" w:rsidR="005E6435" w:rsidRPr="00F864E2" w:rsidRDefault="005E6435" w:rsidP="002F536C">
      <w:pPr>
        <w:pStyle w:val="FootnoteText"/>
        <w:rPr>
          <w:lang w:val="en-US"/>
        </w:rPr>
      </w:pPr>
      <w:r>
        <w:rPr>
          <w:rStyle w:val="FootnoteReference"/>
        </w:rPr>
        <w:footnoteRef/>
      </w:r>
      <w:r>
        <w:t xml:space="preserve"> King: Interviewed by Nicola van der Merwe. </w:t>
      </w:r>
    </w:p>
  </w:footnote>
  <w:footnote w:id="342">
    <w:p w14:paraId="35050EE8" w14:textId="77777777" w:rsidR="005E6435" w:rsidRPr="00037BB1" w:rsidRDefault="005E6435" w:rsidP="002F536C">
      <w:pPr>
        <w:pStyle w:val="FootnoteText"/>
        <w:rPr>
          <w:lang w:val="en-US"/>
        </w:rPr>
      </w:pPr>
      <w:r>
        <w:rPr>
          <w:rStyle w:val="FootnoteReference"/>
        </w:rPr>
        <w:footnoteRef/>
      </w:r>
      <w:r>
        <w:t xml:space="preserve"> West: Interviewed by Nicola van der Merwe. </w:t>
      </w:r>
    </w:p>
  </w:footnote>
  <w:footnote w:id="343">
    <w:p w14:paraId="1E19A48A" w14:textId="77777777" w:rsidR="005E6435" w:rsidRPr="008951AF" w:rsidRDefault="005E6435" w:rsidP="002F536C">
      <w:pPr>
        <w:pStyle w:val="FootnoteText"/>
        <w:rPr>
          <w:lang w:val="en-US"/>
        </w:rPr>
      </w:pPr>
      <w:r>
        <w:rPr>
          <w:rStyle w:val="FootnoteReference"/>
        </w:rPr>
        <w:footnoteRef/>
      </w:r>
      <w:r>
        <w:t xml:space="preserve"> </w:t>
      </w:r>
      <w:r>
        <w:rPr>
          <w:lang w:val="en-US"/>
        </w:rPr>
        <w:t>Kleinhans-Curd: Interviewed by Nicola van der Merwe.</w:t>
      </w:r>
    </w:p>
  </w:footnote>
  <w:footnote w:id="344">
    <w:p w14:paraId="58C9F5D5" w14:textId="77777777" w:rsidR="005E6435" w:rsidRPr="00037BB1" w:rsidRDefault="005E6435" w:rsidP="002F536C">
      <w:pPr>
        <w:pStyle w:val="FootnoteText"/>
        <w:rPr>
          <w:lang w:val="en-US"/>
        </w:rPr>
      </w:pPr>
      <w:r>
        <w:rPr>
          <w:rStyle w:val="FootnoteReference"/>
        </w:rPr>
        <w:footnoteRef/>
      </w:r>
      <w:r>
        <w:t xml:space="preserve"> Kleinhans-Curd: Interviewed by Nicola van der Merwe..</w:t>
      </w:r>
    </w:p>
  </w:footnote>
  <w:footnote w:id="345">
    <w:p w14:paraId="56E8D2F4" w14:textId="77777777" w:rsidR="005E6435" w:rsidRPr="009904BD" w:rsidRDefault="005E6435" w:rsidP="002F536C">
      <w:pPr>
        <w:pStyle w:val="FootnoteText"/>
        <w:rPr>
          <w:lang w:val="en-ZA"/>
        </w:rPr>
      </w:pPr>
      <w:r>
        <w:rPr>
          <w:rStyle w:val="FootnoteReference"/>
        </w:rPr>
        <w:footnoteRef/>
      </w:r>
      <w:r>
        <w:t xml:space="preserve"> Evans: </w:t>
      </w:r>
      <w:r w:rsidRPr="008951AF">
        <w:rPr>
          <w:i/>
        </w:rPr>
        <w:t>Broadcasting the End of Apartheid</w:t>
      </w:r>
      <w:r>
        <w:t>, pp. 196-200.</w:t>
      </w:r>
    </w:p>
  </w:footnote>
  <w:footnote w:id="346">
    <w:p w14:paraId="3CF1CE08" w14:textId="77777777" w:rsidR="005E6435" w:rsidRPr="008951AF" w:rsidRDefault="005E6435" w:rsidP="002F536C">
      <w:pPr>
        <w:pStyle w:val="FootnoteText"/>
        <w:rPr>
          <w:lang w:val="en-US"/>
        </w:rPr>
      </w:pPr>
      <w:r>
        <w:rPr>
          <w:rStyle w:val="FootnoteReference"/>
        </w:rPr>
        <w:footnoteRef/>
      </w:r>
      <w:r>
        <w:t xml:space="preserve"> </w:t>
      </w:r>
      <w:r>
        <w:rPr>
          <w:lang w:val="en-US"/>
        </w:rPr>
        <w:t>West: Interviewed by Nicola van der Merwe.</w:t>
      </w:r>
    </w:p>
  </w:footnote>
  <w:footnote w:id="347">
    <w:p w14:paraId="2379D842" w14:textId="77777777" w:rsidR="005E6435" w:rsidRPr="008951AF" w:rsidRDefault="005E6435" w:rsidP="002F536C">
      <w:pPr>
        <w:pStyle w:val="FootnoteText"/>
        <w:rPr>
          <w:lang w:val="en-US"/>
        </w:rPr>
      </w:pPr>
      <w:r>
        <w:rPr>
          <w:rStyle w:val="FootnoteReference"/>
        </w:rPr>
        <w:footnoteRef/>
      </w:r>
      <w:r>
        <w:t xml:space="preserve"> Evans: Interviewed by Nicola van der Merwe; West: Interviewed by Nicola van der Merwe.</w:t>
      </w:r>
    </w:p>
  </w:footnote>
  <w:footnote w:id="348">
    <w:p w14:paraId="146A1D2B" w14:textId="77777777" w:rsidR="005E6435" w:rsidRPr="008951AF" w:rsidRDefault="005E6435" w:rsidP="002F536C">
      <w:pPr>
        <w:pStyle w:val="FootnoteText"/>
        <w:rPr>
          <w:lang w:val="en-US"/>
        </w:rPr>
      </w:pPr>
      <w:r>
        <w:rPr>
          <w:rStyle w:val="FootnoteReference"/>
        </w:rPr>
        <w:footnoteRef/>
      </w:r>
      <w:r>
        <w:t xml:space="preserve"> </w:t>
      </w:r>
      <w:r>
        <w:rPr>
          <w:lang w:val="en-US"/>
        </w:rPr>
        <w:t xml:space="preserve">West: Interviewed by Nicola van der Merwe. </w:t>
      </w:r>
    </w:p>
  </w:footnote>
  <w:footnote w:id="349">
    <w:p w14:paraId="45EDAF25" w14:textId="77777777" w:rsidR="005E6435" w:rsidRPr="00FA3758" w:rsidRDefault="005E6435" w:rsidP="002F536C">
      <w:pPr>
        <w:pStyle w:val="FootnoteText"/>
        <w:rPr>
          <w:lang w:val="en-US"/>
        </w:rPr>
      </w:pPr>
      <w:r>
        <w:rPr>
          <w:rStyle w:val="FootnoteReference"/>
        </w:rPr>
        <w:footnoteRef/>
      </w:r>
      <w:r>
        <w:t xml:space="preserve"> </w:t>
      </w:r>
      <w:r>
        <w:rPr>
          <w:lang w:val="en-US"/>
        </w:rPr>
        <w:t>Evans: Interviewed by Nicola van der Merwe.</w:t>
      </w:r>
    </w:p>
  </w:footnote>
  <w:footnote w:id="350">
    <w:p w14:paraId="4A6504F1" w14:textId="77777777" w:rsidR="005E6435" w:rsidRPr="00C349C0" w:rsidRDefault="005E6435" w:rsidP="002F536C">
      <w:pPr>
        <w:pStyle w:val="FootnoteText"/>
        <w:rPr>
          <w:lang w:val="en-ZA"/>
        </w:rPr>
      </w:pPr>
      <w:r>
        <w:rPr>
          <w:rStyle w:val="FootnoteReference"/>
        </w:rPr>
        <w:footnoteRef/>
      </w:r>
      <w:r>
        <w:t xml:space="preserve"> Evans: </w:t>
      </w:r>
      <w:r w:rsidRPr="008951AF">
        <w:rPr>
          <w:i/>
        </w:rPr>
        <w:t>Broadcasting the End of Apartheid</w:t>
      </w:r>
      <w:r>
        <w:t>, p. 200.</w:t>
      </w:r>
    </w:p>
  </w:footnote>
  <w:footnote w:id="351">
    <w:p w14:paraId="207B7DF9" w14:textId="77777777" w:rsidR="005E6435" w:rsidRPr="008951AF" w:rsidRDefault="005E6435" w:rsidP="002F536C">
      <w:pPr>
        <w:pStyle w:val="FootnoteText"/>
        <w:rPr>
          <w:lang w:val="en-US"/>
        </w:rPr>
      </w:pPr>
      <w:r>
        <w:rPr>
          <w:rStyle w:val="FootnoteReference"/>
        </w:rPr>
        <w:footnoteRef/>
      </w:r>
      <w:r>
        <w:t xml:space="preserve"> West: Interviewed by Nicola van der Merwe.</w:t>
      </w:r>
    </w:p>
  </w:footnote>
  <w:footnote w:id="352">
    <w:p w14:paraId="3C9C8CED" w14:textId="77777777" w:rsidR="005E6435" w:rsidRPr="00A87A5D" w:rsidRDefault="005E6435" w:rsidP="002F536C">
      <w:pPr>
        <w:pStyle w:val="FootnoteText"/>
        <w:rPr>
          <w:lang w:val="en-ZA"/>
        </w:rPr>
      </w:pPr>
      <w:r>
        <w:rPr>
          <w:rStyle w:val="FootnoteReference"/>
        </w:rPr>
        <w:footnoteRef/>
      </w:r>
      <w:r>
        <w:t xml:space="preserve"> Evans: </w:t>
      </w:r>
      <w:r w:rsidRPr="008951AF">
        <w:rPr>
          <w:i/>
        </w:rPr>
        <w:t>Broadcasting the End of Apartheid</w:t>
      </w:r>
      <w:r>
        <w:t>. pp. 196-201.</w:t>
      </w:r>
    </w:p>
  </w:footnote>
  <w:footnote w:id="353">
    <w:p w14:paraId="5CD74746" w14:textId="77777777" w:rsidR="005E6435" w:rsidRPr="00A6731F" w:rsidRDefault="005E6435" w:rsidP="002F536C">
      <w:pPr>
        <w:pStyle w:val="FootnoteText"/>
        <w:rPr>
          <w:lang w:val="en-US"/>
        </w:rPr>
      </w:pPr>
      <w:r>
        <w:rPr>
          <w:rStyle w:val="FootnoteReference"/>
        </w:rPr>
        <w:footnoteRef/>
      </w:r>
      <w:r>
        <w:t xml:space="preserve"> Evans: Interviewed by Nicola van der Merwe.</w:t>
      </w:r>
    </w:p>
  </w:footnote>
  <w:footnote w:id="354">
    <w:p w14:paraId="49D626D7" w14:textId="77777777" w:rsidR="005E6435" w:rsidRPr="00B57DE8" w:rsidRDefault="005E6435" w:rsidP="002F536C">
      <w:pPr>
        <w:pStyle w:val="FootnoteText"/>
        <w:rPr>
          <w:lang w:val="en-US"/>
        </w:rPr>
      </w:pPr>
      <w:r>
        <w:rPr>
          <w:rStyle w:val="FootnoteReference"/>
        </w:rPr>
        <w:footnoteRef/>
      </w:r>
      <w:r>
        <w:t xml:space="preserve"> Kleinhans-Curd: Interviewed by Nicola van der Merwe. </w:t>
      </w:r>
    </w:p>
  </w:footnote>
  <w:footnote w:id="355">
    <w:p w14:paraId="379CDADA" w14:textId="77777777" w:rsidR="005E6435" w:rsidRPr="004047EB" w:rsidRDefault="005E6435" w:rsidP="002F536C">
      <w:pPr>
        <w:pStyle w:val="FootnoteText"/>
        <w:rPr>
          <w:lang w:val="en-US"/>
        </w:rPr>
      </w:pPr>
      <w:r>
        <w:rPr>
          <w:rStyle w:val="FootnoteReference"/>
        </w:rPr>
        <w:footnoteRef/>
      </w:r>
      <w:r>
        <w:t xml:space="preserve"> West: Interviewed by Nicola van der Merwe.</w:t>
      </w:r>
    </w:p>
  </w:footnote>
  <w:footnote w:id="356">
    <w:p w14:paraId="1784A162" w14:textId="77777777" w:rsidR="005E6435" w:rsidRPr="003F7947" w:rsidRDefault="005E6435" w:rsidP="00170C43">
      <w:pPr>
        <w:pStyle w:val="FootnoteText"/>
        <w:jc w:val="left"/>
        <w:rPr>
          <w:lang w:val="en-US"/>
        </w:rPr>
      </w:pPr>
      <w:r>
        <w:rPr>
          <w:rStyle w:val="FootnoteReference"/>
        </w:rPr>
        <w:footnoteRef/>
      </w:r>
      <w:r>
        <w:t xml:space="preserve"> Kleinhans-Curd: Interviewed by Nicola van der Merwe.</w:t>
      </w:r>
    </w:p>
  </w:footnote>
  <w:footnote w:id="357">
    <w:p w14:paraId="562FEB51" w14:textId="77777777" w:rsidR="005E6435" w:rsidRPr="0082105F" w:rsidRDefault="005E6435" w:rsidP="00170C43">
      <w:pPr>
        <w:pStyle w:val="FootnoteText"/>
        <w:jc w:val="left"/>
        <w:rPr>
          <w:lang w:val="en-US"/>
        </w:rPr>
      </w:pPr>
      <w:r>
        <w:rPr>
          <w:rStyle w:val="FootnoteReference"/>
        </w:rPr>
        <w:footnoteRef/>
      </w:r>
      <w:r>
        <w:t xml:space="preserve"> S. Kim, J.L. Crompton, &amp; C. Botha: ‘Responding to competition: a strategy for Sun/Lost City, South Africa.’ </w:t>
      </w:r>
      <w:r>
        <w:rPr>
          <w:i/>
        </w:rPr>
        <w:t xml:space="preserve">Tourism Management. </w:t>
      </w:r>
      <w:r>
        <w:t>(2000, 21:), p. 33.</w:t>
      </w:r>
    </w:p>
  </w:footnote>
  <w:footnote w:id="358">
    <w:p w14:paraId="07635D8B" w14:textId="77777777" w:rsidR="005E6435" w:rsidRDefault="005E6435" w:rsidP="00170C43">
      <w:pPr>
        <w:pStyle w:val="FootnoteText"/>
        <w:jc w:val="left"/>
      </w:pPr>
      <w:r>
        <w:rPr>
          <w:rStyle w:val="FootnoteReference"/>
        </w:rPr>
        <w:footnoteRef/>
      </w:r>
      <w:r>
        <w:t xml:space="preserve"> Gaming and Betting Board: ‘Wiehahn Commission 1995.’ </w:t>
      </w:r>
      <w:hyperlink r:id="rId31" w:history="1">
        <w:r w:rsidRPr="002B6D2F">
          <w:rPr>
            <w:rStyle w:val="Hyperlink"/>
          </w:rPr>
          <w:t>http://www.kzngbb.org.za/wp-content/uploads/business-reports/GRC_Report.pdf</w:t>
        </w:r>
        <w:r w:rsidRPr="00EA5F34">
          <w:rPr>
            <w:rStyle w:val="Hyperlink"/>
          </w:rPr>
          <w:t xml:space="preserve"> </w:t>
        </w:r>
        <w:r w:rsidRPr="00170C43">
          <w:rPr>
            <w:rStyle w:val="NoSpacingChar"/>
          </w:rPr>
          <w:t>(4</w:t>
        </w:r>
      </w:hyperlink>
      <w:r>
        <w:t xml:space="preserve"> November 2015). </w:t>
      </w:r>
    </w:p>
  </w:footnote>
  <w:footnote w:id="359">
    <w:p w14:paraId="0A084C2E" w14:textId="77777777" w:rsidR="005E6435" w:rsidRPr="007C420A" w:rsidRDefault="005E6435" w:rsidP="00170C43">
      <w:pPr>
        <w:pStyle w:val="NoSpacing"/>
      </w:pPr>
      <w:r>
        <w:rPr>
          <w:rStyle w:val="FootnoteReference"/>
        </w:rPr>
        <w:footnoteRef/>
      </w:r>
      <w:r>
        <w:t xml:space="preserve"> Sallaz: </w:t>
      </w:r>
      <w:r w:rsidRPr="00773444">
        <w:rPr>
          <w:i/>
        </w:rPr>
        <w:t>The Labour of Luck</w:t>
      </w:r>
      <w:r>
        <w:t xml:space="preserve">, pp. 13-15. </w:t>
      </w:r>
    </w:p>
  </w:footnote>
  <w:footnote w:id="360">
    <w:p w14:paraId="7B5F3A67" w14:textId="77777777" w:rsidR="005E6435" w:rsidRDefault="005E6435" w:rsidP="00170C43">
      <w:pPr>
        <w:pStyle w:val="FootnoteText"/>
        <w:jc w:val="left"/>
      </w:pPr>
      <w:r>
        <w:rPr>
          <w:rStyle w:val="FootnoteReference"/>
        </w:rPr>
        <w:footnoteRef/>
      </w:r>
      <w:r>
        <w:t xml:space="preserve"> A. Erwin: ‘Address by the Minister of Trade and Industry, Alec Erwin at the second South African Gambling Conference, 18 April 2002’ [Online] </w:t>
      </w:r>
      <w:hyperlink r:id="rId32" w:history="1">
        <w:r w:rsidRPr="002B6D2F">
          <w:rPr>
            <w:rStyle w:val="Hyperlink"/>
          </w:rPr>
          <w:t xml:space="preserve">http://www.info.gov.za/speeches/2002/02042002246p1001.htm </w:t>
        </w:r>
        <w:r w:rsidRPr="00170C43">
          <w:rPr>
            <w:rStyle w:val="NoSpacingChar"/>
          </w:rPr>
          <w:t>(22</w:t>
        </w:r>
      </w:hyperlink>
      <w:r>
        <w:t xml:space="preserve"> September 2014). </w:t>
      </w:r>
    </w:p>
  </w:footnote>
  <w:footnote w:id="361">
    <w:p w14:paraId="0F507C61" w14:textId="77777777" w:rsidR="005E6435" w:rsidRPr="008A271F" w:rsidRDefault="005E6435" w:rsidP="002F536C">
      <w:pPr>
        <w:pStyle w:val="NoSpacing"/>
      </w:pPr>
      <w:r>
        <w:rPr>
          <w:rStyle w:val="FootnoteReference"/>
        </w:rPr>
        <w:footnoteRef/>
      </w:r>
      <w:r>
        <w:t xml:space="preserve"> </w:t>
      </w:r>
      <w:r w:rsidRPr="008A271F">
        <w:t xml:space="preserve">Unknown: ‘Wiehahn Commission 1995.’ [Online] </w:t>
      </w:r>
      <w:hyperlink r:id="rId33" w:history="1">
        <w:r w:rsidRPr="00200C9A">
          <w:rPr>
            <w:rStyle w:val="Hyperlink"/>
          </w:rPr>
          <w:t>http://www.kzngbb.org.za/wp-content/uploads/business-reports/GRC_Report.pdf (16</w:t>
        </w:r>
      </w:hyperlink>
      <w:r>
        <w:t xml:space="preserve"> December 2016). </w:t>
      </w:r>
    </w:p>
  </w:footnote>
  <w:footnote w:id="362">
    <w:p w14:paraId="1DC04B90" w14:textId="77777777" w:rsidR="005E6435" w:rsidRDefault="005E6435" w:rsidP="002F536C">
      <w:pPr>
        <w:pStyle w:val="NoSpacing"/>
      </w:pPr>
      <w:r w:rsidRPr="008A271F">
        <w:rPr>
          <w:rStyle w:val="FootnoteReference"/>
        </w:rPr>
        <w:footnoteRef/>
      </w:r>
      <w:r>
        <w:t xml:space="preserve"> J.A. Howard: </w:t>
      </w:r>
      <w:r w:rsidRPr="00170C43">
        <w:rPr>
          <w:i/>
        </w:rPr>
        <w:t>Commission of Inquiry into Lotteries, Sports Pools, Fundraising Activities and Certain Matters relating to Gambling: Report.</w:t>
      </w:r>
      <w:r>
        <w:t xml:space="preserve"> Pretoria, South African Government, 1992, pp. 102-112. </w:t>
      </w:r>
    </w:p>
  </w:footnote>
  <w:footnote w:id="363">
    <w:p w14:paraId="751FA13C" w14:textId="77777777" w:rsidR="005E6435" w:rsidRPr="00C344B4" w:rsidRDefault="005E6435" w:rsidP="002F536C">
      <w:pPr>
        <w:pStyle w:val="FootnoteText"/>
        <w:rPr>
          <w:lang w:val="en-US"/>
        </w:rPr>
      </w:pPr>
      <w:r w:rsidRPr="00673963">
        <w:rPr>
          <w:rStyle w:val="FootnoteReference"/>
        </w:rPr>
        <w:footnoteRef/>
      </w:r>
      <w:r w:rsidRPr="00673963">
        <w:t xml:space="preserve"> </w:t>
      </w:r>
      <w:r>
        <w:t xml:space="preserve">P. </w:t>
      </w:r>
      <w:r w:rsidRPr="00673963">
        <w:rPr>
          <w:lang w:val="en-US"/>
        </w:rPr>
        <w:t>Garson: ‘Developers are taking a gamble on casino licenses.</w:t>
      </w:r>
      <w:r w:rsidRPr="00673963">
        <w:rPr>
          <w:i/>
          <w:lang w:val="en-US"/>
        </w:rPr>
        <w:t xml:space="preserve">’ Mail and Guardian. </w:t>
      </w:r>
      <w:r w:rsidRPr="00673963">
        <w:rPr>
          <w:lang w:val="en-US"/>
        </w:rPr>
        <w:t>14 March 1995.</w:t>
      </w:r>
    </w:p>
  </w:footnote>
  <w:footnote w:id="364">
    <w:p w14:paraId="59797767" w14:textId="77777777" w:rsidR="005E6435" w:rsidRPr="005D117F" w:rsidRDefault="005E6435" w:rsidP="002F536C">
      <w:pPr>
        <w:pStyle w:val="NoSpacing"/>
      </w:pPr>
      <w:r>
        <w:rPr>
          <w:rStyle w:val="FootnoteReference"/>
        </w:rPr>
        <w:footnoteRef/>
      </w:r>
      <w:r>
        <w:t xml:space="preserve"> NASA, </w:t>
      </w:r>
      <w:r w:rsidRPr="00347FC5">
        <w:t>SAB</w:t>
      </w:r>
      <w:r>
        <w:t>,</w:t>
      </w:r>
      <w:r w:rsidRPr="00347FC5">
        <w:t xml:space="preserve"> 4/93F.W. De Klerk: Lotteries and Gambling Board Act, No. 210 of 1993, 21 January 1994. </w:t>
      </w:r>
    </w:p>
  </w:footnote>
  <w:footnote w:id="365">
    <w:p w14:paraId="23E686F5" w14:textId="77777777" w:rsidR="005E6435" w:rsidRPr="00673963" w:rsidRDefault="005E6435" w:rsidP="002F536C">
      <w:pPr>
        <w:pStyle w:val="FootnoteText"/>
        <w:rPr>
          <w:lang w:val="en-US"/>
        </w:rPr>
      </w:pPr>
      <w:r>
        <w:rPr>
          <w:rStyle w:val="FootnoteReference"/>
        </w:rPr>
        <w:footnoteRef/>
      </w:r>
      <w:r>
        <w:t xml:space="preserve"> </w:t>
      </w:r>
      <w:r>
        <w:rPr>
          <w:lang w:val="en-US"/>
        </w:rPr>
        <w:t xml:space="preserve">Garson: ‘Developers are taking a gamble on casino licenses.’ </w:t>
      </w:r>
      <w:r>
        <w:rPr>
          <w:i/>
          <w:lang w:val="en-US"/>
        </w:rPr>
        <w:t xml:space="preserve">Mail and Guardian. </w:t>
      </w:r>
      <w:r>
        <w:rPr>
          <w:lang w:val="en-US"/>
        </w:rPr>
        <w:t xml:space="preserve">14 March 1995. </w:t>
      </w:r>
    </w:p>
  </w:footnote>
  <w:footnote w:id="366">
    <w:p w14:paraId="5DD424FE" w14:textId="77777777" w:rsidR="005E6435" w:rsidRPr="006C48C7" w:rsidRDefault="005E6435" w:rsidP="002F536C">
      <w:pPr>
        <w:pStyle w:val="FootnoteText"/>
        <w:rPr>
          <w:i/>
          <w:lang w:val="en-US"/>
        </w:rPr>
      </w:pPr>
      <w:r>
        <w:rPr>
          <w:rStyle w:val="FootnoteReference"/>
        </w:rPr>
        <w:footnoteRef/>
      </w:r>
      <w:r>
        <w:t xml:space="preserve"> </w:t>
      </w:r>
      <w:r>
        <w:rPr>
          <w:lang w:val="en-US"/>
        </w:rPr>
        <w:t>Garson: ‘Developers are taking a gamble on casino licenses.’</w:t>
      </w:r>
    </w:p>
  </w:footnote>
  <w:footnote w:id="367">
    <w:p w14:paraId="2E9C02C2" w14:textId="77777777" w:rsidR="005E6435" w:rsidRPr="001B2F4E" w:rsidRDefault="005E6435" w:rsidP="002F536C">
      <w:pPr>
        <w:pStyle w:val="NoSpacing"/>
        <w:rPr>
          <w:i/>
        </w:rPr>
      </w:pPr>
      <w:r>
        <w:rPr>
          <w:rStyle w:val="FootnoteReference"/>
        </w:rPr>
        <w:footnoteRef/>
      </w:r>
      <w:r>
        <w:t xml:space="preserve"> South African Legal Information Institute: ‘National Gambling Act No. 33 of 1996.’ 3 July 1996. [Online] </w:t>
      </w:r>
      <w:hyperlink r:id="rId34" w:history="1">
        <w:r w:rsidRPr="00472F01">
          <w:rPr>
            <w:rStyle w:val="Hyperlink"/>
          </w:rPr>
          <w:t>http://www.saflii.org/za/legis/num_act/nga1996156/</w:t>
        </w:r>
      </w:hyperlink>
      <w:r>
        <w:t xml:space="preserve"> (20 June 2016). </w:t>
      </w:r>
    </w:p>
  </w:footnote>
  <w:footnote w:id="368">
    <w:p w14:paraId="3222A831" w14:textId="77777777" w:rsidR="005E6435" w:rsidRPr="00313B49" w:rsidRDefault="005E6435" w:rsidP="002F536C">
      <w:pPr>
        <w:pStyle w:val="FootnoteText"/>
        <w:rPr>
          <w:lang w:val="en-US"/>
        </w:rPr>
      </w:pPr>
      <w:r>
        <w:rPr>
          <w:rStyle w:val="FootnoteReference"/>
        </w:rPr>
        <w:footnoteRef/>
      </w:r>
      <w:r>
        <w:t xml:space="preserve"> Kirsten &amp; Rogerson: ‘Tourism, business linkages and small enterprise development in South Africa’. p. 36.</w:t>
      </w:r>
    </w:p>
  </w:footnote>
  <w:footnote w:id="369">
    <w:p w14:paraId="769B1FDD" w14:textId="77777777" w:rsidR="005E6435" w:rsidRPr="006C48C7" w:rsidRDefault="005E6435" w:rsidP="002F536C">
      <w:pPr>
        <w:pStyle w:val="FootnoteText"/>
        <w:jc w:val="left"/>
        <w:rPr>
          <w:lang w:val="en-US"/>
        </w:rPr>
      </w:pPr>
      <w:r>
        <w:rPr>
          <w:rStyle w:val="FootnoteReference"/>
        </w:rPr>
        <w:footnoteRef/>
      </w:r>
      <w:r>
        <w:t xml:space="preserve"> Kim, Crompton &amp; Botha: ‘Responding to competition’, p. 33.</w:t>
      </w:r>
    </w:p>
  </w:footnote>
  <w:footnote w:id="370">
    <w:p w14:paraId="382246BD" w14:textId="77777777" w:rsidR="005E6435" w:rsidRPr="007B4AFE" w:rsidRDefault="005E6435" w:rsidP="002F536C">
      <w:pPr>
        <w:pStyle w:val="FootnoteText"/>
        <w:rPr>
          <w:lang w:val="en-US"/>
        </w:rPr>
      </w:pPr>
      <w:r>
        <w:rPr>
          <w:rStyle w:val="FootnoteReference"/>
        </w:rPr>
        <w:footnoteRef/>
      </w:r>
      <w:r>
        <w:t xml:space="preserve"> </w:t>
      </w:r>
      <w:r>
        <w:rPr>
          <w:i/>
        </w:rPr>
        <w:t>Ibid,</w:t>
      </w:r>
      <w:r>
        <w:t xml:space="preserve"> p. 38.</w:t>
      </w:r>
    </w:p>
  </w:footnote>
  <w:footnote w:id="371">
    <w:p w14:paraId="16009867" w14:textId="77777777" w:rsidR="005E6435" w:rsidRDefault="005E6435" w:rsidP="00170C43">
      <w:pPr>
        <w:pStyle w:val="NoSpacing"/>
      </w:pPr>
      <w:r>
        <w:rPr>
          <w:rStyle w:val="FootnoteReference"/>
        </w:rPr>
        <w:footnoteRef/>
      </w:r>
      <w:r>
        <w:t xml:space="preserve"> I. Van Wyk: “‘Tata ma chance’: On contingency and the Lottery in post-apartheid South Afirca.” </w:t>
      </w:r>
      <w:r>
        <w:rPr>
          <w:i/>
        </w:rPr>
        <w:t xml:space="preserve">ESRC Project, </w:t>
      </w:r>
      <w:r>
        <w:t>London May 2010, pp. 3-4.</w:t>
      </w:r>
    </w:p>
  </w:footnote>
  <w:footnote w:id="372">
    <w:p w14:paraId="2FE375CB" w14:textId="77777777" w:rsidR="005E6435" w:rsidRPr="00CE52A7" w:rsidRDefault="005E6435" w:rsidP="002F536C">
      <w:pPr>
        <w:pStyle w:val="NoSpacing"/>
      </w:pPr>
      <w:r>
        <w:rPr>
          <w:rStyle w:val="FootnoteReference"/>
        </w:rPr>
        <w:footnoteRef/>
      </w:r>
      <w:r>
        <w:t xml:space="preserve"> I. Chipkin &amp; S. Meny-Gibert: ‘Why the Past Matters: Studying Public Administration in South Africa.’ </w:t>
      </w:r>
      <w:r>
        <w:rPr>
          <w:i/>
        </w:rPr>
        <w:t xml:space="preserve">Journal of Public Administration, </w:t>
      </w:r>
      <w:r>
        <w:t>(2012, 47:1), pp. 102-112.</w:t>
      </w:r>
    </w:p>
  </w:footnote>
  <w:footnote w:id="373">
    <w:p w14:paraId="442AC66F" w14:textId="77777777" w:rsidR="005E6435" w:rsidRPr="00CF7CBD" w:rsidRDefault="005E6435" w:rsidP="002F536C">
      <w:pPr>
        <w:pStyle w:val="NoSpacing"/>
        <w:rPr>
          <w:i/>
        </w:rPr>
      </w:pPr>
      <w:r>
        <w:rPr>
          <w:rStyle w:val="FootnoteReference"/>
        </w:rPr>
        <w:footnoteRef/>
      </w:r>
      <w:r>
        <w:t xml:space="preserve"> Unknown: ‘A lesson from Sol: it’s OK if it’s over the Kei.’</w:t>
      </w:r>
    </w:p>
  </w:footnote>
  <w:footnote w:id="374">
    <w:p w14:paraId="380B7A6C" w14:textId="77777777" w:rsidR="005E6435" w:rsidRPr="005D3A78" w:rsidRDefault="005E6435" w:rsidP="002F536C">
      <w:pPr>
        <w:pStyle w:val="FootnoteText"/>
        <w:rPr>
          <w:i/>
          <w:lang w:val="en-US"/>
        </w:rPr>
      </w:pPr>
      <w:r>
        <w:rPr>
          <w:rStyle w:val="FootnoteReference"/>
        </w:rPr>
        <w:footnoteRef/>
      </w:r>
      <w:r>
        <w:t xml:space="preserve"> </w:t>
      </w:r>
      <w:r>
        <w:rPr>
          <w:i/>
        </w:rPr>
        <w:t xml:space="preserve">Ibid. </w:t>
      </w:r>
    </w:p>
  </w:footnote>
  <w:footnote w:id="375">
    <w:p w14:paraId="2B6462DE" w14:textId="77777777" w:rsidR="005E6435" w:rsidRPr="005D3A78" w:rsidRDefault="005E6435" w:rsidP="002F536C">
      <w:pPr>
        <w:pStyle w:val="FootnoteText"/>
        <w:rPr>
          <w:lang w:val="en-US"/>
        </w:rPr>
      </w:pPr>
      <w:r>
        <w:rPr>
          <w:rStyle w:val="FootnoteReference"/>
        </w:rPr>
        <w:footnoteRef/>
      </w:r>
      <w:r>
        <w:t xml:space="preserve"> </w:t>
      </w:r>
      <w:r>
        <w:rPr>
          <w:lang w:val="en-US"/>
        </w:rPr>
        <w:t>Unknown:</w:t>
      </w:r>
      <w:r>
        <w:t xml:space="preserve"> ‘A lesson from Sol: it’s OK if it’s over the Kei.’ </w:t>
      </w:r>
      <w:r>
        <w:rPr>
          <w:i/>
        </w:rPr>
        <w:t xml:space="preserve">The Mail and Guardian. </w:t>
      </w:r>
    </w:p>
  </w:footnote>
  <w:footnote w:id="376">
    <w:p w14:paraId="4531AC20" w14:textId="77777777" w:rsidR="005E6435" w:rsidRPr="006A0C3F" w:rsidRDefault="005E6435" w:rsidP="002F536C">
      <w:pPr>
        <w:pStyle w:val="FootnoteText"/>
        <w:rPr>
          <w:lang w:val="en-US"/>
        </w:rPr>
      </w:pPr>
      <w:r>
        <w:rPr>
          <w:rStyle w:val="FootnoteReference"/>
        </w:rPr>
        <w:footnoteRef/>
      </w:r>
      <w:r>
        <w:t xml:space="preserve"> Staff reporter: ‘Police move closer to Sol’ </w:t>
      </w:r>
      <w:r>
        <w:rPr>
          <w:i/>
        </w:rPr>
        <w:t>The Mail and Guardian.</w:t>
      </w:r>
    </w:p>
  </w:footnote>
  <w:footnote w:id="377">
    <w:p w14:paraId="1DA51A6C" w14:textId="77777777" w:rsidR="005E6435" w:rsidRPr="00D953BA" w:rsidRDefault="005E6435" w:rsidP="002F536C">
      <w:pPr>
        <w:pStyle w:val="FootnoteText"/>
        <w:rPr>
          <w:lang w:val="en-US"/>
        </w:rPr>
      </w:pPr>
      <w:r>
        <w:rPr>
          <w:rStyle w:val="FootnoteReference"/>
        </w:rPr>
        <w:footnoteRef/>
      </w:r>
      <w:r>
        <w:t xml:space="preserve"> </w:t>
      </w:r>
      <w:r>
        <w:rPr>
          <w:lang w:val="en-US"/>
        </w:rPr>
        <w:t>van Vuuren: ‘Apartheid Grand Corruption’, p. 81.</w:t>
      </w:r>
    </w:p>
  </w:footnote>
  <w:footnote w:id="378">
    <w:p w14:paraId="61F3700F" w14:textId="77777777" w:rsidR="005E6435" w:rsidRPr="00D953BA" w:rsidRDefault="005E6435" w:rsidP="002F536C">
      <w:pPr>
        <w:pStyle w:val="FootnoteText"/>
        <w:rPr>
          <w:lang w:val="en-US"/>
        </w:rPr>
      </w:pPr>
      <w:r>
        <w:rPr>
          <w:rStyle w:val="FootnoteReference"/>
        </w:rPr>
        <w:footnoteRef/>
      </w:r>
      <w:r>
        <w:t xml:space="preserve"> Unknown: ‘Report lays bare apartheid corruption.’ </w:t>
      </w:r>
      <w:r>
        <w:rPr>
          <w:i/>
        </w:rPr>
        <w:t xml:space="preserve">Southern African Documentation and Cooperation Centre. </w:t>
      </w:r>
      <w:r>
        <w:t xml:space="preserve">1 June 2006. [Online] </w:t>
      </w:r>
      <w:hyperlink r:id="rId35" w:history="1">
        <w:r w:rsidRPr="0079310D">
          <w:rPr>
            <w:rStyle w:val="Hyperlink"/>
          </w:rPr>
          <w:t>http://www.sadocc.at/news/2006/2006-084.shtml (11</w:t>
        </w:r>
      </w:hyperlink>
      <w:r>
        <w:t xml:space="preserve"> June 2016).</w:t>
      </w:r>
    </w:p>
  </w:footnote>
  <w:footnote w:id="379">
    <w:p w14:paraId="531ECC96" w14:textId="77777777" w:rsidR="005E6435" w:rsidRPr="004553E6" w:rsidRDefault="005E6435" w:rsidP="002F536C">
      <w:pPr>
        <w:pStyle w:val="FootnoteText"/>
        <w:rPr>
          <w:lang w:val="en-US"/>
        </w:rPr>
      </w:pPr>
      <w:r>
        <w:rPr>
          <w:rStyle w:val="FootnoteReference"/>
        </w:rPr>
        <w:footnoteRef/>
      </w:r>
      <w:r>
        <w:rPr>
          <w:lang w:val="en-US"/>
        </w:rPr>
        <w:t xml:space="preserve"> Van Vuuren: ‘Apartheid Grand Corruption’, p. 81.</w:t>
      </w:r>
    </w:p>
  </w:footnote>
  <w:footnote w:id="380">
    <w:p w14:paraId="5F9B67DD" w14:textId="77777777" w:rsidR="005E6435" w:rsidRPr="00554751" w:rsidRDefault="005E6435" w:rsidP="002F536C">
      <w:pPr>
        <w:pStyle w:val="NoSpacing"/>
      </w:pPr>
      <w:r>
        <w:rPr>
          <w:rStyle w:val="FootnoteReference"/>
        </w:rPr>
        <w:footnoteRef/>
      </w:r>
      <w:r>
        <w:t xml:space="preserve"> Quoted in J. Hyslop: ‘Political Corruption in South Africa: Before and After Apartheid.’ </w:t>
      </w:r>
      <w:r>
        <w:rPr>
          <w:i/>
        </w:rPr>
        <w:t xml:space="preserve">Journal of Southern African Studies, </w:t>
      </w:r>
      <w:r>
        <w:t>(2005, 31:4), pp. 783.</w:t>
      </w:r>
    </w:p>
  </w:footnote>
  <w:footnote w:id="381">
    <w:p w14:paraId="67EC6D2A" w14:textId="77777777" w:rsidR="005E6435" w:rsidRPr="00673963" w:rsidRDefault="005E6435" w:rsidP="002F536C">
      <w:pPr>
        <w:pStyle w:val="FootnoteText"/>
        <w:rPr>
          <w:lang w:val="en-US"/>
        </w:rPr>
      </w:pPr>
      <w:r>
        <w:rPr>
          <w:rStyle w:val="FootnoteReference"/>
        </w:rPr>
        <w:footnoteRef/>
      </w:r>
      <w:r>
        <w:t xml:space="preserve"> </w:t>
      </w:r>
      <w:r>
        <w:rPr>
          <w:lang w:val="en-US"/>
        </w:rPr>
        <w:t xml:space="preserve">Garson: ‘Developers are taking a gamble on casino licenses.’ </w:t>
      </w:r>
    </w:p>
  </w:footnote>
  <w:footnote w:id="382">
    <w:p w14:paraId="7424C2F7" w14:textId="77777777" w:rsidR="005E6435" w:rsidRPr="002C1086" w:rsidRDefault="005E6435" w:rsidP="002F536C">
      <w:pPr>
        <w:pStyle w:val="FootnoteText"/>
        <w:rPr>
          <w:lang w:val="en-US"/>
        </w:rPr>
      </w:pPr>
      <w:r>
        <w:rPr>
          <w:rStyle w:val="FootnoteReference"/>
        </w:rPr>
        <w:footnoteRef/>
      </w:r>
      <w:r>
        <w:t xml:space="preserve"> Staff reporter: ‘Police move closer to Sol’</w:t>
      </w:r>
      <w:r>
        <w:rPr>
          <w: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82775B"/>
    <w:multiLevelType w:val="multilevel"/>
    <w:tmpl w:val="0EBA3C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E653E55"/>
    <w:multiLevelType w:val="multilevel"/>
    <w:tmpl w:val="54DABA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20F761E2"/>
    <w:multiLevelType w:val="multilevel"/>
    <w:tmpl w:val="F07C7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8F44C74"/>
    <w:multiLevelType w:val="hybridMultilevel"/>
    <w:tmpl w:val="0602D686"/>
    <w:lvl w:ilvl="0" w:tplc="E0466C60">
      <w:start w:val="20"/>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4E3CFA"/>
    <w:multiLevelType w:val="hybridMultilevel"/>
    <w:tmpl w:val="85C42622"/>
    <w:lvl w:ilvl="0" w:tplc="F1609A80">
      <w:start w:val="20"/>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38E07CB"/>
    <w:multiLevelType w:val="multilevel"/>
    <w:tmpl w:val="C71C2C54"/>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4B28037E"/>
    <w:multiLevelType w:val="hybridMultilevel"/>
    <w:tmpl w:val="65804724"/>
    <w:lvl w:ilvl="0" w:tplc="64FA3D2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EC6ACA"/>
    <w:multiLevelType w:val="hybridMultilevel"/>
    <w:tmpl w:val="994EE1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EBB01EB"/>
    <w:multiLevelType w:val="hybridMultilevel"/>
    <w:tmpl w:val="E01AFCA6"/>
    <w:lvl w:ilvl="0" w:tplc="B730427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5DA1861"/>
    <w:multiLevelType w:val="multilevel"/>
    <w:tmpl w:val="F1480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1"/>
  </w:num>
  <w:num w:numId="14">
    <w:abstractNumId w:val="5"/>
  </w:num>
  <w:num w:numId="15">
    <w:abstractNumId w:val="2"/>
  </w:num>
  <w:num w:numId="16">
    <w:abstractNumId w:val="9"/>
  </w:num>
  <w:num w:numId="17">
    <w:abstractNumId w:val="3"/>
  </w:num>
  <w:num w:numId="18">
    <w:abstractNumId w:val="4"/>
  </w:num>
  <w:num w:numId="19">
    <w:abstractNumId w:val="6"/>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activeWritingStyle w:appName="MSWord" w:lang="en-GB" w:vendorID="64" w:dllVersion="0" w:nlCheck="1" w:checkStyle="1"/>
  <w:activeWritingStyle w:appName="MSWord" w:lang="en-US" w:vendorID="64" w:dllVersion="0" w:nlCheck="1" w:checkStyle="0"/>
  <w:activeWritingStyle w:appName="MSWord" w:lang="en-ZA" w:vendorID="64" w:dllVersion="0" w:nlCheck="1" w:checkStyle="0"/>
  <w:activeWritingStyle w:appName="MSWord" w:lang="en-US" w:vendorID="64" w:dllVersion="131078" w:nlCheck="1" w:checkStyle="1"/>
  <w:activeWritingStyle w:appName="MSWord" w:lang="en-GB" w:vendorID="64" w:dllVersion="131078" w:nlCheck="1" w:checkStyle="1"/>
  <w:activeWritingStyle w:appName="MSWord" w:lang="en-ZA" w:vendorID="64" w:dllVersion="131078" w:nlCheck="1" w:checkStyle="1"/>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632"/>
    <w:rsid w:val="00000224"/>
    <w:rsid w:val="0000182D"/>
    <w:rsid w:val="0000242B"/>
    <w:rsid w:val="0000244E"/>
    <w:rsid w:val="00006EA0"/>
    <w:rsid w:val="000075D9"/>
    <w:rsid w:val="00007A3F"/>
    <w:rsid w:val="00007BAC"/>
    <w:rsid w:val="00010C11"/>
    <w:rsid w:val="00010E6C"/>
    <w:rsid w:val="000137C5"/>
    <w:rsid w:val="00013EFC"/>
    <w:rsid w:val="00016AA7"/>
    <w:rsid w:val="000177D0"/>
    <w:rsid w:val="00017FAF"/>
    <w:rsid w:val="0002167D"/>
    <w:rsid w:val="000224C2"/>
    <w:rsid w:val="000247A9"/>
    <w:rsid w:val="00025601"/>
    <w:rsid w:val="00025FCB"/>
    <w:rsid w:val="0002607A"/>
    <w:rsid w:val="0003033B"/>
    <w:rsid w:val="0003461E"/>
    <w:rsid w:val="00034A3A"/>
    <w:rsid w:val="00035779"/>
    <w:rsid w:val="00036B4B"/>
    <w:rsid w:val="00036D89"/>
    <w:rsid w:val="00037BB1"/>
    <w:rsid w:val="00041884"/>
    <w:rsid w:val="0004397D"/>
    <w:rsid w:val="00043D4E"/>
    <w:rsid w:val="00043F47"/>
    <w:rsid w:val="00044EEE"/>
    <w:rsid w:val="00045F41"/>
    <w:rsid w:val="000461FC"/>
    <w:rsid w:val="00046280"/>
    <w:rsid w:val="0004633D"/>
    <w:rsid w:val="00046755"/>
    <w:rsid w:val="000509F0"/>
    <w:rsid w:val="000524B5"/>
    <w:rsid w:val="000535CE"/>
    <w:rsid w:val="00054295"/>
    <w:rsid w:val="00056666"/>
    <w:rsid w:val="00056774"/>
    <w:rsid w:val="00057B26"/>
    <w:rsid w:val="00062058"/>
    <w:rsid w:val="000652CF"/>
    <w:rsid w:val="000655BC"/>
    <w:rsid w:val="00070561"/>
    <w:rsid w:val="0007090E"/>
    <w:rsid w:val="000716F5"/>
    <w:rsid w:val="000754D6"/>
    <w:rsid w:val="00076909"/>
    <w:rsid w:val="000770DC"/>
    <w:rsid w:val="000804EA"/>
    <w:rsid w:val="00083137"/>
    <w:rsid w:val="00083BC1"/>
    <w:rsid w:val="000854B3"/>
    <w:rsid w:val="0008586F"/>
    <w:rsid w:val="000867BD"/>
    <w:rsid w:val="0009287C"/>
    <w:rsid w:val="00092CE4"/>
    <w:rsid w:val="000936A5"/>
    <w:rsid w:val="00095010"/>
    <w:rsid w:val="0009540D"/>
    <w:rsid w:val="00096A45"/>
    <w:rsid w:val="000A0AF1"/>
    <w:rsid w:val="000A307D"/>
    <w:rsid w:val="000A37BC"/>
    <w:rsid w:val="000A39C5"/>
    <w:rsid w:val="000A4CB5"/>
    <w:rsid w:val="000A5B83"/>
    <w:rsid w:val="000A67CB"/>
    <w:rsid w:val="000A77F4"/>
    <w:rsid w:val="000A794D"/>
    <w:rsid w:val="000B251E"/>
    <w:rsid w:val="000B4EF2"/>
    <w:rsid w:val="000B5B8B"/>
    <w:rsid w:val="000B7791"/>
    <w:rsid w:val="000B77F5"/>
    <w:rsid w:val="000C1281"/>
    <w:rsid w:val="000C26FA"/>
    <w:rsid w:val="000C462B"/>
    <w:rsid w:val="000C57FE"/>
    <w:rsid w:val="000C70F7"/>
    <w:rsid w:val="000D34F0"/>
    <w:rsid w:val="000D43D2"/>
    <w:rsid w:val="000D6CD4"/>
    <w:rsid w:val="000D74F3"/>
    <w:rsid w:val="000D7A25"/>
    <w:rsid w:val="000D7AB5"/>
    <w:rsid w:val="000E54C4"/>
    <w:rsid w:val="000E5FA4"/>
    <w:rsid w:val="000E6125"/>
    <w:rsid w:val="000E73B2"/>
    <w:rsid w:val="000F0717"/>
    <w:rsid w:val="000F09EF"/>
    <w:rsid w:val="000F2B0B"/>
    <w:rsid w:val="000F44D5"/>
    <w:rsid w:val="000F4FFB"/>
    <w:rsid w:val="000F6BF6"/>
    <w:rsid w:val="00100097"/>
    <w:rsid w:val="00101C63"/>
    <w:rsid w:val="00101CC7"/>
    <w:rsid w:val="001037C7"/>
    <w:rsid w:val="00105A1D"/>
    <w:rsid w:val="0010724B"/>
    <w:rsid w:val="00107822"/>
    <w:rsid w:val="00110753"/>
    <w:rsid w:val="00112288"/>
    <w:rsid w:val="001160FC"/>
    <w:rsid w:val="00116DC6"/>
    <w:rsid w:val="0011724C"/>
    <w:rsid w:val="001230C0"/>
    <w:rsid w:val="00123E79"/>
    <w:rsid w:val="00125951"/>
    <w:rsid w:val="001259EF"/>
    <w:rsid w:val="00125E07"/>
    <w:rsid w:val="001264EA"/>
    <w:rsid w:val="00127F8D"/>
    <w:rsid w:val="00130F38"/>
    <w:rsid w:val="00133020"/>
    <w:rsid w:val="00134AF6"/>
    <w:rsid w:val="00134B15"/>
    <w:rsid w:val="00135D3E"/>
    <w:rsid w:val="0014756E"/>
    <w:rsid w:val="00147879"/>
    <w:rsid w:val="001500D7"/>
    <w:rsid w:val="00151C9B"/>
    <w:rsid w:val="00151DAB"/>
    <w:rsid w:val="001524B8"/>
    <w:rsid w:val="00154956"/>
    <w:rsid w:val="001564F1"/>
    <w:rsid w:val="00156802"/>
    <w:rsid w:val="001607B4"/>
    <w:rsid w:val="00162D33"/>
    <w:rsid w:val="00162DB0"/>
    <w:rsid w:val="00163936"/>
    <w:rsid w:val="00163DA2"/>
    <w:rsid w:val="00164952"/>
    <w:rsid w:val="001657D8"/>
    <w:rsid w:val="0016792A"/>
    <w:rsid w:val="001705E3"/>
    <w:rsid w:val="00170C43"/>
    <w:rsid w:val="00171284"/>
    <w:rsid w:val="001742E8"/>
    <w:rsid w:val="00174461"/>
    <w:rsid w:val="001765BB"/>
    <w:rsid w:val="00176696"/>
    <w:rsid w:val="00176BAF"/>
    <w:rsid w:val="001773DC"/>
    <w:rsid w:val="00182441"/>
    <w:rsid w:val="00182CB9"/>
    <w:rsid w:val="0018489B"/>
    <w:rsid w:val="00184B92"/>
    <w:rsid w:val="001851DD"/>
    <w:rsid w:val="00185404"/>
    <w:rsid w:val="00185C15"/>
    <w:rsid w:val="00190150"/>
    <w:rsid w:val="00190D65"/>
    <w:rsid w:val="0019229F"/>
    <w:rsid w:val="00192471"/>
    <w:rsid w:val="001924B7"/>
    <w:rsid w:val="00193766"/>
    <w:rsid w:val="00195E8D"/>
    <w:rsid w:val="00195FFA"/>
    <w:rsid w:val="001964C3"/>
    <w:rsid w:val="001A0714"/>
    <w:rsid w:val="001A0B86"/>
    <w:rsid w:val="001A2781"/>
    <w:rsid w:val="001A2CFF"/>
    <w:rsid w:val="001A2D99"/>
    <w:rsid w:val="001A33A8"/>
    <w:rsid w:val="001A42D0"/>
    <w:rsid w:val="001A4D7B"/>
    <w:rsid w:val="001A523E"/>
    <w:rsid w:val="001A6452"/>
    <w:rsid w:val="001B1544"/>
    <w:rsid w:val="001B2F4E"/>
    <w:rsid w:val="001B4D45"/>
    <w:rsid w:val="001B523E"/>
    <w:rsid w:val="001B6328"/>
    <w:rsid w:val="001B7D86"/>
    <w:rsid w:val="001C0747"/>
    <w:rsid w:val="001C07FE"/>
    <w:rsid w:val="001C54BB"/>
    <w:rsid w:val="001C7139"/>
    <w:rsid w:val="001C715B"/>
    <w:rsid w:val="001C7AE2"/>
    <w:rsid w:val="001D009B"/>
    <w:rsid w:val="001D0CC5"/>
    <w:rsid w:val="001D0DB2"/>
    <w:rsid w:val="001D10B1"/>
    <w:rsid w:val="001D1534"/>
    <w:rsid w:val="001D1EC3"/>
    <w:rsid w:val="001D2081"/>
    <w:rsid w:val="001D3203"/>
    <w:rsid w:val="001D4A63"/>
    <w:rsid w:val="001D4C96"/>
    <w:rsid w:val="001D5BDD"/>
    <w:rsid w:val="001D710E"/>
    <w:rsid w:val="001E0889"/>
    <w:rsid w:val="001E352B"/>
    <w:rsid w:val="001E3677"/>
    <w:rsid w:val="001E600F"/>
    <w:rsid w:val="001E6E29"/>
    <w:rsid w:val="001E775A"/>
    <w:rsid w:val="001E79E5"/>
    <w:rsid w:val="001E7DB3"/>
    <w:rsid w:val="001F17F3"/>
    <w:rsid w:val="001F3E26"/>
    <w:rsid w:val="001F5066"/>
    <w:rsid w:val="001F5267"/>
    <w:rsid w:val="002008F4"/>
    <w:rsid w:val="00202C82"/>
    <w:rsid w:val="00204446"/>
    <w:rsid w:val="002056FD"/>
    <w:rsid w:val="002063B3"/>
    <w:rsid w:val="00207479"/>
    <w:rsid w:val="0021313B"/>
    <w:rsid w:val="00213394"/>
    <w:rsid w:val="00214A42"/>
    <w:rsid w:val="0021632D"/>
    <w:rsid w:val="00216919"/>
    <w:rsid w:val="00216A0D"/>
    <w:rsid w:val="00217C50"/>
    <w:rsid w:val="00222C90"/>
    <w:rsid w:val="00225164"/>
    <w:rsid w:val="00226731"/>
    <w:rsid w:val="002339EC"/>
    <w:rsid w:val="00234028"/>
    <w:rsid w:val="002351AD"/>
    <w:rsid w:val="002355EE"/>
    <w:rsid w:val="0023577F"/>
    <w:rsid w:val="00235CD9"/>
    <w:rsid w:val="00236110"/>
    <w:rsid w:val="0023674F"/>
    <w:rsid w:val="002405DF"/>
    <w:rsid w:val="00240B36"/>
    <w:rsid w:val="002418A1"/>
    <w:rsid w:val="00241BBA"/>
    <w:rsid w:val="00245F1F"/>
    <w:rsid w:val="00246360"/>
    <w:rsid w:val="0024678D"/>
    <w:rsid w:val="00246DA1"/>
    <w:rsid w:val="00246EC1"/>
    <w:rsid w:val="00247BC7"/>
    <w:rsid w:val="00250190"/>
    <w:rsid w:val="00251E76"/>
    <w:rsid w:val="00252B82"/>
    <w:rsid w:val="00252F7F"/>
    <w:rsid w:val="00253029"/>
    <w:rsid w:val="00257673"/>
    <w:rsid w:val="00257E3D"/>
    <w:rsid w:val="0026132B"/>
    <w:rsid w:val="0026198C"/>
    <w:rsid w:val="002627E7"/>
    <w:rsid w:val="002640E7"/>
    <w:rsid w:val="00265FD2"/>
    <w:rsid w:val="0027057D"/>
    <w:rsid w:val="00270847"/>
    <w:rsid w:val="00270F81"/>
    <w:rsid w:val="002728C9"/>
    <w:rsid w:val="00272BFA"/>
    <w:rsid w:val="0027632D"/>
    <w:rsid w:val="00276380"/>
    <w:rsid w:val="002764E5"/>
    <w:rsid w:val="00276E9A"/>
    <w:rsid w:val="00277221"/>
    <w:rsid w:val="002817A0"/>
    <w:rsid w:val="002822D6"/>
    <w:rsid w:val="002837EB"/>
    <w:rsid w:val="002838A2"/>
    <w:rsid w:val="00283D63"/>
    <w:rsid w:val="002857ED"/>
    <w:rsid w:val="00286A38"/>
    <w:rsid w:val="00286D2D"/>
    <w:rsid w:val="00286F5C"/>
    <w:rsid w:val="00286FB4"/>
    <w:rsid w:val="0029052C"/>
    <w:rsid w:val="00292AF4"/>
    <w:rsid w:val="002934B1"/>
    <w:rsid w:val="00293717"/>
    <w:rsid w:val="00294D58"/>
    <w:rsid w:val="00294F4F"/>
    <w:rsid w:val="0029704C"/>
    <w:rsid w:val="002A1571"/>
    <w:rsid w:val="002A1851"/>
    <w:rsid w:val="002A197D"/>
    <w:rsid w:val="002A3E3A"/>
    <w:rsid w:val="002A520B"/>
    <w:rsid w:val="002A5650"/>
    <w:rsid w:val="002B3288"/>
    <w:rsid w:val="002B3DCD"/>
    <w:rsid w:val="002B45F7"/>
    <w:rsid w:val="002B55DA"/>
    <w:rsid w:val="002B5E1B"/>
    <w:rsid w:val="002B66C9"/>
    <w:rsid w:val="002B7DDD"/>
    <w:rsid w:val="002C1086"/>
    <w:rsid w:val="002C386B"/>
    <w:rsid w:val="002C556E"/>
    <w:rsid w:val="002C5F4F"/>
    <w:rsid w:val="002C60EB"/>
    <w:rsid w:val="002C62F4"/>
    <w:rsid w:val="002C70DB"/>
    <w:rsid w:val="002C7195"/>
    <w:rsid w:val="002C72BC"/>
    <w:rsid w:val="002C7C45"/>
    <w:rsid w:val="002D0649"/>
    <w:rsid w:val="002D08CD"/>
    <w:rsid w:val="002D139E"/>
    <w:rsid w:val="002D1BBA"/>
    <w:rsid w:val="002D1FB2"/>
    <w:rsid w:val="002D2EEF"/>
    <w:rsid w:val="002D36FA"/>
    <w:rsid w:val="002D3DD1"/>
    <w:rsid w:val="002D533F"/>
    <w:rsid w:val="002D5596"/>
    <w:rsid w:val="002D623D"/>
    <w:rsid w:val="002D6B29"/>
    <w:rsid w:val="002D6C4A"/>
    <w:rsid w:val="002D6CEA"/>
    <w:rsid w:val="002D733E"/>
    <w:rsid w:val="002D7F38"/>
    <w:rsid w:val="002E1BBF"/>
    <w:rsid w:val="002E1D2E"/>
    <w:rsid w:val="002E2523"/>
    <w:rsid w:val="002E31DA"/>
    <w:rsid w:val="002E38A4"/>
    <w:rsid w:val="002E4C34"/>
    <w:rsid w:val="002E5275"/>
    <w:rsid w:val="002E53A5"/>
    <w:rsid w:val="002E57E5"/>
    <w:rsid w:val="002E6523"/>
    <w:rsid w:val="002E6CCE"/>
    <w:rsid w:val="002E70EF"/>
    <w:rsid w:val="002F08BB"/>
    <w:rsid w:val="002F2B16"/>
    <w:rsid w:val="002F3751"/>
    <w:rsid w:val="002F536C"/>
    <w:rsid w:val="002F547A"/>
    <w:rsid w:val="002F5A6E"/>
    <w:rsid w:val="002F64F4"/>
    <w:rsid w:val="002F6710"/>
    <w:rsid w:val="002F6C9C"/>
    <w:rsid w:val="002F6CF6"/>
    <w:rsid w:val="002F6E22"/>
    <w:rsid w:val="002F74A6"/>
    <w:rsid w:val="002F7854"/>
    <w:rsid w:val="002F7AD2"/>
    <w:rsid w:val="0030050B"/>
    <w:rsid w:val="00300D7B"/>
    <w:rsid w:val="0030269C"/>
    <w:rsid w:val="003041CB"/>
    <w:rsid w:val="003071EB"/>
    <w:rsid w:val="00307D9E"/>
    <w:rsid w:val="00310C3D"/>
    <w:rsid w:val="00312513"/>
    <w:rsid w:val="00313B49"/>
    <w:rsid w:val="00313E7A"/>
    <w:rsid w:val="00313FDE"/>
    <w:rsid w:val="003142CB"/>
    <w:rsid w:val="00314A63"/>
    <w:rsid w:val="00314C0B"/>
    <w:rsid w:val="00315A2B"/>
    <w:rsid w:val="00315D3E"/>
    <w:rsid w:val="00317786"/>
    <w:rsid w:val="00323ED9"/>
    <w:rsid w:val="00323FCA"/>
    <w:rsid w:val="00324B21"/>
    <w:rsid w:val="00324B64"/>
    <w:rsid w:val="00325035"/>
    <w:rsid w:val="00325342"/>
    <w:rsid w:val="00327428"/>
    <w:rsid w:val="00331135"/>
    <w:rsid w:val="0033127C"/>
    <w:rsid w:val="00331853"/>
    <w:rsid w:val="00331FB1"/>
    <w:rsid w:val="00332CDA"/>
    <w:rsid w:val="00333F77"/>
    <w:rsid w:val="003354D3"/>
    <w:rsid w:val="003401D3"/>
    <w:rsid w:val="00340E7D"/>
    <w:rsid w:val="00344D28"/>
    <w:rsid w:val="003452C6"/>
    <w:rsid w:val="003459FB"/>
    <w:rsid w:val="003467E5"/>
    <w:rsid w:val="00347FC5"/>
    <w:rsid w:val="003521F1"/>
    <w:rsid w:val="00352A02"/>
    <w:rsid w:val="00353336"/>
    <w:rsid w:val="0035372E"/>
    <w:rsid w:val="0035439B"/>
    <w:rsid w:val="00355859"/>
    <w:rsid w:val="00355DF8"/>
    <w:rsid w:val="00361297"/>
    <w:rsid w:val="00361C3A"/>
    <w:rsid w:val="00362550"/>
    <w:rsid w:val="00362B7F"/>
    <w:rsid w:val="00362DA9"/>
    <w:rsid w:val="00363862"/>
    <w:rsid w:val="0036443E"/>
    <w:rsid w:val="0036564A"/>
    <w:rsid w:val="003660DE"/>
    <w:rsid w:val="00366F9C"/>
    <w:rsid w:val="003671FF"/>
    <w:rsid w:val="00367724"/>
    <w:rsid w:val="00367935"/>
    <w:rsid w:val="00367C22"/>
    <w:rsid w:val="00370D23"/>
    <w:rsid w:val="00371D8E"/>
    <w:rsid w:val="0037261F"/>
    <w:rsid w:val="00372D03"/>
    <w:rsid w:val="00374490"/>
    <w:rsid w:val="00374EC3"/>
    <w:rsid w:val="003757D1"/>
    <w:rsid w:val="00375E48"/>
    <w:rsid w:val="00376D52"/>
    <w:rsid w:val="00376D60"/>
    <w:rsid w:val="00377763"/>
    <w:rsid w:val="00380601"/>
    <w:rsid w:val="00380CB5"/>
    <w:rsid w:val="00382C5E"/>
    <w:rsid w:val="003874BE"/>
    <w:rsid w:val="003908A0"/>
    <w:rsid w:val="003940A8"/>
    <w:rsid w:val="0039479A"/>
    <w:rsid w:val="00394843"/>
    <w:rsid w:val="00394E19"/>
    <w:rsid w:val="00396601"/>
    <w:rsid w:val="00396630"/>
    <w:rsid w:val="003A0A7B"/>
    <w:rsid w:val="003A1B33"/>
    <w:rsid w:val="003A2509"/>
    <w:rsid w:val="003A4D18"/>
    <w:rsid w:val="003A6406"/>
    <w:rsid w:val="003A64E4"/>
    <w:rsid w:val="003A6FBF"/>
    <w:rsid w:val="003A7210"/>
    <w:rsid w:val="003B135F"/>
    <w:rsid w:val="003B2FC7"/>
    <w:rsid w:val="003B7BB1"/>
    <w:rsid w:val="003C3E2D"/>
    <w:rsid w:val="003C6EF5"/>
    <w:rsid w:val="003C771B"/>
    <w:rsid w:val="003D1343"/>
    <w:rsid w:val="003D14F1"/>
    <w:rsid w:val="003D2799"/>
    <w:rsid w:val="003D2C43"/>
    <w:rsid w:val="003E0693"/>
    <w:rsid w:val="003E1475"/>
    <w:rsid w:val="003E14C4"/>
    <w:rsid w:val="003E187B"/>
    <w:rsid w:val="003E1DD7"/>
    <w:rsid w:val="003E1F92"/>
    <w:rsid w:val="003E205F"/>
    <w:rsid w:val="003E2FD6"/>
    <w:rsid w:val="003E525D"/>
    <w:rsid w:val="003E5A94"/>
    <w:rsid w:val="003E5BA3"/>
    <w:rsid w:val="003E5D63"/>
    <w:rsid w:val="003E5E6B"/>
    <w:rsid w:val="003E6CC0"/>
    <w:rsid w:val="003E6F1A"/>
    <w:rsid w:val="003F2632"/>
    <w:rsid w:val="003F4336"/>
    <w:rsid w:val="003F59EA"/>
    <w:rsid w:val="003F5EF5"/>
    <w:rsid w:val="003F6F65"/>
    <w:rsid w:val="00401026"/>
    <w:rsid w:val="00403B19"/>
    <w:rsid w:val="0040467F"/>
    <w:rsid w:val="004047EB"/>
    <w:rsid w:val="00405E33"/>
    <w:rsid w:val="0040764C"/>
    <w:rsid w:val="004104A4"/>
    <w:rsid w:val="00410F2C"/>
    <w:rsid w:val="00411253"/>
    <w:rsid w:val="00411716"/>
    <w:rsid w:val="00411C1A"/>
    <w:rsid w:val="004147E0"/>
    <w:rsid w:val="00414D9A"/>
    <w:rsid w:val="00415110"/>
    <w:rsid w:val="00415272"/>
    <w:rsid w:val="0041602A"/>
    <w:rsid w:val="00416D1C"/>
    <w:rsid w:val="00420A00"/>
    <w:rsid w:val="00421A11"/>
    <w:rsid w:val="004227C0"/>
    <w:rsid w:val="00422952"/>
    <w:rsid w:val="004231AA"/>
    <w:rsid w:val="00423729"/>
    <w:rsid w:val="00427D83"/>
    <w:rsid w:val="0043017E"/>
    <w:rsid w:val="00434C15"/>
    <w:rsid w:val="0043660B"/>
    <w:rsid w:val="00437F4C"/>
    <w:rsid w:val="00440470"/>
    <w:rsid w:val="0044118D"/>
    <w:rsid w:val="004411B3"/>
    <w:rsid w:val="004419A8"/>
    <w:rsid w:val="00442883"/>
    <w:rsid w:val="00443CBF"/>
    <w:rsid w:val="004460D5"/>
    <w:rsid w:val="004521F0"/>
    <w:rsid w:val="00454EA3"/>
    <w:rsid w:val="004553E6"/>
    <w:rsid w:val="004562C4"/>
    <w:rsid w:val="00456D00"/>
    <w:rsid w:val="00460385"/>
    <w:rsid w:val="0046161C"/>
    <w:rsid w:val="00464AF0"/>
    <w:rsid w:val="00464FD4"/>
    <w:rsid w:val="0047008B"/>
    <w:rsid w:val="0047182B"/>
    <w:rsid w:val="00471AE0"/>
    <w:rsid w:val="0047454D"/>
    <w:rsid w:val="004802BF"/>
    <w:rsid w:val="0048057D"/>
    <w:rsid w:val="0048121D"/>
    <w:rsid w:val="004812DD"/>
    <w:rsid w:val="00487BCE"/>
    <w:rsid w:val="00490EC3"/>
    <w:rsid w:val="00492561"/>
    <w:rsid w:val="00492DDD"/>
    <w:rsid w:val="00493BFB"/>
    <w:rsid w:val="00494646"/>
    <w:rsid w:val="004947F1"/>
    <w:rsid w:val="004964A0"/>
    <w:rsid w:val="004A0EC9"/>
    <w:rsid w:val="004A27DE"/>
    <w:rsid w:val="004A2980"/>
    <w:rsid w:val="004A2D61"/>
    <w:rsid w:val="004A45DC"/>
    <w:rsid w:val="004A53C9"/>
    <w:rsid w:val="004A56C4"/>
    <w:rsid w:val="004A662B"/>
    <w:rsid w:val="004A73F4"/>
    <w:rsid w:val="004A794C"/>
    <w:rsid w:val="004B3D23"/>
    <w:rsid w:val="004B4294"/>
    <w:rsid w:val="004B45DA"/>
    <w:rsid w:val="004B51C2"/>
    <w:rsid w:val="004B60DE"/>
    <w:rsid w:val="004B7A5B"/>
    <w:rsid w:val="004C0FAA"/>
    <w:rsid w:val="004C4E84"/>
    <w:rsid w:val="004C51F8"/>
    <w:rsid w:val="004C5327"/>
    <w:rsid w:val="004C5D60"/>
    <w:rsid w:val="004C7EED"/>
    <w:rsid w:val="004D04E7"/>
    <w:rsid w:val="004D0B50"/>
    <w:rsid w:val="004D0C71"/>
    <w:rsid w:val="004D58E5"/>
    <w:rsid w:val="004D77A5"/>
    <w:rsid w:val="004D7828"/>
    <w:rsid w:val="004E213E"/>
    <w:rsid w:val="004E2F35"/>
    <w:rsid w:val="004E4FC9"/>
    <w:rsid w:val="004E528C"/>
    <w:rsid w:val="004F14D4"/>
    <w:rsid w:val="004F1E45"/>
    <w:rsid w:val="004F322B"/>
    <w:rsid w:val="004F3D7C"/>
    <w:rsid w:val="004F517A"/>
    <w:rsid w:val="00500F20"/>
    <w:rsid w:val="005014A6"/>
    <w:rsid w:val="00501F04"/>
    <w:rsid w:val="00502923"/>
    <w:rsid w:val="005033B6"/>
    <w:rsid w:val="00504C16"/>
    <w:rsid w:val="005052D1"/>
    <w:rsid w:val="00505995"/>
    <w:rsid w:val="00505A1B"/>
    <w:rsid w:val="0050636A"/>
    <w:rsid w:val="005075C7"/>
    <w:rsid w:val="00507C41"/>
    <w:rsid w:val="00507F41"/>
    <w:rsid w:val="00510F3F"/>
    <w:rsid w:val="00511583"/>
    <w:rsid w:val="00514882"/>
    <w:rsid w:val="00514C5D"/>
    <w:rsid w:val="00515766"/>
    <w:rsid w:val="005162D1"/>
    <w:rsid w:val="0051737B"/>
    <w:rsid w:val="00520D41"/>
    <w:rsid w:val="00521524"/>
    <w:rsid w:val="00521865"/>
    <w:rsid w:val="005232E9"/>
    <w:rsid w:val="00524CF2"/>
    <w:rsid w:val="005268B4"/>
    <w:rsid w:val="00527D25"/>
    <w:rsid w:val="005300C2"/>
    <w:rsid w:val="00530335"/>
    <w:rsid w:val="0053035C"/>
    <w:rsid w:val="005322EC"/>
    <w:rsid w:val="005340DA"/>
    <w:rsid w:val="00534F80"/>
    <w:rsid w:val="005367AD"/>
    <w:rsid w:val="00536882"/>
    <w:rsid w:val="00536CDE"/>
    <w:rsid w:val="0054085A"/>
    <w:rsid w:val="00541338"/>
    <w:rsid w:val="00541FC6"/>
    <w:rsid w:val="005435DB"/>
    <w:rsid w:val="005455A2"/>
    <w:rsid w:val="005531EF"/>
    <w:rsid w:val="005543C4"/>
    <w:rsid w:val="00555BDB"/>
    <w:rsid w:val="00556AC4"/>
    <w:rsid w:val="00556F63"/>
    <w:rsid w:val="00557F83"/>
    <w:rsid w:val="00560354"/>
    <w:rsid w:val="0056270E"/>
    <w:rsid w:val="0056442C"/>
    <w:rsid w:val="00564511"/>
    <w:rsid w:val="00564A7C"/>
    <w:rsid w:val="005669D2"/>
    <w:rsid w:val="00566FF7"/>
    <w:rsid w:val="00567315"/>
    <w:rsid w:val="00570888"/>
    <w:rsid w:val="0057101B"/>
    <w:rsid w:val="005740F5"/>
    <w:rsid w:val="00574FC4"/>
    <w:rsid w:val="00574FFD"/>
    <w:rsid w:val="0057728C"/>
    <w:rsid w:val="00582306"/>
    <w:rsid w:val="00585C93"/>
    <w:rsid w:val="005860D6"/>
    <w:rsid w:val="00587420"/>
    <w:rsid w:val="0059267A"/>
    <w:rsid w:val="00592C7C"/>
    <w:rsid w:val="00592E2D"/>
    <w:rsid w:val="00592EB9"/>
    <w:rsid w:val="00595C6E"/>
    <w:rsid w:val="0059620F"/>
    <w:rsid w:val="00596CC5"/>
    <w:rsid w:val="005A0AB7"/>
    <w:rsid w:val="005A0C23"/>
    <w:rsid w:val="005A25E6"/>
    <w:rsid w:val="005A44C5"/>
    <w:rsid w:val="005A45A3"/>
    <w:rsid w:val="005A516C"/>
    <w:rsid w:val="005A68F2"/>
    <w:rsid w:val="005A6A20"/>
    <w:rsid w:val="005B05F6"/>
    <w:rsid w:val="005B165E"/>
    <w:rsid w:val="005B1A20"/>
    <w:rsid w:val="005B20B3"/>
    <w:rsid w:val="005B31DC"/>
    <w:rsid w:val="005B3CD0"/>
    <w:rsid w:val="005B5196"/>
    <w:rsid w:val="005B579F"/>
    <w:rsid w:val="005B67F5"/>
    <w:rsid w:val="005B6DEE"/>
    <w:rsid w:val="005B702A"/>
    <w:rsid w:val="005B7927"/>
    <w:rsid w:val="005C17B0"/>
    <w:rsid w:val="005C1E6A"/>
    <w:rsid w:val="005C2ACC"/>
    <w:rsid w:val="005C3257"/>
    <w:rsid w:val="005C55FA"/>
    <w:rsid w:val="005C6243"/>
    <w:rsid w:val="005D117F"/>
    <w:rsid w:val="005D3A78"/>
    <w:rsid w:val="005D461C"/>
    <w:rsid w:val="005D4794"/>
    <w:rsid w:val="005D5091"/>
    <w:rsid w:val="005D724A"/>
    <w:rsid w:val="005D763D"/>
    <w:rsid w:val="005D7B1E"/>
    <w:rsid w:val="005E13BD"/>
    <w:rsid w:val="005E26A1"/>
    <w:rsid w:val="005E2862"/>
    <w:rsid w:val="005E2EEA"/>
    <w:rsid w:val="005E4065"/>
    <w:rsid w:val="005E4240"/>
    <w:rsid w:val="005E4F3C"/>
    <w:rsid w:val="005E56AF"/>
    <w:rsid w:val="005E6435"/>
    <w:rsid w:val="005F0DD5"/>
    <w:rsid w:val="005F18A5"/>
    <w:rsid w:val="005F6909"/>
    <w:rsid w:val="005F6F85"/>
    <w:rsid w:val="005F7A94"/>
    <w:rsid w:val="005F7E56"/>
    <w:rsid w:val="00600041"/>
    <w:rsid w:val="00601F1A"/>
    <w:rsid w:val="006039D3"/>
    <w:rsid w:val="00607826"/>
    <w:rsid w:val="006106DB"/>
    <w:rsid w:val="00610A58"/>
    <w:rsid w:val="00611812"/>
    <w:rsid w:val="00611B1D"/>
    <w:rsid w:val="00612BF0"/>
    <w:rsid w:val="00612EDD"/>
    <w:rsid w:val="00614232"/>
    <w:rsid w:val="00614426"/>
    <w:rsid w:val="00615407"/>
    <w:rsid w:val="006203E7"/>
    <w:rsid w:val="006224A3"/>
    <w:rsid w:val="00622DAB"/>
    <w:rsid w:val="00623A54"/>
    <w:rsid w:val="00624C61"/>
    <w:rsid w:val="00624D78"/>
    <w:rsid w:val="00625012"/>
    <w:rsid w:val="00625F49"/>
    <w:rsid w:val="0062697D"/>
    <w:rsid w:val="00626B0B"/>
    <w:rsid w:val="0062760E"/>
    <w:rsid w:val="0062794C"/>
    <w:rsid w:val="00630F9C"/>
    <w:rsid w:val="006349A4"/>
    <w:rsid w:val="006358DF"/>
    <w:rsid w:val="00635D23"/>
    <w:rsid w:val="00637746"/>
    <w:rsid w:val="00640A36"/>
    <w:rsid w:val="00642E76"/>
    <w:rsid w:val="00646B51"/>
    <w:rsid w:val="00650F7D"/>
    <w:rsid w:val="0065105C"/>
    <w:rsid w:val="006528A6"/>
    <w:rsid w:val="0065340A"/>
    <w:rsid w:val="0065341F"/>
    <w:rsid w:val="00654B92"/>
    <w:rsid w:val="006569E4"/>
    <w:rsid w:val="00660F43"/>
    <w:rsid w:val="00661158"/>
    <w:rsid w:val="00661AB9"/>
    <w:rsid w:val="00662DBD"/>
    <w:rsid w:val="00663130"/>
    <w:rsid w:val="00663FA3"/>
    <w:rsid w:val="006652E2"/>
    <w:rsid w:val="00666DDB"/>
    <w:rsid w:val="00666E12"/>
    <w:rsid w:val="00667319"/>
    <w:rsid w:val="0066796D"/>
    <w:rsid w:val="0067011F"/>
    <w:rsid w:val="00671086"/>
    <w:rsid w:val="00671A8B"/>
    <w:rsid w:val="00671BE8"/>
    <w:rsid w:val="00672413"/>
    <w:rsid w:val="00672B8A"/>
    <w:rsid w:val="00675872"/>
    <w:rsid w:val="00676649"/>
    <w:rsid w:val="0068153C"/>
    <w:rsid w:val="00681A84"/>
    <w:rsid w:val="006856B2"/>
    <w:rsid w:val="00685F9B"/>
    <w:rsid w:val="006905E0"/>
    <w:rsid w:val="0069363C"/>
    <w:rsid w:val="00693B29"/>
    <w:rsid w:val="00693D5A"/>
    <w:rsid w:val="00694B4E"/>
    <w:rsid w:val="006A03AA"/>
    <w:rsid w:val="006A0C3F"/>
    <w:rsid w:val="006A1DD5"/>
    <w:rsid w:val="006A27D4"/>
    <w:rsid w:val="006A2AE9"/>
    <w:rsid w:val="006A35D6"/>
    <w:rsid w:val="006A4D24"/>
    <w:rsid w:val="006A68B7"/>
    <w:rsid w:val="006A6ACC"/>
    <w:rsid w:val="006A6D86"/>
    <w:rsid w:val="006A6FFA"/>
    <w:rsid w:val="006B188E"/>
    <w:rsid w:val="006B2E86"/>
    <w:rsid w:val="006B2EFF"/>
    <w:rsid w:val="006B3F1B"/>
    <w:rsid w:val="006B442A"/>
    <w:rsid w:val="006B6BD5"/>
    <w:rsid w:val="006B6FF4"/>
    <w:rsid w:val="006B72CB"/>
    <w:rsid w:val="006B78F5"/>
    <w:rsid w:val="006B7B5D"/>
    <w:rsid w:val="006C0147"/>
    <w:rsid w:val="006C20AF"/>
    <w:rsid w:val="006C314A"/>
    <w:rsid w:val="006C3AE3"/>
    <w:rsid w:val="006C3B47"/>
    <w:rsid w:val="006C48C7"/>
    <w:rsid w:val="006C5824"/>
    <w:rsid w:val="006C5A80"/>
    <w:rsid w:val="006C6BBD"/>
    <w:rsid w:val="006D0A78"/>
    <w:rsid w:val="006D0B95"/>
    <w:rsid w:val="006D3645"/>
    <w:rsid w:val="006D3E89"/>
    <w:rsid w:val="006D483B"/>
    <w:rsid w:val="006D51AB"/>
    <w:rsid w:val="006D5746"/>
    <w:rsid w:val="006D616C"/>
    <w:rsid w:val="006D6AB6"/>
    <w:rsid w:val="006D6F6A"/>
    <w:rsid w:val="006E1114"/>
    <w:rsid w:val="006E3B58"/>
    <w:rsid w:val="006E40DB"/>
    <w:rsid w:val="006E44C2"/>
    <w:rsid w:val="006E4BB8"/>
    <w:rsid w:val="006E7345"/>
    <w:rsid w:val="006F0786"/>
    <w:rsid w:val="006F0D9F"/>
    <w:rsid w:val="006F152E"/>
    <w:rsid w:val="006F1AA1"/>
    <w:rsid w:val="006F2227"/>
    <w:rsid w:val="006F318F"/>
    <w:rsid w:val="006F3614"/>
    <w:rsid w:val="006F3679"/>
    <w:rsid w:val="006F3971"/>
    <w:rsid w:val="006F3AD9"/>
    <w:rsid w:val="006F4D9F"/>
    <w:rsid w:val="006F53F5"/>
    <w:rsid w:val="006F6110"/>
    <w:rsid w:val="006F7691"/>
    <w:rsid w:val="00701657"/>
    <w:rsid w:val="00703C80"/>
    <w:rsid w:val="00703DA5"/>
    <w:rsid w:val="00706FBC"/>
    <w:rsid w:val="00710E55"/>
    <w:rsid w:val="00712119"/>
    <w:rsid w:val="007121A3"/>
    <w:rsid w:val="00712A30"/>
    <w:rsid w:val="0071318C"/>
    <w:rsid w:val="00713DF5"/>
    <w:rsid w:val="00714D22"/>
    <w:rsid w:val="007153C4"/>
    <w:rsid w:val="007153DF"/>
    <w:rsid w:val="0071685A"/>
    <w:rsid w:val="00720F8A"/>
    <w:rsid w:val="00721ADF"/>
    <w:rsid w:val="00724153"/>
    <w:rsid w:val="00724C4D"/>
    <w:rsid w:val="00725383"/>
    <w:rsid w:val="00726635"/>
    <w:rsid w:val="0072687A"/>
    <w:rsid w:val="00727CC1"/>
    <w:rsid w:val="00730C91"/>
    <w:rsid w:val="00730D3B"/>
    <w:rsid w:val="00731150"/>
    <w:rsid w:val="00734E05"/>
    <w:rsid w:val="00736BCE"/>
    <w:rsid w:val="00742791"/>
    <w:rsid w:val="00743A16"/>
    <w:rsid w:val="00743EAD"/>
    <w:rsid w:val="00744351"/>
    <w:rsid w:val="00744C9B"/>
    <w:rsid w:val="007452B5"/>
    <w:rsid w:val="007455C9"/>
    <w:rsid w:val="00746527"/>
    <w:rsid w:val="0074747A"/>
    <w:rsid w:val="00747ECC"/>
    <w:rsid w:val="00751D04"/>
    <w:rsid w:val="00752292"/>
    <w:rsid w:val="00754572"/>
    <w:rsid w:val="00755100"/>
    <w:rsid w:val="00755C7C"/>
    <w:rsid w:val="00755F86"/>
    <w:rsid w:val="00756A08"/>
    <w:rsid w:val="00756A4C"/>
    <w:rsid w:val="00756A84"/>
    <w:rsid w:val="0075708B"/>
    <w:rsid w:val="0075732F"/>
    <w:rsid w:val="00757572"/>
    <w:rsid w:val="007575F1"/>
    <w:rsid w:val="0075781A"/>
    <w:rsid w:val="00760A64"/>
    <w:rsid w:val="00760DFC"/>
    <w:rsid w:val="007615E3"/>
    <w:rsid w:val="00761ADB"/>
    <w:rsid w:val="007628C9"/>
    <w:rsid w:val="007637B4"/>
    <w:rsid w:val="00764D0B"/>
    <w:rsid w:val="0076567B"/>
    <w:rsid w:val="007662F8"/>
    <w:rsid w:val="00766F5C"/>
    <w:rsid w:val="00770E23"/>
    <w:rsid w:val="007715FE"/>
    <w:rsid w:val="00773444"/>
    <w:rsid w:val="00776713"/>
    <w:rsid w:val="00776F59"/>
    <w:rsid w:val="0077740F"/>
    <w:rsid w:val="00781085"/>
    <w:rsid w:val="00782482"/>
    <w:rsid w:val="00782AE7"/>
    <w:rsid w:val="00784692"/>
    <w:rsid w:val="007914FA"/>
    <w:rsid w:val="007918A4"/>
    <w:rsid w:val="007952FF"/>
    <w:rsid w:val="0079653D"/>
    <w:rsid w:val="00797B6C"/>
    <w:rsid w:val="007A10FB"/>
    <w:rsid w:val="007A1479"/>
    <w:rsid w:val="007A202C"/>
    <w:rsid w:val="007A25E0"/>
    <w:rsid w:val="007A2791"/>
    <w:rsid w:val="007A4D2A"/>
    <w:rsid w:val="007A4EA4"/>
    <w:rsid w:val="007A5063"/>
    <w:rsid w:val="007A54AB"/>
    <w:rsid w:val="007A66F2"/>
    <w:rsid w:val="007A69C2"/>
    <w:rsid w:val="007A70F5"/>
    <w:rsid w:val="007A78D8"/>
    <w:rsid w:val="007A7B4D"/>
    <w:rsid w:val="007B009A"/>
    <w:rsid w:val="007B1175"/>
    <w:rsid w:val="007B3E58"/>
    <w:rsid w:val="007B4004"/>
    <w:rsid w:val="007B4AFE"/>
    <w:rsid w:val="007B5BF4"/>
    <w:rsid w:val="007B624A"/>
    <w:rsid w:val="007C2563"/>
    <w:rsid w:val="007C3948"/>
    <w:rsid w:val="007C3EB2"/>
    <w:rsid w:val="007C420A"/>
    <w:rsid w:val="007C4692"/>
    <w:rsid w:val="007C4731"/>
    <w:rsid w:val="007C60CA"/>
    <w:rsid w:val="007C7082"/>
    <w:rsid w:val="007C708B"/>
    <w:rsid w:val="007C7335"/>
    <w:rsid w:val="007C7C60"/>
    <w:rsid w:val="007D0439"/>
    <w:rsid w:val="007D15CE"/>
    <w:rsid w:val="007D28F6"/>
    <w:rsid w:val="007D400F"/>
    <w:rsid w:val="007D582E"/>
    <w:rsid w:val="007D59E1"/>
    <w:rsid w:val="007E2A62"/>
    <w:rsid w:val="007E2B3C"/>
    <w:rsid w:val="007E406B"/>
    <w:rsid w:val="007E42E0"/>
    <w:rsid w:val="007E45C8"/>
    <w:rsid w:val="007E4782"/>
    <w:rsid w:val="007E48F7"/>
    <w:rsid w:val="007E613D"/>
    <w:rsid w:val="007E7D73"/>
    <w:rsid w:val="007F1F26"/>
    <w:rsid w:val="007F27BC"/>
    <w:rsid w:val="007F28FE"/>
    <w:rsid w:val="007F3FB0"/>
    <w:rsid w:val="007F4B54"/>
    <w:rsid w:val="007F52FF"/>
    <w:rsid w:val="007F7810"/>
    <w:rsid w:val="00800079"/>
    <w:rsid w:val="0080068E"/>
    <w:rsid w:val="00800DA8"/>
    <w:rsid w:val="00801745"/>
    <w:rsid w:val="0080557C"/>
    <w:rsid w:val="00805840"/>
    <w:rsid w:val="0080709C"/>
    <w:rsid w:val="00807E09"/>
    <w:rsid w:val="0081021D"/>
    <w:rsid w:val="00811FC9"/>
    <w:rsid w:val="008125EF"/>
    <w:rsid w:val="0081290A"/>
    <w:rsid w:val="00812DF7"/>
    <w:rsid w:val="0081332D"/>
    <w:rsid w:val="00813715"/>
    <w:rsid w:val="0081453A"/>
    <w:rsid w:val="00814DAC"/>
    <w:rsid w:val="0081637B"/>
    <w:rsid w:val="008171B8"/>
    <w:rsid w:val="0082105F"/>
    <w:rsid w:val="00821624"/>
    <w:rsid w:val="008259E9"/>
    <w:rsid w:val="00825DE3"/>
    <w:rsid w:val="00826015"/>
    <w:rsid w:val="00826ABC"/>
    <w:rsid w:val="00827420"/>
    <w:rsid w:val="008276D7"/>
    <w:rsid w:val="00830016"/>
    <w:rsid w:val="008314ED"/>
    <w:rsid w:val="00833688"/>
    <w:rsid w:val="008352FC"/>
    <w:rsid w:val="00835876"/>
    <w:rsid w:val="00836BB4"/>
    <w:rsid w:val="00836C54"/>
    <w:rsid w:val="00837D6F"/>
    <w:rsid w:val="00841487"/>
    <w:rsid w:val="00841C9C"/>
    <w:rsid w:val="00844CF9"/>
    <w:rsid w:val="00846037"/>
    <w:rsid w:val="00846743"/>
    <w:rsid w:val="0084741D"/>
    <w:rsid w:val="00847A47"/>
    <w:rsid w:val="00850279"/>
    <w:rsid w:val="008503B6"/>
    <w:rsid w:val="0085215C"/>
    <w:rsid w:val="00852AF1"/>
    <w:rsid w:val="00852BB5"/>
    <w:rsid w:val="00852EE0"/>
    <w:rsid w:val="00853354"/>
    <w:rsid w:val="00854D35"/>
    <w:rsid w:val="008553AC"/>
    <w:rsid w:val="008556B7"/>
    <w:rsid w:val="0085698C"/>
    <w:rsid w:val="00857E32"/>
    <w:rsid w:val="00860525"/>
    <w:rsid w:val="00861C69"/>
    <w:rsid w:val="00861E63"/>
    <w:rsid w:val="008625CD"/>
    <w:rsid w:val="008627E4"/>
    <w:rsid w:val="00862F49"/>
    <w:rsid w:val="00863295"/>
    <w:rsid w:val="00865601"/>
    <w:rsid w:val="00867A5A"/>
    <w:rsid w:val="008718FE"/>
    <w:rsid w:val="00872C1A"/>
    <w:rsid w:val="0087447A"/>
    <w:rsid w:val="00874D2D"/>
    <w:rsid w:val="00876B26"/>
    <w:rsid w:val="00877BA3"/>
    <w:rsid w:val="0088188B"/>
    <w:rsid w:val="008841AB"/>
    <w:rsid w:val="0088530E"/>
    <w:rsid w:val="0088644B"/>
    <w:rsid w:val="00887204"/>
    <w:rsid w:val="008907DD"/>
    <w:rsid w:val="00892779"/>
    <w:rsid w:val="0089322E"/>
    <w:rsid w:val="00895AFB"/>
    <w:rsid w:val="008A1580"/>
    <w:rsid w:val="008A1DCB"/>
    <w:rsid w:val="008A21B6"/>
    <w:rsid w:val="008A35A7"/>
    <w:rsid w:val="008A372C"/>
    <w:rsid w:val="008A685B"/>
    <w:rsid w:val="008A6C6F"/>
    <w:rsid w:val="008B1E13"/>
    <w:rsid w:val="008B240B"/>
    <w:rsid w:val="008B2AAA"/>
    <w:rsid w:val="008B5566"/>
    <w:rsid w:val="008B6E0C"/>
    <w:rsid w:val="008B6F7C"/>
    <w:rsid w:val="008C0036"/>
    <w:rsid w:val="008C28A8"/>
    <w:rsid w:val="008C44ED"/>
    <w:rsid w:val="008D1876"/>
    <w:rsid w:val="008D2CA2"/>
    <w:rsid w:val="008D50DA"/>
    <w:rsid w:val="008E126C"/>
    <w:rsid w:val="008E1AD8"/>
    <w:rsid w:val="008E225E"/>
    <w:rsid w:val="008E23F3"/>
    <w:rsid w:val="008E2F8C"/>
    <w:rsid w:val="008E3944"/>
    <w:rsid w:val="008E57BF"/>
    <w:rsid w:val="008E58AC"/>
    <w:rsid w:val="008E6C96"/>
    <w:rsid w:val="008E7015"/>
    <w:rsid w:val="008E7370"/>
    <w:rsid w:val="008F2871"/>
    <w:rsid w:val="008F3FFD"/>
    <w:rsid w:val="008F4DEF"/>
    <w:rsid w:val="008F5905"/>
    <w:rsid w:val="008F5A6A"/>
    <w:rsid w:val="008F6119"/>
    <w:rsid w:val="008F626F"/>
    <w:rsid w:val="00900589"/>
    <w:rsid w:val="00901182"/>
    <w:rsid w:val="00901D93"/>
    <w:rsid w:val="00904ACE"/>
    <w:rsid w:val="00905EAC"/>
    <w:rsid w:val="00906D8C"/>
    <w:rsid w:val="00907091"/>
    <w:rsid w:val="00907EAC"/>
    <w:rsid w:val="00911EAA"/>
    <w:rsid w:val="00914F48"/>
    <w:rsid w:val="00915744"/>
    <w:rsid w:val="009163BE"/>
    <w:rsid w:val="00921C92"/>
    <w:rsid w:val="00921D9D"/>
    <w:rsid w:val="00924B96"/>
    <w:rsid w:val="00926327"/>
    <w:rsid w:val="00926912"/>
    <w:rsid w:val="009269A9"/>
    <w:rsid w:val="009313D2"/>
    <w:rsid w:val="0093162D"/>
    <w:rsid w:val="00933E16"/>
    <w:rsid w:val="009350E0"/>
    <w:rsid w:val="0093557A"/>
    <w:rsid w:val="00935B7E"/>
    <w:rsid w:val="009371E4"/>
    <w:rsid w:val="00937B26"/>
    <w:rsid w:val="009422B0"/>
    <w:rsid w:val="009452F7"/>
    <w:rsid w:val="00945B1D"/>
    <w:rsid w:val="009477ED"/>
    <w:rsid w:val="00952855"/>
    <w:rsid w:val="009528A7"/>
    <w:rsid w:val="0095424B"/>
    <w:rsid w:val="00954B7A"/>
    <w:rsid w:val="00954D97"/>
    <w:rsid w:val="0095686F"/>
    <w:rsid w:val="009568F6"/>
    <w:rsid w:val="0095693D"/>
    <w:rsid w:val="009572D0"/>
    <w:rsid w:val="00961121"/>
    <w:rsid w:val="0096448C"/>
    <w:rsid w:val="00964A46"/>
    <w:rsid w:val="009658A9"/>
    <w:rsid w:val="009658F3"/>
    <w:rsid w:val="00965F3B"/>
    <w:rsid w:val="00971A99"/>
    <w:rsid w:val="00972007"/>
    <w:rsid w:val="00976994"/>
    <w:rsid w:val="00977DF3"/>
    <w:rsid w:val="00980623"/>
    <w:rsid w:val="00981769"/>
    <w:rsid w:val="009836DB"/>
    <w:rsid w:val="00983A6C"/>
    <w:rsid w:val="00984690"/>
    <w:rsid w:val="00984964"/>
    <w:rsid w:val="00984D6F"/>
    <w:rsid w:val="0098505F"/>
    <w:rsid w:val="0098685E"/>
    <w:rsid w:val="00987207"/>
    <w:rsid w:val="00987794"/>
    <w:rsid w:val="009904BD"/>
    <w:rsid w:val="00990956"/>
    <w:rsid w:val="00991CC1"/>
    <w:rsid w:val="00994A07"/>
    <w:rsid w:val="00994DAC"/>
    <w:rsid w:val="00994F89"/>
    <w:rsid w:val="009960E9"/>
    <w:rsid w:val="0099715B"/>
    <w:rsid w:val="00997C5D"/>
    <w:rsid w:val="00997CFB"/>
    <w:rsid w:val="009A03BF"/>
    <w:rsid w:val="009A0B29"/>
    <w:rsid w:val="009A30EC"/>
    <w:rsid w:val="009A3D9E"/>
    <w:rsid w:val="009A5196"/>
    <w:rsid w:val="009A52A2"/>
    <w:rsid w:val="009A5AA2"/>
    <w:rsid w:val="009A62AB"/>
    <w:rsid w:val="009A7947"/>
    <w:rsid w:val="009B006D"/>
    <w:rsid w:val="009B2F06"/>
    <w:rsid w:val="009B33BF"/>
    <w:rsid w:val="009B3F23"/>
    <w:rsid w:val="009B3FD7"/>
    <w:rsid w:val="009B5C43"/>
    <w:rsid w:val="009B7928"/>
    <w:rsid w:val="009C179D"/>
    <w:rsid w:val="009C3CEA"/>
    <w:rsid w:val="009C408B"/>
    <w:rsid w:val="009C4561"/>
    <w:rsid w:val="009C4CF0"/>
    <w:rsid w:val="009C59A0"/>
    <w:rsid w:val="009C6C37"/>
    <w:rsid w:val="009C70CD"/>
    <w:rsid w:val="009C7D23"/>
    <w:rsid w:val="009C7D27"/>
    <w:rsid w:val="009D149E"/>
    <w:rsid w:val="009D18DF"/>
    <w:rsid w:val="009D1A58"/>
    <w:rsid w:val="009D3AE2"/>
    <w:rsid w:val="009D4D89"/>
    <w:rsid w:val="009D62E6"/>
    <w:rsid w:val="009D6607"/>
    <w:rsid w:val="009D6D24"/>
    <w:rsid w:val="009D72FF"/>
    <w:rsid w:val="009D7559"/>
    <w:rsid w:val="009D7804"/>
    <w:rsid w:val="009E0C11"/>
    <w:rsid w:val="009E191F"/>
    <w:rsid w:val="009E200E"/>
    <w:rsid w:val="009E2B54"/>
    <w:rsid w:val="009E333D"/>
    <w:rsid w:val="009E72CB"/>
    <w:rsid w:val="009F0A0A"/>
    <w:rsid w:val="009F2651"/>
    <w:rsid w:val="009F3560"/>
    <w:rsid w:val="009F59DE"/>
    <w:rsid w:val="009F5F5C"/>
    <w:rsid w:val="009F6317"/>
    <w:rsid w:val="009F6630"/>
    <w:rsid w:val="009F7334"/>
    <w:rsid w:val="009F7642"/>
    <w:rsid w:val="009F775A"/>
    <w:rsid w:val="00A0027A"/>
    <w:rsid w:val="00A01613"/>
    <w:rsid w:val="00A026D0"/>
    <w:rsid w:val="00A039F5"/>
    <w:rsid w:val="00A042DA"/>
    <w:rsid w:val="00A04CBE"/>
    <w:rsid w:val="00A05960"/>
    <w:rsid w:val="00A075EE"/>
    <w:rsid w:val="00A07BF7"/>
    <w:rsid w:val="00A122AC"/>
    <w:rsid w:val="00A127CB"/>
    <w:rsid w:val="00A153C1"/>
    <w:rsid w:val="00A17218"/>
    <w:rsid w:val="00A173B8"/>
    <w:rsid w:val="00A201C2"/>
    <w:rsid w:val="00A20D4E"/>
    <w:rsid w:val="00A229EF"/>
    <w:rsid w:val="00A22ADD"/>
    <w:rsid w:val="00A22CF1"/>
    <w:rsid w:val="00A22DC1"/>
    <w:rsid w:val="00A2440A"/>
    <w:rsid w:val="00A250C0"/>
    <w:rsid w:val="00A2546F"/>
    <w:rsid w:val="00A25BE4"/>
    <w:rsid w:val="00A269F7"/>
    <w:rsid w:val="00A26C72"/>
    <w:rsid w:val="00A30338"/>
    <w:rsid w:val="00A33015"/>
    <w:rsid w:val="00A34AAD"/>
    <w:rsid w:val="00A36279"/>
    <w:rsid w:val="00A36566"/>
    <w:rsid w:val="00A40A5A"/>
    <w:rsid w:val="00A41476"/>
    <w:rsid w:val="00A43138"/>
    <w:rsid w:val="00A43FEF"/>
    <w:rsid w:val="00A4464C"/>
    <w:rsid w:val="00A44D8C"/>
    <w:rsid w:val="00A50729"/>
    <w:rsid w:val="00A5329A"/>
    <w:rsid w:val="00A54B0F"/>
    <w:rsid w:val="00A54F0E"/>
    <w:rsid w:val="00A556C7"/>
    <w:rsid w:val="00A56260"/>
    <w:rsid w:val="00A61687"/>
    <w:rsid w:val="00A62860"/>
    <w:rsid w:val="00A62AC8"/>
    <w:rsid w:val="00A62C7B"/>
    <w:rsid w:val="00A62DE3"/>
    <w:rsid w:val="00A65B51"/>
    <w:rsid w:val="00A67119"/>
    <w:rsid w:val="00A6731F"/>
    <w:rsid w:val="00A67705"/>
    <w:rsid w:val="00A67935"/>
    <w:rsid w:val="00A709CA"/>
    <w:rsid w:val="00A717FA"/>
    <w:rsid w:val="00A7513A"/>
    <w:rsid w:val="00A76238"/>
    <w:rsid w:val="00A765E6"/>
    <w:rsid w:val="00A76D6E"/>
    <w:rsid w:val="00A77A73"/>
    <w:rsid w:val="00A84606"/>
    <w:rsid w:val="00A8502D"/>
    <w:rsid w:val="00A85C9D"/>
    <w:rsid w:val="00A8619C"/>
    <w:rsid w:val="00A87A5D"/>
    <w:rsid w:val="00A90A27"/>
    <w:rsid w:val="00A92A3B"/>
    <w:rsid w:val="00A948AB"/>
    <w:rsid w:val="00A94A57"/>
    <w:rsid w:val="00A97732"/>
    <w:rsid w:val="00A97771"/>
    <w:rsid w:val="00A97999"/>
    <w:rsid w:val="00AA0B14"/>
    <w:rsid w:val="00AA14F5"/>
    <w:rsid w:val="00AA2020"/>
    <w:rsid w:val="00AA2744"/>
    <w:rsid w:val="00AA2987"/>
    <w:rsid w:val="00AA5348"/>
    <w:rsid w:val="00AA55BD"/>
    <w:rsid w:val="00AB4606"/>
    <w:rsid w:val="00AB6A72"/>
    <w:rsid w:val="00AC403A"/>
    <w:rsid w:val="00AC4178"/>
    <w:rsid w:val="00AC511C"/>
    <w:rsid w:val="00AC67D3"/>
    <w:rsid w:val="00AD04CC"/>
    <w:rsid w:val="00AD05E0"/>
    <w:rsid w:val="00AD1424"/>
    <w:rsid w:val="00AD192D"/>
    <w:rsid w:val="00AD2799"/>
    <w:rsid w:val="00AD51A5"/>
    <w:rsid w:val="00AD61A0"/>
    <w:rsid w:val="00AE0D8C"/>
    <w:rsid w:val="00AE15E4"/>
    <w:rsid w:val="00AE5B81"/>
    <w:rsid w:val="00AE5D5C"/>
    <w:rsid w:val="00AE601A"/>
    <w:rsid w:val="00AE7B94"/>
    <w:rsid w:val="00AF10E1"/>
    <w:rsid w:val="00AF2F3C"/>
    <w:rsid w:val="00B006B1"/>
    <w:rsid w:val="00B01EF2"/>
    <w:rsid w:val="00B10B4D"/>
    <w:rsid w:val="00B11330"/>
    <w:rsid w:val="00B1173C"/>
    <w:rsid w:val="00B12F7A"/>
    <w:rsid w:val="00B14B24"/>
    <w:rsid w:val="00B17AA6"/>
    <w:rsid w:val="00B17B5F"/>
    <w:rsid w:val="00B212E1"/>
    <w:rsid w:val="00B22F5A"/>
    <w:rsid w:val="00B232A1"/>
    <w:rsid w:val="00B23AD1"/>
    <w:rsid w:val="00B23ED7"/>
    <w:rsid w:val="00B23F51"/>
    <w:rsid w:val="00B246DC"/>
    <w:rsid w:val="00B24B4A"/>
    <w:rsid w:val="00B25C31"/>
    <w:rsid w:val="00B25C3F"/>
    <w:rsid w:val="00B2685E"/>
    <w:rsid w:val="00B31037"/>
    <w:rsid w:val="00B32560"/>
    <w:rsid w:val="00B32D78"/>
    <w:rsid w:val="00B35B66"/>
    <w:rsid w:val="00B3726B"/>
    <w:rsid w:val="00B404D4"/>
    <w:rsid w:val="00B4099D"/>
    <w:rsid w:val="00B40EE5"/>
    <w:rsid w:val="00B44D82"/>
    <w:rsid w:val="00B45341"/>
    <w:rsid w:val="00B46F3D"/>
    <w:rsid w:val="00B50DAD"/>
    <w:rsid w:val="00B52142"/>
    <w:rsid w:val="00B52BCC"/>
    <w:rsid w:val="00B5323D"/>
    <w:rsid w:val="00B54043"/>
    <w:rsid w:val="00B54206"/>
    <w:rsid w:val="00B5465A"/>
    <w:rsid w:val="00B5565B"/>
    <w:rsid w:val="00B56D22"/>
    <w:rsid w:val="00B57DE8"/>
    <w:rsid w:val="00B61430"/>
    <w:rsid w:val="00B629C7"/>
    <w:rsid w:val="00B64833"/>
    <w:rsid w:val="00B67549"/>
    <w:rsid w:val="00B716B1"/>
    <w:rsid w:val="00B71E12"/>
    <w:rsid w:val="00B7231D"/>
    <w:rsid w:val="00B7261E"/>
    <w:rsid w:val="00B729F5"/>
    <w:rsid w:val="00B75EF6"/>
    <w:rsid w:val="00B76C91"/>
    <w:rsid w:val="00B777EB"/>
    <w:rsid w:val="00B80D26"/>
    <w:rsid w:val="00B8113A"/>
    <w:rsid w:val="00B81870"/>
    <w:rsid w:val="00B8198E"/>
    <w:rsid w:val="00B81B31"/>
    <w:rsid w:val="00B81C7B"/>
    <w:rsid w:val="00B826FF"/>
    <w:rsid w:val="00B82759"/>
    <w:rsid w:val="00B8280C"/>
    <w:rsid w:val="00B83D8B"/>
    <w:rsid w:val="00B847FD"/>
    <w:rsid w:val="00B86D2E"/>
    <w:rsid w:val="00B87126"/>
    <w:rsid w:val="00B87B8E"/>
    <w:rsid w:val="00B91362"/>
    <w:rsid w:val="00B9516F"/>
    <w:rsid w:val="00B95370"/>
    <w:rsid w:val="00B958ED"/>
    <w:rsid w:val="00B962E4"/>
    <w:rsid w:val="00B96CDF"/>
    <w:rsid w:val="00BA2058"/>
    <w:rsid w:val="00BA261C"/>
    <w:rsid w:val="00BA2EB1"/>
    <w:rsid w:val="00BA451F"/>
    <w:rsid w:val="00BA6FFF"/>
    <w:rsid w:val="00BA7532"/>
    <w:rsid w:val="00BB09A0"/>
    <w:rsid w:val="00BB0A79"/>
    <w:rsid w:val="00BB0DA6"/>
    <w:rsid w:val="00BB1188"/>
    <w:rsid w:val="00BB1FD9"/>
    <w:rsid w:val="00BB2957"/>
    <w:rsid w:val="00BB3443"/>
    <w:rsid w:val="00BB3EF2"/>
    <w:rsid w:val="00BB436C"/>
    <w:rsid w:val="00BB5185"/>
    <w:rsid w:val="00BB61A0"/>
    <w:rsid w:val="00BB6F31"/>
    <w:rsid w:val="00BB7CF4"/>
    <w:rsid w:val="00BC038D"/>
    <w:rsid w:val="00BC1BB2"/>
    <w:rsid w:val="00BC26EE"/>
    <w:rsid w:val="00BC3D85"/>
    <w:rsid w:val="00BC4265"/>
    <w:rsid w:val="00BC42C8"/>
    <w:rsid w:val="00BC536B"/>
    <w:rsid w:val="00BC57BC"/>
    <w:rsid w:val="00BC74E8"/>
    <w:rsid w:val="00BD1EC7"/>
    <w:rsid w:val="00BD2B96"/>
    <w:rsid w:val="00BD5BBE"/>
    <w:rsid w:val="00BD667B"/>
    <w:rsid w:val="00BD66CD"/>
    <w:rsid w:val="00BE083E"/>
    <w:rsid w:val="00BE111D"/>
    <w:rsid w:val="00BE2FAD"/>
    <w:rsid w:val="00BF00E9"/>
    <w:rsid w:val="00BF028B"/>
    <w:rsid w:val="00BF0AB3"/>
    <w:rsid w:val="00BF26AB"/>
    <w:rsid w:val="00BF2C42"/>
    <w:rsid w:val="00BF4F65"/>
    <w:rsid w:val="00BF4FF8"/>
    <w:rsid w:val="00BF5926"/>
    <w:rsid w:val="00BF62AB"/>
    <w:rsid w:val="00BF6436"/>
    <w:rsid w:val="00BF6BF4"/>
    <w:rsid w:val="00BF765A"/>
    <w:rsid w:val="00C03E73"/>
    <w:rsid w:val="00C0448A"/>
    <w:rsid w:val="00C0477B"/>
    <w:rsid w:val="00C04DDC"/>
    <w:rsid w:val="00C0736A"/>
    <w:rsid w:val="00C109CC"/>
    <w:rsid w:val="00C11069"/>
    <w:rsid w:val="00C1231B"/>
    <w:rsid w:val="00C12AE9"/>
    <w:rsid w:val="00C16453"/>
    <w:rsid w:val="00C16D74"/>
    <w:rsid w:val="00C21012"/>
    <w:rsid w:val="00C21384"/>
    <w:rsid w:val="00C21983"/>
    <w:rsid w:val="00C237D8"/>
    <w:rsid w:val="00C23F65"/>
    <w:rsid w:val="00C31213"/>
    <w:rsid w:val="00C313B3"/>
    <w:rsid w:val="00C31F89"/>
    <w:rsid w:val="00C32024"/>
    <w:rsid w:val="00C32680"/>
    <w:rsid w:val="00C344B4"/>
    <w:rsid w:val="00C349C0"/>
    <w:rsid w:val="00C356FE"/>
    <w:rsid w:val="00C36C1C"/>
    <w:rsid w:val="00C377AC"/>
    <w:rsid w:val="00C40FE4"/>
    <w:rsid w:val="00C410E5"/>
    <w:rsid w:val="00C42279"/>
    <w:rsid w:val="00C43CF8"/>
    <w:rsid w:val="00C446AC"/>
    <w:rsid w:val="00C47ED5"/>
    <w:rsid w:val="00C5001C"/>
    <w:rsid w:val="00C505D5"/>
    <w:rsid w:val="00C51543"/>
    <w:rsid w:val="00C52107"/>
    <w:rsid w:val="00C53FFA"/>
    <w:rsid w:val="00C54D52"/>
    <w:rsid w:val="00C602EE"/>
    <w:rsid w:val="00C610C5"/>
    <w:rsid w:val="00C6118F"/>
    <w:rsid w:val="00C630BF"/>
    <w:rsid w:val="00C676B6"/>
    <w:rsid w:val="00C70035"/>
    <w:rsid w:val="00C70A87"/>
    <w:rsid w:val="00C70AD1"/>
    <w:rsid w:val="00C71962"/>
    <w:rsid w:val="00C7288A"/>
    <w:rsid w:val="00C72E0D"/>
    <w:rsid w:val="00C74EB8"/>
    <w:rsid w:val="00C7587E"/>
    <w:rsid w:val="00C76AE6"/>
    <w:rsid w:val="00C7709C"/>
    <w:rsid w:val="00C8194F"/>
    <w:rsid w:val="00C81DB6"/>
    <w:rsid w:val="00C82240"/>
    <w:rsid w:val="00C83298"/>
    <w:rsid w:val="00C83558"/>
    <w:rsid w:val="00C84A45"/>
    <w:rsid w:val="00C84A9A"/>
    <w:rsid w:val="00C85A73"/>
    <w:rsid w:val="00C85E72"/>
    <w:rsid w:val="00C877AE"/>
    <w:rsid w:val="00C87A3B"/>
    <w:rsid w:val="00C932BA"/>
    <w:rsid w:val="00C9355E"/>
    <w:rsid w:val="00C94643"/>
    <w:rsid w:val="00C95977"/>
    <w:rsid w:val="00C95BDC"/>
    <w:rsid w:val="00C96820"/>
    <w:rsid w:val="00C9690F"/>
    <w:rsid w:val="00C970A0"/>
    <w:rsid w:val="00C97403"/>
    <w:rsid w:val="00C97DCA"/>
    <w:rsid w:val="00CA075B"/>
    <w:rsid w:val="00CA076D"/>
    <w:rsid w:val="00CA2FBC"/>
    <w:rsid w:val="00CA6898"/>
    <w:rsid w:val="00CA718E"/>
    <w:rsid w:val="00CA7453"/>
    <w:rsid w:val="00CA7733"/>
    <w:rsid w:val="00CB1C3A"/>
    <w:rsid w:val="00CB2399"/>
    <w:rsid w:val="00CB2C05"/>
    <w:rsid w:val="00CB5B28"/>
    <w:rsid w:val="00CB770C"/>
    <w:rsid w:val="00CC0268"/>
    <w:rsid w:val="00CC1F86"/>
    <w:rsid w:val="00CC3764"/>
    <w:rsid w:val="00CC41CE"/>
    <w:rsid w:val="00CC4A1E"/>
    <w:rsid w:val="00CC6FAA"/>
    <w:rsid w:val="00CC7653"/>
    <w:rsid w:val="00CD1F89"/>
    <w:rsid w:val="00CD2E79"/>
    <w:rsid w:val="00CD4878"/>
    <w:rsid w:val="00CD6A95"/>
    <w:rsid w:val="00CD7311"/>
    <w:rsid w:val="00CE11B3"/>
    <w:rsid w:val="00CE2992"/>
    <w:rsid w:val="00CE2EEE"/>
    <w:rsid w:val="00CE36D9"/>
    <w:rsid w:val="00CE3B81"/>
    <w:rsid w:val="00CE4A09"/>
    <w:rsid w:val="00CE4FAE"/>
    <w:rsid w:val="00CE5168"/>
    <w:rsid w:val="00CF031C"/>
    <w:rsid w:val="00CF0E0F"/>
    <w:rsid w:val="00CF1455"/>
    <w:rsid w:val="00CF14C0"/>
    <w:rsid w:val="00CF1D2E"/>
    <w:rsid w:val="00CF214B"/>
    <w:rsid w:val="00CF3115"/>
    <w:rsid w:val="00CF58CD"/>
    <w:rsid w:val="00CF6054"/>
    <w:rsid w:val="00CF7CBD"/>
    <w:rsid w:val="00D00752"/>
    <w:rsid w:val="00D01DAC"/>
    <w:rsid w:val="00D02626"/>
    <w:rsid w:val="00D0500D"/>
    <w:rsid w:val="00D053AF"/>
    <w:rsid w:val="00D10CC0"/>
    <w:rsid w:val="00D112D3"/>
    <w:rsid w:val="00D121F3"/>
    <w:rsid w:val="00D1394A"/>
    <w:rsid w:val="00D14194"/>
    <w:rsid w:val="00D14B58"/>
    <w:rsid w:val="00D176E6"/>
    <w:rsid w:val="00D17A97"/>
    <w:rsid w:val="00D201D0"/>
    <w:rsid w:val="00D23025"/>
    <w:rsid w:val="00D2355D"/>
    <w:rsid w:val="00D235CC"/>
    <w:rsid w:val="00D23A25"/>
    <w:rsid w:val="00D24C9D"/>
    <w:rsid w:val="00D25820"/>
    <w:rsid w:val="00D25889"/>
    <w:rsid w:val="00D26344"/>
    <w:rsid w:val="00D30A04"/>
    <w:rsid w:val="00D310EF"/>
    <w:rsid w:val="00D3220C"/>
    <w:rsid w:val="00D32888"/>
    <w:rsid w:val="00D3353A"/>
    <w:rsid w:val="00D3567B"/>
    <w:rsid w:val="00D3627E"/>
    <w:rsid w:val="00D4070D"/>
    <w:rsid w:val="00D40A80"/>
    <w:rsid w:val="00D4122A"/>
    <w:rsid w:val="00D43ACD"/>
    <w:rsid w:val="00D47450"/>
    <w:rsid w:val="00D50FF1"/>
    <w:rsid w:val="00D51EB4"/>
    <w:rsid w:val="00D53D12"/>
    <w:rsid w:val="00D54208"/>
    <w:rsid w:val="00D563DF"/>
    <w:rsid w:val="00D56C9B"/>
    <w:rsid w:val="00D57AC6"/>
    <w:rsid w:val="00D60171"/>
    <w:rsid w:val="00D60670"/>
    <w:rsid w:val="00D60CD3"/>
    <w:rsid w:val="00D61F31"/>
    <w:rsid w:val="00D62816"/>
    <w:rsid w:val="00D71910"/>
    <w:rsid w:val="00D71A15"/>
    <w:rsid w:val="00D71C05"/>
    <w:rsid w:val="00D725C9"/>
    <w:rsid w:val="00D73569"/>
    <w:rsid w:val="00D74623"/>
    <w:rsid w:val="00D747E6"/>
    <w:rsid w:val="00D753F0"/>
    <w:rsid w:val="00D75C77"/>
    <w:rsid w:val="00D775C3"/>
    <w:rsid w:val="00D83ADE"/>
    <w:rsid w:val="00D84EB8"/>
    <w:rsid w:val="00D85866"/>
    <w:rsid w:val="00D86180"/>
    <w:rsid w:val="00D87051"/>
    <w:rsid w:val="00D905A3"/>
    <w:rsid w:val="00D92892"/>
    <w:rsid w:val="00D9324D"/>
    <w:rsid w:val="00D953BA"/>
    <w:rsid w:val="00D96D91"/>
    <w:rsid w:val="00DA0793"/>
    <w:rsid w:val="00DA0DFD"/>
    <w:rsid w:val="00DA13C2"/>
    <w:rsid w:val="00DA1B46"/>
    <w:rsid w:val="00DA34B2"/>
    <w:rsid w:val="00DA45A5"/>
    <w:rsid w:val="00DA6A70"/>
    <w:rsid w:val="00DB1335"/>
    <w:rsid w:val="00DB1800"/>
    <w:rsid w:val="00DB2AA1"/>
    <w:rsid w:val="00DB2F43"/>
    <w:rsid w:val="00DB5D4A"/>
    <w:rsid w:val="00DB6E5E"/>
    <w:rsid w:val="00DB7A22"/>
    <w:rsid w:val="00DB7E49"/>
    <w:rsid w:val="00DC2164"/>
    <w:rsid w:val="00DC25BB"/>
    <w:rsid w:val="00DC2C29"/>
    <w:rsid w:val="00DC3E99"/>
    <w:rsid w:val="00DC50C1"/>
    <w:rsid w:val="00DC5244"/>
    <w:rsid w:val="00DC5978"/>
    <w:rsid w:val="00DC5AB9"/>
    <w:rsid w:val="00DC5DCF"/>
    <w:rsid w:val="00DC623B"/>
    <w:rsid w:val="00DC731F"/>
    <w:rsid w:val="00DC7692"/>
    <w:rsid w:val="00DD0104"/>
    <w:rsid w:val="00DD1E24"/>
    <w:rsid w:val="00DD31BD"/>
    <w:rsid w:val="00DD345D"/>
    <w:rsid w:val="00DE128D"/>
    <w:rsid w:val="00DE35EC"/>
    <w:rsid w:val="00DE5090"/>
    <w:rsid w:val="00DE526F"/>
    <w:rsid w:val="00DF21AF"/>
    <w:rsid w:val="00DF2262"/>
    <w:rsid w:val="00DF2F01"/>
    <w:rsid w:val="00DF3D81"/>
    <w:rsid w:val="00DF4277"/>
    <w:rsid w:val="00DF4D80"/>
    <w:rsid w:val="00DF6463"/>
    <w:rsid w:val="00E011BF"/>
    <w:rsid w:val="00E0274D"/>
    <w:rsid w:val="00E02A43"/>
    <w:rsid w:val="00E034F6"/>
    <w:rsid w:val="00E04398"/>
    <w:rsid w:val="00E06266"/>
    <w:rsid w:val="00E07656"/>
    <w:rsid w:val="00E07B35"/>
    <w:rsid w:val="00E1017B"/>
    <w:rsid w:val="00E11DF8"/>
    <w:rsid w:val="00E12062"/>
    <w:rsid w:val="00E12434"/>
    <w:rsid w:val="00E13F26"/>
    <w:rsid w:val="00E16AC8"/>
    <w:rsid w:val="00E20E1B"/>
    <w:rsid w:val="00E215B1"/>
    <w:rsid w:val="00E2285B"/>
    <w:rsid w:val="00E23CBB"/>
    <w:rsid w:val="00E24F83"/>
    <w:rsid w:val="00E25947"/>
    <w:rsid w:val="00E270EA"/>
    <w:rsid w:val="00E31180"/>
    <w:rsid w:val="00E32A1D"/>
    <w:rsid w:val="00E3594A"/>
    <w:rsid w:val="00E36EA2"/>
    <w:rsid w:val="00E37E93"/>
    <w:rsid w:val="00E40A00"/>
    <w:rsid w:val="00E40F6C"/>
    <w:rsid w:val="00E41606"/>
    <w:rsid w:val="00E41D73"/>
    <w:rsid w:val="00E42423"/>
    <w:rsid w:val="00E437B7"/>
    <w:rsid w:val="00E43AED"/>
    <w:rsid w:val="00E44F35"/>
    <w:rsid w:val="00E46699"/>
    <w:rsid w:val="00E47000"/>
    <w:rsid w:val="00E4725F"/>
    <w:rsid w:val="00E47EF5"/>
    <w:rsid w:val="00E50009"/>
    <w:rsid w:val="00E5561C"/>
    <w:rsid w:val="00E5608F"/>
    <w:rsid w:val="00E57140"/>
    <w:rsid w:val="00E60E3C"/>
    <w:rsid w:val="00E60E5B"/>
    <w:rsid w:val="00E61E9B"/>
    <w:rsid w:val="00E63BD2"/>
    <w:rsid w:val="00E649B8"/>
    <w:rsid w:val="00E64E9A"/>
    <w:rsid w:val="00E64FF4"/>
    <w:rsid w:val="00E65AAB"/>
    <w:rsid w:val="00E65C7D"/>
    <w:rsid w:val="00E6719D"/>
    <w:rsid w:val="00E716DF"/>
    <w:rsid w:val="00E72517"/>
    <w:rsid w:val="00E7296D"/>
    <w:rsid w:val="00E7468B"/>
    <w:rsid w:val="00E75412"/>
    <w:rsid w:val="00E75E0D"/>
    <w:rsid w:val="00E76639"/>
    <w:rsid w:val="00E77763"/>
    <w:rsid w:val="00E8095F"/>
    <w:rsid w:val="00E81CA3"/>
    <w:rsid w:val="00E85BD6"/>
    <w:rsid w:val="00E85F13"/>
    <w:rsid w:val="00E86E98"/>
    <w:rsid w:val="00E86F93"/>
    <w:rsid w:val="00E903B3"/>
    <w:rsid w:val="00E9141C"/>
    <w:rsid w:val="00E93BE0"/>
    <w:rsid w:val="00E95C45"/>
    <w:rsid w:val="00E96824"/>
    <w:rsid w:val="00E96861"/>
    <w:rsid w:val="00EA05AB"/>
    <w:rsid w:val="00EA445A"/>
    <w:rsid w:val="00EA4779"/>
    <w:rsid w:val="00EA5AF0"/>
    <w:rsid w:val="00EA5C7C"/>
    <w:rsid w:val="00EA5F34"/>
    <w:rsid w:val="00EB0BB7"/>
    <w:rsid w:val="00EB1F63"/>
    <w:rsid w:val="00EB28AE"/>
    <w:rsid w:val="00EB3752"/>
    <w:rsid w:val="00EB4206"/>
    <w:rsid w:val="00EB46EE"/>
    <w:rsid w:val="00EB6ABC"/>
    <w:rsid w:val="00EB7199"/>
    <w:rsid w:val="00EB7496"/>
    <w:rsid w:val="00EC0AC3"/>
    <w:rsid w:val="00EC1AFF"/>
    <w:rsid w:val="00EC24BA"/>
    <w:rsid w:val="00EC3D86"/>
    <w:rsid w:val="00EC43BB"/>
    <w:rsid w:val="00EC6A36"/>
    <w:rsid w:val="00EC7389"/>
    <w:rsid w:val="00EC73D9"/>
    <w:rsid w:val="00EC7F66"/>
    <w:rsid w:val="00ED2220"/>
    <w:rsid w:val="00ED2653"/>
    <w:rsid w:val="00ED2CAD"/>
    <w:rsid w:val="00ED34FA"/>
    <w:rsid w:val="00ED3B3F"/>
    <w:rsid w:val="00ED4B9C"/>
    <w:rsid w:val="00ED4C4C"/>
    <w:rsid w:val="00ED5552"/>
    <w:rsid w:val="00ED7B83"/>
    <w:rsid w:val="00EE2086"/>
    <w:rsid w:val="00EE271E"/>
    <w:rsid w:val="00EE2CA0"/>
    <w:rsid w:val="00EE36EA"/>
    <w:rsid w:val="00EE7A60"/>
    <w:rsid w:val="00EF2606"/>
    <w:rsid w:val="00EF2A70"/>
    <w:rsid w:val="00EF2F67"/>
    <w:rsid w:val="00EF45BB"/>
    <w:rsid w:val="00EF4FAF"/>
    <w:rsid w:val="00EF5619"/>
    <w:rsid w:val="00EF5DA1"/>
    <w:rsid w:val="00F01058"/>
    <w:rsid w:val="00F0150C"/>
    <w:rsid w:val="00F02408"/>
    <w:rsid w:val="00F046E6"/>
    <w:rsid w:val="00F04771"/>
    <w:rsid w:val="00F0489B"/>
    <w:rsid w:val="00F0536D"/>
    <w:rsid w:val="00F0639B"/>
    <w:rsid w:val="00F06495"/>
    <w:rsid w:val="00F064A7"/>
    <w:rsid w:val="00F074B9"/>
    <w:rsid w:val="00F11332"/>
    <w:rsid w:val="00F12BE3"/>
    <w:rsid w:val="00F14703"/>
    <w:rsid w:val="00F203AF"/>
    <w:rsid w:val="00F2133C"/>
    <w:rsid w:val="00F23DE2"/>
    <w:rsid w:val="00F2410A"/>
    <w:rsid w:val="00F248E2"/>
    <w:rsid w:val="00F24DB3"/>
    <w:rsid w:val="00F2628B"/>
    <w:rsid w:val="00F26D7E"/>
    <w:rsid w:val="00F306C6"/>
    <w:rsid w:val="00F31333"/>
    <w:rsid w:val="00F313D9"/>
    <w:rsid w:val="00F31461"/>
    <w:rsid w:val="00F34352"/>
    <w:rsid w:val="00F34642"/>
    <w:rsid w:val="00F3531F"/>
    <w:rsid w:val="00F366EF"/>
    <w:rsid w:val="00F36E64"/>
    <w:rsid w:val="00F40EDB"/>
    <w:rsid w:val="00F40F7C"/>
    <w:rsid w:val="00F4179B"/>
    <w:rsid w:val="00F41EAB"/>
    <w:rsid w:val="00F422BF"/>
    <w:rsid w:val="00F42595"/>
    <w:rsid w:val="00F44794"/>
    <w:rsid w:val="00F45430"/>
    <w:rsid w:val="00F46783"/>
    <w:rsid w:val="00F51488"/>
    <w:rsid w:val="00F51C11"/>
    <w:rsid w:val="00F52BAB"/>
    <w:rsid w:val="00F52C79"/>
    <w:rsid w:val="00F53297"/>
    <w:rsid w:val="00F5335F"/>
    <w:rsid w:val="00F543C4"/>
    <w:rsid w:val="00F600FA"/>
    <w:rsid w:val="00F60671"/>
    <w:rsid w:val="00F60CB9"/>
    <w:rsid w:val="00F61AA9"/>
    <w:rsid w:val="00F61C57"/>
    <w:rsid w:val="00F63C2C"/>
    <w:rsid w:val="00F64BAC"/>
    <w:rsid w:val="00F660E3"/>
    <w:rsid w:val="00F6624C"/>
    <w:rsid w:val="00F67A8F"/>
    <w:rsid w:val="00F708CC"/>
    <w:rsid w:val="00F71A14"/>
    <w:rsid w:val="00F73D53"/>
    <w:rsid w:val="00F741DB"/>
    <w:rsid w:val="00F74597"/>
    <w:rsid w:val="00F756D6"/>
    <w:rsid w:val="00F75CDD"/>
    <w:rsid w:val="00F77E2D"/>
    <w:rsid w:val="00F8002E"/>
    <w:rsid w:val="00F82C37"/>
    <w:rsid w:val="00F8462F"/>
    <w:rsid w:val="00F850DB"/>
    <w:rsid w:val="00F85DDA"/>
    <w:rsid w:val="00F864E2"/>
    <w:rsid w:val="00F86500"/>
    <w:rsid w:val="00F87148"/>
    <w:rsid w:val="00F93CFA"/>
    <w:rsid w:val="00F94EEB"/>
    <w:rsid w:val="00F95719"/>
    <w:rsid w:val="00F96822"/>
    <w:rsid w:val="00F96C75"/>
    <w:rsid w:val="00F9709C"/>
    <w:rsid w:val="00FA0171"/>
    <w:rsid w:val="00FA06CB"/>
    <w:rsid w:val="00FA0E6E"/>
    <w:rsid w:val="00FA1D9C"/>
    <w:rsid w:val="00FA40DD"/>
    <w:rsid w:val="00FA48FA"/>
    <w:rsid w:val="00FA4F20"/>
    <w:rsid w:val="00FA52F2"/>
    <w:rsid w:val="00FA5A5B"/>
    <w:rsid w:val="00FA66A7"/>
    <w:rsid w:val="00FA6A91"/>
    <w:rsid w:val="00FA70E0"/>
    <w:rsid w:val="00FB0E0F"/>
    <w:rsid w:val="00FB18DD"/>
    <w:rsid w:val="00FB1927"/>
    <w:rsid w:val="00FB32E7"/>
    <w:rsid w:val="00FB35A6"/>
    <w:rsid w:val="00FB668A"/>
    <w:rsid w:val="00FB66FA"/>
    <w:rsid w:val="00FB6F92"/>
    <w:rsid w:val="00FB725F"/>
    <w:rsid w:val="00FC1B0B"/>
    <w:rsid w:val="00FC25A0"/>
    <w:rsid w:val="00FC477C"/>
    <w:rsid w:val="00FC7B44"/>
    <w:rsid w:val="00FD19FA"/>
    <w:rsid w:val="00FD3C84"/>
    <w:rsid w:val="00FD4E71"/>
    <w:rsid w:val="00FD64F3"/>
    <w:rsid w:val="00FD7A00"/>
    <w:rsid w:val="00FE06B1"/>
    <w:rsid w:val="00FE475A"/>
    <w:rsid w:val="00FE58B9"/>
    <w:rsid w:val="00FE628A"/>
    <w:rsid w:val="00FE6AB8"/>
    <w:rsid w:val="00FF0CE1"/>
    <w:rsid w:val="00FF2D79"/>
    <w:rsid w:val="00FF2DCE"/>
    <w:rsid w:val="00FF494B"/>
    <w:rsid w:val="00FF6926"/>
    <w:rsid w:val="00FF6FC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A0C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DA1"/>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246DA1"/>
    <w:pPr>
      <w:keepNext/>
      <w:keepLines/>
      <w:numPr>
        <w:numId w:val="12"/>
      </w:numPr>
      <w:pBdr>
        <w:bottom w:val="single" w:sz="4" w:space="1" w:color="595959" w:themeColor="text1" w:themeTint="A6"/>
      </w:pBdr>
      <w:spacing w:before="360"/>
      <w:outlineLvl w:val="0"/>
    </w:pPr>
    <w:rPr>
      <w:rFonts w:eastAsiaTheme="majorEastAsia" w:cstheme="majorBidi"/>
      <w:b/>
      <w:bCs/>
      <w:smallCaps/>
      <w:color w:val="000000" w:themeColor="text1"/>
      <w:sz w:val="28"/>
      <w:szCs w:val="36"/>
    </w:rPr>
  </w:style>
  <w:style w:type="paragraph" w:styleId="Heading2">
    <w:name w:val="heading 2"/>
    <w:basedOn w:val="Normal"/>
    <w:next w:val="Normal"/>
    <w:link w:val="Heading2Char"/>
    <w:uiPriority w:val="9"/>
    <w:unhideWhenUsed/>
    <w:qFormat/>
    <w:rsid w:val="00246DA1"/>
    <w:pPr>
      <w:keepNext/>
      <w:keepLines/>
      <w:numPr>
        <w:ilvl w:val="1"/>
        <w:numId w:val="12"/>
      </w:numPr>
      <w:spacing w:before="240"/>
      <w:ind w:left="578" w:hanging="578"/>
      <w:outlineLvl w:val="1"/>
    </w:pPr>
    <w:rPr>
      <w:rFonts w:eastAsiaTheme="majorEastAsia" w:cstheme="majorBidi"/>
      <w:b/>
      <w:bCs/>
      <w:smallCaps/>
      <w:color w:val="000000" w:themeColor="text1"/>
      <w:szCs w:val="28"/>
    </w:rPr>
  </w:style>
  <w:style w:type="paragraph" w:styleId="Heading3">
    <w:name w:val="heading 3"/>
    <w:basedOn w:val="Normal"/>
    <w:next w:val="Normal"/>
    <w:link w:val="Heading3Char"/>
    <w:uiPriority w:val="9"/>
    <w:unhideWhenUsed/>
    <w:qFormat/>
    <w:rsid w:val="0062697D"/>
    <w:pPr>
      <w:keepNext/>
      <w:keepLines/>
      <w:numPr>
        <w:ilvl w:val="2"/>
        <w:numId w:val="12"/>
      </w:numPr>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246DA1"/>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46DA1"/>
    <w:pPr>
      <w:keepNext/>
      <w:keepLines/>
      <w:numPr>
        <w:ilvl w:val="4"/>
        <w:numId w:val="12"/>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46DA1"/>
    <w:pPr>
      <w:keepNext/>
      <w:keepLines/>
      <w:numPr>
        <w:ilvl w:val="5"/>
        <w:numId w:val="12"/>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46DA1"/>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46DA1"/>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46DA1"/>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6DA1"/>
    <w:rPr>
      <w:rFonts w:ascii="Times New Roman" w:eastAsiaTheme="majorEastAsia" w:hAnsi="Times New Roman" w:cstheme="majorBidi"/>
      <w:b/>
      <w:bCs/>
      <w:smallCaps/>
      <w:color w:val="000000" w:themeColor="text1"/>
      <w:sz w:val="28"/>
      <w:szCs w:val="36"/>
    </w:rPr>
  </w:style>
  <w:style w:type="character" w:customStyle="1" w:styleId="Heading2Char">
    <w:name w:val="Heading 2 Char"/>
    <w:basedOn w:val="DefaultParagraphFont"/>
    <w:link w:val="Heading2"/>
    <w:uiPriority w:val="9"/>
    <w:rsid w:val="00246DA1"/>
    <w:rPr>
      <w:rFonts w:ascii="Times New Roman" w:eastAsiaTheme="majorEastAsia" w:hAnsi="Times New Roman" w:cstheme="majorBidi"/>
      <w:b/>
      <w:bCs/>
      <w:smallCaps/>
      <w:color w:val="000000" w:themeColor="text1"/>
      <w:sz w:val="24"/>
      <w:szCs w:val="28"/>
    </w:rPr>
  </w:style>
  <w:style w:type="character" w:customStyle="1" w:styleId="Heading3Char">
    <w:name w:val="Heading 3 Char"/>
    <w:basedOn w:val="DefaultParagraphFont"/>
    <w:link w:val="Heading3"/>
    <w:uiPriority w:val="9"/>
    <w:rsid w:val="0062697D"/>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246DA1"/>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46DA1"/>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46DA1"/>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46DA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46DA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46DA1"/>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F63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6317"/>
    <w:rPr>
      <w:rFonts w:ascii="Times New Roman" w:hAnsi="Times New Roman"/>
      <w:sz w:val="24"/>
    </w:rPr>
  </w:style>
  <w:style w:type="paragraph" w:styleId="Footer">
    <w:name w:val="footer"/>
    <w:basedOn w:val="Normal"/>
    <w:link w:val="FooterChar"/>
    <w:uiPriority w:val="99"/>
    <w:unhideWhenUsed/>
    <w:rsid w:val="009F63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6317"/>
    <w:rPr>
      <w:rFonts w:ascii="Times New Roman" w:hAnsi="Times New Roman"/>
      <w:sz w:val="24"/>
    </w:rPr>
  </w:style>
  <w:style w:type="paragraph" w:styleId="NoSpacing">
    <w:name w:val="No Spacing"/>
    <w:aliases w:val="Footnotes"/>
    <w:link w:val="NoSpacingChar"/>
    <w:uiPriority w:val="1"/>
    <w:qFormat/>
    <w:rsid w:val="00500F20"/>
    <w:pPr>
      <w:spacing w:after="0" w:line="240" w:lineRule="auto"/>
    </w:pPr>
    <w:rPr>
      <w:rFonts w:ascii="Times New Roman" w:hAnsi="Times New Roman"/>
      <w:sz w:val="20"/>
    </w:rPr>
  </w:style>
  <w:style w:type="character" w:customStyle="1" w:styleId="NoSpacingChar">
    <w:name w:val="No Spacing Char"/>
    <w:aliases w:val="Footnotes Char"/>
    <w:basedOn w:val="DefaultParagraphFont"/>
    <w:link w:val="NoSpacing"/>
    <w:uiPriority w:val="1"/>
    <w:rsid w:val="00500F20"/>
    <w:rPr>
      <w:rFonts w:ascii="Times New Roman" w:hAnsi="Times New Roman"/>
      <w:sz w:val="20"/>
    </w:rPr>
  </w:style>
  <w:style w:type="paragraph" w:styleId="ListParagraph">
    <w:name w:val="List Paragraph"/>
    <w:basedOn w:val="Normal"/>
    <w:uiPriority w:val="34"/>
    <w:qFormat/>
    <w:rsid w:val="00FB1927"/>
    <w:pPr>
      <w:ind w:left="720"/>
      <w:contextualSpacing/>
    </w:pPr>
  </w:style>
  <w:style w:type="paragraph" w:styleId="FootnoteText">
    <w:name w:val="footnote text"/>
    <w:basedOn w:val="Normal"/>
    <w:link w:val="FootnoteTextChar"/>
    <w:uiPriority w:val="99"/>
    <w:unhideWhenUsed/>
    <w:rsid w:val="00371D8E"/>
    <w:pPr>
      <w:spacing w:after="0" w:line="240" w:lineRule="auto"/>
    </w:pPr>
    <w:rPr>
      <w:sz w:val="20"/>
      <w:szCs w:val="20"/>
    </w:rPr>
  </w:style>
  <w:style w:type="character" w:customStyle="1" w:styleId="FootnoteTextChar">
    <w:name w:val="Footnote Text Char"/>
    <w:basedOn w:val="DefaultParagraphFont"/>
    <w:link w:val="FootnoteText"/>
    <w:uiPriority w:val="99"/>
    <w:rsid w:val="00371D8E"/>
    <w:rPr>
      <w:rFonts w:ascii="Times New Roman" w:hAnsi="Times New Roman"/>
      <w:sz w:val="20"/>
      <w:szCs w:val="20"/>
    </w:rPr>
  </w:style>
  <w:style w:type="character" w:styleId="FootnoteReference">
    <w:name w:val="footnote reference"/>
    <w:basedOn w:val="DefaultParagraphFont"/>
    <w:uiPriority w:val="99"/>
    <w:semiHidden/>
    <w:unhideWhenUsed/>
    <w:rsid w:val="00371D8E"/>
    <w:rPr>
      <w:vertAlign w:val="superscript"/>
    </w:rPr>
  </w:style>
  <w:style w:type="character" w:styleId="Hyperlink">
    <w:name w:val="Hyperlink"/>
    <w:basedOn w:val="DefaultParagraphFont"/>
    <w:uiPriority w:val="99"/>
    <w:unhideWhenUsed/>
    <w:rsid w:val="00B10B4D"/>
    <w:rPr>
      <w:color w:val="0563C1" w:themeColor="hyperlink"/>
      <w:u w:val="single"/>
    </w:rPr>
  </w:style>
  <w:style w:type="paragraph" w:styleId="NormalWeb">
    <w:name w:val="Normal (Web)"/>
    <w:basedOn w:val="Normal"/>
    <w:uiPriority w:val="99"/>
    <w:unhideWhenUsed/>
    <w:rsid w:val="00226731"/>
    <w:pPr>
      <w:spacing w:before="100" w:beforeAutospacing="1" w:after="100" w:afterAutospacing="1" w:line="240" w:lineRule="auto"/>
      <w:jc w:val="left"/>
    </w:pPr>
    <w:rPr>
      <w:rFonts w:eastAsia="Times New Roman" w:cs="Times New Roman"/>
      <w:szCs w:val="24"/>
      <w:lang w:eastAsia="en-GB"/>
    </w:rPr>
  </w:style>
  <w:style w:type="character" w:customStyle="1" w:styleId="apple-converted-space">
    <w:name w:val="apple-converted-space"/>
    <w:basedOn w:val="DefaultParagraphFont"/>
    <w:rsid w:val="00226731"/>
  </w:style>
  <w:style w:type="paragraph" w:styleId="Caption">
    <w:name w:val="caption"/>
    <w:basedOn w:val="Normal"/>
    <w:next w:val="Normal"/>
    <w:uiPriority w:val="35"/>
    <w:semiHidden/>
    <w:unhideWhenUsed/>
    <w:qFormat/>
    <w:rsid w:val="00246DA1"/>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246DA1"/>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46DA1"/>
    <w:rPr>
      <w:rFonts w:asciiTheme="majorHAnsi" w:eastAsiaTheme="majorEastAsia" w:hAnsiTheme="majorHAnsi" w:cstheme="majorBidi"/>
      <w:color w:val="000000" w:themeColor="text1"/>
      <w:sz w:val="56"/>
      <w:szCs w:val="56"/>
    </w:rPr>
  </w:style>
  <w:style w:type="paragraph" w:styleId="Subtitle">
    <w:name w:val="Subtitle"/>
    <w:aliases w:val="Quotes"/>
    <w:basedOn w:val="Normal"/>
    <w:next w:val="Normal"/>
    <w:link w:val="SubtitleChar"/>
    <w:uiPriority w:val="11"/>
    <w:qFormat/>
    <w:rsid w:val="003A6406"/>
    <w:pPr>
      <w:numPr>
        <w:ilvl w:val="1"/>
      </w:numPr>
      <w:spacing w:after="240" w:line="240" w:lineRule="auto"/>
      <w:ind w:left="706" w:right="706"/>
    </w:pPr>
    <w:rPr>
      <w:color w:val="000000" w:themeColor="text1"/>
      <w:spacing w:val="10"/>
      <w:sz w:val="20"/>
    </w:rPr>
  </w:style>
  <w:style w:type="character" w:customStyle="1" w:styleId="SubtitleChar">
    <w:name w:val="Subtitle Char"/>
    <w:aliases w:val="Quotes Char"/>
    <w:basedOn w:val="DefaultParagraphFont"/>
    <w:link w:val="Subtitle"/>
    <w:uiPriority w:val="11"/>
    <w:rsid w:val="003A6406"/>
    <w:rPr>
      <w:rFonts w:ascii="Times New Roman" w:hAnsi="Times New Roman"/>
      <w:color w:val="000000" w:themeColor="text1"/>
      <w:spacing w:val="10"/>
      <w:sz w:val="20"/>
    </w:rPr>
  </w:style>
  <w:style w:type="character" w:styleId="Strong">
    <w:name w:val="Strong"/>
    <w:basedOn w:val="DefaultParagraphFont"/>
    <w:uiPriority w:val="22"/>
    <w:qFormat/>
    <w:rsid w:val="00246DA1"/>
    <w:rPr>
      <w:b/>
      <w:bCs/>
      <w:color w:val="000000" w:themeColor="text1"/>
    </w:rPr>
  </w:style>
  <w:style w:type="character" w:styleId="Emphasis">
    <w:name w:val="Emphasis"/>
    <w:basedOn w:val="DefaultParagraphFont"/>
    <w:uiPriority w:val="20"/>
    <w:qFormat/>
    <w:rsid w:val="00246DA1"/>
    <w:rPr>
      <w:i/>
      <w:iCs/>
      <w:color w:val="auto"/>
    </w:rPr>
  </w:style>
  <w:style w:type="paragraph" w:styleId="Quote">
    <w:name w:val="Quote"/>
    <w:basedOn w:val="Normal"/>
    <w:next w:val="Normal"/>
    <w:link w:val="QuoteChar"/>
    <w:uiPriority w:val="29"/>
    <w:qFormat/>
    <w:rsid w:val="00246DA1"/>
    <w:pPr>
      <w:spacing w:before="160"/>
      <w:ind w:left="720" w:right="720"/>
    </w:pPr>
    <w:rPr>
      <w:i/>
      <w:iCs/>
      <w:color w:val="000000" w:themeColor="text1"/>
    </w:rPr>
  </w:style>
  <w:style w:type="character" w:customStyle="1" w:styleId="QuoteChar">
    <w:name w:val="Quote Char"/>
    <w:basedOn w:val="DefaultParagraphFont"/>
    <w:link w:val="Quote"/>
    <w:uiPriority w:val="29"/>
    <w:rsid w:val="00246DA1"/>
    <w:rPr>
      <w:i/>
      <w:iCs/>
      <w:color w:val="000000" w:themeColor="text1"/>
    </w:rPr>
  </w:style>
  <w:style w:type="paragraph" w:styleId="IntenseQuote">
    <w:name w:val="Intense Quote"/>
    <w:basedOn w:val="Normal"/>
    <w:next w:val="Normal"/>
    <w:link w:val="IntenseQuoteChar"/>
    <w:uiPriority w:val="30"/>
    <w:qFormat/>
    <w:rsid w:val="00246DA1"/>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246DA1"/>
    <w:rPr>
      <w:color w:val="000000" w:themeColor="text1"/>
      <w:shd w:val="clear" w:color="auto" w:fill="F2F2F2" w:themeFill="background1" w:themeFillShade="F2"/>
    </w:rPr>
  </w:style>
  <w:style w:type="character" w:styleId="SubtleEmphasis">
    <w:name w:val="Subtle Emphasis"/>
    <w:basedOn w:val="DefaultParagraphFont"/>
    <w:uiPriority w:val="19"/>
    <w:qFormat/>
    <w:rsid w:val="00246DA1"/>
    <w:rPr>
      <w:i/>
      <w:iCs/>
      <w:color w:val="404040" w:themeColor="text1" w:themeTint="BF"/>
    </w:rPr>
  </w:style>
  <w:style w:type="character" w:styleId="IntenseEmphasis">
    <w:name w:val="Intense Emphasis"/>
    <w:basedOn w:val="DefaultParagraphFont"/>
    <w:uiPriority w:val="21"/>
    <w:qFormat/>
    <w:rsid w:val="00246DA1"/>
    <w:rPr>
      <w:b/>
      <w:bCs/>
      <w:i/>
      <w:iCs/>
      <w:caps/>
    </w:rPr>
  </w:style>
  <w:style w:type="character" w:styleId="SubtleReference">
    <w:name w:val="Subtle Reference"/>
    <w:basedOn w:val="DefaultParagraphFont"/>
    <w:uiPriority w:val="31"/>
    <w:qFormat/>
    <w:rsid w:val="00246DA1"/>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46DA1"/>
    <w:rPr>
      <w:b/>
      <w:bCs/>
      <w:smallCaps/>
      <w:u w:val="single"/>
    </w:rPr>
  </w:style>
  <w:style w:type="character" w:styleId="BookTitle">
    <w:name w:val="Book Title"/>
    <w:basedOn w:val="DefaultParagraphFont"/>
    <w:uiPriority w:val="33"/>
    <w:qFormat/>
    <w:rsid w:val="00246DA1"/>
    <w:rPr>
      <w:b w:val="0"/>
      <w:bCs w:val="0"/>
      <w:smallCaps/>
      <w:spacing w:val="5"/>
    </w:rPr>
  </w:style>
  <w:style w:type="paragraph" w:styleId="TOCHeading">
    <w:name w:val="TOC Heading"/>
    <w:basedOn w:val="Heading1"/>
    <w:next w:val="Normal"/>
    <w:uiPriority w:val="39"/>
    <w:unhideWhenUsed/>
    <w:qFormat/>
    <w:rsid w:val="00246DA1"/>
    <w:pPr>
      <w:outlineLvl w:val="9"/>
    </w:pPr>
  </w:style>
  <w:style w:type="character" w:styleId="FollowedHyperlink">
    <w:name w:val="FollowedHyperlink"/>
    <w:basedOn w:val="DefaultParagraphFont"/>
    <w:uiPriority w:val="99"/>
    <w:semiHidden/>
    <w:unhideWhenUsed/>
    <w:rsid w:val="0033127C"/>
    <w:rPr>
      <w:color w:val="954F72" w:themeColor="followedHyperlink"/>
      <w:u w:val="single"/>
    </w:rPr>
  </w:style>
  <w:style w:type="character" w:styleId="CommentReference">
    <w:name w:val="annotation reference"/>
    <w:basedOn w:val="DefaultParagraphFont"/>
    <w:uiPriority w:val="99"/>
    <w:semiHidden/>
    <w:unhideWhenUsed/>
    <w:rsid w:val="00560354"/>
    <w:rPr>
      <w:sz w:val="16"/>
      <w:szCs w:val="16"/>
    </w:rPr>
  </w:style>
  <w:style w:type="paragraph" w:styleId="CommentText">
    <w:name w:val="annotation text"/>
    <w:basedOn w:val="Normal"/>
    <w:link w:val="CommentTextChar"/>
    <w:uiPriority w:val="99"/>
    <w:semiHidden/>
    <w:unhideWhenUsed/>
    <w:rsid w:val="00560354"/>
    <w:pPr>
      <w:spacing w:line="240" w:lineRule="auto"/>
    </w:pPr>
    <w:rPr>
      <w:sz w:val="20"/>
      <w:szCs w:val="20"/>
    </w:rPr>
  </w:style>
  <w:style w:type="character" w:customStyle="1" w:styleId="CommentTextChar">
    <w:name w:val="Comment Text Char"/>
    <w:basedOn w:val="DefaultParagraphFont"/>
    <w:link w:val="CommentText"/>
    <w:uiPriority w:val="99"/>
    <w:semiHidden/>
    <w:rsid w:val="0056035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60354"/>
    <w:rPr>
      <w:b/>
      <w:bCs/>
    </w:rPr>
  </w:style>
  <w:style w:type="character" w:customStyle="1" w:styleId="CommentSubjectChar">
    <w:name w:val="Comment Subject Char"/>
    <w:basedOn w:val="CommentTextChar"/>
    <w:link w:val="CommentSubject"/>
    <w:uiPriority w:val="99"/>
    <w:semiHidden/>
    <w:rsid w:val="00560354"/>
    <w:rPr>
      <w:rFonts w:ascii="Times New Roman" w:hAnsi="Times New Roman"/>
      <w:b/>
      <w:bCs/>
      <w:sz w:val="20"/>
      <w:szCs w:val="20"/>
    </w:rPr>
  </w:style>
  <w:style w:type="paragraph" w:styleId="BalloonText">
    <w:name w:val="Balloon Text"/>
    <w:basedOn w:val="Normal"/>
    <w:link w:val="BalloonTextChar"/>
    <w:uiPriority w:val="99"/>
    <w:semiHidden/>
    <w:unhideWhenUsed/>
    <w:rsid w:val="005603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0354"/>
    <w:rPr>
      <w:rFonts w:ascii="Segoe UI" w:hAnsi="Segoe UI" w:cs="Segoe UI"/>
      <w:sz w:val="18"/>
      <w:szCs w:val="18"/>
    </w:rPr>
  </w:style>
  <w:style w:type="character" w:customStyle="1" w:styleId="articleurl">
    <w:name w:val="articleurl"/>
    <w:basedOn w:val="DefaultParagraphFont"/>
    <w:rsid w:val="008A35A7"/>
  </w:style>
  <w:style w:type="paragraph" w:styleId="TOC1">
    <w:name w:val="toc 1"/>
    <w:basedOn w:val="Normal"/>
    <w:next w:val="Normal"/>
    <w:autoRedefine/>
    <w:uiPriority w:val="39"/>
    <w:unhideWhenUsed/>
    <w:rsid w:val="001D5BDD"/>
    <w:pPr>
      <w:spacing w:after="100"/>
    </w:pPr>
  </w:style>
  <w:style w:type="paragraph" w:styleId="TOC2">
    <w:name w:val="toc 2"/>
    <w:basedOn w:val="Normal"/>
    <w:next w:val="Normal"/>
    <w:autoRedefine/>
    <w:uiPriority w:val="39"/>
    <w:unhideWhenUsed/>
    <w:rsid w:val="001D5BDD"/>
    <w:pPr>
      <w:spacing w:after="100"/>
      <w:ind w:left="240"/>
    </w:pPr>
  </w:style>
  <w:style w:type="paragraph" w:styleId="TOC3">
    <w:name w:val="toc 3"/>
    <w:basedOn w:val="Normal"/>
    <w:next w:val="Normal"/>
    <w:autoRedefine/>
    <w:uiPriority w:val="39"/>
    <w:unhideWhenUsed/>
    <w:rsid w:val="001D5BDD"/>
    <w:pPr>
      <w:spacing w:after="100"/>
      <w:ind w:left="480"/>
    </w:pPr>
  </w:style>
  <w:style w:type="character" w:styleId="PageNumber">
    <w:name w:val="page number"/>
    <w:autoRedefine/>
    <w:rsid w:val="0003461E"/>
    <w:rPr>
      <w:color w:val="000000"/>
    </w:rPr>
  </w:style>
  <w:style w:type="paragraph" w:styleId="HTMLPreformatted">
    <w:name w:val="HTML Preformatted"/>
    <w:basedOn w:val="Normal"/>
    <w:link w:val="HTMLPreformattedChar"/>
    <w:uiPriority w:val="99"/>
    <w:unhideWhenUsed/>
    <w:rsid w:val="00347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347FC5"/>
    <w:rPr>
      <w:rFonts w:ascii="Courier New" w:eastAsia="Times New Roman" w:hAnsi="Courier New" w:cs="Courier New"/>
      <w:sz w:val="20"/>
      <w:szCs w:val="20"/>
      <w:lang w:val="en-US"/>
    </w:rPr>
  </w:style>
  <w:style w:type="character" w:customStyle="1" w:styleId="pbold-maroon">
    <w:name w:val="pbold-maroon"/>
    <w:basedOn w:val="DefaultParagraphFont"/>
    <w:rsid w:val="005A516C"/>
  </w:style>
  <w:style w:type="paragraph" w:styleId="Revision">
    <w:name w:val="Revision"/>
    <w:hidden/>
    <w:uiPriority w:val="99"/>
    <w:semiHidden/>
    <w:rsid w:val="00025FCB"/>
    <w:pPr>
      <w:spacing w:after="0" w:line="240" w:lineRule="auto"/>
    </w:pPr>
    <w:rPr>
      <w:rFonts w:ascii="Times New Roman" w:hAnsi="Times New Roman"/>
      <w:sz w:val="24"/>
    </w:rPr>
  </w:style>
  <w:style w:type="paragraph" w:customStyle="1" w:styleId="Default">
    <w:name w:val="Default"/>
    <w:rsid w:val="0081290A"/>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EndnoteText">
    <w:name w:val="endnote text"/>
    <w:basedOn w:val="Normal"/>
    <w:link w:val="EndnoteTextChar"/>
    <w:uiPriority w:val="99"/>
    <w:semiHidden/>
    <w:unhideWhenUsed/>
    <w:rsid w:val="004411B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411B3"/>
    <w:rPr>
      <w:rFonts w:ascii="Times New Roman" w:hAnsi="Times New Roman"/>
      <w:sz w:val="20"/>
      <w:szCs w:val="20"/>
    </w:rPr>
  </w:style>
  <w:style w:type="character" w:styleId="EndnoteReference">
    <w:name w:val="endnote reference"/>
    <w:basedOn w:val="DefaultParagraphFont"/>
    <w:uiPriority w:val="99"/>
    <w:semiHidden/>
    <w:unhideWhenUsed/>
    <w:rsid w:val="004411B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DA1"/>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246DA1"/>
    <w:pPr>
      <w:keepNext/>
      <w:keepLines/>
      <w:numPr>
        <w:numId w:val="12"/>
      </w:numPr>
      <w:pBdr>
        <w:bottom w:val="single" w:sz="4" w:space="1" w:color="595959" w:themeColor="text1" w:themeTint="A6"/>
      </w:pBdr>
      <w:spacing w:before="360"/>
      <w:outlineLvl w:val="0"/>
    </w:pPr>
    <w:rPr>
      <w:rFonts w:eastAsiaTheme="majorEastAsia" w:cstheme="majorBidi"/>
      <w:b/>
      <w:bCs/>
      <w:smallCaps/>
      <w:color w:val="000000" w:themeColor="text1"/>
      <w:sz w:val="28"/>
      <w:szCs w:val="36"/>
    </w:rPr>
  </w:style>
  <w:style w:type="paragraph" w:styleId="Heading2">
    <w:name w:val="heading 2"/>
    <w:basedOn w:val="Normal"/>
    <w:next w:val="Normal"/>
    <w:link w:val="Heading2Char"/>
    <w:uiPriority w:val="9"/>
    <w:unhideWhenUsed/>
    <w:qFormat/>
    <w:rsid w:val="00246DA1"/>
    <w:pPr>
      <w:keepNext/>
      <w:keepLines/>
      <w:numPr>
        <w:ilvl w:val="1"/>
        <w:numId w:val="12"/>
      </w:numPr>
      <w:spacing w:before="240"/>
      <w:ind w:left="578" w:hanging="578"/>
      <w:outlineLvl w:val="1"/>
    </w:pPr>
    <w:rPr>
      <w:rFonts w:eastAsiaTheme="majorEastAsia" w:cstheme="majorBidi"/>
      <w:b/>
      <w:bCs/>
      <w:smallCaps/>
      <w:color w:val="000000" w:themeColor="text1"/>
      <w:szCs w:val="28"/>
    </w:rPr>
  </w:style>
  <w:style w:type="paragraph" w:styleId="Heading3">
    <w:name w:val="heading 3"/>
    <w:basedOn w:val="Normal"/>
    <w:next w:val="Normal"/>
    <w:link w:val="Heading3Char"/>
    <w:uiPriority w:val="9"/>
    <w:unhideWhenUsed/>
    <w:qFormat/>
    <w:rsid w:val="0062697D"/>
    <w:pPr>
      <w:keepNext/>
      <w:keepLines/>
      <w:numPr>
        <w:ilvl w:val="2"/>
        <w:numId w:val="12"/>
      </w:numPr>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246DA1"/>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46DA1"/>
    <w:pPr>
      <w:keepNext/>
      <w:keepLines/>
      <w:numPr>
        <w:ilvl w:val="4"/>
        <w:numId w:val="12"/>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46DA1"/>
    <w:pPr>
      <w:keepNext/>
      <w:keepLines/>
      <w:numPr>
        <w:ilvl w:val="5"/>
        <w:numId w:val="12"/>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46DA1"/>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46DA1"/>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46DA1"/>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6DA1"/>
    <w:rPr>
      <w:rFonts w:ascii="Times New Roman" w:eastAsiaTheme="majorEastAsia" w:hAnsi="Times New Roman" w:cstheme="majorBidi"/>
      <w:b/>
      <w:bCs/>
      <w:smallCaps/>
      <w:color w:val="000000" w:themeColor="text1"/>
      <w:sz w:val="28"/>
      <w:szCs w:val="36"/>
    </w:rPr>
  </w:style>
  <w:style w:type="character" w:customStyle="1" w:styleId="Heading2Char">
    <w:name w:val="Heading 2 Char"/>
    <w:basedOn w:val="DefaultParagraphFont"/>
    <w:link w:val="Heading2"/>
    <w:uiPriority w:val="9"/>
    <w:rsid w:val="00246DA1"/>
    <w:rPr>
      <w:rFonts w:ascii="Times New Roman" w:eastAsiaTheme="majorEastAsia" w:hAnsi="Times New Roman" w:cstheme="majorBidi"/>
      <w:b/>
      <w:bCs/>
      <w:smallCaps/>
      <w:color w:val="000000" w:themeColor="text1"/>
      <w:sz w:val="24"/>
      <w:szCs w:val="28"/>
    </w:rPr>
  </w:style>
  <w:style w:type="character" w:customStyle="1" w:styleId="Heading3Char">
    <w:name w:val="Heading 3 Char"/>
    <w:basedOn w:val="DefaultParagraphFont"/>
    <w:link w:val="Heading3"/>
    <w:uiPriority w:val="9"/>
    <w:rsid w:val="0062697D"/>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246DA1"/>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46DA1"/>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46DA1"/>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46DA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46DA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46DA1"/>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F63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6317"/>
    <w:rPr>
      <w:rFonts w:ascii="Times New Roman" w:hAnsi="Times New Roman"/>
      <w:sz w:val="24"/>
    </w:rPr>
  </w:style>
  <w:style w:type="paragraph" w:styleId="Footer">
    <w:name w:val="footer"/>
    <w:basedOn w:val="Normal"/>
    <w:link w:val="FooterChar"/>
    <w:uiPriority w:val="99"/>
    <w:unhideWhenUsed/>
    <w:rsid w:val="009F63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6317"/>
    <w:rPr>
      <w:rFonts w:ascii="Times New Roman" w:hAnsi="Times New Roman"/>
      <w:sz w:val="24"/>
    </w:rPr>
  </w:style>
  <w:style w:type="paragraph" w:styleId="NoSpacing">
    <w:name w:val="No Spacing"/>
    <w:aliases w:val="Footnotes"/>
    <w:link w:val="NoSpacingChar"/>
    <w:uiPriority w:val="1"/>
    <w:qFormat/>
    <w:rsid w:val="00500F20"/>
    <w:pPr>
      <w:spacing w:after="0" w:line="240" w:lineRule="auto"/>
    </w:pPr>
    <w:rPr>
      <w:rFonts w:ascii="Times New Roman" w:hAnsi="Times New Roman"/>
      <w:sz w:val="20"/>
    </w:rPr>
  </w:style>
  <w:style w:type="character" w:customStyle="1" w:styleId="NoSpacingChar">
    <w:name w:val="No Spacing Char"/>
    <w:aliases w:val="Footnotes Char"/>
    <w:basedOn w:val="DefaultParagraphFont"/>
    <w:link w:val="NoSpacing"/>
    <w:uiPriority w:val="1"/>
    <w:rsid w:val="00500F20"/>
    <w:rPr>
      <w:rFonts w:ascii="Times New Roman" w:hAnsi="Times New Roman"/>
      <w:sz w:val="20"/>
    </w:rPr>
  </w:style>
  <w:style w:type="paragraph" w:styleId="ListParagraph">
    <w:name w:val="List Paragraph"/>
    <w:basedOn w:val="Normal"/>
    <w:uiPriority w:val="34"/>
    <w:qFormat/>
    <w:rsid w:val="00FB1927"/>
    <w:pPr>
      <w:ind w:left="720"/>
      <w:contextualSpacing/>
    </w:pPr>
  </w:style>
  <w:style w:type="paragraph" w:styleId="FootnoteText">
    <w:name w:val="footnote text"/>
    <w:basedOn w:val="Normal"/>
    <w:link w:val="FootnoteTextChar"/>
    <w:uiPriority w:val="99"/>
    <w:unhideWhenUsed/>
    <w:rsid w:val="00371D8E"/>
    <w:pPr>
      <w:spacing w:after="0" w:line="240" w:lineRule="auto"/>
    </w:pPr>
    <w:rPr>
      <w:sz w:val="20"/>
      <w:szCs w:val="20"/>
    </w:rPr>
  </w:style>
  <w:style w:type="character" w:customStyle="1" w:styleId="FootnoteTextChar">
    <w:name w:val="Footnote Text Char"/>
    <w:basedOn w:val="DefaultParagraphFont"/>
    <w:link w:val="FootnoteText"/>
    <w:uiPriority w:val="99"/>
    <w:rsid w:val="00371D8E"/>
    <w:rPr>
      <w:rFonts w:ascii="Times New Roman" w:hAnsi="Times New Roman"/>
      <w:sz w:val="20"/>
      <w:szCs w:val="20"/>
    </w:rPr>
  </w:style>
  <w:style w:type="character" w:styleId="FootnoteReference">
    <w:name w:val="footnote reference"/>
    <w:basedOn w:val="DefaultParagraphFont"/>
    <w:uiPriority w:val="99"/>
    <w:semiHidden/>
    <w:unhideWhenUsed/>
    <w:rsid w:val="00371D8E"/>
    <w:rPr>
      <w:vertAlign w:val="superscript"/>
    </w:rPr>
  </w:style>
  <w:style w:type="character" w:styleId="Hyperlink">
    <w:name w:val="Hyperlink"/>
    <w:basedOn w:val="DefaultParagraphFont"/>
    <w:uiPriority w:val="99"/>
    <w:unhideWhenUsed/>
    <w:rsid w:val="00B10B4D"/>
    <w:rPr>
      <w:color w:val="0563C1" w:themeColor="hyperlink"/>
      <w:u w:val="single"/>
    </w:rPr>
  </w:style>
  <w:style w:type="paragraph" w:styleId="NormalWeb">
    <w:name w:val="Normal (Web)"/>
    <w:basedOn w:val="Normal"/>
    <w:uiPriority w:val="99"/>
    <w:unhideWhenUsed/>
    <w:rsid w:val="00226731"/>
    <w:pPr>
      <w:spacing w:before="100" w:beforeAutospacing="1" w:after="100" w:afterAutospacing="1" w:line="240" w:lineRule="auto"/>
      <w:jc w:val="left"/>
    </w:pPr>
    <w:rPr>
      <w:rFonts w:eastAsia="Times New Roman" w:cs="Times New Roman"/>
      <w:szCs w:val="24"/>
      <w:lang w:eastAsia="en-GB"/>
    </w:rPr>
  </w:style>
  <w:style w:type="character" w:customStyle="1" w:styleId="apple-converted-space">
    <w:name w:val="apple-converted-space"/>
    <w:basedOn w:val="DefaultParagraphFont"/>
    <w:rsid w:val="00226731"/>
  </w:style>
  <w:style w:type="paragraph" w:styleId="Caption">
    <w:name w:val="caption"/>
    <w:basedOn w:val="Normal"/>
    <w:next w:val="Normal"/>
    <w:uiPriority w:val="35"/>
    <w:semiHidden/>
    <w:unhideWhenUsed/>
    <w:qFormat/>
    <w:rsid w:val="00246DA1"/>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246DA1"/>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46DA1"/>
    <w:rPr>
      <w:rFonts w:asciiTheme="majorHAnsi" w:eastAsiaTheme="majorEastAsia" w:hAnsiTheme="majorHAnsi" w:cstheme="majorBidi"/>
      <w:color w:val="000000" w:themeColor="text1"/>
      <w:sz w:val="56"/>
      <w:szCs w:val="56"/>
    </w:rPr>
  </w:style>
  <w:style w:type="paragraph" w:styleId="Subtitle">
    <w:name w:val="Subtitle"/>
    <w:aliases w:val="Quotes"/>
    <w:basedOn w:val="Normal"/>
    <w:next w:val="Normal"/>
    <w:link w:val="SubtitleChar"/>
    <w:uiPriority w:val="11"/>
    <w:qFormat/>
    <w:rsid w:val="003A6406"/>
    <w:pPr>
      <w:numPr>
        <w:ilvl w:val="1"/>
      </w:numPr>
      <w:spacing w:after="240" w:line="240" w:lineRule="auto"/>
      <w:ind w:left="706" w:right="706"/>
    </w:pPr>
    <w:rPr>
      <w:color w:val="000000" w:themeColor="text1"/>
      <w:spacing w:val="10"/>
      <w:sz w:val="20"/>
    </w:rPr>
  </w:style>
  <w:style w:type="character" w:customStyle="1" w:styleId="SubtitleChar">
    <w:name w:val="Subtitle Char"/>
    <w:aliases w:val="Quotes Char"/>
    <w:basedOn w:val="DefaultParagraphFont"/>
    <w:link w:val="Subtitle"/>
    <w:uiPriority w:val="11"/>
    <w:rsid w:val="003A6406"/>
    <w:rPr>
      <w:rFonts w:ascii="Times New Roman" w:hAnsi="Times New Roman"/>
      <w:color w:val="000000" w:themeColor="text1"/>
      <w:spacing w:val="10"/>
      <w:sz w:val="20"/>
    </w:rPr>
  </w:style>
  <w:style w:type="character" w:styleId="Strong">
    <w:name w:val="Strong"/>
    <w:basedOn w:val="DefaultParagraphFont"/>
    <w:uiPriority w:val="22"/>
    <w:qFormat/>
    <w:rsid w:val="00246DA1"/>
    <w:rPr>
      <w:b/>
      <w:bCs/>
      <w:color w:val="000000" w:themeColor="text1"/>
    </w:rPr>
  </w:style>
  <w:style w:type="character" w:styleId="Emphasis">
    <w:name w:val="Emphasis"/>
    <w:basedOn w:val="DefaultParagraphFont"/>
    <w:uiPriority w:val="20"/>
    <w:qFormat/>
    <w:rsid w:val="00246DA1"/>
    <w:rPr>
      <w:i/>
      <w:iCs/>
      <w:color w:val="auto"/>
    </w:rPr>
  </w:style>
  <w:style w:type="paragraph" w:styleId="Quote">
    <w:name w:val="Quote"/>
    <w:basedOn w:val="Normal"/>
    <w:next w:val="Normal"/>
    <w:link w:val="QuoteChar"/>
    <w:uiPriority w:val="29"/>
    <w:qFormat/>
    <w:rsid w:val="00246DA1"/>
    <w:pPr>
      <w:spacing w:before="160"/>
      <w:ind w:left="720" w:right="720"/>
    </w:pPr>
    <w:rPr>
      <w:i/>
      <w:iCs/>
      <w:color w:val="000000" w:themeColor="text1"/>
    </w:rPr>
  </w:style>
  <w:style w:type="character" w:customStyle="1" w:styleId="QuoteChar">
    <w:name w:val="Quote Char"/>
    <w:basedOn w:val="DefaultParagraphFont"/>
    <w:link w:val="Quote"/>
    <w:uiPriority w:val="29"/>
    <w:rsid w:val="00246DA1"/>
    <w:rPr>
      <w:i/>
      <w:iCs/>
      <w:color w:val="000000" w:themeColor="text1"/>
    </w:rPr>
  </w:style>
  <w:style w:type="paragraph" w:styleId="IntenseQuote">
    <w:name w:val="Intense Quote"/>
    <w:basedOn w:val="Normal"/>
    <w:next w:val="Normal"/>
    <w:link w:val="IntenseQuoteChar"/>
    <w:uiPriority w:val="30"/>
    <w:qFormat/>
    <w:rsid w:val="00246DA1"/>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246DA1"/>
    <w:rPr>
      <w:color w:val="000000" w:themeColor="text1"/>
      <w:shd w:val="clear" w:color="auto" w:fill="F2F2F2" w:themeFill="background1" w:themeFillShade="F2"/>
    </w:rPr>
  </w:style>
  <w:style w:type="character" w:styleId="SubtleEmphasis">
    <w:name w:val="Subtle Emphasis"/>
    <w:basedOn w:val="DefaultParagraphFont"/>
    <w:uiPriority w:val="19"/>
    <w:qFormat/>
    <w:rsid w:val="00246DA1"/>
    <w:rPr>
      <w:i/>
      <w:iCs/>
      <w:color w:val="404040" w:themeColor="text1" w:themeTint="BF"/>
    </w:rPr>
  </w:style>
  <w:style w:type="character" w:styleId="IntenseEmphasis">
    <w:name w:val="Intense Emphasis"/>
    <w:basedOn w:val="DefaultParagraphFont"/>
    <w:uiPriority w:val="21"/>
    <w:qFormat/>
    <w:rsid w:val="00246DA1"/>
    <w:rPr>
      <w:b/>
      <w:bCs/>
      <w:i/>
      <w:iCs/>
      <w:caps/>
    </w:rPr>
  </w:style>
  <w:style w:type="character" w:styleId="SubtleReference">
    <w:name w:val="Subtle Reference"/>
    <w:basedOn w:val="DefaultParagraphFont"/>
    <w:uiPriority w:val="31"/>
    <w:qFormat/>
    <w:rsid w:val="00246DA1"/>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46DA1"/>
    <w:rPr>
      <w:b/>
      <w:bCs/>
      <w:smallCaps/>
      <w:u w:val="single"/>
    </w:rPr>
  </w:style>
  <w:style w:type="character" w:styleId="BookTitle">
    <w:name w:val="Book Title"/>
    <w:basedOn w:val="DefaultParagraphFont"/>
    <w:uiPriority w:val="33"/>
    <w:qFormat/>
    <w:rsid w:val="00246DA1"/>
    <w:rPr>
      <w:b w:val="0"/>
      <w:bCs w:val="0"/>
      <w:smallCaps/>
      <w:spacing w:val="5"/>
    </w:rPr>
  </w:style>
  <w:style w:type="paragraph" w:styleId="TOCHeading">
    <w:name w:val="TOC Heading"/>
    <w:basedOn w:val="Heading1"/>
    <w:next w:val="Normal"/>
    <w:uiPriority w:val="39"/>
    <w:unhideWhenUsed/>
    <w:qFormat/>
    <w:rsid w:val="00246DA1"/>
    <w:pPr>
      <w:outlineLvl w:val="9"/>
    </w:pPr>
  </w:style>
  <w:style w:type="character" w:styleId="FollowedHyperlink">
    <w:name w:val="FollowedHyperlink"/>
    <w:basedOn w:val="DefaultParagraphFont"/>
    <w:uiPriority w:val="99"/>
    <w:semiHidden/>
    <w:unhideWhenUsed/>
    <w:rsid w:val="0033127C"/>
    <w:rPr>
      <w:color w:val="954F72" w:themeColor="followedHyperlink"/>
      <w:u w:val="single"/>
    </w:rPr>
  </w:style>
  <w:style w:type="character" w:styleId="CommentReference">
    <w:name w:val="annotation reference"/>
    <w:basedOn w:val="DefaultParagraphFont"/>
    <w:uiPriority w:val="99"/>
    <w:semiHidden/>
    <w:unhideWhenUsed/>
    <w:rsid w:val="00560354"/>
    <w:rPr>
      <w:sz w:val="16"/>
      <w:szCs w:val="16"/>
    </w:rPr>
  </w:style>
  <w:style w:type="paragraph" w:styleId="CommentText">
    <w:name w:val="annotation text"/>
    <w:basedOn w:val="Normal"/>
    <w:link w:val="CommentTextChar"/>
    <w:uiPriority w:val="99"/>
    <w:semiHidden/>
    <w:unhideWhenUsed/>
    <w:rsid w:val="00560354"/>
    <w:pPr>
      <w:spacing w:line="240" w:lineRule="auto"/>
    </w:pPr>
    <w:rPr>
      <w:sz w:val="20"/>
      <w:szCs w:val="20"/>
    </w:rPr>
  </w:style>
  <w:style w:type="character" w:customStyle="1" w:styleId="CommentTextChar">
    <w:name w:val="Comment Text Char"/>
    <w:basedOn w:val="DefaultParagraphFont"/>
    <w:link w:val="CommentText"/>
    <w:uiPriority w:val="99"/>
    <w:semiHidden/>
    <w:rsid w:val="0056035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60354"/>
    <w:rPr>
      <w:b/>
      <w:bCs/>
    </w:rPr>
  </w:style>
  <w:style w:type="character" w:customStyle="1" w:styleId="CommentSubjectChar">
    <w:name w:val="Comment Subject Char"/>
    <w:basedOn w:val="CommentTextChar"/>
    <w:link w:val="CommentSubject"/>
    <w:uiPriority w:val="99"/>
    <w:semiHidden/>
    <w:rsid w:val="00560354"/>
    <w:rPr>
      <w:rFonts w:ascii="Times New Roman" w:hAnsi="Times New Roman"/>
      <w:b/>
      <w:bCs/>
      <w:sz w:val="20"/>
      <w:szCs w:val="20"/>
    </w:rPr>
  </w:style>
  <w:style w:type="paragraph" w:styleId="BalloonText">
    <w:name w:val="Balloon Text"/>
    <w:basedOn w:val="Normal"/>
    <w:link w:val="BalloonTextChar"/>
    <w:uiPriority w:val="99"/>
    <w:semiHidden/>
    <w:unhideWhenUsed/>
    <w:rsid w:val="005603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0354"/>
    <w:rPr>
      <w:rFonts w:ascii="Segoe UI" w:hAnsi="Segoe UI" w:cs="Segoe UI"/>
      <w:sz w:val="18"/>
      <w:szCs w:val="18"/>
    </w:rPr>
  </w:style>
  <w:style w:type="character" w:customStyle="1" w:styleId="articleurl">
    <w:name w:val="articleurl"/>
    <w:basedOn w:val="DefaultParagraphFont"/>
    <w:rsid w:val="008A35A7"/>
  </w:style>
  <w:style w:type="paragraph" w:styleId="TOC1">
    <w:name w:val="toc 1"/>
    <w:basedOn w:val="Normal"/>
    <w:next w:val="Normal"/>
    <w:autoRedefine/>
    <w:uiPriority w:val="39"/>
    <w:unhideWhenUsed/>
    <w:rsid w:val="001D5BDD"/>
    <w:pPr>
      <w:spacing w:after="100"/>
    </w:pPr>
  </w:style>
  <w:style w:type="paragraph" w:styleId="TOC2">
    <w:name w:val="toc 2"/>
    <w:basedOn w:val="Normal"/>
    <w:next w:val="Normal"/>
    <w:autoRedefine/>
    <w:uiPriority w:val="39"/>
    <w:unhideWhenUsed/>
    <w:rsid w:val="001D5BDD"/>
    <w:pPr>
      <w:spacing w:after="100"/>
      <w:ind w:left="240"/>
    </w:pPr>
  </w:style>
  <w:style w:type="paragraph" w:styleId="TOC3">
    <w:name w:val="toc 3"/>
    <w:basedOn w:val="Normal"/>
    <w:next w:val="Normal"/>
    <w:autoRedefine/>
    <w:uiPriority w:val="39"/>
    <w:unhideWhenUsed/>
    <w:rsid w:val="001D5BDD"/>
    <w:pPr>
      <w:spacing w:after="100"/>
      <w:ind w:left="480"/>
    </w:pPr>
  </w:style>
  <w:style w:type="character" w:styleId="PageNumber">
    <w:name w:val="page number"/>
    <w:autoRedefine/>
    <w:rsid w:val="0003461E"/>
    <w:rPr>
      <w:color w:val="000000"/>
    </w:rPr>
  </w:style>
  <w:style w:type="paragraph" w:styleId="HTMLPreformatted">
    <w:name w:val="HTML Preformatted"/>
    <w:basedOn w:val="Normal"/>
    <w:link w:val="HTMLPreformattedChar"/>
    <w:uiPriority w:val="99"/>
    <w:unhideWhenUsed/>
    <w:rsid w:val="00347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347FC5"/>
    <w:rPr>
      <w:rFonts w:ascii="Courier New" w:eastAsia="Times New Roman" w:hAnsi="Courier New" w:cs="Courier New"/>
      <w:sz w:val="20"/>
      <w:szCs w:val="20"/>
      <w:lang w:val="en-US"/>
    </w:rPr>
  </w:style>
  <w:style w:type="character" w:customStyle="1" w:styleId="pbold-maroon">
    <w:name w:val="pbold-maroon"/>
    <w:basedOn w:val="DefaultParagraphFont"/>
    <w:rsid w:val="005A516C"/>
  </w:style>
  <w:style w:type="paragraph" w:styleId="Revision">
    <w:name w:val="Revision"/>
    <w:hidden/>
    <w:uiPriority w:val="99"/>
    <w:semiHidden/>
    <w:rsid w:val="00025FCB"/>
    <w:pPr>
      <w:spacing w:after="0" w:line="240" w:lineRule="auto"/>
    </w:pPr>
    <w:rPr>
      <w:rFonts w:ascii="Times New Roman" w:hAnsi="Times New Roman"/>
      <w:sz w:val="24"/>
    </w:rPr>
  </w:style>
  <w:style w:type="paragraph" w:customStyle="1" w:styleId="Default">
    <w:name w:val="Default"/>
    <w:rsid w:val="0081290A"/>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EndnoteText">
    <w:name w:val="endnote text"/>
    <w:basedOn w:val="Normal"/>
    <w:link w:val="EndnoteTextChar"/>
    <w:uiPriority w:val="99"/>
    <w:semiHidden/>
    <w:unhideWhenUsed/>
    <w:rsid w:val="004411B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411B3"/>
    <w:rPr>
      <w:rFonts w:ascii="Times New Roman" w:hAnsi="Times New Roman"/>
      <w:sz w:val="20"/>
      <w:szCs w:val="20"/>
    </w:rPr>
  </w:style>
  <w:style w:type="character" w:styleId="EndnoteReference">
    <w:name w:val="endnote reference"/>
    <w:basedOn w:val="DefaultParagraphFont"/>
    <w:uiPriority w:val="99"/>
    <w:semiHidden/>
    <w:unhideWhenUsed/>
    <w:rsid w:val="004411B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8819">
      <w:bodyDiv w:val="1"/>
      <w:marLeft w:val="0"/>
      <w:marRight w:val="0"/>
      <w:marTop w:val="0"/>
      <w:marBottom w:val="0"/>
      <w:divBdr>
        <w:top w:val="none" w:sz="0" w:space="0" w:color="auto"/>
        <w:left w:val="none" w:sz="0" w:space="0" w:color="auto"/>
        <w:bottom w:val="none" w:sz="0" w:space="0" w:color="auto"/>
        <w:right w:val="none" w:sz="0" w:space="0" w:color="auto"/>
      </w:divBdr>
    </w:div>
    <w:div w:id="225262893">
      <w:bodyDiv w:val="1"/>
      <w:marLeft w:val="0"/>
      <w:marRight w:val="0"/>
      <w:marTop w:val="0"/>
      <w:marBottom w:val="0"/>
      <w:divBdr>
        <w:top w:val="none" w:sz="0" w:space="0" w:color="auto"/>
        <w:left w:val="none" w:sz="0" w:space="0" w:color="auto"/>
        <w:bottom w:val="none" w:sz="0" w:space="0" w:color="auto"/>
        <w:right w:val="none" w:sz="0" w:space="0" w:color="auto"/>
      </w:divBdr>
    </w:div>
    <w:div w:id="234976763">
      <w:bodyDiv w:val="1"/>
      <w:marLeft w:val="0"/>
      <w:marRight w:val="0"/>
      <w:marTop w:val="0"/>
      <w:marBottom w:val="0"/>
      <w:divBdr>
        <w:top w:val="none" w:sz="0" w:space="0" w:color="auto"/>
        <w:left w:val="none" w:sz="0" w:space="0" w:color="auto"/>
        <w:bottom w:val="none" w:sz="0" w:space="0" w:color="auto"/>
        <w:right w:val="none" w:sz="0" w:space="0" w:color="auto"/>
      </w:divBdr>
    </w:div>
    <w:div w:id="237063563">
      <w:bodyDiv w:val="1"/>
      <w:marLeft w:val="0"/>
      <w:marRight w:val="0"/>
      <w:marTop w:val="0"/>
      <w:marBottom w:val="0"/>
      <w:divBdr>
        <w:top w:val="none" w:sz="0" w:space="0" w:color="auto"/>
        <w:left w:val="none" w:sz="0" w:space="0" w:color="auto"/>
        <w:bottom w:val="none" w:sz="0" w:space="0" w:color="auto"/>
        <w:right w:val="none" w:sz="0" w:space="0" w:color="auto"/>
      </w:divBdr>
    </w:div>
    <w:div w:id="615983176">
      <w:bodyDiv w:val="1"/>
      <w:marLeft w:val="0"/>
      <w:marRight w:val="0"/>
      <w:marTop w:val="0"/>
      <w:marBottom w:val="0"/>
      <w:divBdr>
        <w:top w:val="none" w:sz="0" w:space="0" w:color="auto"/>
        <w:left w:val="none" w:sz="0" w:space="0" w:color="auto"/>
        <w:bottom w:val="none" w:sz="0" w:space="0" w:color="auto"/>
        <w:right w:val="none" w:sz="0" w:space="0" w:color="auto"/>
      </w:divBdr>
    </w:div>
    <w:div w:id="653949928">
      <w:bodyDiv w:val="1"/>
      <w:marLeft w:val="0"/>
      <w:marRight w:val="0"/>
      <w:marTop w:val="0"/>
      <w:marBottom w:val="0"/>
      <w:divBdr>
        <w:top w:val="none" w:sz="0" w:space="0" w:color="auto"/>
        <w:left w:val="none" w:sz="0" w:space="0" w:color="auto"/>
        <w:bottom w:val="none" w:sz="0" w:space="0" w:color="auto"/>
        <w:right w:val="none" w:sz="0" w:space="0" w:color="auto"/>
      </w:divBdr>
    </w:div>
    <w:div w:id="771248420">
      <w:bodyDiv w:val="1"/>
      <w:marLeft w:val="0"/>
      <w:marRight w:val="0"/>
      <w:marTop w:val="0"/>
      <w:marBottom w:val="0"/>
      <w:divBdr>
        <w:top w:val="none" w:sz="0" w:space="0" w:color="auto"/>
        <w:left w:val="none" w:sz="0" w:space="0" w:color="auto"/>
        <w:bottom w:val="none" w:sz="0" w:space="0" w:color="auto"/>
        <w:right w:val="none" w:sz="0" w:space="0" w:color="auto"/>
      </w:divBdr>
    </w:div>
    <w:div w:id="915438872">
      <w:bodyDiv w:val="1"/>
      <w:marLeft w:val="0"/>
      <w:marRight w:val="0"/>
      <w:marTop w:val="0"/>
      <w:marBottom w:val="0"/>
      <w:divBdr>
        <w:top w:val="none" w:sz="0" w:space="0" w:color="auto"/>
        <w:left w:val="none" w:sz="0" w:space="0" w:color="auto"/>
        <w:bottom w:val="none" w:sz="0" w:space="0" w:color="auto"/>
        <w:right w:val="none" w:sz="0" w:space="0" w:color="auto"/>
      </w:divBdr>
    </w:div>
    <w:div w:id="925185919">
      <w:bodyDiv w:val="1"/>
      <w:marLeft w:val="0"/>
      <w:marRight w:val="0"/>
      <w:marTop w:val="0"/>
      <w:marBottom w:val="0"/>
      <w:divBdr>
        <w:top w:val="none" w:sz="0" w:space="0" w:color="auto"/>
        <w:left w:val="none" w:sz="0" w:space="0" w:color="auto"/>
        <w:bottom w:val="none" w:sz="0" w:space="0" w:color="auto"/>
        <w:right w:val="none" w:sz="0" w:space="0" w:color="auto"/>
      </w:divBdr>
    </w:div>
    <w:div w:id="1053507528">
      <w:bodyDiv w:val="1"/>
      <w:marLeft w:val="0"/>
      <w:marRight w:val="0"/>
      <w:marTop w:val="0"/>
      <w:marBottom w:val="0"/>
      <w:divBdr>
        <w:top w:val="none" w:sz="0" w:space="0" w:color="auto"/>
        <w:left w:val="none" w:sz="0" w:space="0" w:color="auto"/>
        <w:bottom w:val="none" w:sz="0" w:space="0" w:color="auto"/>
        <w:right w:val="none" w:sz="0" w:space="0" w:color="auto"/>
      </w:divBdr>
    </w:div>
    <w:div w:id="1066339027">
      <w:bodyDiv w:val="1"/>
      <w:marLeft w:val="0"/>
      <w:marRight w:val="0"/>
      <w:marTop w:val="0"/>
      <w:marBottom w:val="0"/>
      <w:divBdr>
        <w:top w:val="none" w:sz="0" w:space="0" w:color="auto"/>
        <w:left w:val="none" w:sz="0" w:space="0" w:color="auto"/>
        <w:bottom w:val="none" w:sz="0" w:space="0" w:color="auto"/>
        <w:right w:val="none" w:sz="0" w:space="0" w:color="auto"/>
      </w:divBdr>
    </w:div>
    <w:div w:id="1131826040">
      <w:bodyDiv w:val="1"/>
      <w:marLeft w:val="0"/>
      <w:marRight w:val="0"/>
      <w:marTop w:val="0"/>
      <w:marBottom w:val="0"/>
      <w:divBdr>
        <w:top w:val="none" w:sz="0" w:space="0" w:color="auto"/>
        <w:left w:val="none" w:sz="0" w:space="0" w:color="auto"/>
        <w:bottom w:val="none" w:sz="0" w:space="0" w:color="auto"/>
        <w:right w:val="none" w:sz="0" w:space="0" w:color="auto"/>
      </w:divBdr>
      <w:divsChild>
        <w:div w:id="852065811">
          <w:marLeft w:val="0"/>
          <w:marRight w:val="0"/>
          <w:marTop w:val="0"/>
          <w:marBottom w:val="0"/>
          <w:divBdr>
            <w:top w:val="single" w:sz="6" w:space="10" w:color="E5E5E5"/>
            <w:left w:val="single" w:sz="2" w:space="0" w:color="E5E5E5"/>
            <w:bottom w:val="single" w:sz="6" w:space="19" w:color="E5E5E5"/>
            <w:right w:val="single" w:sz="2" w:space="0" w:color="E5E5E5"/>
          </w:divBdr>
          <w:divsChild>
            <w:div w:id="263153259">
              <w:marLeft w:val="0"/>
              <w:marRight w:val="0"/>
              <w:marTop w:val="0"/>
              <w:marBottom w:val="0"/>
              <w:divBdr>
                <w:top w:val="none" w:sz="0" w:space="0" w:color="auto"/>
                <w:left w:val="none" w:sz="0" w:space="0" w:color="auto"/>
                <w:bottom w:val="none" w:sz="0" w:space="0" w:color="auto"/>
                <w:right w:val="none" w:sz="0" w:space="0" w:color="auto"/>
              </w:divBdr>
            </w:div>
            <w:div w:id="326710920">
              <w:marLeft w:val="0"/>
              <w:marRight w:val="345"/>
              <w:marTop w:val="0"/>
              <w:marBottom w:val="240"/>
              <w:divBdr>
                <w:top w:val="none" w:sz="0" w:space="0" w:color="auto"/>
                <w:left w:val="none" w:sz="0" w:space="0" w:color="auto"/>
                <w:bottom w:val="none" w:sz="0" w:space="0" w:color="auto"/>
                <w:right w:val="none" w:sz="0" w:space="0" w:color="auto"/>
              </w:divBdr>
            </w:div>
          </w:divsChild>
        </w:div>
      </w:divsChild>
    </w:div>
    <w:div w:id="1162963032">
      <w:bodyDiv w:val="1"/>
      <w:marLeft w:val="0"/>
      <w:marRight w:val="0"/>
      <w:marTop w:val="0"/>
      <w:marBottom w:val="0"/>
      <w:divBdr>
        <w:top w:val="none" w:sz="0" w:space="0" w:color="auto"/>
        <w:left w:val="none" w:sz="0" w:space="0" w:color="auto"/>
        <w:bottom w:val="none" w:sz="0" w:space="0" w:color="auto"/>
        <w:right w:val="none" w:sz="0" w:space="0" w:color="auto"/>
      </w:divBdr>
      <w:divsChild>
        <w:div w:id="1720395420">
          <w:marLeft w:val="0"/>
          <w:marRight w:val="0"/>
          <w:marTop w:val="0"/>
          <w:marBottom w:val="0"/>
          <w:divBdr>
            <w:top w:val="single" w:sz="6" w:space="10" w:color="E5E5E5"/>
            <w:left w:val="single" w:sz="2" w:space="0" w:color="E5E5E5"/>
            <w:bottom w:val="single" w:sz="6" w:space="19" w:color="E5E5E5"/>
            <w:right w:val="single" w:sz="2" w:space="0" w:color="E5E5E5"/>
          </w:divBdr>
          <w:divsChild>
            <w:div w:id="1486125611">
              <w:marLeft w:val="0"/>
              <w:marRight w:val="0"/>
              <w:marTop w:val="0"/>
              <w:marBottom w:val="0"/>
              <w:divBdr>
                <w:top w:val="none" w:sz="0" w:space="0" w:color="auto"/>
                <w:left w:val="none" w:sz="0" w:space="0" w:color="auto"/>
                <w:bottom w:val="none" w:sz="0" w:space="0" w:color="auto"/>
                <w:right w:val="none" w:sz="0" w:space="0" w:color="auto"/>
              </w:divBdr>
            </w:div>
            <w:div w:id="2073960145">
              <w:marLeft w:val="0"/>
              <w:marRight w:val="345"/>
              <w:marTop w:val="0"/>
              <w:marBottom w:val="240"/>
              <w:divBdr>
                <w:top w:val="none" w:sz="0" w:space="0" w:color="auto"/>
                <w:left w:val="none" w:sz="0" w:space="0" w:color="auto"/>
                <w:bottom w:val="none" w:sz="0" w:space="0" w:color="auto"/>
                <w:right w:val="none" w:sz="0" w:space="0" w:color="auto"/>
              </w:divBdr>
            </w:div>
          </w:divsChild>
        </w:div>
      </w:divsChild>
    </w:div>
    <w:div w:id="1203790970">
      <w:bodyDiv w:val="1"/>
      <w:marLeft w:val="0"/>
      <w:marRight w:val="0"/>
      <w:marTop w:val="0"/>
      <w:marBottom w:val="0"/>
      <w:divBdr>
        <w:top w:val="none" w:sz="0" w:space="0" w:color="auto"/>
        <w:left w:val="none" w:sz="0" w:space="0" w:color="auto"/>
        <w:bottom w:val="none" w:sz="0" w:space="0" w:color="auto"/>
        <w:right w:val="none" w:sz="0" w:space="0" w:color="auto"/>
      </w:divBdr>
    </w:div>
    <w:div w:id="1258833764">
      <w:bodyDiv w:val="1"/>
      <w:marLeft w:val="0"/>
      <w:marRight w:val="0"/>
      <w:marTop w:val="0"/>
      <w:marBottom w:val="0"/>
      <w:divBdr>
        <w:top w:val="none" w:sz="0" w:space="0" w:color="auto"/>
        <w:left w:val="none" w:sz="0" w:space="0" w:color="auto"/>
        <w:bottom w:val="none" w:sz="0" w:space="0" w:color="auto"/>
        <w:right w:val="none" w:sz="0" w:space="0" w:color="auto"/>
      </w:divBdr>
    </w:div>
    <w:div w:id="1438330590">
      <w:bodyDiv w:val="1"/>
      <w:marLeft w:val="0"/>
      <w:marRight w:val="0"/>
      <w:marTop w:val="0"/>
      <w:marBottom w:val="0"/>
      <w:divBdr>
        <w:top w:val="none" w:sz="0" w:space="0" w:color="auto"/>
        <w:left w:val="none" w:sz="0" w:space="0" w:color="auto"/>
        <w:bottom w:val="none" w:sz="0" w:space="0" w:color="auto"/>
        <w:right w:val="none" w:sz="0" w:space="0" w:color="auto"/>
      </w:divBdr>
    </w:div>
    <w:div w:id="1452091827">
      <w:bodyDiv w:val="1"/>
      <w:marLeft w:val="0"/>
      <w:marRight w:val="0"/>
      <w:marTop w:val="0"/>
      <w:marBottom w:val="0"/>
      <w:divBdr>
        <w:top w:val="none" w:sz="0" w:space="0" w:color="auto"/>
        <w:left w:val="none" w:sz="0" w:space="0" w:color="auto"/>
        <w:bottom w:val="none" w:sz="0" w:space="0" w:color="auto"/>
        <w:right w:val="none" w:sz="0" w:space="0" w:color="auto"/>
      </w:divBdr>
    </w:div>
    <w:div w:id="1497303344">
      <w:bodyDiv w:val="1"/>
      <w:marLeft w:val="0"/>
      <w:marRight w:val="0"/>
      <w:marTop w:val="0"/>
      <w:marBottom w:val="0"/>
      <w:divBdr>
        <w:top w:val="none" w:sz="0" w:space="0" w:color="auto"/>
        <w:left w:val="none" w:sz="0" w:space="0" w:color="auto"/>
        <w:bottom w:val="none" w:sz="0" w:space="0" w:color="auto"/>
        <w:right w:val="none" w:sz="0" w:space="0" w:color="auto"/>
      </w:divBdr>
    </w:div>
    <w:div w:id="1531650139">
      <w:bodyDiv w:val="1"/>
      <w:marLeft w:val="0"/>
      <w:marRight w:val="0"/>
      <w:marTop w:val="0"/>
      <w:marBottom w:val="0"/>
      <w:divBdr>
        <w:top w:val="none" w:sz="0" w:space="0" w:color="auto"/>
        <w:left w:val="none" w:sz="0" w:space="0" w:color="auto"/>
        <w:bottom w:val="none" w:sz="0" w:space="0" w:color="auto"/>
        <w:right w:val="none" w:sz="0" w:space="0" w:color="auto"/>
      </w:divBdr>
    </w:div>
    <w:div w:id="1534803441">
      <w:bodyDiv w:val="1"/>
      <w:marLeft w:val="0"/>
      <w:marRight w:val="0"/>
      <w:marTop w:val="0"/>
      <w:marBottom w:val="0"/>
      <w:divBdr>
        <w:top w:val="none" w:sz="0" w:space="0" w:color="auto"/>
        <w:left w:val="none" w:sz="0" w:space="0" w:color="auto"/>
        <w:bottom w:val="none" w:sz="0" w:space="0" w:color="auto"/>
        <w:right w:val="none" w:sz="0" w:space="0" w:color="auto"/>
      </w:divBdr>
    </w:div>
    <w:div w:id="1621378024">
      <w:bodyDiv w:val="1"/>
      <w:marLeft w:val="0"/>
      <w:marRight w:val="0"/>
      <w:marTop w:val="0"/>
      <w:marBottom w:val="0"/>
      <w:divBdr>
        <w:top w:val="none" w:sz="0" w:space="0" w:color="auto"/>
        <w:left w:val="none" w:sz="0" w:space="0" w:color="auto"/>
        <w:bottom w:val="none" w:sz="0" w:space="0" w:color="auto"/>
        <w:right w:val="none" w:sz="0" w:space="0" w:color="auto"/>
      </w:divBdr>
    </w:div>
    <w:div w:id="1690984529">
      <w:bodyDiv w:val="1"/>
      <w:marLeft w:val="0"/>
      <w:marRight w:val="0"/>
      <w:marTop w:val="0"/>
      <w:marBottom w:val="0"/>
      <w:divBdr>
        <w:top w:val="none" w:sz="0" w:space="0" w:color="auto"/>
        <w:left w:val="none" w:sz="0" w:space="0" w:color="auto"/>
        <w:bottom w:val="none" w:sz="0" w:space="0" w:color="auto"/>
        <w:right w:val="none" w:sz="0" w:space="0" w:color="auto"/>
      </w:divBdr>
    </w:div>
    <w:div w:id="1692949519">
      <w:bodyDiv w:val="1"/>
      <w:marLeft w:val="0"/>
      <w:marRight w:val="0"/>
      <w:marTop w:val="0"/>
      <w:marBottom w:val="0"/>
      <w:divBdr>
        <w:top w:val="none" w:sz="0" w:space="0" w:color="auto"/>
        <w:left w:val="none" w:sz="0" w:space="0" w:color="auto"/>
        <w:bottom w:val="none" w:sz="0" w:space="0" w:color="auto"/>
        <w:right w:val="none" w:sz="0" w:space="0" w:color="auto"/>
      </w:divBdr>
    </w:div>
    <w:div w:id="1790197498">
      <w:bodyDiv w:val="1"/>
      <w:marLeft w:val="0"/>
      <w:marRight w:val="0"/>
      <w:marTop w:val="0"/>
      <w:marBottom w:val="0"/>
      <w:divBdr>
        <w:top w:val="none" w:sz="0" w:space="0" w:color="auto"/>
        <w:left w:val="none" w:sz="0" w:space="0" w:color="auto"/>
        <w:bottom w:val="none" w:sz="0" w:space="0" w:color="auto"/>
        <w:right w:val="none" w:sz="0" w:space="0" w:color="auto"/>
      </w:divBdr>
    </w:div>
    <w:div w:id="1801417341">
      <w:bodyDiv w:val="1"/>
      <w:marLeft w:val="0"/>
      <w:marRight w:val="0"/>
      <w:marTop w:val="0"/>
      <w:marBottom w:val="0"/>
      <w:divBdr>
        <w:top w:val="none" w:sz="0" w:space="0" w:color="auto"/>
        <w:left w:val="none" w:sz="0" w:space="0" w:color="auto"/>
        <w:bottom w:val="none" w:sz="0" w:space="0" w:color="auto"/>
        <w:right w:val="none" w:sz="0" w:space="0" w:color="auto"/>
      </w:divBdr>
    </w:div>
    <w:div w:id="1864855034">
      <w:bodyDiv w:val="1"/>
      <w:marLeft w:val="0"/>
      <w:marRight w:val="0"/>
      <w:marTop w:val="0"/>
      <w:marBottom w:val="0"/>
      <w:divBdr>
        <w:top w:val="none" w:sz="0" w:space="0" w:color="auto"/>
        <w:left w:val="none" w:sz="0" w:space="0" w:color="auto"/>
        <w:bottom w:val="none" w:sz="0" w:space="0" w:color="auto"/>
        <w:right w:val="none" w:sz="0" w:space="0" w:color="auto"/>
      </w:divBdr>
    </w:div>
    <w:div w:id="1920215256">
      <w:bodyDiv w:val="1"/>
      <w:marLeft w:val="0"/>
      <w:marRight w:val="0"/>
      <w:marTop w:val="0"/>
      <w:marBottom w:val="0"/>
      <w:divBdr>
        <w:top w:val="none" w:sz="0" w:space="0" w:color="auto"/>
        <w:left w:val="none" w:sz="0" w:space="0" w:color="auto"/>
        <w:bottom w:val="none" w:sz="0" w:space="0" w:color="auto"/>
        <w:right w:val="none" w:sz="0" w:space="0" w:color="auto"/>
      </w:divBdr>
    </w:div>
    <w:div w:id="2066682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kids.britannica.com/elementary/art-179878" TargetMode="External"/><Relationship Id="rId18" Type="http://schemas.openxmlformats.org/officeDocument/2006/relationships/image" Target="media/image7.jpeg"/><Relationship Id="rId26" Type="http://schemas.openxmlformats.org/officeDocument/2006/relationships/hyperlink" Target="http://www.irle.berkeley.edu/culture/conference/sallaz.pdf%20(3" TargetMode="External"/><Relationship Id="rId3" Type="http://schemas.openxmlformats.org/officeDocument/2006/relationships/numbering" Target="numbering.xml"/><Relationship Id="rId21" Type="http://schemas.openxmlformats.org/officeDocument/2006/relationships/image" Target="media/image9.jpeg"/><Relationship Id="rId34"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image" Target="media/image2.gif"/><Relationship Id="rId17" Type="http://schemas.openxmlformats.org/officeDocument/2006/relationships/image" Target="media/image6.png"/><Relationship Id="rId25" Type="http://schemas.openxmlformats.org/officeDocument/2006/relationships/hyperlink" Target="javascript:void(0)"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yperlink" Target="http://www.theguardian.com/world/africa" TargetMode="External"/><Relationship Id="rId29" Type="http://schemas.openxmlformats.org/officeDocument/2006/relationships/hyperlink" Target="http://www.ngb.org.za/"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hyperlink" Target="javascript:void(0)" TargetMode="External"/><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hyperlink" Target="http://batavia.polresearch.org/slavery/rangton.pdf%20(5" TargetMode="External"/><Relationship Id="rId10" Type="http://schemas.openxmlformats.org/officeDocument/2006/relationships/image" Target="media/image1.jpeg"/><Relationship Id="rId19" Type="http://schemas.openxmlformats.org/officeDocument/2006/relationships/image" Target="media/image8.png"/><Relationship Id="rId31" Type="http://schemas.openxmlformats.org/officeDocument/2006/relationships/hyperlink" Target="http://www.saflii.org/za/"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0.jpeg"/><Relationship Id="rId27" Type="http://schemas.openxmlformats.org/officeDocument/2006/relationships/hyperlink" Target="http://repository.up.ac.za/bitstream/handle/2263/7700/011.pdf?sequence=1" TargetMode="External"/><Relationship Id="rId30" Type="http://schemas.openxmlformats.org/officeDocument/2006/relationships/hyperlink" Target="http://www.hrw.org/reports" TargetMode="External"/><Relationship Id="rId8" Type="http://schemas.openxmlformats.org/officeDocument/2006/relationships/footnotes" Target="footnotes.xml"/></Relationships>
</file>

<file path=word/_rels/footnotes.xml.rels><?xml version="1.0" encoding="UTF-8" standalone="yes"?>
<Relationships xmlns="http://schemas.openxmlformats.org/package/2006/relationships"><Relationship Id="rId13" Type="http://schemas.openxmlformats.org/officeDocument/2006/relationships/hyperlink" Target="http://repository.up.ac.za/bitstream/handle/2263/7700/011.pdf?sequence=1" TargetMode="External"/><Relationship Id="rId18" Type="http://schemas.openxmlformats.org/officeDocument/2006/relationships/hyperlink" Target="http://www.theguardian.com/music/2005/jan/14/2%20(17" TargetMode="External"/><Relationship Id="rId26" Type="http://schemas.openxmlformats.org/officeDocument/2006/relationships/hyperlink" Target="http://www.sowetanlive.co.za/sport/2015/03/30/boxing-event-to-help-pangaman%20(16" TargetMode="External"/><Relationship Id="rId3" Type="http://schemas.openxmlformats.org/officeDocument/2006/relationships/hyperlink" Target="http://www.sahistory.org.za/sites/default/files/Native%20Life%20in%20South%20Africa_0.pdf" TargetMode="External"/><Relationship Id="rId21" Type="http://schemas.openxmlformats.org/officeDocument/2006/relationships/hyperlink" Target="http://www.rollingstone.com/music/lists/100-best-albums-of-the-eighties-20110418/artists-united-against-apartheid-sun-city-20110330%20(21" TargetMode="External"/><Relationship Id="rId34" Type="http://schemas.openxmlformats.org/officeDocument/2006/relationships/hyperlink" Target="http://www.saflii.org/za/legis/num_act/nga1996156/" TargetMode="External"/><Relationship Id="rId7" Type="http://schemas.openxmlformats.org/officeDocument/2006/relationships/hyperlink" Target="http://www.southafrica.info/business/investing/kerzner-one&amp;only.htm" TargetMode="External"/><Relationship Id="rId12" Type="http://schemas.openxmlformats.org/officeDocument/2006/relationships/hyperlink" Target="https://www.moneyweb.co.za/news/companies-and-deals/sun-international-risks-and-opportunity/" TargetMode="External"/><Relationship Id="rId17" Type="http://schemas.openxmlformats.org/officeDocument/2006/relationships/hyperlink" Target="http://www.nytimes.com/1982/10/12/arts/why-bophuthatswana-needs-american-stars.html?pagewanted=all" TargetMode="External"/><Relationship Id="rId25" Type="http://schemas.openxmlformats.org/officeDocument/2006/relationships/hyperlink" Target="http://www.nytimes.com/2012/10/21/sports/gerrie-coetzee-vs-john-tate-in-apartheid-era-south-africa.html?_r=0" TargetMode="External"/><Relationship Id="rId33" Type="http://schemas.openxmlformats.org/officeDocument/2006/relationships/hyperlink" Target="http://www.kzngbb.org.za/wp-content/uploads/business-reports/GRC_Report.pdf%20(16" TargetMode="External"/><Relationship Id="rId2" Type="http://schemas.openxmlformats.org/officeDocument/2006/relationships/hyperlink" Target="http://batavia.polresearch.org/slavery/rangton.pdf%20(5" TargetMode="External"/><Relationship Id="rId16" Type="http://schemas.openxmlformats.org/officeDocument/2006/relationships/hyperlink" Target="http://articles.chicagotribune.com/1985-05-19/entertainment/8501310597_1_south-africa-cultural-boycott-apartheid/2%20(17" TargetMode="External"/><Relationship Id="rId20" Type="http://schemas.openxmlformats.org/officeDocument/2006/relationships/hyperlink" Target="http://www.theguardian.com/music/2012/apr/19/paul-simon-graceland-acclaim-outrage%20(12" TargetMode="External"/><Relationship Id="rId29" Type="http://schemas.openxmlformats.org/officeDocument/2006/relationships/hyperlink" Target="http://content.time.com/time/magazine/article/0,9171,922516,00.html" TargetMode="External"/><Relationship Id="rId1" Type="http://schemas.openxmlformats.org/officeDocument/2006/relationships/hyperlink" Target="https://www.nelsonmandela.org/omalley/index.php/site/q/03lv02167/04lv02264/05lv02335/06lv02357/07lv02359/08lv02371.htm%20(9" TargetMode="External"/><Relationship Id="rId6" Type="http://schemas.openxmlformats.org/officeDocument/2006/relationships/hyperlink" Target="http://www.irle.berkeley.edu/culture/conference/sallaz.pdf%20(3" TargetMode="External"/><Relationship Id="rId11" Type="http://schemas.openxmlformats.org/officeDocument/2006/relationships/hyperlink" Target="http://fspinvest.co.za/articles/stocks/about-the-company-tsogo-sun-holdings-ltd-jsetsh-3149.html" TargetMode="External"/><Relationship Id="rId24" Type="http://schemas.openxmlformats.org/officeDocument/2006/relationships/hyperlink" Target="http://www.rollingstone.com/music/lists/100-best-albums-of-the-eighties-20110418/artists-united-against-apartheid-sun-city-20110330%20(21" TargetMode="External"/><Relationship Id="rId32" Type="http://schemas.openxmlformats.org/officeDocument/2006/relationships/hyperlink" Target="http://www.info.gov.za/speeches/2002/02042002246p1001.htm%20(22" TargetMode="External"/><Relationship Id="rId5" Type="http://schemas.openxmlformats.org/officeDocument/2006/relationships/hyperlink" Target="http://www.nytimes.com/1992/12/03/world/resort-not-too-african-for-rich-tourists.html%20(25" TargetMode="External"/><Relationship Id="rId15" Type="http://schemas.openxmlformats.org/officeDocument/2006/relationships/hyperlink" Target="http://www.saflii.org/za/legis/hist_act/soa23o1957181/soa23o1957a1j1967264.pdf%20(19" TargetMode="External"/><Relationship Id="rId23" Type="http://schemas.openxmlformats.org/officeDocument/2006/relationships/hyperlink" Target="http://content.time.com/time/magazine/article/0,9171,960065,00.html" TargetMode="External"/><Relationship Id="rId28" Type="http://schemas.openxmlformats.org/officeDocument/2006/relationships/hyperlink" Target="http://www.nytimes.com/1988/04/15/sports/un-reports-contacts-with-south-africa.html%20(21" TargetMode="External"/><Relationship Id="rId10" Type="http://schemas.openxmlformats.org/officeDocument/2006/relationships/hyperlink" Target="http://www.fin24.com/Companies/TravelAndLeisure/Sol-Kerzners-first-hotel-turns-50-20141124%20(26" TargetMode="External"/><Relationship Id="rId19" Type="http://schemas.openxmlformats.org/officeDocument/2006/relationships/hyperlink" Target="http://www.rollingstone.com/music/features/apartheid-rock-19820610%20(12" TargetMode="External"/><Relationship Id="rId31" Type="http://schemas.openxmlformats.org/officeDocument/2006/relationships/hyperlink" Target="http://www.kzngbb.org.za/wp-content/uploads/business-reports/GRC_Report.pdf%20(4" TargetMode="External"/><Relationship Id="rId4" Type="http://schemas.openxmlformats.org/officeDocument/2006/relationships/hyperlink" Target="http://www.saflii.org/za/cases/ZACC/2000/2.pdf%20(20" TargetMode="External"/><Relationship Id="rId9" Type="http://schemas.openxmlformats.org/officeDocument/2006/relationships/hyperlink" Target="http://mg.co.za/article/1995-11-17-police-move-closer-to-sol%20(" TargetMode="External"/><Relationship Id="rId14" Type="http://schemas.openxmlformats.org/officeDocument/2006/relationships/hyperlink" Target="http://www.independent.co.uk/news/sex-mad-in-joburg-1525617.html%20(13" TargetMode="External"/><Relationship Id="rId22" Type="http://schemas.openxmlformats.org/officeDocument/2006/relationships/hyperlink" Target="http://content.time.com/time/subscriber/article/0,33009,964283,00.html" TargetMode="External"/><Relationship Id="rId27" Type="http://schemas.openxmlformats.org/officeDocument/2006/relationships/hyperlink" Target="http://www.gerriecoetzee.com/gerrie-coetzee-article-sa-heavyweights.htm%20(16" TargetMode="External"/><Relationship Id="rId30" Type="http://schemas.openxmlformats.org/officeDocument/2006/relationships/hyperlink" Target="http://www.boxingnewsonline.net/on-this-day-greg-page-knocks-out-gerrie-coetzee-in-bizarre-extra-time-ending/" TargetMode="External"/><Relationship Id="rId35" Type="http://schemas.openxmlformats.org/officeDocument/2006/relationships/hyperlink" Target="http://www.sadocc.at/news/2006/2006-084.shtml%20(11" TargetMode="External"/><Relationship Id="rId8" Type="http://schemas.openxmlformats.org/officeDocument/2006/relationships/hyperlink" Target="http://content.time.com/time/subscriber/article/0,33009,926196,00.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2016-02-01T00:00:00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3087B94-BF75-4AF7-9A75-C0385E3798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129</Pages>
  <Words>39872</Words>
  <Characters>227273</Characters>
  <Application>Microsoft Office Word</Application>
  <DocSecurity>0</DocSecurity>
  <Lines>1893</Lines>
  <Paragraphs>533</Paragraphs>
  <ScaleCrop>false</ScaleCrop>
  <HeadingPairs>
    <vt:vector size="2" baseType="variant">
      <vt:variant>
        <vt:lpstr>Title</vt:lpstr>
      </vt:variant>
      <vt:variant>
        <vt:i4>1</vt:i4>
      </vt:variant>
    </vt:vector>
  </HeadingPairs>
  <TitlesOfParts>
    <vt:vector size="1" baseType="lpstr">
      <vt:lpstr>Gambling in the Bophuthatswana</vt:lpstr>
    </vt:vector>
  </TitlesOfParts>
  <Company/>
  <LinksUpToDate>false</LinksUpToDate>
  <CharactersWithSpaces>266612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Gambling in the Bophuthatswana</dc:title>
  <dc:subject>Sun City and  the political economy of a bantustan casino:1965-1994</dc:subject>
  <dc:creator>Nicola Sarah van der Merwe</dc:creator>
  <cp:lastModifiedBy>Venter, Roa (JNB)</cp:lastModifiedBy>
  <cp:revision>2</cp:revision>
  <cp:lastPrinted>2016-04-20T10:22:00Z</cp:lastPrinted>
  <dcterms:created xsi:type="dcterms:W3CDTF">2017-07-25T16:52:00Z</dcterms:created>
  <dcterms:modified xsi:type="dcterms:W3CDTF">2017-07-25T16:52:00Z</dcterms:modified>
</cp:coreProperties>
</file>