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5AA2" w:rsidRPr="00185AA2" w:rsidRDefault="00185AA2" w:rsidP="00185AA2">
      <w:pPr>
        <w:spacing w:line="480" w:lineRule="auto"/>
        <w:jc w:val="center"/>
        <w:rPr>
          <w:rFonts w:cs="Arial"/>
          <w:b/>
        </w:rPr>
      </w:pPr>
      <w:r>
        <w:rPr>
          <w:rFonts w:cs="Arial"/>
          <w:b/>
        </w:rPr>
        <w:t>THROMBOLYTIC THERAPY FOR ACUTE MYOCARDIAL INFARCTION BY EMERGENCY CARE PRACTITIONERS</w:t>
      </w:r>
    </w:p>
    <w:p w:rsidR="00185AA2" w:rsidRDefault="00185AA2" w:rsidP="00185AA2">
      <w:pPr>
        <w:spacing w:line="480" w:lineRule="auto"/>
        <w:jc w:val="center"/>
        <w:rPr>
          <w:rFonts w:cs="Arial"/>
          <w:b/>
          <w:lang w:val="en-US"/>
        </w:rPr>
      </w:pPr>
      <w:bookmarkStart w:id="0" w:name="_GoBack"/>
      <w:proofErr w:type="spellStart"/>
      <w:r>
        <w:rPr>
          <w:rFonts w:cs="Arial"/>
          <w:b/>
          <w:lang w:val="en-US"/>
        </w:rPr>
        <w:t>Raveen</w:t>
      </w:r>
      <w:proofErr w:type="spellEnd"/>
      <w:r>
        <w:rPr>
          <w:rFonts w:cs="Arial"/>
          <w:b/>
          <w:lang w:val="en-US"/>
        </w:rPr>
        <w:t xml:space="preserve"> </w:t>
      </w:r>
      <w:proofErr w:type="spellStart"/>
      <w:r>
        <w:rPr>
          <w:rFonts w:cs="Arial"/>
          <w:b/>
          <w:lang w:val="en-US"/>
        </w:rPr>
        <w:t>Naidoo</w:t>
      </w:r>
      <w:proofErr w:type="spellEnd"/>
    </w:p>
    <w:bookmarkEnd w:id="0"/>
    <w:p w:rsidR="00294A00" w:rsidRDefault="00294A00"/>
    <w:p w:rsidR="00185AA2" w:rsidRPr="00185AA2" w:rsidRDefault="00185AA2" w:rsidP="00185AA2">
      <w:pPr>
        <w:jc w:val="center"/>
        <w:rPr>
          <w:b/>
        </w:rPr>
      </w:pPr>
      <w:bookmarkStart w:id="1" w:name="_Toc265407471"/>
      <w:r w:rsidRPr="00185AA2">
        <w:rPr>
          <w:b/>
        </w:rPr>
        <w:t>ABSTRACT</w:t>
      </w:r>
      <w:bookmarkEnd w:id="1"/>
    </w:p>
    <w:p w:rsidR="00185AA2" w:rsidRDefault="00185AA2" w:rsidP="00185AA2">
      <w:pPr>
        <w:pStyle w:val="BodyText2"/>
        <w:spacing w:after="60"/>
        <w:jc w:val="both"/>
        <w:rPr>
          <w:rFonts w:ascii="Arial" w:hAnsi="Arial" w:cs="Arial"/>
          <w:b/>
        </w:rPr>
      </w:pPr>
    </w:p>
    <w:p w:rsidR="00185AA2" w:rsidRDefault="00185AA2" w:rsidP="00185AA2">
      <w:pPr>
        <w:pStyle w:val="BodyText2"/>
        <w:spacing w:after="60"/>
        <w:jc w:val="both"/>
        <w:rPr>
          <w:rFonts w:ascii="Arial" w:hAnsi="Arial" w:cs="Arial"/>
          <w:b/>
        </w:rPr>
      </w:pPr>
      <w:r>
        <w:rPr>
          <w:rFonts w:ascii="Arial" w:hAnsi="Arial" w:cs="Arial"/>
          <w:b/>
        </w:rPr>
        <w:t>Background:</w:t>
      </w:r>
    </w:p>
    <w:p w:rsidR="00185AA2" w:rsidRPr="00BA1BC1" w:rsidRDefault="00185AA2" w:rsidP="00185AA2">
      <w:pPr>
        <w:spacing w:line="480" w:lineRule="auto"/>
        <w:rPr>
          <w:rFonts w:cs="Arial"/>
        </w:rPr>
      </w:pPr>
      <w:r w:rsidRPr="00BA1BC1">
        <w:rPr>
          <w:rFonts w:cs="Arial"/>
        </w:rPr>
        <w:t>The earliest possible initiation of reperfusion therapy is necessary to reduce morbidity and mortality from acute STEMI</w:t>
      </w:r>
      <w:r>
        <w:rPr>
          <w:rFonts w:cs="Arial"/>
        </w:rPr>
        <w:t>. T</w:t>
      </w:r>
      <w:r w:rsidRPr="00BA1BC1">
        <w:rPr>
          <w:rFonts w:cs="Arial"/>
        </w:rPr>
        <w:t>herefore improving the time to thrombolysis where percutaneous coronary interventional facilities are limited or do not exist is critical.  The most effective system would integrate three key components to deliver continuous patient care</w:t>
      </w:r>
      <w:r>
        <w:rPr>
          <w:rFonts w:cs="Arial"/>
        </w:rPr>
        <w:t>, including</w:t>
      </w:r>
      <w:r w:rsidRPr="00BA1BC1">
        <w:rPr>
          <w:rFonts w:cs="Arial"/>
        </w:rPr>
        <w:t xml:space="preserve">: 1) </w:t>
      </w:r>
      <w:r>
        <w:rPr>
          <w:rFonts w:cs="Arial"/>
        </w:rPr>
        <w:t xml:space="preserve">from </w:t>
      </w:r>
      <w:r w:rsidRPr="00BA1BC1">
        <w:rPr>
          <w:rFonts w:cs="Arial"/>
        </w:rPr>
        <w:t xml:space="preserve">time of call for help through to emergency response; 2) transportation </w:t>
      </w:r>
      <w:r>
        <w:rPr>
          <w:rFonts w:cs="Arial"/>
        </w:rPr>
        <w:t xml:space="preserve">to </w:t>
      </w:r>
      <w:r w:rsidRPr="00BA1BC1">
        <w:rPr>
          <w:rFonts w:cs="Arial"/>
        </w:rPr>
        <w:t xml:space="preserve">and admission to hospital; 3) assessment and initiation of thrombolytic therapy. </w:t>
      </w:r>
      <w:r w:rsidRPr="00BA1BC1">
        <w:rPr>
          <w:rFonts w:cs="Arial"/>
          <w:lang w:val="en-US"/>
        </w:rPr>
        <w:t>The purpose of this prospective study is</w:t>
      </w:r>
      <w:r>
        <w:rPr>
          <w:rFonts w:cs="Arial"/>
          <w:lang w:val="en-US"/>
        </w:rPr>
        <w:t>:</w:t>
      </w:r>
      <w:r w:rsidRPr="00BA1BC1">
        <w:rPr>
          <w:rFonts w:cs="Arial"/>
          <w:lang w:val="en-US"/>
        </w:rPr>
        <w:t xml:space="preserve"> to develop a chest pain awareness education </w:t>
      </w:r>
      <w:proofErr w:type="spellStart"/>
      <w:r w:rsidRPr="00BA1BC1">
        <w:rPr>
          <w:rFonts w:cs="Arial"/>
          <w:lang w:val="en-US"/>
        </w:rPr>
        <w:t>programme</w:t>
      </w:r>
      <w:proofErr w:type="spellEnd"/>
      <w:r w:rsidRPr="00BA1BC1">
        <w:rPr>
          <w:rFonts w:cs="Arial"/>
          <w:lang w:val="en-US"/>
        </w:rPr>
        <w:t xml:space="preserve"> appropriate for the South African context</w:t>
      </w:r>
      <w:r>
        <w:rPr>
          <w:rFonts w:cs="Arial"/>
          <w:lang w:val="en-US"/>
        </w:rPr>
        <w:t>;</w:t>
      </w:r>
      <w:r w:rsidRPr="00BA1BC1">
        <w:rPr>
          <w:rFonts w:cs="Arial"/>
          <w:lang w:val="en-US"/>
        </w:rPr>
        <w:t xml:space="preserve"> to assess safe initiation of thrombolytic therapy by emergency care practitioners for </w:t>
      </w:r>
      <w:r w:rsidRPr="00BA1BC1">
        <w:rPr>
          <w:rFonts w:cs="Arial"/>
        </w:rPr>
        <w:t>STEMI</w:t>
      </w:r>
      <w:r>
        <w:rPr>
          <w:rFonts w:cs="Arial"/>
        </w:rPr>
        <w:t>;</w:t>
      </w:r>
      <w:r w:rsidRPr="00BA1BC1">
        <w:rPr>
          <w:rFonts w:cs="Arial"/>
        </w:rPr>
        <w:t xml:space="preserve"> and to compare </w:t>
      </w:r>
      <w:r w:rsidRPr="00BA1BC1">
        <w:rPr>
          <w:rFonts w:cs="Arial"/>
          <w:lang w:val="en-US"/>
        </w:rPr>
        <w:t xml:space="preserve">the performance of emergency care practitioner thrombolysis </w:t>
      </w:r>
      <w:r>
        <w:rPr>
          <w:rFonts w:cs="Arial"/>
          <w:lang w:val="en-US"/>
        </w:rPr>
        <w:t>with</w:t>
      </w:r>
      <w:r w:rsidRPr="00BA1BC1">
        <w:rPr>
          <w:rFonts w:cs="Arial"/>
          <w:lang w:val="en-US"/>
        </w:rPr>
        <w:t xml:space="preserve"> historical control data.</w:t>
      </w:r>
    </w:p>
    <w:p w:rsidR="00185AA2" w:rsidRDefault="00185AA2" w:rsidP="00185AA2">
      <w:pPr>
        <w:pStyle w:val="BodyText2"/>
        <w:spacing w:after="60"/>
        <w:jc w:val="both"/>
        <w:rPr>
          <w:rFonts w:ascii="Arial" w:hAnsi="Arial" w:cs="Arial"/>
          <w:b/>
        </w:rPr>
      </w:pPr>
    </w:p>
    <w:p w:rsidR="00185AA2" w:rsidRPr="00BA1BC1" w:rsidRDefault="00185AA2" w:rsidP="00185AA2">
      <w:pPr>
        <w:pStyle w:val="BodyText2"/>
        <w:spacing w:after="60"/>
        <w:jc w:val="both"/>
        <w:rPr>
          <w:rFonts w:ascii="Arial" w:hAnsi="Arial" w:cs="Arial"/>
          <w:b/>
        </w:rPr>
      </w:pPr>
      <w:r w:rsidRPr="00BA1BC1">
        <w:rPr>
          <w:rFonts w:ascii="Arial" w:hAnsi="Arial" w:cs="Arial"/>
          <w:b/>
        </w:rPr>
        <w:t>Methods:</w:t>
      </w:r>
    </w:p>
    <w:p w:rsidR="00185AA2" w:rsidRDefault="00185AA2" w:rsidP="00185AA2">
      <w:pPr>
        <w:tabs>
          <w:tab w:val="left" w:pos="-1440"/>
        </w:tabs>
        <w:spacing w:line="480" w:lineRule="auto"/>
        <w:rPr>
          <w:rFonts w:cs="Arial"/>
        </w:rPr>
      </w:pPr>
      <w:r>
        <w:rPr>
          <w:rFonts w:cs="Arial"/>
        </w:rPr>
        <w:lastRenderedPageBreak/>
        <w:t xml:space="preserve">A document study was undertaken on existing chest pain awareness programmes (in international settings) that led to the development of a culturally sensitive and affordable chest pain awareness programme. An investigation was conducted in two international settings, where pre-hospital thrombolysis is within the scope of practice of advanced life support paramedics. This led to the development of best practice guidelines for pre-hospital thrombolysis in South Africa. The study population consisted of two groups of STEMI patients, namely: 20 patients </w:t>
      </w:r>
      <w:proofErr w:type="spellStart"/>
      <w:r>
        <w:rPr>
          <w:rFonts w:cs="Arial"/>
        </w:rPr>
        <w:t>thrombolysed</w:t>
      </w:r>
      <w:proofErr w:type="spellEnd"/>
      <w:r>
        <w:rPr>
          <w:rFonts w:cs="Arial"/>
        </w:rPr>
        <w:t xml:space="preserve"> by the researcher (ECPT group); historical data obtained from previous research on 78 patients who were </w:t>
      </w:r>
      <w:proofErr w:type="spellStart"/>
      <w:r>
        <w:rPr>
          <w:rFonts w:cs="Arial"/>
        </w:rPr>
        <w:t>thrombolysed</w:t>
      </w:r>
      <w:proofErr w:type="spellEnd"/>
      <w:r>
        <w:rPr>
          <w:rFonts w:cs="Arial"/>
        </w:rPr>
        <w:t xml:space="preserve"> in-hospital by doctors (IHDT group). Demographic data and time to treatment complications encountered during hospital stay and at day 30 </w:t>
      </w:r>
      <w:r>
        <w:rPr>
          <w:rFonts w:cs="Arial"/>
          <w:bCs/>
        </w:rPr>
        <w:t>were recorded from patients’ ambulance report forms, hospital records and 30-day telephonic patient interviews</w:t>
      </w:r>
      <w:r>
        <w:rPr>
          <w:rFonts w:cs="Arial"/>
        </w:rPr>
        <w:t>.</w:t>
      </w:r>
    </w:p>
    <w:p w:rsidR="00185AA2" w:rsidRDefault="00185AA2" w:rsidP="00185AA2">
      <w:pPr>
        <w:pStyle w:val="BodyText2"/>
        <w:spacing w:after="60"/>
        <w:jc w:val="both"/>
        <w:rPr>
          <w:rFonts w:ascii="Arial" w:hAnsi="Arial" w:cs="Arial"/>
        </w:rPr>
      </w:pPr>
    </w:p>
    <w:p w:rsidR="00185AA2" w:rsidRDefault="00185AA2" w:rsidP="00185AA2">
      <w:pPr>
        <w:pStyle w:val="BodyText2"/>
        <w:spacing w:after="60"/>
        <w:jc w:val="both"/>
        <w:rPr>
          <w:rFonts w:ascii="Arial" w:hAnsi="Arial" w:cs="Arial"/>
          <w:b/>
        </w:rPr>
      </w:pPr>
      <w:r>
        <w:rPr>
          <w:rFonts w:ascii="Arial" w:hAnsi="Arial" w:cs="Arial"/>
          <w:b/>
        </w:rPr>
        <w:t>Results:</w:t>
      </w:r>
    </w:p>
    <w:p w:rsidR="00185AA2" w:rsidRPr="00C5131E" w:rsidRDefault="00185AA2" w:rsidP="00185AA2">
      <w:pPr>
        <w:spacing w:line="480" w:lineRule="auto"/>
        <w:rPr>
          <w:rFonts w:cs="Arial"/>
        </w:rPr>
      </w:pPr>
      <w:r w:rsidRPr="00BA1BC1">
        <w:rPr>
          <w:rFonts w:cs="Arial"/>
        </w:rPr>
        <w:t>A poster, an information booklet and a video on heart attack awareness were developed after studying documentation from the United Kingdom, Canada, Australia and South Africa. The study population of 98 (100%) patients comprised 20 patients in the ECPT group and 78 patients in the IHDT group</w:t>
      </w:r>
      <w:r>
        <w:rPr>
          <w:rFonts w:cs="Arial"/>
        </w:rPr>
        <w:t xml:space="preserve"> (</w:t>
      </w:r>
      <w:r w:rsidRPr="00BA1BC1">
        <w:rPr>
          <w:rFonts w:cs="Arial"/>
        </w:rPr>
        <w:t>73.5% of whom were males</w:t>
      </w:r>
      <w:r>
        <w:rPr>
          <w:rFonts w:cs="Arial"/>
        </w:rPr>
        <w:t>)</w:t>
      </w:r>
      <w:r w:rsidRPr="00BA1BC1">
        <w:rPr>
          <w:rFonts w:cs="Arial"/>
        </w:rPr>
        <w:t>. The median age of the study population was 57.8 years</w:t>
      </w:r>
      <w:r>
        <w:rPr>
          <w:rFonts w:cs="Arial"/>
        </w:rPr>
        <w:t>,</w:t>
      </w:r>
      <w:r w:rsidRPr="00BA1BC1">
        <w:rPr>
          <w:rFonts w:cs="Arial"/>
        </w:rPr>
        <w:t xml:space="preserve"> with a clear male dominance (73.5%). The majority of patients were of Indian origin (82.7%). Common conventional risk factors evident in all patients included smoking (56.1%), hypertension (52%) and diabetes (41.8%).</w:t>
      </w:r>
      <w:r>
        <w:rPr>
          <w:rFonts w:cs="Arial"/>
        </w:rPr>
        <w:t xml:space="preserve"> </w:t>
      </w:r>
      <w:r w:rsidRPr="002E1000">
        <w:rPr>
          <w:rFonts w:cs="Arial"/>
        </w:rPr>
        <w:t>The mean time from symptom on</w:t>
      </w:r>
      <w:r>
        <w:rPr>
          <w:rFonts w:cs="Arial"/>
        </w:rPr>
        <w:t>-</w:t>
      </w:r>
      <w:r w:rsidRPr="002E1000">
        <w:rPr>
          <w:rFonts w:cs="Arial"/>
        </w:rPr>
        <w:t xml:space="preserve">set to </w:t>
      </w:r>
      <w:r>
        <w:rPr>
          <w:rFonts w:cs="Arial"/>
        </w:rPr>
        <w:t>thrombolysis for the ECPT</w:t>
      </w:r>
      <w:r w:rsidRPr="002E1000">
        <w:rPr>
          <w:rFonts w:cs="Arial"/>
        </w:rPr>
        <w:t xml:space="preserve"> </w:t>
      </w:r>
      <w:r>
        <w:rPr>
          <w:rFonts w:cs="Arial"/>
        </w:rPr>
        <w:t xml:space="preserve">group </w:t>
      </w:r>
      <w:r w:rsidRPr="002E1000">
        <w:rPr>
          <w:rFonts w:cs="Arial"/>
        </w:rPr>
        <w:t xml:space="preserve">was </w:t>
      </w:r>
      <w:r>
        <w:rPr>
          <w:rFonts w:cs="Arial"/>
        </w:rPr>
        <w:t>272</w:t>
      </w:r>
      <w:r w:rsidRPr="002E1000">
        <w:rPr>
          <w:rFonts w:cs="Arial"/>
        </w:rPr>
        <w:t xml:space="preserve"> ± </w:t>
      </w:r>
      <w:r>
        <w:rPr>
          <w:rFonts w:cs="Arial"/>
        </w:rPr>
        <w:t>79 minutes; the</w:t>
      </w:r>
      <w:r w:rsidRPr="002E1000">
        <w:rPr>
          <w:rFonts w:cs="Arial"/>
        </w:rPr>
        <w:t xml:space="preserve"> mean time from symptom on</w:t>
      </w:r>
      <w:r>
        <w:rPr>
          <w:rFonts w:cs="Arial"/>
        </w:rPr>
        <w:t>-</w:t>
      </w:r>
      <w:r w:rsidRPr="002E1000">
        <w:rPr>
          <w:rFonts w:cs="Arial"/>
        </w:rPr>
        <w:t xml:space="preserve">set to </w:t>
      </w:r>
      <w:r>
        <w:rPr>
          <w:rFonts w:cs="Arial"/>
        </w:rPr>
        <w:t xml:space="preserve">thrombolysis for the </w:t>
      </w:r>
      <w:r>
        <w:rPr>
          <w:rFonts w:cs="Arial"/>
        </w:rPr>
        <w:lastRenderedPageBreak/>
        <w:t xml:space="preserve">IHDT group </w:t>
      </w:r>
      <w:r w:rsidRPr="002E1000">
        <w:rPr>
          <w:rFonts w:cs="Arial"/>
        </w:rPr>
        <w:t xml:space="preserve">was </w:t>
      </w:r>
      <w:r>
        <w:rPr>
          <w:rFonts w:cs="Arial"/>
        </w:rPr>
        <w:t xml:space="preserve">486 </w:t>
      </w:r>
      <w:r w:rsidRPr="002E1000">
        <w:rPr>
          <w:rFonts w:cs="Arial"/>
        </w:rPr>
        <w:t xml:space="preserve">± </w:t>
      </w:r>
      <w:r>
        <w:rPr>
          <w:rFonts w:cs="Arial"/>
        </w:rPr>
        <w:t xml:space="preserve">373 </w:t>
      </w:r>
      <w:r w:rsidRPr="00C5131E">
        <w:rPr>
          <w:rFonts w:cs="Arial"/>
        </w:rPr>
        <w:t xml:space="preserve">minutes </w:t>
      </w:r>
      <w:r w:rsidRPr="0030209E">
        <w:rPr>
          <w:rFonts w:cs="Arial"/>
        </w:rPr>
        <w:t>(p = 0.055). The mean door-to-needle time for the ECPT group was 124.9 ± 58.64</w:t>
      </w:r>
      <w:r w:rsidRPr="00C5131E">
        <w:rPr>
          <w:rFonts w:cs="Arial"/>
        </w:rPr>
        <w:t xml:space="preserve"> minutes</w:t>
      </w:r>
      <w:r>
        <w:rPr>
          <w:rFonts w:cs="Arial"/>
        </w:rPr>
        <w:t>;</w:t>
      </w:r>
      <w:r w:rsidRPr="00C5131E">
        <w:rPr>
          <w:rFonts w:cs="Arial"/>
        </w:rPr>
        <w:t xml:space="preserve"> the mean door-to-needle time for the IHDT group was 288.01 ± 261.44 </w:t>
      </w:r>
      <w:r w:rsidRPr="0030209E">
        <w:rPr>
          <w:rFonts w:cs="Arial"/>
        </w:rPr>
        <w:t>minutes (p = 0.003). The most common complications observed between the</w:t>
      </w:r>
      <w:r w:rsidRPr="00C5131E">
        <w:rPr>
          <w:rFonts w:cs="Arial"/>
        </w:rPr>
        <w:t xml:space="preserve"> ECPT and IHDT groups during hospital stay and at 30-day follow-up included</w:t>
      </w:r>
      <w:r>
        <w:rPr>
          <w:rFonts w:cs="Arial"/>
        </w:rPr>
        <w:t>:</w:t>
      </w:r>
      <w:r w:rsidRPr="00C5131E">
        <w:rPr>
          <w:rFonts w:cs="Arial"/>
        </w:rPr>
        <w:t xml:space="preserve"> cardiac failure (10.2% versus 12.2%)</w:t>
      </w:r>
      <w:r>
        <w:rPr>
          <w:rFonts w:cs="Arial"/>
        </w:rPr>
        <w:t>;</w:t>
      </w:r>
      <w:r w:rsidRPr="00C5131E">
        <w:rPr>
          <w:rFonts w:cs="Arial"/>
        </w:rPr>
        <w:t xml:space="preserve"> death (9.2% versus 7.1%)</w:t>
      </w:r>
      <w:r>
        <w:rPr>
          <w:rFonts w:cs="Arial"/>
        </w:rPr>
        <w:t>;</w:t>
      </w:r>
      <w:r w:rsidRPr="00C5131E">
        <w:rPr>
          <w:rFonts w:cs="Arial"/>
        </w:rPr>
        <w:t xml:space="preserve"> recurrence of angina (10.2% versus 6.1%)</w:t>
      </w:r>
      <w:r>
        <w:rPr>
          <w:rFonts w:cs="Arial"/>
        </w:rPr>
        <w:t>;</w:t>
      </w:r>
      <w:r w:rsidRPr="00C5131E">
        <w:rPr>
          <w:rFonts w:cs="Arial"/>
        </w:rPr>
        <w:t xml:space="preserve"> and recurrent myocardial infarction (1% versus 3.1%). </w:t>
      </w:r>
    </w:p>
    <w:p w:rsidR="00185AA2" w:rsidRDefault="00185AA2" w:rsidP="00185AA2">
      <w:pPr>
        <w:pStyle w:val="BodyText2"/>
        <w:spacing w:after="60"/>
        <w:jc w:val="both"/>
        <w:rPr>
          <w:rFonts w:ascii="Arial" w:hAnsi="Arial" w:cs="Arial"/>
          <w:b/>
        </w:rPr>
      </w:pPr>
    </w:p>
    <w:p w:rsidR="00185AA2" w:rsidRDefault="00185AA2" w:rsidP="00185AA2">
      <w:pPr>
        <w:pStyle w:val="BodyText2"/>
        <w:spacing w:after="60"/>
        <w:jc w:val="both"/>
        <w:rPr>
          <w:rFonts w:ascii="Arial" w:hAnsi="Arial" w:cs="Arial"/>
          <w:b/>
        </w:rPr>
      </w:pPr>
      <w:r>
        <w:rPr>
          <w:rFonts w:ascii="Arial" w:hAnsi="Arial" w:cs="Arial"/>
          <w:b/>
        </w:rPr>
        <w:t>Conclusion:</w:t>
      </w:r>
    </w:p>
    <w:p w:rsidR="00185AA2" w:rsidRPr="00BA1BC1" w:rsidRDefault="00185AA2" w:rsidP="00185AA2">
      <w:pPr>
        <w:spacing w:line="480" w:lineRule="auto"/>
        <w:rPr>
          <w:rFonts w:cs="Arial"/>
          <w:lang w:val="en-ZA"/>
        </w:rPr>
      </w:pPr>
      <w:r w:rsidRPr="00BA1BC1">
        <w:rPr>
          <w:rFonts w:cs="Arial"/>
        </w:rPr>
        <w:t xml:space="preserve">If the goal for the future is defined as effective myocardial reperfusion within two hours </w:t>
      </w:r>
      <w:r>
        <w:rPr>
          <w:rFonts w:cs="Arial"/>
        </w:rPr>
        <w:t>of</w:t>
      </w:r>
      <w:r w:rsidRPr="00BA1BC1">
        <w:rPr>
          <w:rFonts w:cs="Arial"/>
        </w:rPr>
        <w:t xml:space="preserve"> symptom on</w:t>
      </w:r>
      <w:r>
        <w:rPr>
          <w:rFonts w:cs="Arial"/>
        </w:rPr>
        <w:t>-</w:t>
      </w:r>
      <w:r w:rsidRPr="00BA1BC1">
        <w:rPr>
          <w:rFonts w:cs="Arial"/>
        </w:rPr>
        <w:t xml:space="preserve">set in all patients with STEMI, attempts to change the actions of individuals experiencing AMI symptoms should continue. While thrombolysis by emergency care practitioners offers a significant improvement in reducing symptom-to-needle time in treating STEMI, systems to facilitate various approaches need to be implemented. </w:t>
      </w:r>
      <w:r w:rsidRPr="00BA1BC1">
        <w:rPr>
          <w:rFonts w:cs="Arial"/>
          <w:lang w:val="en-ZA"/>
        </w:rPr>
        <w:t xml:space="preserve">Prompt recognition of STEMI and shortening the time from first patient contact to initiation of thrombolytic drug therapy will most likely improve survival. </w:t>
      </w:r>
    </w:p>
    <w:p w:rsidR="00185AA2" w:rsidRDefault="00185AA2" w:rsidP="00185AA2">
      <w:pPr>
        <w:pStyle w:val="BodyText2"/>
        <w:spacing w:after="60"/>
        <w:jc w:val="both"/>
        <w:rPr>
          <w:rFonts w:ascii="Arial" w:hAnsi="Arial" w:cs="Arial"/>
        </w:rPr>
      </w:pPr>
    </w:p>
    <w:p w:rsidR="00185AA2" w:rsidRDefault="00185AA2" w:rsidP="00185AA2">
      <w:pPr>
        <w:pStyle w:val="BodyText2"/>
        <w:spacing w:after="60"/>
        <w:jc w:val="both"/>
        <w:rPr>
          <w:rFonts w:ascii="Arial" w:hAnsi="Arial" w:cs="Arial"/>
          <w:b/>
        </w:rPr>
      </w:pPr>
      <w:r>
        <w:rPr>
          <w:rFonts w:ascii="Arial" w:hAnsi="Arial" w:cs="Arial"/>
          <w:b/>
        </w:rPr>
        <w:t>Keywords:</w:t>
      </w:r>
    </w:p>
    <w:p w:rsidR="00185AA2" w:rsidRDefault="00185AA2" w:rsidP="00185AA2">
      <w:pPr>
        <w:pStyle w:val="BodyText2"/>
        <w:spacing w:after="60"/>
        <w:jc w:val="both"/>
        <w:rPr>
          <w:rFonts w:ascii="Arial" w:hAnsi="Arial" w:cs="Arial"/>
        </w:rPr>
      </w:pPr>
      <w:r>
        <w:rPr>
          <w:rFonts w:ascii="Arial" w:hAnsi="Arial" w:cs="Arial"/>
        </w:rPr>
        <w:t>Acute myocardial infarction, heart attack, ST-elevation myocardial infarction, fibrinolysis, thrombolysis, pre-hospital thrombolysis.</w:t>
      </w:r>
    </w:p>
    <w:p w:rsidR="00185AA2" w:rsidRDefault="00185AA2"/>
    <w:sectPr w:rsidR="00185AA2" w:rsidSect="00294A00">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5AA2"/>
    <w:rsid w:val="00185AA2"/>
    <w:rsid w:val="00294A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195911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5AA2"/>
    <w:pPr>
      <w:spacing w:before="120" w:after="120" w:line="360" w:lineRule="auto"/>
      <w:jc w:val="both"/>
    </w:pPr>
    <w:rPr>
      <w:rFonts w:ascii="Arial" w:eastAsia="Times New Roman" w:hAnsi="Arial" w:cs="Times New Roman"/>
      <w:lang w:val="en-GB" w:eastAsia="en-GB"/>
    </w:rPr>
  </w:style>
  <w:style w:type="paragraph" w:styleId="Heading2">
    <w:name w:val="heading 2"/>
    <w:aliases w:val="Section Heading"/>
    <w:basedOn w:val="Normal"/>
    <w:next w:val="Normal"/>
    <w:link w:val="Heading2Char"/>
    <w:qFormat/>
    <w:rsid w:val="00185AA2"/>
    <w:pPr>
      <w:keepNext/>
      <w:spacing w:before="240" w:after="60"/>
      <w:outlineLvl w:val="1"/>
    </w:pPr>
    <w:rPr>
      <w:rFonts w:cs="Arial"/>
      <w:b/>
      <w:i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Section Heading Char"/>
    <w:basedOn w:val="DefaultParagraphFont"/>
    <w:link w:val="Heading2"/>
    <w:rsid w:val="00185AA2"/>
    <w:rPr>
      <w:rFonts w:ascii="Arial" w:eastAsia="Times New Roman" w:hAnsi="Arial" w:cs="Arial"/>
      <w:b/>
      <w:iCs/>
      <w:szCs w:val="28"/>
      <w:lang w:val="en-GB" w:eastAsia="en-GB"/>
    </w:rPr>
  </w:style>
  <w:style w:type="paragraph" w:styleId="BodyText2">
    <w:name w:val="Body Text 2"/>
    <w:basedOn w:val="Normal"/>
    <w:link w:val="BodyText2Char"/>
    <w:rsid w:val="00185AA2"/>
    <w:pPr>
      <w:spacing w:before="0" w:line="480" w:lineRule="auto"/>
      <w:jc w:val="left"/>
    </w:pPr>
    <w:rPr>
      <w:rFonts w:ascii="Times New Roman" w:hAnsi="Times New Roman"/>
      <w:lang w:val="en-ZA" w:eastAsia="en-US"/>
    </w:rPr>
  </w:style>
  <w:style w:type="character" w:customStyle="1" w:styleId="BodyText2Char">
    <w:name w:val="Body Text 2 Char"/>
    <w:basedOn w:val="DefaultParagraphFont"/>
    <w:link w:val="BodyText2"/>
    <w:rsid w:val="00185AA2"/>
    <w:rPr>
      <w:rFonts w:ascii="Times New Roman" w:eastAsia="Times New Roman" w:hAnsi="Times New Roman" w:cs="Times New Roman"/>
      <w:lang w:val="en-Z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5AA2"/>
    <w:pPr>
      <w:spacing w:before="120" w:after="120" w:line="360" w:lineRule="auto"/>
      <w:jc w:val="both"/>
    </w:pPr>
    <w:rPr>
      <w:rFonts w:ascii="Arial" w:eastAsia="Times New Roman" w:hAnsi="Arial" w:cs="Times New Roman"/>
      <w:lang w:val="en-GB" w:eastAsia="en-GB"/>
    </w:rPr>
  </w:style>
  <w:style w:type="paragraph" w:styleId="Heading2">
    <w:name w:val="heading 2"/>
    <w:aliases w:val="Section Heading"/>
    <w:basedOn w:val="Normal"/>
    <w:next w:val="Normal"/>
    <w:link w:val="Heading2Char"/>
    <w:qFormat/>
    <w:rsid w:val="00185AA2"/>
    <w:pPr>
      <w:keepNext/>
      <w:spacing w:before="240" w:after="60"/>
      <w:outlineLvl w:val="1"/>
    </w:pPr>
    <w:rPr>
      <w:rFonts w:cs="Arial"/>
      <w:b/>
      <w:i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Section Heading Char"/>
    <w:basedOn w:val="DefaultParagraphFont"/>
    <w:link w:val="Heading2"/>
    <w:rsid w:val="00185AA2"/>
    <w:rPr>
      <w:rFonts w:ascii="Arial" w:eastAsia="Times New Roman" w:hAnsi="Arial" w:cs="Arial"/>
      <w:b/>
      <w:iCs/>
      <w:szCs w:val="28"/>
      <w:lang w:val="en-GB" w:eastAsia="en-GB"/>
    </w:rPr>
  </w:style>
  <w:style w:type="paragraph" w:styleId="BodyText2">
    <w:name w:val="Body Text 2"/>
    <w:basedOn w:val="Normal"/>
    <w:link w:val="BodyText2Char"/>
    <w:rsid w:val="00185AA2"/>
    <w:pPr>
      <w:spacing w:before="0" w:line="480" w:lineRule="auto"/>
      <w:jc w:val="left"/>
    </w:pPr>
    <w:rPr>
      <w:rFonts w:ascii="Times New Roman" w:hAnsi="Times New Roman"/>
      <w:lang w:val="en-ZA" w:eastAsia="en-US"/>
    </w:rPr>
  </w:style>
  <w:style w:type="character" w:customStyle="1" w:styleId="BodyText2Char">
    <w:name w:val="Body Text 2 Char"/>
    <w:basedOn w:val="DefaultParagraphFont"/>
    <w:link w:val="BodyText2"/>
    <w:rsid w:val="00185AA2"/>
    <w:rPr>
      <w:rFonts w:ascii="Times New Roman" w:eastAsia="Times New Roman" w:hAnsi="Times New Roman" w:cs="Times New Roman"/>
      <w:lang w:val="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587</Words>
  <Characters>3347</Characters>
  <Application>Microsoft Macintosh Word</Application>
  <DocSecurity>0</DocSecurity>
  <Lines>27</Lines>
  <Paragraphs>7</Paragraphs>
  <ScaleCrop>false</ScaleCrop>
  <Company>Durban University of Technology</Company>
  <LinksUpToDate>false</LinksUpToDate>
  <CharactersWithSpaces>3927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Raveen  Naidoo</dc:creator>
  <cp:keywords/>
  <dc:description/>
  <cp:lastModifiedBy>Raveen  Naidoo</cp:lastModifiedBy>
  <cp:revision>1</cp:revision>
  <dcterms:created xsi:type="dcterms:W3CDTF">2014-07-23T19:06:00Z</dcterms:created>
  <dcterms:modified xsi:type="dcterms:W3CDTF">2014-07-23T19:08:00Z</dcterms:modified>
</cp:coreProperties>
</file>