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2130BB6" w14:textId="77777777" w:rsidR="00DF6463" w:rsidRDefault="00DF6463" w:rsidP="00EB6ABC">
      <w:pPr>
        <w:sectPr w:rsidR="00DF6463" w:rsidSect="00DF6463">
          <w:footerReference w:type="default" r:id="rId10"/>
          <w:pgSz w:w="11906" w:h="16838"/>
          <w:pgMar w:top="1440" w:right="1440" w:bottom="1440" w:left="1440" w:header="708" w:footer="708" w:gutter="0"/>
          <w:pgNumType w:start="1"/>
          <w:cols w:space="708"/>
          <w:titlePg/>
          <w:docGrid w:linePitch="360"/>
        </w:sectPr>
      </w:pPr>
      <w:bookmarkStart w:id="0" w:name="_GoBack"/>
      <w:bookmarkEnd w:id="0"/>
    </w:p>
    <w:p w14:paraId="1FB50F39" w14:textId="77777777" w:rsidR="005740F5" w:rsidRPr="00315A2B" w:rsidRDefault="00FB1927" w:rsidP="005B702A">
      <w:pPr>
        <w:pStyle w:val="Heading1"/>
        <w:numPr>
          <w:ilvl w:val="0"/>
          <w:numId w:val="0"/>
        </w:numPr>
        <w:jc w:val="center"/>
      </w:pPr>
      <w:bookmarkStart w:id="1" w:name="_Toc488481695"/>
      <w:r w:rsidRPr="00315A2B">
        <w:lastRenderedPageBreak/>
        <w:t>I</w:t>
      </w:r>
      <w:r w:rsidR="00826ABC" w:rsidRPr="00315A2B">
        <w:t>ntroduction</w:t>
      </w:r>
      <w:bookmarkEnd w:id="1"/>
    </w:p>
    <w:p w14:paraId="0015C9D7" w14:textId="77777777" w:rsidR="00D83ADE" w:rsidRDefault="00D83ADE" w:rsidP="00246DA1"/>
    <w:p w14:paraId="5EECDF32" w14:textId="77777777" w:rsidR="005E4065" w:rsidRDefault="00D83ADE" w:rsidP="00246DA1">
      <w:r>
        <w:t xml:space="preserve">Gambling was declared a morally repugnant vice by the </w:t>
      </w:r>
      <w:r w:rsidR="00E65C7D">
        <w:t>South African apartheid</w:t>
      </w:r>
      <w:r w:rsidR="00202C82">
        <w:t xml:space="preserve"> government</w:t>
      </w:r>
      <w:r>
        <w:t xml:space="preserve"> in 1965</w:t>
      </w:r>
      <w:r w:rsidR="004E528C">
        <w:t>, forcing</w:t>
      </w:r>
      <w:r>
        <w:t xml:space="preserve"> casinos into the </w:t>
      </w:r>
      <w:r w:rsidR="0081332D">
        <w:t xml:space="preserve">peripheries </w:t>
      </w:r>
      <w:r>
        <w:t xml:space="preserve">of southern Africa. Sun City was established in the </w:t>
      </w:r>
      <w:r w:rsidR="004E528C">
        <w:t>nominally independent bantustan of</w:t>
      </w:r>
      <w:r>
        <w:t xml:space="preserve"> Bophuthatswana</w:t>
      </w:r>
      <w:r w:rsidR="004E528C">
        <w:t xml:space="preserve"> by hotel mogul</w:t>
      </w:r>
      <w:r>
        <w:t xml:space="preserve"> Sol Kerzner</w:t>
      </w:r>
      <w:r w:rsidR="004E528C">
        <w:t xml:space="preserve"> in 1979</w:t>
      </w:r>
      <w:r>
        <w:t>. Designed in the lavish Las Vegas Strip style, Sun City became</w:t>
      </w:r>
      <w:r w:rsidR="00E65C7D">
        <w:t xml:space="preserve"> </w:t>
      </w:r>
      <w:r w:rsidR="0010724B">
        <w:t>perhaps the</w:t>
      </w:r>
      <w:r w:rsidR="00B52142">
        <w:t xml:space="preserve"> </w:t>
      </w:r>
      <w:r>
        <w:t>most notorious</w:t>
      </w:r>
      <w:r w:rsidR="0010724B">
        <w:t xml:space="preserve"> of the</w:t>
      </w:r>
      <w:r>
        <w:t xml:space="preserve"> bantustan casinos. Roulette, slot machines, poker, black musicians, pornography, multi-racial sequined show girls and Gary Player designed golf courses were </w:t>
      </w:r>
      <w:r w:rsidR="006F3AD9">
        <w:t>laid out</w:t>
      </w:r>
      <w:r w:rsidR="0010724B">
        <w:t xml:space="preserve"> for customers</w:t>
      </w:r>
      <w:r>
        <w:t>.</w:t>
      </w:r>
      <w:r>
        <w:rPr>
          <w:rStyle w:val="FootnoteReference"/>
        </w:rPr>
        <w:footnoteReference w:id="1"/>
      </w:r>
      <w:r>
        <w:t xml:space="preserve"> The </w:t>
      </w:r>
      <w:r w:rsidR="0010724B">
        <w:t>development</w:t>
      </w:r>
      <w:r>
        <w:t xml:space="preserve"> of casinos and resorts in the bantustans satisfied the cravings of white South Africans for vices that they could not find at home</w:t>
      </w:r>
      <w:r w:rsidR="009A52A2">
        <w:t>.</w:t>
      </w:r>
    </w:p>
    <w:p w14:paraId="403B73CE" w14:textId="77777777" w:rsidR="00E77763" w:rsidRDefault="00E77763" w:rsidP="00246DA1">
      <w:r>
        <w:t xml:space="preserve">Gambling was first controlled </w:t>
      </w:r>
      <w:r w:rsidR="006F3AD9">
        <w:t>as early as</w:t>
      </w:r>
      <w:r>
        <w:t xml:space="preserve"> 1673 by the Dutch East India Company (VOC) and later outlawed in 1889 by the British colonial government </w:t>
      </w:r>
      <w:r w:rsidR="006F3AD9">
        <w:t>at</w:t>
      </w:r>
      <w:r>
        <w:t xml:space="preserve"> the Cape, despite already being prohibited in the Boer Republics. This ban continued into the Union of South Africa.</w:t>
      </w:r>
      <w:r>
        <w:rPr>
          <w:rStyle w:val="FootnoteReference"/>
        </w:rPr>
        <w:footnoteReference w:id="2"/>
      </w:r>
      <w:r>
        <w:t xml:space="preserve"> After the discovery of gold on the Witwatersrand and the massive </w:t>
      </w:r>
      <w:r w:rsidR="00C95977">
        <w:t xml:space="preserve">industrial and urban </w:t>
      </w:r>
      <w:r>
        <w:t>expansion of the area, dog racing grew in popularity</w:t>
      </w:r>
      <w:r w:rsidR="00C95977">
        <w:t>,</w:t>
      </w:r>
      <w:r>
        <w:t xml:space="preserve"> bec</w:t>
      </w:r>
      <w:r w:rsidR="00C95977">
        <w:t>oming</w:t>
      </w:r>
      <w:r>
        <w:t xml:space="preserve"> a common feature of </w:t>
      </w:r>
      <w:r w:rsidR="00C95977">
        <w:t xml:space="preserve">the Rand’s </w:t>
      </w:r>
      <w:r>
        <w:t xml:space="preserve">gambling culture. However, </w:t>
      </w:r>
      <w:r w:rsidR="006F3AD9">
        <w:t xml:space="preserve">the </w:t>
      </w:r>
      <w:r>
        <w:t>p</w:t>
      </w:r>
      <w:r w:rsidR="005E4065">
        <w:t xml:space="preserve">uritan </w:t>
      </w:r>
      <w:r w:rsidR="00E65C7D">
        <w:t xml:space="preserve">National Party (NP) </w:t>
      </w:r>
      <w:r>
        <w:t xml:space="preserve">were opposed to the pastime on moral and religious </w:t>
      </w:r>
      <w:r w:rsidR="00025FCB">
        <w:t xml:space="preserve">grounds </w:t>
      </w:r>
      <w:r>
        <w:t>and the dog races were prohibited in 1949.</w:t>
      </w:r>
      <w:r>
        <w:rPr>
          <w:rStyle w:val="FootnoteReference"/>
        </w:rPr>
        <w:footnoteReference w:id="3"/>
      </w:r>
      <w:r>
        <w:t xml:space="preserve"> In 1965 the</w:t>
      </w:r>
      <w:r w:rsidR="00E65C7D" w:rsidRPr="00E65C7D">
        <w:t xml:space="preserve"> </w:t>
      </w:r>
      <w:r w:rsidR="00E65C7D">
        <w:t>NP</w:t>
      </w:r>
      <w:r>
        <w:t>, which had come to power in 1948 on a platform of apartheid, implemented a comprehensive Gambling Act</w:t>
      </w:r>
      <w:r w:rsidR="00025FCB">
        <w:t>,</w:t>
      </w:r>
      <w:r>
        <w:t xml:space="preserve"> which </w:t>
      </w:r>
      <w:r w:rsidR="00E65C7D">
        <w:t>banned</w:t>
      </w:r>
      <w:r>
        <w:t xml:space="preserve"> the pastime officially.</w:t>
      </w:r>
      <w:r w:rsidR="005E4065">
        <w:t xml:space="preserve"> </w:t>
      </w:r>
      <w:r>
        <w:t xml:space="preserve">The </w:t>
      </w:r>
      <w:r w:rsidR="009A7947">
        <w:t xml:space="preserve">NP’s ideology of </w:t>
      </w:r>
      <w:r>
        <w:t>Afrika</w:t>
      </w:r>
      <w:r w:rsidR="009A7947">
        <w:t>ner</w:t>
      </w:r>
      <w:r>
        <w:t xml:space="preserve"> </w:t>
      </w:r>
      <w:r w:rsidR="009A7947">
        <w:t>n</w:t>
      </w:r>
      <w:r>
        <w:t xml:space="preserve">ationalism promoted </w:t>
      </w:r>
      <w:r w:rsidR="009A7947">
        <w:t>the ideal</w:t>
      </w:r>
      <w:r>
        <w:t xml:space="preserve"> of a morally and racially purified South Africa. An integral part of </w:t>
      </w:r>
      <w:r w:rsidR="00025FCB">
        <w:t xml:space="preserve">its Calvinistic </w:t>
      </w:r>
      <w:r>
        <w:t xml:space="preserve">mission was banning a multitude of vices amongst the white </w:t>
      </w:r>
      <w:r w:rsidR="00E65C7D">
        <w:t>citizen</w:t>
      </w:r>
      <w:r>
        <w:t>ry to ensure a morally pure</w:t>
      </w:r>
      <w:r w:rsidR="00025FCB">
        <w:t xml:space="preserve"> white</w:t>
      </w:r>
      <w:r>
        <w:t xml:space="preserve"> nation. These vices extended from miscegenation </w:t>
      </w:r>
      <w:r w:rsidR="00C95977">
        <w:t xml:space="preserve">to </w:t>
      </w:r>
      <w:r>
        <w:t xml:space="preserve">pornography </w:t>
      </w:r>
      <w:r w:rsidR="00C95977">
        <w:t xml:space="preserve">and </w:t>
      </w:r>
      <w:r>
        <w:t xml:space="preserve">gambling. The prohibition of gambling within South Africa’s borders was </w:t>
      </w:r>
      <w:r w:rsidR="00025FCB">
        <w:t xml:space="preserve">finalised </w:t>
      </w:r>
      <w:r>
        <w:t>with the 1965 South African Gambling Act</w:t>
      </w:r>
      <w:r w:rsidR="00025FCB">
        <w:t>, which</w:t>
      </w:r>
      <w:r>
        <w:t xml:space="preserve"> outlawed all </w:t>
      </w:r>
      <w:r w:rsidR="00025FCB">
        <w:t xml:space="preserve">forms of </w:t>
      </w:r>
      <w:r>
        <w:t>gambling excluding the placement of bets on horseracing.</w:t>
      </w:r>
    </w:p>
    <w:p w14:paraId="43D689DE" w14:textId="77777777" w:rsidR="004E528C" w:rsidRDefault="00E77763" w:rsidP="004E528C">
      <w:r>
        <w:lastRenderedPageBreak/>
        <w:t xml:space="preserve">Despite this prohibition, casinos began to operate in </w:t>
      </w:r>
      <w:r w:rsidR="002728C9">
        <w:t xml:space="preserve">South Africa’s apartheid-era bantustans </w:t>
      </w:r>
      <w:r>
        <w:t>towards to the late 1970s.</w:t>
      </w:r>
      <w:r w:rsidR="006F3AD9">
        <w:t xml:space="preserve"> </w:t>
      </w:r>
      <w:r>
        <w:t>Sun International established Sun City in Bophuthatswana in 1979, the Wild Coast Sun in the Transkei and the Fish River Sun i</w:t>
      </w:r>
      <w:r w:rsidR="00D83ADE">
        <w:t xml:space="preserve">n the Ciskei in </w:t>
      </w:r>
      <w:r>
        <w:t xml:space="preserve">1989. </w:t>
      </w:r>
      <w:r w:rsidR="00EC1AFF">
        <w:t>The b</w:t>
      </w:r>
      <w:r>
        <w:t xml:space="preserve">antustans were </w:t>
      </w:r>
      <w:r w:rsidR="002728C9">
        <w:t xml:space="preserve">ethnically-defined </w:t>
      </w:r>
      <w:r>
        <w:t>territories specifically designated for South Africa</w:t>
      </w:r>
      <w:r w:rsidR="002728C9">
        <w:t>’s black population</w:t>
      </w:r>
      <w:r>
        <w:t xml:space="preserve"> under apartheid. Ten bantustans </w:t>
      </w:r>
      <w:r w:rsidR="00F77E2D">
        <w:t xml:space="preserve">or ‘homelands’, as they were also known, </w:t>
      </w:r>
      <w:r>
        <w:t>were established throughout the interior of South Africa</w:t>
      </w:r>
      <w:r w:rsidR="006F4D9F">
        <w:t>.</w:t>
      </w:r>
      <w:r w:rsidR="006F3AD9">
        <w:rPr>
          <w:rStyle w:val="FootnoteReference"/>
        </w:rPr>
        <w:footnoteReference w:id="4"/>
      </w:r>
      <w:r>
        <w:t xml:space="preserve"> </w:t>
      </w:r>
      <w:r w:rsidR="002728C9">
        <w:t>African people</w:t>
      </w:r>
      <w:r>
        <w:t xml:space="preserve"> were separated into these areas according to their language and </w:t>
      </w:r>
      <w:r w:rsidR="00C31F89">
        <w:t>culture</w:t>
      </w:r>
      <w:r>
        <w:t xml:space="preserve">, dividing ethnicities into perceived homogenous groups. </w:t>
      </w:r>
      <w:r w:rsidR="004E528C">
        <w:t>Connie Mulder, the South African Information and Interior Minister stated in 1970</w:t>
      </w:r>
      <w:r w:rsidR="006F4D9F">
        <w:t>:</w:t>
      </w:r>
    </w:p>
    <w:p w14:paraId="1873CFEF" w14:textId="77777777" w:rsidR="004E528C" w:rsidRPr="00ED2653" w:rsidRDefault="004E528C" w:rsidP="009E72CB">
      <w:pPr>
        <w:pStyle w:val="Subtitle"/>
        <w:spacing w:after="360"/>
      </w:pPr>
      <w:r>
        <w:t>N</w:t>
      </w:r>
      <w:r>
        <w:rPr>
          <w:bdr w:val="none" w:sz="0" w:space="0" w:color="auto" w:frame="1"/>
        </w:rPr>
        <w:t xml:space="preserve">o black person will eventually qualify [for South African nationality and the right to work or live in South Africa] because they will all be aliens, and as such, will only be able to occupy the houses bequeathed to them by their fathers, in </w:t>
      </w:r>
      <w:r w:rsidRPr="004F14D4">
        <w:rPr>
          <w:bdr w:val="none" w:sz="0" w:space="0" w:color="auto" w:frame="1"/>
        </w:rPr>
        <w:t>the urban areas, by special permission of the Minister.</w:t>
      </w:r>
      <w:r w:rsidRPr="004F14D4">
        <w:rPr>
          <w:rStyle w:val="FootnoteReference"/>
        </w:rPr>
        <w:footnoteReference w:id="5"/>
      </w:r>
      <w:r w:rsidRPr="004F14D4">
        <w:t xml:space="preserve"> </w:t>
      </w:r>
    </w:p>
    <w:p w14:paraId="2DFCC5D6" w14:textId="77777777" w:rsidR="00440470" w:rsidRDefault="00E77763" w:rsidP="00440470">
      <w:r>
        <w:t xml:space="preserve">Bophuthatswana, mainly home to Tswana speaking people, was granted nominal self-rule in 1972 before gaining nominal independence in 1977. The bantustans were </w:t>
      </w:r>
      <w:r w:rsidR="00D83ADE">
        <w:t>non-viable economic</w:t>
      </w:r>
      <w:r>
        <w:t xml:space="preserve"> states rather than independent countries</w:t>
      </w:r>
      <w:r w:rsidR="006F4D9F">
        <w:t>;</w:t>
      </w:r>
      <w:r w:rsidR="009E72CB">
        <w:t xml:space="preserve"> the territories </w:t>
      </w:r>
      <w:r>
        <w:t xml:space="preserve">struggled to achieve financial independence and survived through large subsidies provided by the South African government. Despite this, Bophuthatswana </w:t>
      </w:r>
      <w:r w:rsidR="00F77E2D">
        <w:t>has often been portrayed</w:t>
      </w:r>
      <w:r>
        <w:t xml:space="preserve"> as one of the more economically successful bantustans</w:t>
      </w:r>
      <w:r w:rsidR="009E72CB">
        <w:t>,</w:t>
      </w:r>
      <w:r w:rsidR="007E613D">
        <w:t xml:space="preserve"> depende</w:t>
      </w:r>
      <w:r w:rsidR="00D83ADE">
        <w:t>nt</w:t>
      </w:r>
      <w:r w:rsidR="00F77E2D">
        <w:t xml:space="preserve"> </w:t>
      </w:r>
      <w:r w:rsidR="009E72CB">
        <w:t xml:space="preserve">on </w:t>
      </w:r>
      <w:r w:rsidR="00F77E2D">
        <w:t>the m</w:t>
      </w:r>
      <w:r>
        <w:t>ining of platinum and various other</w:t>
      </w:r>
      <w:r w:rsidR="00F77E2D">
        <w:t xml:space="preserve"> </w:t>
      </w:r>
      <w:r w:rsidR="009E72CB">
        <w:t xml:space="preserve">natural </w:t>
      </w:r>
      <w:r w:rsidR="009E72CB" w:rsidRPr="00E65C7D">
        <w:t>resources</w:t>
      </w:r>
      <w:r w:rsidRPr="00E65C7D">
        <w:t>.</w:t>
      </w:r>
      <w:r w:rsidR="007E613D" w:rsidRPr="00E65C7D">
        <w:t xml:space="preserve"> Sun City was</w:t>
      </w:r>
      <w:r w:rsidR="00E65C7D" w:rsidRPr="00E65C7D">
        <w:t xml:space="preserve"> further</w:t>
      </w:r>
      <w:r w:rsidR="007E613D" w:rsidRPr="00E65C7D">
        <w:t xml:space="preserve"> used to promote this narrative. </w:t>
      </w:r>
      <w:r>
        <w:rPr>
          <w:rStyle w:val="FootnoteReference"/>
        </w:rPr>
        <w:footnoteReference w:id="6"/>
      </w:r>
      <w:r w:rsidR="004E528C">
        <w:t xml:space="preserve"> </w:t>
      </w:r>
      <w:r w:rsidR="001E600F">
        <w:t>Bophuthatswana’s</w:t>
      </w:r>
      <w:r w:rsidR="00926912">
        <w:t xml:space="preserve"> president</w:t>
      </w:r>
      <w:r w:rsidR="00E65C7D">
        <w:t>,</w:t>
      </w:r>
      <w:r w:rsidR="00926912">
        <w:t xml:space="preserve"> Lucas Mangope</w:t>
      </w:r>
      <w:r w:rsidR="00E65C7D">
        <w:t>,</w:t>
      </w:r>
      <w:r w:rsidR="00926912">
        <w:t xml:space="preserve"> and Southern Sun hotel group founder</w:t>
      </w:r>
      <w:r w:rsidR="00E65C7D">
        <w:t>,</w:t>
      </w:r>
      <w:r w:rsidR="00926912">
        <w:t xml:space="preserve"> Sol Kerzner</w:t>
      </w:r>
      <w:r w:rsidR="00E65C7D">
        <w:t>,</w:t>
      </w:r>
      <w:r w:rsidR="00926912">
        <w:t xml:space="preserve"> established a mutually beneficial relationship to create casinos within the </w:t>
      </w:r>
      <w:r w:rsidR="00F074B9">
        <w:t xml:space="preserve">borders </w:t>
      </w:r>
      <w:r w:rsidR="00926912">
        <w:t xml:space="preserve">of the bantustan. </w:t>
      </w:r>
    </w:p>
    <w:p w14:paraId="553E7D8E" w14:textId="77777777" w:rsidR="00D112D3" w:rsidRDefault="00D83ADE" w:rsidP="00757572">
      <w:r>
        <w:t xml:space="preserve">This thesis </w:t>
      </w:r>
      <w:r w:rsidR="004E528C">
        <w:t>will</w:t>
      </w:r>
      <w:r>
        <w:t xml:space="preserve"> explore the establishment of the casino and resort</w:t>
      </w:r>
      <w:r w:rsidR="007E613D">
        <w:t xml:space="preserve"> Sun City</w:t>
      </w:r>
      <w:r>
        <w:t xml:space="preserve"> within the borders of the Bophuthatswana homeland. </w:t>
      </w:r>
      <w:r w:rsidR="00E61E9B">
        <w:t>The political impact</w:t>
      </w:r>
      <w:r w:rsidR="004E528C">
        <w:t xml:space="preserve"> </w:t>
      </w:r>
      <w:r w:rsidR="00E61E9B">
        <w:t xml:space="preserve">of Sun City on Bophuthatswana and the </w:t>
      </w:r>
      <w:r w:rsidR="00A05960">
        <w:t>way</w:t>
      </w:r>
      <w:r w:rsidR="00E61E9B">
        <w:t xml:space="preserve"> Sun City was utilised for the promotion of the homeland project will be analysed. This will be done through the exploration of the construction of Sun City, the funding and investment of the project, tourism to the resort and lastly the variety of events hosted by </w:t>
      </w:r>
      <w:r w:rsidR="004E528C">
        <w:t xml:space="preserve">Sol </w:t>
      </w:r>
      <w:r w:rsidR="00E61E9B">
        <w:t xml:space="preserve">Kerzner at the casino resort. </w:t>
      </w:r>
      <w:r w:rsidR="00133020">
        <w:t xml:space="preserve">The central argument of the paper </w:t>
      </w:r>
      <w:r w:rsidR="002D623D">
        <w:t>investigates the</w:t>
      </w:r>
      <w:r w:rsidR="00133020">
        <w:t xml:space="preserve"> economic viability of the homeland policy, and how the casino project impacted </w:t>
      </w:r>
      <w:r w:rsidR="006F4D9F">
        <w:t xml:space="preserve">on </w:t>
      </w:r>
      <w:r w:rsidR="00133020">
        <w:t>this. The</w:t>
      </w:r>
      <w:r w:rsidR="00E61E9B">
        <w:t xml:space="preserve"> research </w:t>
      </w:r>
      <w:r w:rsidR="00E61E9B">
        <w:lastRenderedPageBreak/>
        <w:t xml:space="preserve">will focus on </w:t>
      </w:r>
      <w:r w:rsidR="006F4D9F">
        <w:t>the period</w:t>
      </w:r>
      <w:r w:rsidR="00E61E9B">
        <w:t xml:space="preserve"> spanning 1965-1995</w:t>
      </w:r>
      <w:r w:rsidR="007E613D">
        <w:t xml:space="preserve"> and was chosen to include an analysis on the anti-gambling legislation passed by the NP government, the construction and development of the Sun City complex in the Bophuthatswana bantustan and the election of South African democratic government in 1994. The </w:t>
      </w:r>
      <w:r w:rsidR="00CE4FAE" w:rsidRPr="00CE4FAE">
        <w:t xml:space="preserve">period under examination </w:t>
      </w:r>
      <w:r w:rsidR="007E613D">
        <w:t xml:space="preserve">allowed for </w:t>
      </w:r>
      <w:r w:rsidR="00E65C7D">
        <w:t xml:space="preserve">the account of </w:t>
      </w:r>
      <w:r w:rsidR="007E613D">
        <w:t>a comprehensive historical narrative</w:t>
      </w:r>
      <w:r w:rsidR="00E65C7D">
        <w:t>.</w:t>
      </w:r>
    </w:p>
    <w:p w14:paraId="5963901E" w14:textId="77777777" w:rsidR="00B52142" w:rsidRPr="00C7587E" w:rsidRDefault="00B52142" w:rsidP="00DB2AA1">
      <w:pPr>
        <w:pStyle w:val="Heading2"/>
        <w:numPr>
          <w:ilvl w:val="0"/>
          <w:numId w:val="0"/>
        </w:numPr>
        <w:ind w:left="578" w:hanging="578"/>
      </w:pPr>
      <w:bookmarkStart w:id="2" w:name="_Toc488481696"/>
      <w:r w:rsidRPr="00C7587E">
        <w:t>Gambling in the C</w:t>
      </w:r>
      <w:r w:rsidR="00E65C7D">
        <w:t>olonies</w:t>
      </w:r>
      <w:bookmarkEnd w:id="2"/>
      <w:r w:rsidRPr="00C7587E">
        <w:t xml:space="preserve"> </w:t>
      </w:r>
    </w:p>
    <w:p w14:paraId="5B9CBF70" w14:textId="77777777" w:rsidR="00B52142" w:rsidRDefault="00B52142" w:rsidP="00B52142">
      <w:r>
        <w:t xml:space="preserve">Gambling, betting and wagering have a long history of restriction in South Africa.  This section will provide an overview of the historiography on gambling from the time of the Cape Colony until the beginning of the apartheid period. This will serve as an introduction to the literature on gambling and casinos in the bantustans and on Sun City </w:t>
      </w:r>
      <w:r w:rsidR="001E600F">
        <w:t>itself</w:t>
      </w:r>
      <w:r>
        <w:t>.</w:t>
      </w:r>
    </w:p>
    <w:p w14:paraId="27692526" w14:textId="77777777" w:rsidR="00B52142" w:rsidRDefault="00B52142" w:rsidP="00B52142">
      <w:r>
        <w:t xml:space="preserve">Betting fever infected higher class social elites, children and the enslaved from the time of the Dutch occupation of the Cape. In his </w:t>
      </w:r>
      <w:r w:rsidRPr="00246DA1">
        <w:t>biography of a Balinese slave from Stellenbosch</w:t>
      </w:r>
      <w:r>
        <w:t>, Robert Shell clearly outlines the impact of gambling on residents of the Cape Colony. He tells the story of Rangton,</w:t>
      </w:r>
      <w:r w:rsidRPr="00246DA1">
        <w:t xml:space="preserve"> </w:t>
      </w:r>
      <w:r>
        <w:t xml:space="preserve">who </w:t>
      </w:r>
      <w:r w:rsidRPr="00246DA1">
        <w:t xml:space="preserve">was forced into slavery in Bali </w:t>
      </w:r>
      <w:r>
        <w:t>because of</w:t>
      </w:r>
      <w:r w:rsidRPr="00246DA1">
        <w:t xml:space="preserve"> </w:t>
      </w:r>
      <w:r>
        <w:t>gambling</w:t>
      </w:r>
      <w:r w:rsidRPr="00246DA1">
        <w:t xml:space="preserve"> debts. He was then sold to a Dutch slave trader in Jakarta and arrived in the Cape Colony on 10 January 1698. </w:t>
      </w:r>
      <w:r>
        <w:t>I</w:t>
      </w:r>
      <w:r w:rsidRPr="00246DA1">
        <w:t>n the Cape, slaves were forbid</w:t>
      </w:r>
      <w:r w:rsidR="007E613D">
        <w:t>den</w:t>
      </w:r>
      <w:r w:rsidRPr="00246DA1">
        <w:t xml:space="preserve"> from playing cards and gambling, but Rangton continued to bet and wager</w:t>
      </w:r>
      <w:r>
        <w:t xml:space="preserve"> illegally</w:t>
      </w:r>
      <w:r w:rsidRPr="00246DA1">
        <w:t xml:space="preserve">. Cockfights </w:t>
      </w:r>
      <w:r>
        <w:t>were also a popular activity</w:t>
      </w:r>
      <w:r w:rsidRPr="00246DA1">
        <w:t xml:space="preserve"> amongst the slaves in the Cape and part of the Sunday routine was to bet on the outcomes, sometimes as much as 50 Rixdollars. It is thought that Balinese slaves brought this pastime over with them as it was common in the </w:t>
      </w:r>
      <w:r>
        <w:t xml:space="preserve">seventeenth </w:t>
      </w:r>
      <w:r w:rsidRPr="00246DA1">
        <w:t xml:space="preserve">century for Balinese kings to hold cockfights and gamble </w:t>
      </w:r>
      <w:r w:rsidR="00A05960" w:rsidRPr="00246DA1">
        <w:t>to</w:t>
      </w:r>
      <w:r w:rsidRPr="00246DA1">
        <w:t xml:space="preserve"> win slaves. Rangton became an emancipated slave and after his death, the inventory of his possessions shows no money, suggesting that gambling was a life-long problem for him.</w:t>
      </w:r>
      <w:r w:rsidRPr="00246DA1">
        <w:rPr>
          <w:rStyle w:val="FootnoteReference"/>
          <w:rFonts w:cs="Times New Roman"/>
          <w:szCs w:val="24"/>
        </w:rPr>
        <w:footnoteReference w:id="7"/>
      </w:r>
    </w:p>
    <w:p w14:paraId="07C2E725" w14:textId="77777777" w:rsidR="002D6C4A" w:rsidRDefault="002D6C4A">
      <w:pPr>
        <w:spacing w:line="259" w:lineRule="auto"/>
        <w:jc w:val="left"/>
      </w:pPr>
      <w:r>
        <w:br w:type="page"/>
      </w:r>
    </w:p>
    <w:p w14:paraId="5B2A1CBA" w14:textId="77777777" w:rsidR="00B52142" w:rsidRDefault="00B52142" w:rsidP="00B52142">
      <w:r>
        <w:lastRenderedPageBreak/>
        <w:t xml:space="preserve">Slave gambling had become a growing problem by the end of the </w:t>
      </w:r>
      <w:r w:rsidR="007E613D">
        <w:t>18th</w:t>
      </w:r>
      <w:r>
        <w:t xml:space="preserve"> century, especially after Fra</w:t>
      </w:r>
      <w:r>
        <w:rPr>
          <w:rFonts w:cs="Times New Roman"/>
        </w:rPr>
        <w:t>ç</w:t>
      </w:r>
      <w:r>
        <w:t xml:space="preserve">ois Duminy, a VOC ship captain and Cape Town resident, complained that slaves were wagering with dice and organising cockfights in his garden. When the slaves were dispersed by officers, they ran through his property. This prompted the VOC to issue a decree that prohibited slaves from gambling in 1794. It read: </w:t>
      </w:r>
    </w:p>
    <w:p w14:paraId="799D04CD" w14:textId="77777777" w:rsidR="00B52142" w:rsidRPr="00246DA1" w:rsidRDefault="00B52142" w:rsidP="00E2285B">
      <w:pPr>
        <w:pStyle w:val="Subtitle"/>
      </w:pPr>
      <w:r>
        <w:t>No slave is allowed to join gamblers either in the houses or in the streets or in any secret places, on pain of being flogged, and if found gambling near the public water pump he will be immediately tied to a pole erected there for the purpose, and flogged by the constables.</w:t>
      </w:r>
      <w:r>
        <w:rPr>
          <w:rStyle w:val="FootnoteReference"/>
        </w:rPr>
        <w:footnoteReference w:id="8"/>
      </w:r>
    </w:p>
    <w:p w14:paraId="17CE28A2" w14:textId="77777777" w:rsidR="00B52142" w:rsidRPr="00246DA1" w:rsidRDefault="00B52142" w:rsidP="00B52142">
      <w:r w:rsidRPr="00246DA1">
        <w:t xml:space="preserve">The British acquired possession of the Cape Colony from the </w:t>
      </w:r>
      <w:r>
        <w:t>VOC</w:t>
      </w:r>
      <w:r w:rsidRPr="00246DA1">
        <w:t xml:space="preserve">, for the second and final time, in 1806. By the middle of the century, a British governor had successfully introduced and secured the popularity of horse racing. Attached to the sport was gambling and the placement of bets. </w:t>
      </w:r>
      <w:r>
        <w:t>Horse racing</w:t>
      </w:r>
      <w:r w:rsidRPr="00246DA1">
        <w:t xml:space="preserve"> took place at the Green Point common and attracted the elite and wealthy </w:t>
      </w:r>
      <w:r w:rsidR="007E613D" w:rsidRPr="00246DA1">
        <w:t>cit</w:t>
      </w:r>
      <w:r w:rsidR="007E613D">
        <w:t>ize</w:t>
      </w:r>
      <w:r w:rsidR="007E613D" w:rsidRPr="00246DA1">
        <w:t>nry</w:t>
      </w:r>
      <w:r w:rsidRPr="00246DA1">
        <w:t xml:space="preserve"> of </w:t>
      </w:r>
      <w:r w:rsidR="007E613D">
        <w:t xml:space="preserve">the </w:t>
      </w:r>
      <w:r w:rsidRPr="00246DA1">
        <w:t>C</w:t>
      </w:r>
      <w:r>
        <w:t>olony</w:t>
      </w:r>
      <w:r w:rsidRPr="00246DA1">
        <w:t>. The presence of nomadic musicians created a jovial ambiance at the races.</w:t>
      </w:r>
      <w:r>
        <w:t xml:space="preserve"> </w:t>
      </w:r>
      <w:r w:rsidRPr="00246DA1">
        <w:t>Other gambling initiatives could be found</w:t>
      </w:r>
      <w:r>
        <w:t xml:space="preserve"> throughout the territory</w:t>
      </w:r>
      <w:r w:rsidRPr="00246DA1">
        <w:t>, with games such as the Wheel of Fortune and ‘pea and thimble’.</w:t>
      </w:r>
      <w:r w:rsidRPr="00246DA1">
        <w:rPr>
          <w:rStyle w:val="FootnoteReference"/>
          <w:rFonts w:cs="Times New Roman"/>
          <w:szCs w:val="24"/>
        </w:rPr>
        <w:footnoteReference w:id="9"/>
      </w:r>
    </w:p>
    <w:p w14:paraId="5AF98194" w14:textId="77777777" w:rsidR="00B52142" w:rsidRDefault="00B52142" w:rsidP="00B52142">
      <w:r w:rsidRPr="00246DA1">
        <w:t xml:space="preserve">Gambling </w:t>
      </w:r>
      <w:r>
        <w:t>also took place</w:t>
      </w:r>
      <w:r w:rsidRPr="00246DA1">
        <w:t xml:space="preserve"> at many of Cape Town’s bars or canteens. In 1834 it was estimated that there were 100 licenced and 300 unlicensed bars in the city, with drinking an evident part of the local culture that long preceded the arrival of the British. Men proved to be </w:t>
      </w:r>
      <w:r w:rsidR="00A05960">
        <w:t>most</w:t>
      </w:r>
      <w:r w:rsidRPr="00246DA1">
        <w:t xml:space="preserve"> </w:t>
      </w:r>
      <w:r w:rsidR="0081332D">
        <w:t xml:space="preserve">of </w:t>
      </w:r>
      <w:r w:rsidRPr="00246DA1">
        <w:t xml:space="preserve">the clientele and </w:t>
      </w:r>
      <w:r>
        <w:t>g</w:t>
      </w:r>
      <w:r w:rsidRPr="00246DA1">
        <w:t>ambling, music</w:t>
      </w:r>
      <w:r w:rsidR="0081332D">
        <w:t>,</w:t>
      </w:r>
      <w:r w:rsidRPr="00246DA1">
        <w:t xml:space="preserve"> and dancing were an integral part of the drinking culture. The streets also provided </w:t>
      </w:r>
      <w:r>
        <w:t>a space</w:t>
      </w:r>
      <w:r w:rsidRPr="00246DA1">
        <w:t xml:space="preserve"> </w:t>
      </w:r>
      <w:r>
        <w:t xml:space="preserve">for </w:t>
      </w:r>
      <w:r w:rsidRPr="00246DA1">
        <w:t>children and young adults</w:t>
      </w:r>
      <w:r>
        <w:t xml:space="preserve"> to gamble</w:t>
      </w:r>
      <w:r w:rsidRPr="00246DA1">
        <w:t>. Male and female youth</w:t>
      </w:r>
      <w:r>
        <w:t>s</w:t>
      </w:r>
      <w:r w:rsidRPr="00246DA1">
        <w:t xml:space="preserve"> took part in the illegal activity, play</w:t>
      </w:r>
      <w:r w:rsidR="00370D23">
        <w:t xml:space="preserve">ing variants of hop-scotch and “pitch and toss” </w:t>
      </w:r>
      <w:r w:rsidRPr="00246DA1">
        <w:t xml:space="preserve">for money. One such game involved the throwing of coins into a hole, the player with the most accurate aim won the pile. In 1862, John Johannes was one of </w:t>
      </w:r>
      <w:r>
        <w:t xml:space="preserve">a </w:t>
      </w:r>
      <w:r w:rsidRPr="00246DA1">
        <w:t xml:space="preserve">group of boys who played cards for 1/2d stakes. </w:t>
      </w:r>
      <w:r w:rsidR="007E613D">
        <w:t>By</w:t>
      </w:r>
      <w:r w:rsidRPr="00246DA1">
        <w:t xml:space="preserve"> the turn of the century</w:t>
      </w:r>
      <w:r w:rsidR="002D6C4A">
        <w:t>,</w:t>
      </w:r>
      <w:r w:rsidRPr="00246DA1">
        <w:t xml:space="preserve"> Cape Town had a reputation for gangs. These men went on to dominate the illegal gambling and drug industries.</w:t>
      </w:r>
      <w:r w:rsidRPr="00246DA1">
        <w:rPr>
          <w:rStyle w:val="FootnoteReference"/>
          <w:rFonts w:cs="Times New Roman"/>
          <w:szCs w:val="24"/>
        </w:rPr>
        <w:footnoteReference w:id="10"/>
      </w:r>
    </w:p>
    <w:p w14:paraId="30ECE37B" w14:textId="77777777" w:rsidR="00B52142" w:rsidRPr="00246DA1" w:rsidRDefault="00B52142" w:rsidP="00B52142">
      <w:r w:rsidRPr="00246DA1">
        <w:t>Gambling in various form</w:t>
      </w:r>
      <w:r>
        <w:t>s</w:t>
      </w:r>
      <w:r w:rsidRPr="00246DA1">
        <w:t xml:space="preserve"> spread to the Witwatersrand </w:t>
      </w:r>
      <w:r>
        <w:t>along with the many</w:t>
      </w:r>
      <w:r w:rsidRPr="00246DA1">
        <w:t xml:space="preserve"> opportunity seekers following the discovery of gold in 1886. However, it was dog racing that beca</w:t>
      </w:r>
      <w:r w:rsidR="007E613D">
        <w:t xml:space="preserve">me especially popular from 1932 to </w:t>
      </w:r>
      <w:r w:rsidRPr="00246DA1">
        <w:t xml:space="preserve">1949. Its popularity grew due to its close location </w:t>
      </w:r>
      <w:r>
        <w:t>to</w:t>
      </w:r>
      <w:r w:rsidRPr="00246DA1">
        <w:t xml:space="preserve"> the city, the relaxed code of dress and </w:t>
      </w:r>
      <w:r w:rsidR="007E613D">
        <w:t xml:space="preserve">the </w:t>
      </w:r>
      <w:r w:rsidRPr="00246DA1">
        <w:t xml:space="preserve">allotment of smaller bets in comparison to horse racing. This was the </w:t>
      </w:r>
      <w:r>
        <w:t>pastime</w:t>
      </w:r>
      <w:r w:rsidRPr="00246DA1">
        <w:t xml:space="preserve"> </w:t>
      </w:r>
      <w:r>
        <w:t>of the working class</w:t>
      </w:r>
      <w:r w:rsidR="002D6C4A">
        <w:t>,</w:t>
      </w:r>
      <w:r>
        <w:t xml:space="preserve"> </w:t>
      </w:r>
      <w:r w:rsidRPr="00246DA1">
        <w:t xml:space="preserve">and the people living on the Witwatersrand </w:t>
      </w:r>
      <w:r w:rsidRPr="00246DA1">
        <w:lastRenderedPageBreak/>
        <w:t>enthusiastically gambled on the results of the races.</w:t>
      </w:r>
      <w:r>
        <w:t xml:space="preserve"> The dog racing space was not frequented by women, with the bets predominantly placed by men.</w:t>
      </w:r>
      <w:r w:rsidRPr="00246DA1">
        <w:t xml:space="preserve"> Tracks were built at Wan</w:t>
      </w:r>
      <w:r w:rsidR="002D6C4A">
        <w:t xml:space="preserve">derers, Wembley and Dunswart, </w:t>
      </w:r>
      <w:r w:rsidRPr="00246DA1">
        <w:t xml:space="preserve">and the style of racing closely resembled that of the original British model developed in north-western England. </w:t>
      </w:r>
      <w:r>
        <w:t xml:space="preserve"> The pastime developed a reputation as tactless and rowdy</w:t>
      </w:r>
      <w:r w:rsidRPr="00246DA1">
        <w:t xml:space="preserve">. Races were held on Friday evenings, carefully planned to coincide with the payment of the men’s weekly wages. Dog racing and </w:t>
      </w:r>
      <w:r>
        <w:t>betting</w:t>
      </w:r>
      <w:r w:rsidRPr="00246DA1">
        <w:t xml:space="preserve"> remained legal </w:t>
      </w:r>
      <w:r w:rsidR="002D6C4A" w:rsidRPr="00246DA1">
        <w:t>if</w:t>
      </w:r>
      <w:r w:rsidRPr="00246DA1">
        <w:t xml:space="preserve"> it took place on the course. However, the popularity of the sport and the vast amounts of money it involved resulted in the introd</w:t>
      </w:r>
      <w:r w:rsidR="000A67CB">
        <w:t>uction of approximately 14 000 “bucket shops”</w:t>
      </w:r>
      <w:r w:rsidRPr="00246DA1">
        <w:t xml:space="preserve"> </w:t>
      </w:r>
      <w:r w:rsidR="007E613D">
        <w:t>in</w:t>
      </w:r>
      <w:r w:rsidRPr="00246DA1">
        <w:t xml:space="preserve"> the Witwatersrand. The shops</w:t>
      </w:r>
      <w:r>
        <w:t xml:space="preserve"> </w:t>
      </w:r>
      <w:r w:rsidRPr="00246DA1">
        <w:t xml:space="preserve">took the illegal bets placed off the course and allowed the poorer punters, who could not attend the races in person, the opportunity to partake in the gambling. Those who gambled on the Witwatersrand race tracks included </w:t>
      </w:r>
      <w:r w:rsidR="007E613D">
        <w:t>‘</w:t>
      </w:r>
      <w:r w:rsidRPr="00246DA1">
        <w:t>the professional</w:t>
      </w:r>
      <w:r w:rsidR="007E613D">
        <w:t>’</w:t>
      </w:r>
      <w:r>
        <w:t>,</w:t>
      </w:r>
      <w:r w:rsidRPr="00246DA1">
        <w:t xml:space="preserve"> who made rigorous calculations before </w:t>
      </w:r>
      <w:r>
        <w:t>placing his bet</w:t>
      </w:r>
      <w:r w:rsidRPr="00246DA1">
        <w:t xml:space="preserve">, </w:t>
      </w:r>
      <w:r w:rsidR="007E613D">
        <w:t>‘</w:t>
      </w:r>
      <w:r w:rsidRPr="00246DA1">
        <w:t>the hobbyist</w:t>
      </w:r>
      <w:r w:rsidR="007E613D">
        <w:t>’</w:t>
      </w:r>
      <w:r>
        <w:t>,</w:t>
      </w:r>
      <w:r w:rsidRPr="00246DA1">
        <w:t xml:space="preserve"> who enjoyed the tracks but did not bet regularly, and </w:t>
      </w:r>
      <w:r w:rsidR="007E613D">
        <w:t>‘</w:t>
      </w:r>
      <w:r w:rsidRPr="00246DA1">
        <w:t>the proletarian</w:t>
      </w:r>
      <w:r w:rsidR="007E613D">
        <w:t>’</w:t>
      </w:r>
      <w:r w:rsidRPr="00246DA1">
        <w:t xml:space="preserve"> gambler</w:t>
      </w:r>
      <w:r>
        <w:t>,</w:t>
      </w:r>
      <w:r w:rsidRPr="00246DA1">
        <w:t xml:space="preserve"> who</w:t>
      </w:r>
      <w:r>
        <w:t>se</w:t>
      </w:r>
      <w:r w:rsidRPr="00246DA1">
        <w:t xml:space="preserve"> income depended on the outcome of the next race.</w:t>
      </w:r>
      <w:r w:rsidRPr="00246DA1">
        <w:rPr>
          <w:rStyle w:val="FootnoteReference"/>
          <w:rFonts w:cs="Times New Roman"/>
          <w:szCs w:val="24"/>
        </w:rPr>
        <w:footnoteReference w:id="11"/>
      </w:r>
    </w:p>
    <w:p w14:paraId="0ADFC1ED" w14:textId="77777777" w:rsidR="00B52142" w:rsidRPr="00246DA1" w:rsidRDefault="00B52142" w:rsidP="00B52142">
      <w:r w:rsidRPr="00246DA1">
        <w:t xml:space="preserve">The lifespan of </w:t>
      </w:r>
      <w:r>
        <w:t>dog racing</w:t>
      </w:r>
      <w:r w:rsidR="002D6C4A">
        <w:t xml:space="preserve"> was not a lengthy one as</w:t>
      </w:r>
      <w:r w:rsidRPr="00246DA1">
        <w:t xml:space="preserve"> by 1949 it was outlawed. </w:t>
      </w:r>
      <w:r w:rsidR="002D6C4A">
        <w:t>T</w:t>
      </w:r>
      <w:r w:rsidRPr="00246DA1">
        <w:t xml:space="preserve">he </w:t>
      </w:r>
      <w:r>
        <w:t>Dutch Reformed</w:t>
      </w:r>
      <w:r w:rsidRPr="00246DA1">
        <w:t xml:space="preserve"> </w:t>
      </w:r>
      <w:r>
        <w:t xml:space="preserve">Church </w:t>
      </w:r>
      <w:r w:rsidRPr="00246DA1">
        <w:t>clergy opposed the</w:t>
      </w:r>
      <w:r>
        <w:t xml:space="preserve"> pastime</w:t>
      </w:r>
      <w:r w:rsidRPr="00246DA1">
        <w:t xml:space="preserve"> </w:t>
      </w:r>
      <w:r>
        <w:t>because of</w:t>
      </w:r>
      <w:r w:rsidRPr="00246DA1">
        <w:t xml:space="preserve"> the purported moral and spiritual degradation of the Afrikaner people. Gambling was not a pastime to be enjoyed by the Calvinistic pious nation. The English Protestant churches joined the Dutch Reformed </w:t>
      </w:r>
      <w:r>
        <w:t>C</w:t>
      </w:r>
      <w:r w:rsidRPr="00246DA1">
        <w:t>hurch</w:t>
      </w:r>
      <w:r>
        <w:t>’s</w:t>
      </w:r>
      <w:r w:rsidRPr="00246DA1">
        <w:t xml:space="preserve"> call for the abolishment of dog racing.</w:t>
      </w:r>
      <w:r w:rsidRPr="00246DA1">
        <w:rPr>
          <w:rStyle w:val="FootnoteReference"/>
          <w:rFonts w:cs="Times New Roman"/>
          <w:szCs w:val="24"/>
        </w:rPr>
        <w:footnoteReference w:id="12"/>
      </w:r>
      <w:r w:rsidRPr="00246DA1">
        <w:t xml:space="preserve"> On 5 June 1947, the United Party caucus decided to </w:t>
      </w:r>
      <w:r>
        <w:t xml:space="preserve">nationally </w:t>
      </w:r>
      <w:r w:rsidRPr="00246DA1">
        <w:t>ban the spo</w:t>
      </w:r>
      <w:r>
        <w:t>rt.</w:t>
      </w:r>
      <w:r w:rsidRPr="00246DA1">
        <w:t xml:space="preserve"> A two</w:t>
      </w:r>
      <w:r>
        <w:t>-</w:t>
      </w:r>
      <w:r w:rsidRPr="00246DA1">
        <w:t xml:space="preserve">year grace period was instituted for companies to make alternate plans and the official prohibition </w:t>
      </w:r>
      <w:r>
        <w:t>came into effect</w:t>
      </w:r>
      <w:r w:rsidRPr="00246DA1">
        <w:t xml:space="preserve"> in 1949.</w:t>
      </w:r>
      <w:r w:rsidRPr="00246DA1">
        <w:rPr>
          <w:rStyle w:val="FootnoteReference"/>
          <w:rFonts w:cs="Times New Roman"/>
          <w:szCs w:val="24"/>
        </w:rPr>
        <w:footnoteReference w:id="13"/>
      </w:r>
    </w:p>
    <w:p w14:paraId="451F4537" w14:textId="77777777" w:rsidR="00B52142" w:rsidRDefault="002D6C4A" w:rsidP="00DB2AA1">
      <w:r>
        <w:t>Further, t</w:t>
      </w:r>
      <w:r w:rsidR="00B52142" w:rsidRPr="00246DA1">
        <w:t xml:space="preserve">he Chinese immigrant population living on the Witwatersrand were known to be involved in illicit activities such as gambling, opium dens and fierce brawls. Gambling was a popular pastime in the clubs which also housed libraries containing Chinese literature. Some </w:t>
      </w:r>
      <w:r w:rsidR="00B52142">
        <w:t xml:space="preserve">Chinese </w:t>
      </w:r>
      <w:r w:rsidR="000A67CB">
        <w:t>migrants made money running fahfee</w:t>
      </w:r>
      <w:r w:rsidR="00B52142" w:rsidRPr="00246DA1">
        <w:t xml:space="preserve"> games. This illegal, informal game of chance involves placing bets on a series of numbers, similar to the lottery. It was brought to South Africa by the Chinese and continues </w:t>
      </w:r>
      <w:r w:rsidR="00B52142">
        <w:t>to be popular in Chinese communities and South African townships</w:t>
      </w:r>
      <w:r w:rsidR="00B52142" w:rsidRPr="00246DA1">
        <w:t>.</w:t>
      </w:r>
      <w:r w:rsidR="00B52142" w:rsidRPr="00246DA1">
        <w:rPr>
          <w:rStyle w:val="FootnoteReference"/>
          <w:rFonts w:cs="Times New Roman"/>
          <w:szCs w:val="24"/>
        </w:rPr>
        <w:footnoteReference w:id="14"/>
      </w:r>
    </w:p>
    <w:p w14:paraId="5BAF1796" w14:textId="77777777" w:rsidR="00FB1927" w:rsidRDefault="006A1DD5" w:rsidP="00B52142">
      <w:pPr>
        <w:pStyle w:val="Heading2"/>
        <w:numPr>
          <w:ilvl w:val="0"/>
          <w:numId w:val="0"/>
        </w:numPr>
        <w:ind w:left="578" w:hanging="578"/>
      </w:pPr>
      <w:bookmarkStart w:id="3" w:name="_Toc488481697"/>
      <w:r w:rsidRPr="00B52142">
        <w:lastRenderedPageBreak/>
        <w:t>Bophuthatswana</w:t>
      </w:r>
      <w:r w:rsidR="00826ABC">
        <w:t>: The Birth of a Non-State</w:t>
      </w:r>
      <w:bookmarkEnd w:id="3"/>
    </w:p>
    <w:p w14:paraId="6728AFB4" w14:textId="77777777" w:rsidR="00226731" w:rsidRDefault="004E528C" w:rsidP="00226731">
      <w:r>
        <w:t>The</w:t>
      </w:r>
      <w:r w:rsidR="00ED2653">
        <w:t xml:space="preserve"> policies of </w:t>
      </w:r>
      <w:r>
        <w:t xml:space="preserve">African </w:t>
      </w:r>
      <w:r w:rsidR="00ED2653">
        <w:t>disenfranchisement were</w:t>
      </w:r>
      <w:r w:rsidR="00D112D3">
        <w:t xml:space="preserve"> first</w:t>
      </w:r>
      <w:r w:rsidR="00ED2653">
        <w:t xml:space="preserve"> established during the</w:t>
      </w:r>
      <w:r w:rsidR="00E61E9B">
        <w:t xml:space="preserve"> colonisation of southern Africa </w:t>
      </w:r>
      <w:r w:rsidR="00514882">
        <w:t>in</w:t>
      </w:r>
      <w:r w:rsidR="00E61E9B">
        <w:t xml:space="preserve"> the 19</w:t>
      </w:r>
      <w:r w:rsidR="00E61E9B" w:rsidRPr="00E61E9B">
        <w:rPr>
          <w:vertAlign w:val="superscript"/>
        </w:rPr>
        <w:t>th</w:t>
      </w:r>
      <w:r w:rsidR="00E61E9B">
        <w:t xml:space="preserve"> and</w:t>
      </w:r>
      <w:r w:rsidR="00514882">
        <w:t xml:space="preserve"> early</w:t>
      </w:r>
      <w:r w:rsidR="00E61E9B">
        <w:t xml:space="preserve"> 20</w:t>
      </w:r>
      <w:r w:rsidR="00E61E9B" w:rsidRPr="00E61E9B">
        <w:rPr>
          <w:vertAlign w:val="superscript"/>
        </w:rPr>
        <w:t>th</w:t>
      </w:r>
      <w:r w:rsidR="00E61E9B">
        <w:t xml:space="preserve"> century</w:t>
      </w:r>
      <w:r w:rsidR="00ED2653">
        <w:t xml:space="preserve">. </w:t>
      </w:r>
      <w:r w:rsidR="00EB7199">
        <w:t>T</w:t>
      </w:r>
      <w:r w:rsidR="00AE7B94">
        <w:t>he Native Land Act No. 27 of 1913</w:t>
      </w:r>
      <w:r w:rsidR="00EB7199">
        <w:t xml:space="preserve"> determined that</w:t>
      </w:r>
      <w:r w:rsidR="00AE7B94">
        <w:t xml:space="preserve"> Africans were unable to own or rent la</w:t>
      </w:r>
      <w:r w:rsidR="002C72BC">
        <w:t>nd that was not located inside</w:t>
      </w:r>
      <w:r w:rsidR="00AE7B94">
        <w:t xml:space="preserve"> designated reserves. These </w:t>
      </w:r>
      <w:r w:rsidR="00EB7199">
        <w:t xml:space="preserve">areas accounted </w:t>
      </w:r>
      <w:r w:rsidR="00514882">
        <w:t xml:space="preserve">for </w:t>
      </w:r>
      <w:r w:rsidR="00EB7199">
        <w:t xml:space="preserve">approximately </w:t>
      </w:r>
      <w:r w:rsidR="00B52142">
        <w:t>7.5</w:t>
      </w:r>
      <w:r w:rsidR="00EB7199">
        <w:t>%</w:t>
      </w:r>
      <w:r w:rsidR="00AE7B94">
        <w:t xml:space="preserve"> of South Africa’s land</w:t>
      </w:r>
      <w:r w:rsidR="00675872">
        <w:t xml:space="preserve">, reserving </w:t>
      </w:r>
      <w:r w:rsidR="00A54F0E">
        <w:t>most</w:t>
      </w:r>
      <w:r w:rsidR="00675872">
        <w:t xml:space="preserve"> of </w:t>
      </w:r>
      <w:r w:rsidR="001B523E">
        <w:t>the land for the white minority</w:t>
      </w:r>
      <w:r w:rsidR="00EB7199">
        <w:t xml:space="preserve">. </w:t>
      </w:r>
      <w:r w:rsidR="001B523E">
        <w:t>The crucial significance of land in determining South Africa’s insistent, race-inscribed</w:t>
      </w:r>
      <w:r w:rsidR="00514882">
        <w:t>,</w:t>
      </w:r>
      <w:r w:rsidR="001B523E">
        <w:t xml:space="preserve"> spatial disparities with landlessness as a burning modern community issue has its roots in the 1913 Land Act</w:t>
      </w:r>
      <w:r w:rsidR="00614232">
        <w:t>. This act</w:t>
      </w:r>
      <w:r w:rsidR="001B523E">
        <w:t xml:space="preserve"> </w:t>
      </w:r>
      <w:r w:rsidR="00514882">
        <w:t xml:space="preserve">confirmed the </w:t>
      </w:r>
      <w:r w:rsidR="001B523E">
        <w:t>landlessness, dispossession and marginality for people of colour in t</w:t>
      </w:r>
      <w:r w:rsidR="00E61E9B">
        <w:t>his country for almost a century. The designated tribal reserves served as building blocks for the demarcation and establishment of the bantustan territories</w:t>
      </w:r>
      <w:r w:rsidR="001B523E">
        <w:t>.</w:t>
      </w:r>
      <w:r w:rsidR="00F074B9" w:rsidRPr="00F074B9">
        <w:rPr>
          <w:rStyle w:val="FootnoteReference"/>
        </w:rPr>
        <w:t xml:space="preserve"> </w:t>
      </w:r>
      <w:r w:rsidR="00F074B9">
        <w:rPr>
          <w:rStyle w:val="FootnoteReference"/>
        </w:rPr>
        <w:footnoteReference w:id="15"/>
      </w:r>
      <w:r w:rsidR="001B523E">
        <w:t xml:space="preserve"> </w:t>
      </w:r>
      <w:r w:rsidR="00226731">
        <w:t xml:space="preserve">Sol Plaatjie, a </w:t>
      </w:r>
      <w:r w:rsidR="00EB7199">
        <w:t xml:space="preserve">black </w:t>
      </w:r>
      <w:r w:rsidR="00226731">
        <w:t xml:space="preserve">South African journalist and intellectual, </w:t>
      </w:r>
      <w:r w:rsidR="00F074B9">
        <w:t xml:space="preserve">famously </w:t>
      </w:r>
      <w:r w:rsidR="00226731">
        <w:t xml:space="preserve">wrote that to be black </w:t>
      </w:r>
      <w:r w:rsidR="00F074B9">
        <w:t xml:space="preserve">in South Africa </w:t>
      </w:r>
      <w:r w:rsidR="00226731">
        <w:t xml:space="preserve">was “not actually </w:t>
      </w:r>
      <w:r w:rsidR="00F074B9">
        <w:t xml:space="preserve">to </w:t>
      </w:r>
      <w:r w:rsidR="00226731">
        <w:t>be a slave, but a pariah in the land of his birth”. The entrenchment of legal separatism based on race had officially begun in South Africa.</w:t>
      </w:r>
      <w:r w:rsidR="00226731">
        <w:rPr>
          <w:rStyle w:val="FootnoteReference"/>
        </w:rPr>
        <w:footnoteReference w:id="16"/>
      </w:r>
    </w:p>
    <w:p w14:paraId="1EE980E8" w14:textId="77777777" w:rsidR="004411B3" w:rsidRDefault="009E191F" w:rsidP="00226731">
      <w:r>
        <w:t>The 1927 Native Administration A</w:t>
      </w:r>
      <w:r w:rsidR="004411B3">
        <w:t>ct and the 1936 Native Trust and Land Act furthered the disenfranchisement of African</w:t>
      </w:r>
      <w:r w:rsidR="007E613D">
        <w:t xml:space="preserve">s </w:t>
      </w:r>
      <w:r w:rsidR="004411B3">
        <w:t>and increased racial segregation. The 1927 Native Administration Act provided tribal leaders with increased power, whilst the 1936 Native Trust and Land Act</w:t>
      </w:r>
      <w:r>
        <w:t xml:space="preserve"> provided the reserves with increased land </w:t>
      </w:r>
      <w:r w:rsidR="00A54F0E">
        <w:t>to</w:t>
      </w:r>
      <w:r>
        <w:t xml:space="preserve"> promote economic and agricultural viability, whilst simultaneously reducing black </w:t>
      </w:r>
      <w:r w:rsidR="00FF2DCE">
        <w:t>individual</w:t>
      </w:r>
      <w:r>
        <w:t xml:space="preserve"> rights outside of the tribal reserves.</w:t>
      </w:r>
      <w:r>
        <w:rPr>
          <w:rStyle w:val="FootnoteReference"/>
        </w:rPr>
        <w:footnoteReference w:id="17"/>
      </w:r>
    </w:p>
    <w:p w14:paraId="7F030910" w14:textId="77777777" w:rsidR="00ED2653" w:rsidRDefault="002C72BC" w:rsidP="00DD31BD">
      <w:r>
        <w:t xml:space="preserve">The year </w:t>
      </w:r>
      <w:r w:rsidR="009350E0">
        <w:t xml:space="preserve">1948 </w:t>
      </w:r>
      <w:r w:rsidR="007E613D">
        <w:t>saw</w:t>
      </w:r>
      <w:r w:rsidR="009350E0">
        <w:t xml:space="preserve"> the </w:t>
      </w:r>
      <w:r w:rsidR="00F95719">
        <w:t>election of the NP</w:t>
      </w:r>
      <w:r w:rsidR="00A65B51">
        <w:t xml:space="preserve"> into</w:t>
      </w:r>
      <w:r w:rsidR="009350E0">
        <w:t xml:space="preserve"> </w:t>
      </w:r>
      <w:r w:rsidR="00CE36D9">
        <w:t xml:space="preserve">power. </w:t>
      </w:r>
      <w:r w:rsidR="007E613D">
        <w:t>T</w:t>
      </w:r>
      <w:r w:rsidR="009350E0">
        <w:t xml:space="preserve">he rapid promulgation of </w:t>
      </w:r>
      <w:r w:rsidR="00A65B51">
        <w:t xml:space="preserve">racist laws and acts entrenched the </w:t>
      </w:r>
      <w:r w:rsidR="00F95719">
        <w:t xml:space="preserve">policy of racial segregation </w:t>
      </w:r>
      <w:r w:rsidR="00A65B51">
        <w:t xml:space="preserve">which </w:t>
      </w:r>
      <w:r w:rsidR="00F248E2">
        <w:t>became</w:t>
      </w:r>
      <w:r w:rsidR="00564A7C">
        <w:t xml:space="preserve"> known as apartheid.</w:t>
      </w:r>
      <w:r w:rsidR="00DD31BD" w:rsidRPr="00DD31BD">
        <w:t xml:space="preserve"> </w:t>
      </w:r>
      <w:r w:rsidR="00ED2653">
        <w:t xml:space="preserve">Three key laws were passed in 1950 which sought to create a segregationist state. The Population Registration Act assigned </w:t>
      </w:r>
      <w:r w:rsidR="00E86F93">
        <w:t>citizens</w:t>
      </w:r>
      <w:r w:rsidR="00ED2653">
        <w:t xml:space="preserve"> to one of four races: white, Indian, Coloured and African</w:t>
      </w:r>
      <w:r w:rsidR="007637B4">
        <w:t>. African populations</w:t>
      </w:r>
      <w:r w:rsidR="00ED2653">
        <w:t xml:space="preserve"> were fur</w:t>
      </w:r>
      <w:r w:rsidR="007637B4">
        <w:t>ther divided along tribal lines</w:t>
      </w:r>
      <w:r w:rsidR="00ED2653">
        <w:t xml:space="preserve">.  The Immorality Act prohibited </w:t>
      </w:r>
      <w:r w:rsidR="00BF028B">
        <w:lastRenderedPageBreak/>
        <w:t>sex</w:t>
      </w:r>
      <w:r w:rsidR="00ED2653">
        <w:t xml:space="preserve"> between the races and the Group Areas Act consigned South Africans </w:t>
      </w:r>
      <w:r w:rsidR="001A523E">
        <w:t>to</w:t>
      </w:r>
      <w:r w:rsidR="00ED2653">
        <w:t xml:space="preserve"> designated residential areas based on their racial grouping.</w:t>
      </w:r>
      <w:r w:rsidR="00ED2653">
        <w:rPr>
          <w:rStyle w:val="FootnoteReference"/>
        </w:rPr>
        <w:footnoteReference w:id="18"/>
      </w:r>
      <w:r w:rsidR="00ED2653">
        <w:t xml:space="preserve"> </w:t>
      </w:r>
    </w:p>
    <w:p w14:paraId="327FA146" w14:textId="77777777" w:rsidR="00DF2F01" w:rsidRPr="0093162D" w:rsidRDefault="0002167D" w:rsidP="00DF2F01">
      <w:r>
        <w:t xml:space="preserve">The process of implementing the policies of </w:t>
      </w:r>
      <w:r w:rsidR="000A67CB">
        <w:t>“</w:t>
      </w:r>
      <w:r w:rsidR="007637B4">
        <w:t>grand a</w:t>
      </w:r>
      <w:r>
        <w:t>partheid</w:t>
      </w:r>
      <w:r w:rsidR="000A67CB">
        <w:t>”</w:t>
      </w:r>
      <w:r>
        <w:t xml:space="preserve"> was developed slowly, with a variety of </w:t>
      </w:r>
      <w:r w:rsidR="00C313B3">
        <w:t xml:space="preserve">fragmented </w:t>
      </w:r>
      <w:r>
        <w:t>laws passed over time to implement racial segregation</w:t>
      </w:r>
      <w:r w:rsidR="007637B4">
        <w:t xml:space="preserve">. </w:t>
      </w:r>
      <w:r>
        <w:t xml:space="preserve">This was done by first </w:t>
      </w:r>
      <w:r w:rsidR="007637B4">
        <w:t>consolidating</w:t>
      </w:r>
      <w:r>
        <w:t xml:space="preserve"> the tribal reserves and then later providing the imagined territories with self-governance. </w:t>
      </w:r>
      <w:r w:rsidR="002764E5">
        <w:t xml:space="preserve">The Bantu Authorities Act of 1951 </w:t>
      </w:r>
      <w:r>
        <w:t>provided traditional tribal authorities with power within the tribal reserves of South Africa</w:t>
      </w:r>
      <w:r w:rsidR="007637B4">
        <w:t xml:space="preserve"> and made them salaried employees of the NP government</w:t>
      </w:r>
      <w:r w:rsidRPr="0054085A">
        <w:t>. It was the original piece of l</w:t>
      </w:r>
      <w:r w:rsidR="007637B4">
        <w:t>egislation that provided legal basis</w:t>
      </w:r>
      <w:r w:rsidRPr="0054085A">
        <w:t xml:space="preserve"> for the establishment of the bantustans</w:t>
      </w:r>
      <w:r>
        <w:t xml:space="preserve"> and allowed the NP to start the process for the designation of ten bantustans</w:t>
      </w:r>
      <w:r w:rsidR="00286A38">
        <w:t xml:space="preserve"> through a series of further policy changes. </w:t>
      </w:r>
      <w:r>
        <w:t xml:space="preserve">The act </w:t>
      </w:r>
      <w:r w:rsidR="002764E5">
        <w:t>was implemented under the leaders</w:t>
      </w:r>
      <w:r>
        <w:t xml:space="preserve">hip of </w:t>
      </w:r>
      <w:r w:rsidR="007637B4">
        <w:t xml:space="preserve">the then </w:t>
      </w:r>
      <w:r>
        <w:t>Native Affairs Minister,</w:t>
      </w:r>
      <w:r w:rsidR="007A66F2">
        <w:t xml:space="preserve"> </w:t>
      </w:r>
      <w:r w:rsidR="002764E5">
        <w:t xml:space="preserve">Dr H.F. Verwoed. </w:t>
      </w:r>
      <w:r>
        <w:t xml:space="preserve">It </w:t>
      </w:r>
      <w:r w:rsidR="007637B4">
        <w:t>deprived</w:t>
      </w:r>
      <w:r>
        <w:t xml:space="preserve"> black individuals of South African </w:t>
      </w:r>
      <w:r w:rsidR="00A54F0E">
        <w:t>citizenship</w:t>
      </w:r>
      <w:r>
        <w:t xml:space="preserve"> and separa</w:t>
      </w:r>
      <w:r w:rsidR="007637B4">
        <w:t>ted</w:t>
      </w:r>
      <w:r>
        <w:t xml:space="preserve"> them </w:t>
      </w:r>
      <w:r w:rsidR="002764E5">
        <w:t>into false nationalities that consisted of fragmented pieces of land</w:t>
      </w:r>
      <w:r w:rsidR="002764E5">
        <w:rPr>
          <w:rFonts w:ascii="Arial" w:hAnsi="Arial" w:cs="Arial"/>
          <w:color w:val="333333"/>
          <w:sz w:val="21"/>
          <w:szCs w:val="21"/>
          <w:shd w:val="clear" w:color="auto" w:fill="FFFFFF"/>
        </w:rPr>
        <w:t>.</w:t>
      </w:r>
      <w:r w:rsidR="002764E5">
        <w:rPr>
          <w:rStyle w:val="FootnoteReference"/>
        </w:rPr>
        <w:footnoteReference w:id="19"/>
      </w:r>
      <w:r w:rsidR="00DF2F01">
        <w:rPr>
          <w:rFonts w:ascii="Arial" w:hAnsi="Arial" w:cs="Arial"/>
          <w:color w:val="333333"/>
          <w:sz w:val="21"/>
          <w:szCs w:val="21"/>
          <w:shd w:val="clear" w:color="auto" w:fill="FFFFFF"/>
        </w:rPr>
        <w:t xml:space="preserve"> </w:t>
      </w:r>
      <w:r w:rsidR="007637B4">
        <w:t xml:space="preserve">Bophuthatswana </w:t>
      </w:r>
      <w:r w:rsidR="00A54F0E">
        <w:t xml:space="preserve">specifically </w:t>
      </w:r>
      <w:r w:rsidR="007637B4">
        <w:t>consisted of</w:t>
      </w:r>
      <w:r w:rsidR="00DF2F01">
        <w:t xml:space="preserve"> twelve districts in seven separate blocks of</w:t>
      </w:r>
      <w:r w:rsidR="00F203AF">
        <w:t xml:space="preserve"> land, split up by</w:t>
      </w:r>
      <w:r w:rsidR="007637B4">
        <w:t xml:space="preserve"> white</w:t>
      </w:r>
      <w:r w:rsidR="00F203AF">
        <w:t xml:space="preserve"> </w:t>
      </w:r>
      <w:r w:rsidR="000A67CB">
        <w:t>“</w:t>
      </w:r>
      <w:r w:rsidR="00F203AF">
        <w:t>South Africa</w:t>
      </w:r>
      <w:r w:rsidR="000A67CB">
        <w:t>”</w:t>
      </w:r>
      <w:r w:rsidR="007637B4">
        <w:t>. Its territories</w:t>
      </w:r>
      <w:r w:rsidR="00F203AF">
        <w:t xml:space="preserve"> could neve</w:t>
      </w:r>
      <w:r w:rsidR="000A67CB">
        <w:t>r constitute a unified “nation”</w:t>
      </w:r>
      <w:r w:rsidR="00FD64F3">
        <w:t xml:space="preserve"> (refer to Figure 1).</w:t>
      </w:r>
    </w:p>
    <w:p w14:paraId="655ADB03" w14:textId="77777777" w:rsidR="002764E5" w:rsidRDefault="00DB2AA1" w:rsidP="00DF2F01">
      <w:pPr>
        <w:rPr>
          <w:rFonts w:ascii="Arial" w:hAnsi="Arial" w:cs="Arial"/>
          <w:color w:val="333333"/>
          <w:sz w:val="21"/>
          <w:szCs w:val="21"/>
          <w:shd w:val="clear" w:color="auto" w:fill="FFFFFF"/>
        </w:rPr>
      </w:pPr>
      <w:r w:rsidRPr="008A35A7">
        <w:rPr>
          <w:noProof/>
          <w:color w:val="FF0000"/>
          <w:lang w:val="en-ZA" w:eastAsia="en-ZA"/>
        </w:rPr>
        <w:drawing>
          <wp:anchor distT="0" distB="0" distL="114300" distR="114300" simplePos="0" relativeHeight="251650048" behindDoc="1" locked="0" layoutInCell="1" allowOverlap="1" wp14:anchorId="0A993E17" wp14:editId="33EFBAF8">
            <wp:simplePos x="0" y="0"/>
            <wp:positionH relativeFrom="margin">
              <wp:posOffset>1339215</wp:posOffset>
            </wp:positionH>
            <wp:positionV relativeFrom="paragraph">
              <wp:posOffset>36830</wp:posOffset>
            </wp:positionV>
            <wp:extent cx="3413760" cy="2781300"/>
            <wp:effectExtent l="0" t="0" r="0" b="0"/>
            <wp:wrapTight wrapText="bothSides">
              <wp:wrapPolygon edited="0">
                <wp:start x="0" y="0"/>
                <wp:lineTo x="0" y="21452"/>
                <wp:lineTo x="21455" y="21452"/>
                <wp:lineTo x="21455" y="0"/>
                <wp:lineTo x="0" y="0"/>
              </wp:wrapPolygon>
            </wp:wrapTight>
            <wp:docPr id="3" name="Picture 3" descr="C:\Users\Nicola van der Merwe\Documents\Masters\Articles\129967-050-7590836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icola van der Merwe\Documents\Masters\Articles\129967-050-75908369.gif"/>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13760" cy="2781300"/>
                    </a:xfrm>
                    <a:prstGeom prst="rect">
                      <a:avLst/>
                    </a:prstGeom>
                    <a:noFill/>
                    <a:ln>
                      <a:noFill/>
                    </a:ln>
                  </pic:spPr>
                </pic:pic>
              </a:graphicData>
            </a:graphic>
          </wp:anchor>
        </w:drawing>
      </w:r>
    </w:p>
    <w:p w14:paraId="6990E119" w14:textId="77777777" w:rsidR="002764E5" w:rsidRDefault="002764E5" w:rsidP="002764E5">
      <w:r>
        <w:t xml:space="preserve"> </w:t>
      </w:r>
    </w:p>
    <w:p w14:paraId="76186235" w14:textId="77777777" w:rsidR="002764E5" w:rsidRDefault="002764E5" w:rsidP="002764E5"/>
    <w:p w14:paraId="207C7B33" w14:textId="77777777" w:rsidR="002764E5" w:rsidRDefault="002764E5" w:rsidP="002764E5"/>
    <w:p w14:paraId="628F1563" w14:textId="77777777" w:rsidR="002764E5" w:rsidRDefault="002764E5" w:rsidP="002764E5"/>
    <w:p w14:paraId="26346A35" w14:textId="77777777" w:rsidR="002764E5" w:rsidRDefault="002764E5" w:rsidP="002764E5"/>
    <w:p w14:paraId="43DB34AB" w14:textId="77777777" w:rsidR="002764E5" w:rsidRDefault="002764E5" w:rsidP="002764E5"/>
    <w:p w14:paraId="4B804D8D" w14:textId="77777777" w:rsidR="002764E5" w:rsidRDefault="002764E5" w:rsidP="002764E5"/>
    <w:p w14:paraId="142BF45D" w14:textId="77777777" w:rsidR="00DB2AA1" w:rsidRDefault="00DB2AA1" w:rsidP="002764E5">
      <w:pPr>
        <w:pStyle w:val="NoSpacing"/>
        <w:jc w:val="center"/>
        <w:rPr>
          <w:sz w:val="24"/>
        </w:rPr>
      </w:pPr>
    </w:p>
    <w:p w14:paraId="754A5AF7" w14:textId="77777777" w:rsidR="001E600F" w:rsidRDefault="001E600F" w:rsidP="001E600F">
      <w:pPr>
        <w:pStyle w:val="NoSpacing"/>
        <w:jc w:val="center"/>
        <w:rPr>
          <w:i/>
          <w:iCs/>
          <w:shd w:val="clear" w:color="auto" w:fill="FFFFFF"/>
        </w:rPr>
      </w:pPr>
      <w:r>
        <w:rPr>
          <w:iCs/>
          <w:shd w:val="clear" w:color="auto" w:fill="FFFFFF"/>
        </w:rPr>
        <w:t xml:space="preserve">Figure 1: </w:t>
      </w:r>
      <w:r w:rsidR="002764E5">
        <w:rPr>
          <w:i/>
          <w:iCs/>
          <w:shd w:val="clear" w:color="auto" w:fill="FFFFFF"/>
        </w:rPr>
        <w:t>South Africa: homeland</w:t>
      </w:r>
      <w:r>
        <w:rPr>
          <w:i/>
          <w:iCs/>
          <w:shd w:val="clear" w:color="auto" w:fill="FFFFFF"/>
        </w:rPr>
        <w:t>s</w:t>
      </w:r>
    </w:p>
    <w:p w14:paraId="4090A500" w14:textId="77777777" w:rsidR="002764E5" w:rsidRPr="001E600F" w:rsidRDefault="001E600F" w:rsidP="001E600F">
      <w:pPr>
        <w:pStyle w:val="NoSpacing"/>
        <w:spacing w:after="120"/>
        <w:jc w:val="center"/>
        <w:rPr>
          <w:i/>
          <w:iCs/>
          <w:shd w:val="clear" w:color="auto" w:fill="FFFFFF"/>
        </w:rPr>
      </w:pPr>
      <w:r>
        <w:rPr>
          <w:iCs/>
          <w:shd w:val="clear" w:color="auto" w:fill="FFFFFF"/>
        </w:rPr>
        <w:t>[Source:</w:t>
      </w:r>
      <w:r w:rsidR="002764E5">
        <w:rPr>
          <w:shd w:val="clear" w:color="auto" w:fill="FFFFFF"/>
        </w:rPr>
        <w:t xml:space="preserve"> </w:t>
      </w:r>
      <w:r w:rsidR="002764E5">
        <w:rPr>
          <w:i/>
          <w:iCs/>
          <w:shd w:val="clear" w:color="auto" w:fill="FFFFFF"/>
        </w:rPr>
        <w:t>Britannica Online</w:t>
      </w:r>
      <w:r>
        <w:rPr>
          <w:shd w:val="clear" w:color="auto" w:fill="FFFFFF"/>
        </w:rPr>
        <w:t xml:space="preserve"> </w:t>
      </w:r>
      <w:hyperlink r:id="rId12" w:history="1">
        <w:r w:rsidR="002764E5" w:rsidRPr="001E600F">
          <w:t>http://kids.britannica.com/elementary/art-179878</w:t>
        </w:r>
      </w:hyperlink>
      <w:r w:rsidRPr="001E600F">
        <w:t>]</w:t>
      </w:r>
    </w:p>
    <w:p w14:paraId="0816C0CD" w14:textId="77777777" w:rsidR="00A54F0E" w:rsidRDefault="00A54F0E" w:rsidP="002764E5"/>
    <w:p w14:paraId="6BEF3D1B" w14:textId="77777777" w:rsidR="002764E5" w:rsidRDefault="00A54F0E" w:rsidP="002764E5">
      <w:r>
        <w:lastRenderedPageBreak/>
        <w:t>Per</w:t>
      </w:r>
      <w:r w:rsidR="002764E5">
        <w:t xml:space="preserve"> Davenport</w:t>
      </w:r>
      <w:r w:rsidR="00EF4FAF">
        <w:t>,</w:t>
      </w:r>
      <w:r w:rsidR="002764E5">
        <w:t xml:space="preserve"> the creation of the bantustans</w:t>
      </w:r>
    </w:p>
    <w:p w14:paraId="54081D55" w14:textId="77777777" w:rsidR="00286A38" w:rsidRPr="00286A38" w:rsidRDefault="007637B4" w:rsidP="00286A38">
      <w:pPr>
        <w:pStyle w:val="Subtitle"/>
      </w:pPr>
      <w:r>
        <w:t>[was</w:t>
      </w:r>
      <w:r w:rsidR="002764E5">
        <w:t>]</w:t>
      </w:r>
      <w:r w:rsidR="002764E5" w:rsidRPr="0054085A">
        <w:t xml:space="preserve"> an attempt to restructure the government of the reserves on more traditional lines, but in practice came to mean the establishment of a system of indirect rule through the medium of subservient and sometimes well-rewarded chiefs, chosen for their preparedness to enforce government policy at the </w:t>
      </w:r>
      <w:r w:rsidR="002764E5">
        <w:t>expense of their own popularity.</w:t>
      </w:r>
      <w:r w:rsidR="002764E5">
        <w:rPr>
          <w:rStyle w:val="FootnoteReference"/>
        </w:rPr>
        <w:footnoteReference w:id="20"/>
      </w:r>
    </w:p>
    <w:p w14:paraId="565A2EB4" w14:textId="77777777" w:rsidR="00F96822" w:rsidRDefault="0054085A" w:rsidP="00F96822">
      <w:r>
        <w:t>T</w:t>
      </w:r>
      <w:r w:rsidR="002764E5">
        <w:t>he homeland policy w</w:t>
      </w:r>
      <w:r>
        <w:t>as further</w:t>
      </w:r>
      <w:r w:rsidR="008D1876">
        <w:t xml:space="preserve"> enforced under t</w:t>
      </w:r>
      <w:r w:rsidR="008D1876" w:rsidRPr="00226731">
        <w:t>he</w:t>
      </w:r>
      <w:r w:rsidR="008D1876" w:rsidRPr="00226731">
        <w:rPr>
          <w:rStyle w:val="apple-converted-space"/>
          <w:rFonts w:ascii="Helvetica" w:hAnsi="Helvetica" w:cs="Helvetica"/>
          <w:color w:val="191919"/>
        </w:rPr>
        <w:t> </w:t>
      </w:r>
      <w:r w:rsidR="005A516C" w:rsidRPr="005A516C">
        <w:t>Promotion of Bantu Self-Government Act No 46</w:t>
      </w:r>
      <w:r w:rsidR="005A516C">
        <w:t xml:space="preserve"> of 1959, which sought to establish eight distinct </w:t>
      </w:r>
      <w:r w:rsidR="000A67CB">
        <w:t>“</w:t>
      </w:r>
      <w:r w:rsidR="00DC50C1">
        <w:t>B</w:t>
      </w:r>
      <w:r w:rsidR="005A516C">
        <w:t>antu areas</w:t>
      </w:r>
      <w:r w:rsidR="000A67CB">
        <w:t>”</w:t>
      </w:r>
      <w:r w:rsidR="005A516C">
        <w:t xml:space="preserve"> from</w:t>
      </w:r>
      <w:r w:rsidR="00F2410A">
        <w:t xml:space="preserve"> the</w:t>
      </w:r>
      <w:r w:rsidR="005A516C">
        <w:t xml:space="preserve"> existing reserves. These bantustans were granted a degree of self-government with the aim of eventual independence.</w:t>
      </w:r>
      <w:r w:rsidR="005A516C">
        <w:rPr>
          <w:rStyle w:val="FootnoteReference"/>
        </w:rPr>
        <w:footnoteReference w:id="21"/>
      </w:r>
      <w:r w:rsidR="005A516C">
        <w:t xml:space="preserve"> The </w:t>
      </w:r>
      <w:r w:rsidR="008D1876" w:rsidRPr="00226731">
        <w:rPr>
          <w:bCs/>
          <w:bdr w:val="none" w:sz="0" w:space="0" w:color="auto" w:frame="1"/>
        </w:rPr>
        <w:t xml:space="preserve">Bantu Homelands </w:t>
      </w:r>
      <w:r w:rsidR="007637B4" w:rsidRPr="00226731">
        <w:rPr>
          <w:bCs/>
          <w:bdr w:val="none" w:sz="0" w:space="0" w:color="auto" w:frame="1"/>
        </w:rPr>
        <w:t>Cit</w:t>
      </w:r>
      <w:r w:rsidR="007637B4">
        <w:rPr>
          <w:bCs/>
          <w:bdr w:val="none" w:sz="0" w:space="0" w:color="auto" w:frame="1"/>
        </w:rPr>
        <w:t>ize</w:t>
      </w:r>
      <w:r w:rsidR="007637B4" w:rsidRPr="00226731">
        <w:rPr>
          <w:bCs/>
          <w:bdr w:val="none" w:sz="0" w:space="0" w:color="auto" w:frame="1"/>
        </w:rPr>
        <w:t>nship</w:t>
      </w:r>
      <w:r w:rsidR="008D1876" w:rsidRPr="00226731">
        <w:rPr>
          <w:bCs/>
          <w:bdr w:val="none" w:sz="0" w:space="0" w:color="auto" w:frame="1"/>
        </w:rPr>
        <w:t xml:space="preserve"> Act No</w:t>
      </w:r>
      <w:r w:rsidR="008D1876">
        <w:rPr>
          <w:bCs/>
          <w:bdr w:val="none" w:sz="0" w:space="0" w:color="auto" w:frame="1"/>
        </w:rPr>
        <w:t>.</w:t>
      </w:r>
      <w:r w:rsidR="008D1876" w:rsidRPr="00226731">
        <w:rPr>
          <w:bCs/>
          <w:bdr w:val="none" w:sz="0" w:space="0" w:color="auto" w:frame="1"/>
        </w:rPr>
        <w:t xml:space="preserve"> 26 of 1970</w:t>
      </w:r>
      <w:r w:rsidR="008D1876">
        <w:rPr>
          <w:bCs/>
          <w:bdr w:val="none" w:sz="0" w:space="0" w:color="auto" w:frame="1"/>
        </w:rPr>
        <w:t xml:space="preserve"> </w:t>
      </w:r>
      <w:r w:rsidR="008D1876" w:rsidRPr="00226731">
        <w:t>r</w:t>
      </w:r>
      <w:r w:rsidR="008D1876">
        <w:t>equired that all South African b</w:t>
      </w:r>
      <w:r w:rsidR="005A516C">
        <w:t xml:space="preserve">lack </w:t>
      </w:r>
      <w:r w:rsidR="007637B4">
        <w:t>citizens</w:t>
      </w:r>
      <w:r w:rsidR="008D1876" w:rsidRPr="00226731">
        <w:t xml:space="preserve"> become </w:t>
      </w:r>
      <w:r w:rsidR="007637B4" w:rsidRPr="00226731">
        <w:t>cit</w:t>
      </w:r>
      <w:r w:rsidR="007637B4">
        <w:t>ize</w:t>
      </w:r>
      <w:r w:rsidR="007637B4" w:rsidRPr="00226731">
        <w:t>ns</w:t>
      </w:r>
      <w:r w:rsidR="008D1876" w:rsidRPr="00226731">
        <w:t xml:space="preserve"> of one of the </w:t>
      </w:r>
      <w:r w:rsidR="00DC50C1">
        <w:t>bantustans</w:t>
      </w:r>
      <w:r w:rsidR="002764E5">
        <w:t>.</w:t>
      </w:r>
      <w:r w:rsidR="00F2410A">
        <w:t xml:space="preserve"> The following year, the </w:t>
      </w:r>
      <w:r w:rsidR="00B44D82">
        <w:t>NP</w:t>
      </w:r>
      <w:r w:rsidR="00F2410A">
        <w:t xml:space="preserve"> implemented the Bantu Homelands Constitution Act, No. 21 of 1971. This gave South Africa the authority to grant independence to any</w:t>
      </w:r>
      <w:r w:rsidR="007637B4">
        <w:t xml:space="preserve"> of the</w:t>
      </w:r>
      <w:r w:rsidR="00F2410A">
        <w:t xml:space="preserve"> bantustans.</w:t>
      </w:r>
      <w:r w:rsidR="00DF2F01">
        <w:t xml:space="preserve"> </w:t>
      </w:r>
      <w:r w:rsidR="002764E5">
        <w:t>The Promotion of Bantu Self-Government</w:t>
      </w:r>
      <w:r w:rsidR="00EF4FAF">
        <w:t xml:space="preserve"> Act</w:t>
      </w:r>
      <w:r w:rsidR="001E600F">
        <w:t xml:space="preserve"> of 1959</w:t>
      </w:r>
      <w:r w:rsidR="002764E5">
        <w:t xml:space="preserve"> pr</w:t>
      </w:r>
      <w:r w:rsidR="002764E5" w:rsidRPr="000B5B8B">
        <w:t xml:space="preserve">ovided for the self-governance of Bophuthatswana in 1972 and the Bantu Homeland Constitution Act </w:t>
      </w:r>
      <w:r w:rsidR="007C4731" w:rsidRPr="000B5B8B">
        <w:t xml:space="preserve">granted independence to </w:t>
      </w:r>
      <w:r w:rsidR="002764E5" w:rsidRPr="000B5B8B">
        <w:t>Bophuthatswana</w:t>
      </w:r>
      <w:r w:rsidR="007C4731" w:rsidRPr="000B5B8B">
        <w:t xml:space="preserve"> in 1977</w:t>
      </w:r>
      <w:r w:rsidR="00DF2F01" w:rsidRPr="000B5B8B">
        <w:t>.</w:t>
      </w:r>
    </w:p>
    <w:p w14:paraId="5CBE8DA6" w14:textId="77777777" w:rsidR="00F96822" w:rsidRDefault="007637B4" w:rsidP="00CF58CD">
      <w:r w:rsidRPr="000B5B8B">
        <w:t>Th</w:t>
      </w:r>
      <w:r w:rsidR="00A54F0E" w:rsidRPr="000B5B8B">
        <w:t>e th</w:t>
      </w:r>
      <w:r w:rsidRPr="000B5B8B">
        <w:t>ree</w:t>
      </w:r>
      <w:r w:rsidR="00DF2F01" w:rsidRPr="000B5B8B">
        <w:t xml:space="preserve"> homelands</w:t>
      </w:r>
      <w:r w:rsidR="00A54F0E" w:rsidRPr="000B5B8B">
        <w:t xml:space="preserve"> of</w:t>
      </w:r>
      <w:r w:rsidR="00DF2F01" w:rsidRPr="000B5B8B">
        <w:t xml:space="preserve"> Transkei, Ciskei and Venda were granted independence</w:t>
      </w:r>
      <w:r w:rsidR="00A54F0E" w:rsidRPr="000B5B8B">
        <w:t xml:space="preserve"> in 1976</w:t>
      </w:r>
      <w:r w:rsidR="00DF2F01" w:rsidRPr="000B5B8B">
        <w:t xml:space="preserve">, </w:t>
      </w:r>
      <w:r w:rsidR="00A54F0E" w:rsidRPr="000B5B8B">
        <w:t>1980 and 1979, respectively. T</w:t>
      </w:r>
      <w:r w:rsidR="00DF2F01" w:rsidRPr="000B5B8B">
        <w:t>he remaining territories received self-rule.</w:t>
      </w:r>
      <w:r w:rsidR="00DF2F01" w:rsidRPr="000B5B8B">
        <w:rPr>
          <w:rStyle w:val="FootnoteReference"/>
        </w:rPr>
        <w:footnoteReference w:id="22"/>
      </w:r>
      <w:r w:rsidR="00F203AF" w:rsidRPr="000B5B8B">
        <w:t xml:space="preserve"> </w:t>
      </w:r>
      <w:r w:rsidR="000B5B8B" w:rsidRPr="000B5B8B">
        <w:t xml:space="preserve">The four quasi-independent homelands were collectively referred to as the TVBC states – Transkei, Venda, Bophuthatswana and Ciskei. </w:t>
      </w:r>
      <w:r w:rsidR="00F96822">
        <w:t>Transkei was the first TVBC state to receive independence, Roger Southall wrote in 1983</w:t>
      </w:r>
    </w:p>
    <w:p w14:paraId="154D067A" w14:textId="77777777" w:rsidR="007D582E" w:rsidRDefault="007D582E" w:rsidP="007D582E">
      <w:pPr>
        <w:pStyle w:val="Subtitle"/>
      </w:pPr>
      <w:r>
        <w:t xml:space="preserve">Both the Opposition United and Progressive-Reform Parties objected to the entire concept of [Transkeian] independence and arguing variously that those designated Transkeian citizen had been inadequately consulted that the newly created state would be economically unviable, that the constitution </w:t>
      </w:r>
      <w:r w:rsidRPr="007D582E">
        <w:t>inadequately</w:t>
      </w:r>
      <w:r>
        <w:t xml:space="preserve"> protected minority rights and the importation of a further black state into the confines of the South African heartland might pose a military threat to the defence of the Republic.</w:t>
      </w:r>
      <w:r>
        <w:rPr>
          <w:rStyle w:val="FootnoteReference"/>
        </w:rPr>
        <w:footnoteReference w:id="23"/>
      </w:r>
      <w:r>
        <w:t xml:space="preserve"> </w:t>
      </w:r>
    </w:p>
    <w:p w14:paraId="46FE42BF" w14:textId="77777777" w:rsidR="00DF2F01" w:rsidRDefault="000A67CB" w:rsidP="00DF2F01">
      <w:r>
        <w:t>The bantustan “</w:t>
      </w:r>
      <w:r w:rsidR="00DF2F01">
        <w:t>independence</w:t>
      </w:r>
      <w:r>
        <w:t>”</w:t>
      </w:r>
      <w:r w:rsidR="007637B4">
        <w:t xml:space="preserve"> came in the wake of a dozen</w:t>
      </w:r>
      <w:r w:rsidR="00DF2F01">
        <w:t xml:space="preserve"> other African nations</w:t>
      </w:r>
      <w:r w:rsidR="007637B4" w:rsidRPr="007637B4">
        <w:t xml:space="preserve"> </w:t>
      </w:r>
      <w:r w:rsidR="007637B4">
        <w:t>achieving independence</w:t>
      </w:r>
      <w:r w:rsidR="00DF2F01">
        <w:t>.</w:t>
      </w:r>
      <w:r w:rsidR="00A54F0E">
        <w:rPr>
          <w:rStyle w:val="FootnoteReference"/>
        </w:rPr>
        <w:footnoteReference w:id="24"/>
      </w:r>
      <w:r w:rsidR="00DF2F01">
        <w:t xml:space="preserve"> The African continent was optimistic about the process of decolonisation and the NP attempted to play on this, positioning bantustan policy within a broader movement of African self-rule. The bantustans were thus branded as the highest acknowledgement of </w:t>
      </w:r>
      <w:r w:rsidR="00DF2F01">
        <w:lastRenderedPageBreak/>
        <w:t xml:space="preserve">human worth; the right to govern oneself as a sovereign state. </w:t>
      </w:r>
      <w:r w:rsidR="00D1394A">
        <w:t>It</w:t>
      </w:r>
      <w:r w:rsidR="00DF2F01">
        <w:t xml:space="preserve"> was argued in the same vein that independence from colonial powers was fought for. Laura Evans connects the histories of bantustans with the larger movement of decolonisation throughout Africa. She compares the path of British decolonisation in southern African to the establishment of the bantustans, stating that the Promotion of Bantu Self-Governance Act of 1959 emerged in the wake of Britain’s declaration to provide independence to their southern African colonies. The creation of the bantustans mimicked many instances of decolonisation’s devolution.</w:t>
      </w:r>
      <w:r w:rsidR="00DF2F01">
        <w:rPr>
          <w:rStyle w:val="FootnoteReference"/>
        </w:rPr>
        <w:footnoteReference w:id="25"/>
      </w:r>
      <w:r w:rsidR="00DF2F01">
        <w:t xml:space="preserve"> </w:t>
      </w:r>
    </w:p>
    <w:p w14:paraId="23537DB8" w14:textId="77777777" w:rsidR="003E2FD6" w:rsidRDefault="003E2FD6" w:rsidP="003E2FD6">
      <w:r>
        <w:t>The</w:t>
      </w:r>
      <w:r w:rsidR="00B44D82">
        <w:t xml:space="preserve"> 1977</w:t>
      </w:r>
      <w:r w:rsidR="000A67CB">
        <w:t xml:space="preserve"> “</w:t>
      </w:r>
      <w:r>
        <w:t>i</w:t>
      </w:r>
      <w:r w:rsidR="000A67CB">
        <w:t>ndependence”</w:t>
      </w:r>
      <w:r>
        <w:t xml:space="preserve"> ceremony in Mmabatho, the newly built capital city</w:t>
      </w:r>
      <w:r w:rsidR="00B44D82">
        <w:t xml:space="preserve"> of Bophuthatswana</w:t>
      </w:r>
      <w:r>
        <w:t xml:space="preserve">, included tribal dancers and acrobatic displays, </w:t>
      </w:r>
      <w:r w:rsidR="00B44D82">
        <w:t xml:space="preserve">and </w:t>
      </w:r>
      <w:r>
        <w:t xml:space="preserve">as the clock struck twelve the military let off a 101 gun salute. The South African </w:t>
      </w:r>
      <w:r w:rsidR="00FD3C84">
        <w:t xml:space="preserve">flag </w:t>
      </w:r>
      <w:r>
        <w:t xml:space="preserve">was lowered and replaced with a blue one emblazoned with a diagonal orange stripe and a </w:t>
      </w:r>
      <w:r w:rsidR="00693B29">
        <w:t>leopard’s</w:t>
      </w:r>
      <w:r>
        <w:t xml:space="preserve"> head. Presid</w:t>
      </w:r>
      <w:r w:rsidR="00DF2F01">
        <w:t>ent Lucas Mangope declared that</w:t>
      </w:r>
      <w:r w:rsidR="00D1394A">
        <w:t>:</w:t>
      </w:r>
    </w:p>
    <w:p w14:paraId="550AB7A3" w14:textId="77777777" w:rsidR="003E2FD6" w:rsidRDefault="003E2FD6" w:rsidP="003E2FD6">
      <w:pPr>
        <w:pStyle w:val="Subtitle"/>
      </w:pPr>
      <w:r>
        <w:t xml:space="preserve">At last we are no longer helplessly at the mercy of the arbitrary arrogance of those who until this hour trampled our human dignity into the dust </w:t>
      </w:r>
      <w:r>
        <w:rPr>
          <w:rStyle w:val="FootnoteReference"/>
        </w:rPr>
        <w:footnoteReference w:id="26"/>
      </w:r>
    </w:p>
    <w:p w14:paraId="1733C01C" w14:textId="77777777" w:rsidR="005A68F2" w:rsidRDefault="003E2FD6" w:rsidP="002F7854">
      <w:r>
        <w:t xml:space="preserve">Despite the </w:t>
      </w:r>
      <w:r w:rsidR="00B44D82">
        <w:t xml:space="preserve">pompous </w:t>
      </w:r>
      <w:r>
        <w:t>ceremony, the dancers and Mangope’s speech</w:t>
      </w:r>
      <w:r w:rsidR="00B44D82">
        <w:t>,</w:t>
      </w:r>
      <w:r>
        <w:t xml:space="preserve"> the birth of Bophuthatswana lacked the kind of euphoria that independence celebrations usually inspire. The creation of Bophuthatswana, which literally means ‘that which binds the Tswana’ was also</w:t>
      </w:r>
      <w:r w:rsidR="00693B29">
        <w:t xml:space="preserve"> not </w:t>
      </w:r>
      <w:r w:rsidR="00D1394A">
        <w:t>recognised</w:t>
      </w:r>
      <w:r w:rsidR="00671A8B">
        <w:t xml:space="preserve"> </w:t>
      </w:r>
      <w:r w:rsidR="00693B29">
        <w:t>internationally.</w:t>
      </w:r>
      <w:r w:rsidR="00DF2F01">
        <w:t xml:space="preserve"> Critics of the homeland system argued that the notion of granting quasi-independence was a simple effort to control the m</w:t>
      </w:r>
      <w:r w:rsidR="007637B4">
        <w:t>ovement of the black population</w:t>
      </w:r>
      <w:r w:rsidR="00DF2F01">
        <w:t xml:space="preserve"> and to provide an embedded labour source for </w:t>
      </w:r>
      <w:r w:rsidR="007637B4">
        <w:t xml:space="preserve">the </w:t>
      </w:r>
      <w:r w:rsidR="00DF2F01">
        <w:t>South Africa</w:t>
      </w:r>
      <w:r w:rsidR="00D1394A">
        <w:t>n</w:t>
      </w:r>
      <w:r w:rsidR="00DF2F01">
        <w:t xml:space="preserve"> </w:t>
      </w:r>
      <w:r w:rsidR="00D1394A">
        <w:t>industry</w:t>
      </w:r>
      <w:r w:rsidR="00DF2F01">
        <w:t xml:space="preserve">. </w:t>
      </w:r>
      <w:r w:rsidR="005A68F2" w:rsidRPr="005A68F2">
        <w:t xml:space="preserve"> </w:t>
      </w:r>
      <w:r w:rsidR="005A68F2">
        <w:t>Wolpe, writing in 1972, argues</w:t>
      </w:r>
      <w:r w:rsidR="005A68F2" w:rsidRPr="005A68F2">
        <w:t xml:space="preserve"> that the bantustans were reservoirs of cheap</w:t>
      </w:r>
      <w:r w:rsidR="00F96822">
        <w:t xml:space="preserve"> labour for white South Africa, s</w:t>
      </w:r>
      <w:r w:rsidR="005A68F2" w:rsidRPr="005A68F2">
        <w:t>tating that: “The supply of African migrant labour-power, at a wage below its cost of reproduction, is a function of the existence of the pre-capitalist mode.”</w:t>
      </w:r>
      <w:r w:rsidR="00F96822">
        <w:t xml:space="preserve"> The NP could maintain African labour power as cheap labour power through the repressive nature of the homeland system, for the benefit of white South Africa.</w:t>
      </w:r>
      <w:r w:rsidR="005A68F2">
        <w:rPr>
          <w:rStyle w:val="FootnoteReference"/>
        </w:rPr>
        <w:footnoteReference w:id="27"/>
      </w:r>
    </w:p>
    <w:p w14:paraId="375DA81F" w14:textId="77777777" w:rsidR="004411B3" w:rsidRDefault="00DF2F01" w:rsidP="002F7854">
      <w:r>
        <w:t>The international community rejected the bantustans as independent states, only recog</w:t>
      </w:r>
      <w:r w:rsidR="000C57FE">
        <w:t>nise</w:t>
      </w:r>
      <w:r>
        <w:t>d as such by each other as well as</w:t>
      </w:r>
      <w:r w:rsidR="007637B4">
        <w:t xml:space="preserve"> by</w:t>
      </w:r>
      <w:r>
        <w:t xml:space="preserve"> South Africa and Swaziland.</w:t>
      </w:r>
      <w:r>
        <w:rPr>
          <w:rStyle w:val="FootnoteReference"/>
        </w:rPr>
        <w:footnoteReference w:id="28"/>
      </w:r>
      <w:r>
        <w:t xml:space="preserve"> </w:t>
      </w:r>
      <w:r w:rsidR="003E2FD6">
        <w:t>United Nation</w:t>
      </w:r>
      <w:r w:rsidR="00D1394A">
        <w:t>s</w:t>
      </w:r>
      <w:r w:rsidR="00B44D82">
        <w:t xml:space="preserve"> (UN)</w:t>
      </w:r>
      <w:r w:rsidR="003E2FD6">
        <w:t xml:space="preserve"> Secretary General Kurt Waldheim made a statement in which he vehemently deplored the </w:t>
      </w:r>
      <w:r w:rsidR="003E2FD6">
        <w:lastRenderedPageBreak/>
        <w:t>“establishment of another so-called independent homeland in pursuance of the discredited policies of apartheid”.</w:t>
      </w:r>
      <w:r w:rsidR="003E2FD6">
        <w:rPr>
          <w:rStyle w:val="FootnoteReference"/>
        </w:rPr>
        <w:footnoteReference w:id="29"/>
      </w:r>
      <w:r w:rsidR="003E2FD6">
        <w:t xml:space="preserve"> </w:t>
      </w:r>
    </w:p>
    <w:p w14:paraId="1F077EB6" w14:textId="77777777" w:rsidR="00693B29" w:rsidRDefault="002F7854" w:rsidP="00FD64F3">
      <w:r>
        <w:t xml:space="preserve">Meanwhile, the implementation of </w:t>
      </w:r>
      <w:r w:rsidR="00490EC3">
        <w:t xml:space="preserve">the </w:t>
      </w:r>
      <w:r>
        <w:t>bantustans allowed for the growth of a black middle class and bureaucratic elite within the homelands.</w:t>
      </w:r>
      <w:r w:rsidR="006E7345">
        <w:t xml:space="preserve"> The homeland policy </w:t>
      </w:r>
      <w:r w:rsidR="009E72CB">
        <w:t>permitted</w:t>
      </w:r>
      <w:r w:rsidR="006E7345">
        <w:t xml:space="preserve"> the paramount tribal leader of the area, such as Lucas Mangope for Bophuthatswana</w:t>
      </w:r>
      <w:r w:rsidR="004411B3">
        <w:t>, to be placed in a leadership position over</w:t>
      </w:r>
      <w:r w:rsidR="006E7345">
        <w:t xml:space="preserve"> the bantustan administration. </w:t>
      </w:r>
      <w:r w:rsidR="004411B3">
        <w:t xml:space="preserve">Power was given to select </w:t>
      </w:r>
      <w:r w:rsidR="004411B3" w:rsidRPr="007A66F2">
        <w:t xml:space="preserve">individuals through the farce of homeland policy, with a variety of perks and </w:t>
      </w:r>
      <w:r w:rsidR="007A66F2" w:rsidRPr="007A66F2">
        <w:t>large</w:t>
      </w:r>
      <w:r w:rsidR="004411B3" w:rsidRPr="007A66F2">
        <w:t xml:space="preserve"> salaries</w:t>
      </w:r>
      <w:r w:rsidR="00490EC3">
        <w:t>. In the process</w:t>
      </w:r>
      <w:r w:rsidR="004411B3">
        <w:t xml:space="preserve"> a new </w:t>
      </w:r>
      <w:r w:rsidR="007A66F2">
        <w:t xml:space="preserve">black </w:t>
      </w:r>
      <w:r w:rsidR="004411B3">
        <w:t xml:space="preserve">elite was formed. </w:t>
      </w:r>
      <w:r w:rsidR="006E7345">
        <w:t>The</w:t>
      </w:r>
      <w:r w:rsidR="004411B3">
        <w:t>re</w:t>
      </w:r>
      <w:r w:rsidR="006E7345">
        <w:t xml:space="preserve"> was an abundance of money to be made in the homelands, this was primarily achieved through government organisations and departments. This led to the incubation of corruption</w:t>
      </w:r>
      <w:r w:rsidR="004411B3">
        <w:t xml:space="preserve"> and nepotism</w:t>
      </w:r>
      <w:r w:rsidR="006E7345">
        <w:t xml:space="preserve"> within the territories </w:t>
      </w:r>
      <w:r w:rsidR="006E7345" w:rsidRPr="007D582E">
        <w:t>(</w:t>
      </w:r>
      <w:r w:rsidR="006E44C2" w:rsidRPr="007D582E">
        <w:t>Refer to</w:t>
      </w:r>
      <w:r w:rsidR="007D582E" w:rsidRPr="007D582E">
        <w:t xml:space="preserve"> Chapter 5</w:t>
      </w:r>
      <w:r w:rsidR="006E7345" w:rsidRPr="007D582E">
        <w:t>).</w:t>
      </w:r>
      <w:r w:rsidR="004411B3" w:rsidRPr="007D582E">
        <w:rPr>
          <w:rStyle w:val="FootnoteReference"/>
        </w:rPr>
        <w:footnoteReference w:id="30"/>
      </w:r>
      <w:r w:rsidR="006E7345" w:rsidRPr="007D582E">
        <w:t xml:space="preserve">  </w:t>
      </w:r>
    </w:p>
    <w:p w14:paraId="7D94D099" w14:textId="77777777" w:rsidR="00826ABC" w:rsidRDefault="007D0439" w:rsidP="00324B21">
      <w:r>
        <w:t>The cost of implementing and subsidizing the homeland</w:t>
      </w:r>
      <w:r w:rsidR="00DF4D80">
        <w:t>s</w:t>
      </w:r>
      <w:r>
        <w:t xml:space="preserve"> </w:t>
      </w:r>
      <w:r w:rsidR="00DF4D80">
        <w:t>eventually became</w:t>
      </w:r>
      <w:r>
        <w:t xml:space="preserve"> </w:t>
      </w:r>
      <w:r w:rsidR="00DF2F01">
        <w:t>a point of embarrassment</w:t>
      </w:r>
      <w:r>
        <w:t xml:space="preserve"> for the </w:t>
      </w:r>
      <w:r w:rsidR="00DF4D80">
        <w:t>NP</w:t>
      </w:r>
      <w:r>
        <w:t xml:space="preserve">. </w:t>
      </w:r>
      <w:r w:rsidR="00490EC3">
        <w:t xml:space="preserve">In 1987 the Johannesburg </w:t>
      </w:r>
      <w:r w:rsidR="00490EC3" w:rsidRPr="00CE4A09">
        <w:rPr>
          <w:i/>
        </w:rPr>
        <w:t>Sunday Star</w:t>
      </w:r>
      <w:r w:rsidR="00490EC3">
        <w:rPr>
          <w:i/>
        </w:rPr>
        <w:t xml:space="preserve"> </w:t>
      </w:r>
      <w:r w:rsidR="00490EC3">
        <w:t>printed an editorial about the financial fiasco that the bantustans were and said “if the TVBC ‘national states’ and six non-independent homelands are a joke, they are a very costly joke.”</w:t>
      </w:r>
      <w:r w:rsidR="00490EC3">
        <w:rPr>
          <w:rStyle w:val="FootnoteReference"/>
        </w:rPr>
        <w:footnoteReference w:id="31"/>
      </w:r>
      <w:r w:rsidR="00490EC3">
        <w:t xml:space="preserve"> </w:t>
      </w:r>
      <w:r w:rsidR="00DB7E49">
        <w:t xml:space="preserve">The development of Bophuthatswana as a tourist destination and the construction of gambling centres was </w:t>
      </w:r>
      <w:r w:rsidR="00862F49">
        <w:t xml:space="preserve">presented </w:t>
      </w:r>
      <w:r w:rsidR="00DB7E49">
        <w:t xml:space="preserve">as </w:t>
      </w:r>
      <w:r w:rsidR="00862F49">
        <w:t xml:space="preserve">an opportunity for </w:t>
      </w:r>
      <w:r w:rsidR="00DB7E49">
        <w:t>promoting financial i</w:t>
      </w:r>
      <w:r w:rsidR="00490EC3">
        <w:t xml:space="preserve">ndependence from South Africa. </w:t>
      </w:r>
    </w:p>
    <w:p w14:paraId="51137E88" w14:textId="77777777" w:rsidR="003A7210" w:rsidRDefault="003A7210" w:rsidP="003A7210">
      <w:pPr>
        <w:pStyle w:val="Heading2"/>
        <w:numPr>
          <w:ilvl w:val="0"/>
          <w:numId w:val="0"/>
        </w:numPr>
      </w:pPr>
      <w:bookmarkStart w:id="4" w:name="_Toc488481698"/>
      <w:r>
        <w:t>The 1965 Gambling Act</w:t>
      </w:r>
      <w:bookmarkEnd w:id="4"/>
    </w:p>
    <w:p w14:paraId="73EA1878" w14:textId="77777777" w:rsidR="00F708CC" w:rsidRDefault="003E1475" w:rsidP="00CF58CD">
      <w:r>
        <w:t>Apartheid</w:t>
      </w:r>
      <w:r w:rsidR="00826ABC">
        <w:t xml:space="preserve"> was enforced by an extensive catalogue of laws and acts. Racism became institutionalised and South African society controlled. The policy and calling card of the </w:t>
      </w:r>
      <w:r w:rsidR="00756A84">
        <w:t>NP</w:t>
      </w:r>
      <w:r w:rsidR="00202C82">
        <w:t xml:space="preserve"> government </w:t>
      </w:r>
      <w:r w:rsidR="00F203AF">
        <w:t>appeared</w:t>
      </w:r>
      <w:r w:rsidR="00826ABC">
        <w:t xml:space="preserve"> to be that of </w:t>
      </w:r>
      <w:r w:rsidR="00826ABC" w:rsidRPr="000D6CD4">
        <w:rPr>
          <w:i/>
        </w:rPr>
        <w:t>restriction</w:t>
      </w:r>
      <w:r w:rsidR="00826ABC">
        <w:t xml:space="preserve">. </w:t>
      </w:r>
      <w:r w:rsidR="007D582E">
        <w:t>Afrikaner n</w:t>
      </w:r>
      <w:r w:rsidR="00B52142">
        <w:t xml:space="preserve">ationalism </w:t>
      </w:r>
      <w:r w:rsidR="00F71A14">
        <w:t>ha</w:t>
      </w:r>
      <w:r w:rsidR="00B52142">
        <w:t>s</w:t>
      </w:r>
      <w:r w:rsidR="00F71A14">
        <w:t xml:space="preserve"> </w:t>
      </w:r>
      <w:r w:rsidR="00826ABC">
        <w:t>been associated with Calvinism</w:t>
      </w:r>
      <w:r w:rsidR="00826ABC" w:rsidRPr="000509F0">
        <w:softHyphen/>
      </w:r>
      <w:r w:rsidR="00B52142">
        <w:t xml:space="preserve">. </w:t>
      </w:r>
      <w:r w:rsidR="00826ABC">
        <w:t xml:space="preserve">The original doctrine stems from </w:t>
      </w:r>
      <w:r w:rsidR="00826ABC" w:rsidRPr="000509F0">
        <w:t>John</w:t>
      </w:r>
      <w:r w:rsidR="00826ABC">
        <w:t xml:space="preserve"> Calvin and he, like Martin Luther</w:t>
      </w:r>
      <w:r w:rsidR="008C44ED">
        <w:t>,</w:t>
      </w:r>
      <w:r w:rsidR="00826ABC">
        <w:t xml:space="preserve"> believed that secular gover</w:t>
      </w:r>
      <w:r w:rsidR="002C7C45">
        <w:t>nments had been founded by God.</w:t>
      </w:r>
      <w:r w:rsidR="00826ABC">
        <w:rPr>
          <w:rStyle w:val="FootnoteReference"/>
        </w:rPr>
        <w:footnoteReference w:id="32"/>
      </w:r>
      <w:r w:rsidR="00A97732">
        <w:t xml:space="preserve"> </w:t>
      </w:r>
      <w:r w:rsidR="00F708CC">
        <w:t xml:space="preserve">The </w:t>
      </w:r>
      <w:r w:rsidR="002C7C45">
        <w:t>NP</w:t>
      </w:r>
      <w:r w:rsidR="00F708CC">
        <w:t xml:space="preserve"> </w:t>
      </w:r>
      <w:r w:rsidR="00B52142">
        <w:t>tried to instil</w:t>
      </w:r>
      <w:r w:rsidR="00F708CC">
        <w:t xml:space="preserve"> morally</w:t>
      </w:r>
      <w:r w:rsidR="009C7D23">
        <w:t>-</w:t>
      </w:r>
      <w:r w:rsidR="00F708CC">
        <w:t xml:space="preserve">driven, Calvinistic ideals in the white South African population, drawing heavily on principles of nationalism and Christianity. Their attempts to restrict South African </w:t>
      </w:r>
      <w:r w:rsidR="00490EC3">
        <w:t>citizens</w:t>
      </w:r>
      <w:r w:rsidR="00F708CC">
        <w:t xml:space="preserve"> ranged from racially segregationist laws, </w:t>
      </w:r>
      <w:r w:rsidR="007575F1">
        <w:t xml:space="preserve">media </w:t>
      </w:r>
      <w:r w:rsidR="00F708CC">
        <w:t xml:space="preserve">censorship and implementation of the 1965 Gambling Act. </w:t>
      </w:r>
    </w:p>
    <w:p w14:paraId="76B9B777" w14:textId="77777777" w:rsidR="00826ABC" w:rsidRDefault="00826ABC" w:rsidP="00826ABC">
      <w:r>
        <w:t xml:space="preserve">In 1965 South African Minister of Justice and </w:t>
      </w:r>
      <w:r w:rsidR="009C7D23">
        <w:t xml:space="preserve">later </w:t>
      </w:r>
      <w:r>
        <w:t xml:space="preserve">Prime Minister John Vorster announced his intentions to </w:t>
      </w:r>
      <w:r w:rsidR="009C7D23">
        <w:t xml:space="preserve">ban </w:t>
      </w:r>
      <w:r>
        <w:t>all gambling. The National Gambling Act w</w:t>
      </w:r>
      <w:r w:rsidR="003A7210">
        <w:t xml:space="preserve">as pushed through </w:t>
      </w:r>
      <w:r w:rsidR="003A7210">
        <w:lastRenderedPageBreak/>
        <w:t xml:space="preserve">parliament with Vorster passionately arguing </w:t>
      </w:r>
      <w:r>
        <w:t>that “[</w:t>
      </w:r>
      <w:r w:rsidR="003A7210">
        <w:t>Afrikaners]</w:t>
      </w:r>
      <w:r>
        <w:t xml:space="preserve"> should combat the evil of gambling, [for it] underm</w:t>
      </w:r>
      <w:r w:rsidR="00C43CF8">
        <w:t>ines the morale of any nation.”</w:t>
      </w:r>
      <w:r>
        <w:rPr>
          <w:rStyle w:val="FootnoteReference"/>
        </w:rPr>
        <w:footnoteReference w:id="33"/>
      </w:r>
      <w:r w:rsidR="00C43CF8">
        <w:t xml:space="preserve"> </w:t>
      </w:r>
      <w:r w:rsidR="009C7D23">
        <w:t>The act</w:t>
      </w:r>
      <w:r w:rsidR="00F708CC">
        <w:t xml:space="preserve"> restricted all forms of gambling within South Africa, except for horse racing. </w:t>
      </w:r>
      <w:r w:rsidR="00C43CF8">
        <w:t xml:space="preserve">The </w:t>
      </w:r>
      <w:r w:rsidR="009C7D23">
        <w:t>NP</w:t>
      </w:r>
      <w:r w:rsidR="00C43CF8">
        <w:t xml:space="preserve">’s </w:t>
      </w:r>
      <w:r w:rsidR="009C7D23">
        <w:t>ban on gambling was, like other restrictions, based on</w:t>
      </w:r>
      <w:r w:rsidR="00F708CC">
        <w:t xml:space="preserve"> religious and moral objections. </w:t>
      </w:r>
    </w:p>
    <w:p w14:paraId="4DC04472" w14:textId="77777777" w:rsidR="00490EC3" w:rsidRDefault="00F708CC" w:rsidP="00CF58CD">
      <w:r>
        <w:t>As the bantustans were granted nominal independence,</w:t>
      </w:r>
      <w:r w:rsidR="00826ABC">
        <w:t xml:space="preserve"> </w:t>
      </w:r>
      <w:r w:rsidR="003A7210">
        <w:t xml:space="preserve">Sol </w:t>
      </w:r>
      <w:r w:rsidR="00826ABC">
        <w:t>Kerzner</w:t>
      </w:r>
      <w:r w:rsidR="003A7210">
        <w:t xml:space="preserve">, founder of </w:t>
      </w:r>
      <w:r w:rsidR="006E40DB">
        <w:t xml:space="preserve">Southern Sun and </w:t>
      </w:r>
      <w:r w:rsidR="003A7210">
        <w:t>Sun City,</w:t>
      </w:r>
      <w:r w:rsidR="00826ABC">
        <w:t xml:space="preserve"> </w:t>
      </w:r>
      <w:r>
        <w:t>had already set his plans for a casino in motion</w:t>
      </w:r>
      <w:r w:rsidR="003A7210">
        <w:t xml:space="preserve"> with meetings with Lucas Mangope dat</w:t>
      </w:r>
      <w:r w:rsidR="009A03BF">
        <w:t>ing</w:t>
      </w:r>
      <w:r w:rsidR="003A7210">
        <w:t xml:space="preserve"> back to 1976</w:t>
      </w:r>
      <w:r>
        <w:t xml:space="preserve">. </w:t>
      </w:r>
      <w:r w:rsidR="00826ABC">
        <w:t xml:space="preserve">He </w:t>
      </w:r>
      <w:r w:rsidR="006E40DB">
        <w:t xml:space="preserve">would </w:t>
      </w:r>
      <w:r w:rsidR="00AE5B81">
        <w:t>establish</w:t>
      </w:r>
      <w:r w:rsidR="00826ABC">
        <w:t xml:space="preserve"> casino resorts in Bophuthatswana, Ciskei and Transkei and dominate</w:t>
      </w:r>
      <w:r w:rsidR="006E40DB">
        <w:t xml:space="preserve"> the casino trade in s</w:t>
      </w:r>
      <w:r w:rsidR="00826ABC">
        <w:t xml:space="preserve">outhern Africa. </w:t>
      </w:r>
      <w:r w:rsidR="00AE5B81">
        <w:t>Bantustan independence</w:t>
      </w:r>
      <w:r w:rsidR="00826ABC">
        <w:t xml:space="preserve"> freed Kerzner not only from the</w:t>
      </w:r>
      <w:r w:rsidR="006E40DB">
        <w:t xml:space="preserve"> restrictive</w:t>
      </w:r>
      <w:r w:rsidR="00826ABC">
        <w:t xml:space="preserve"> Gambling Act, but also </w:t>
      </w:r>
      <w:r w:rsidR="00AE5B81">
        <w:t xml:space="preserve">from </w:t>
      </w:r>
      <w:r w:rsidR="003A7210">
        <w:t>the S</w:t>
      </w:r>
      <w:r w:rsidR="00826ABC">
        <w:t>outh African trade un</w:t>
      </w:r>
      <w:r w:rsidR="000A67CB">
        <w:t>ions and the wearisome ways of “democracy”</w:t>
      </w:r>
      <w:r w:rsidR="00826ABC">
        <w:t>.</w:t>
      </w:r>
      <w:r w:rsidR="003A7210">
        <w:rPr>
          <w:rStyle w:val="FootnoteReference"/>
        </w:rPr>
        <w:footnoteReference w:id="34"/>
      </w:r>
      <w:r w:rsidR="00826ABC">
        <w:t xml:space="preserve"> </w:t>
      </w:r>
      <w:r>
        <w:t>Bophuthatswana</w:t>
      </w:r>
      <w:r w:rsidR="00826ABC">
        <w:t xml:space="preserve"> </w:t>
      </w:r>
      <w:r w:rsidR="00AE5B81">
        <w:t xml:space="preserve">(and other bantustans) </w:t>
      </w:r>
      <w:r w:rsidR="00826ABC">
        <w:t xml:space="preserve">offered Kerzner a more unrestricted </w:t>
      </w:r>
      <w:r w:rsidR="00AE5B81">
        <w:t xml:space="preserve">environment </w:t>
      </w:r>
      <w:r w:rsidR="00826ABC">
        <w:t>in which</w:t>
      </w:r>
      <w:r w:rsidR="00D51EB4">
        <w:t xml:space="preserve"> to</w:t>
      </w:r>
      <w:r w:rsidR="00826ABC">
        <w:t xml:space="preserve"> operate.</w:t>
      </w:r>
      <w:r w:rsidR="00826ABC">
        <w:rPr>
          <w:rStyle w:val="FootnoteReference"/>
        </w:rPr>
        <w:footnoteReference w:id="35"/>
      </w:r>
      <w:r w:rsidR="00D51EB4">
        <w:t xml:space="preserve"> </w:t>
      </w:r>
    </w:p>
    <w:p w14:paraId="640E98C3" w14:textId="77777777" w:rsidR="00693B29" w:rsidRDefault="007575F1" w:rsidP="00CF58CD">
      <w:r>
        <w:t>The</w:t>
      </w:r>
      <w:r w:rsidR="00F708CC">
        <w:t xml:space="preserve"> 1971 the </w:t>
      </w:r>
      <w:r w:rsidR="00693B29">
        <w:t>Self-Governing Territories Constitution Act was passed by the South African parliament</w:t>
      </w:r>
      <w:r>
        <w:t xml:space="preserve"> and</w:t>
      </w:r>
      <w:r w:rsidR="00693B29">
        <w:t xml:space="preserve"> bantustans</w:t>
      </w:r>
      <w:r w:rsidR="00490EC3">
        <w:t xml:space="preserve"> were given powers</w:t>
      </w:r>
      <w:r w:rsidR="00693B29">
        <w:t xml:space="preserve"> to write their own laws</w:t>
      </w:r>
      <w:r w:rsidR="00490EC3">
        <w:t>,</w:t>
      </w:r>
      <w:r w:rsidR="00693B29">
        <w:t xml:space="preserve"> </w:t>
      </w:r>
      <w:r w:rsidR="003A7210">
        <w:t xml:space="preserve">and </w:t>
      </w:r>
      <w:r w:rsidR="00490EC3">
        <w:t>thus allowing</w:t>
      </w:r>
      <w:r w:rsidR="003A7210">
        <w:t xml:space="preserve"> for the legalisation of gambling and establishment of casinos. </w:t>
      </w:r>
      <w:r w:rsidR="00693B29">
        <w:t>Over the course of the next decade four of the ba</w:t>
      </w:r>
      <w:r w:rsidR="00AE5B81">
        <w:t>nt</w:t>
      </w:r>
      <w:r w:rsidR="00693B29">
        <w:t>ustans made gambling legal within the</w:t>
      </w:r>
      <w:r w:rsidR="00AE5B81">
        <w:t>ir</w:t>
      </w:r>
      <w:r w:rsidR="00693B29">
        <w:t xml:space="preserve"> </w:t>
      </w:r>
      <w:r w:rsidR="00AE5B81">
        <w:t>borders</w:t>
      </w:r>
      <w:r w:rsidR="00693B29">
        <w:t>. Along with the lega</w:t>
      </w:r>
      <w:r w:rsidR="006F3AD9">
        <w:t>lisa</w:t>
      </w:r>
      <w:r w:rsidR="00693B29">
        <w:t xml:space="preserve">tion of gambling came a host of other laws such as </w:t>
      </w:r>
      <w:r w:rsidR="009A03BF">
        <w:t xml:space="preserve">the </w:t>
      </w:r>
      <w:r w:rsidR="00693B29">
        <w:t>sanctioning of interracial relationships and pornography.</w:t>
      </w:r>
      <w:r w:rsidR="00693B29">
        <w:rPr>
          <w:rStyle w:val="FootnoteReference"/>
        </w:rPr>
        <w:footnoteReference w:id="36"/>
      </w:r>
      <w:r w:rsidR="003A7210">
        <w:t xml:space="preserve"> </w:t>
      </w:r>
      <w:r w:rsidR="00693B29">
        <w:t xml:space="preserve">The casino rights </w:t>
      </w:r>
      <w:r w:rsidR="007914FA">
        <w:t xml:space="preserve">in </w:t>
      </w:r>
      <w:r w:rsidR="00693B29">
        <w:t xml:space="preserve">the </w:t>
      </w:r>
      <w:r w:rsidR="007914FA">
        <w:t>TVBC states</w:t>
      </w:r>
      <w:r w:rsidR="00693B29">
        <w:t xml:space="preserve"> were distributed between two main enterprises. The areas of Transkei and Venda awarded </w:t>
      </w:r>
      <w:r w:rsidR="009A03BF">
        <w:t xml:space="preserve">rights to </w:t>
      </w:r>
      <w:r w:rsidR="00693B29">
        <w:t>a subsidiary of the South African Holiday Inn, whilst Ciskei and Bophuthatswana granted the licence</w:t>
      </w:r>
      <w:r w:rsidRPr="007575F1">
        <w:t xml:space="preserve"> </w:t>
      </w:r>
      <w:r>
        <w:t>to Southern Sun</w:t>
      </w:r>
      <w:r w:rsidR="00693B29">
        <w:t xml:space="preserve">. </w:t>
      </w:r>
      <w:r w:rsidR="003A7210">
        <w:t xml:space="preserve">Later, Southern Sun acquired </w:t>
      </w:r>
      <w:r w:rsidR="00490EC3">
        <w:t>a</w:t>
      </w:r>
      <w:r w:rsidR="003A7210">
        <w:t xml:space="preserve"> monopoly in</w:t>
      </w:r>
      <w:r>
        <w:t xml:space="preserve"> the</w:t>
      </w:r>
      <w:r w:rsidR="003A7210">
        <w:t xml:space="preserve"> Transkei</w:t>
      </w:r>
      <w:r>
        <w:t xml:space="preserve"> and Ciskei</w:t>
      </w:r>
      <w:r w:rsidR="003A7210">
        <w:t xml:space="preserve"> as well.</w:t>
      </w:r>
      <w:r w:rsidR="003A7210">
        <w:rPr>
          <w:rStyle w:val="FootnoteReference"/>
        </w:rPr>
        <w:footnoteReference w:id="37"/>
      </w:r>
      <w:r w:rsidR="003A7210">
        <w:t xml:space="preserve"> </w:t>
      </w:r>
      <w:r w:rsidR="00133020">
        <w:t>The homeland territories</w:t>
      </w:r>
      <w:r w:rsidR="00490EC3">
        <w:t>,</w:t>
      </w:r>
      <w:r w:rsidR="00133020">
        <w:t xml:space="preserve"> </w:t>
      </w:r>
      <w:r w:rsidR="009B3FD7">
        <w:t>though only nominally independent</w:t>
      </w:r>
      <w:r w:rsidR="00133020">
        <w:t xml:space="preserve">, allowed for </w:t>
      </w:r>
      <w:r w:rsidR="009B3FD7">
        <w:t xml:space="preserve">gambling to </w:t>
      </w:r>
      <w:r w:rsidR="00133020">
        <w:t>flourish.</w:t>
      </w:r>
    </w:p>
    <w:p w14:paraId="1F075865" w14:textId="77777777" w:rsidR="00490EC3" w:rsidRDefault="003E1DD7" w:rsidP="00CF58CD">
      <w:r>
        <w:rPr>
          <w:rFonts w:cs="Times New Roman"/>
          <w:szCs w:val="24"/>
        </w:rPr>
        <w:t xml:space="preserve">Gambling in South Africa has been covered in two ethnographic studies by J.J. Sallaz. The first of his books </w:t>
      </w:r>
      <w:r w:rsidR="00490EC3">
        <w:rPr>
          <w:rFonts w:cs="Times New Roman"/>
          <w:szCs w:val="24"/>
        </w:rPr>
        <w:t xml:space="preserve">seeks </w:t>
      </w:r>
      <w:r>
        <w:rPr>
          <w:rFonts w:cs="Times New Roman"/>
          <w:szCs w:val="24"/>
        </w:rPr>
        <w:t>to</w:t>
      </w:r>
      <w:r w:rsidRPr="002D6A57">
        <w:rPr>
          <w:rFonts w:cs="Times New Roman"/>
          <w:szCs w:val="24"/>
        </w:rPr>
        <w:t xml:space="preserve"> compare the gambling laws and structures in </w:t>
      </w:r>
      <w:r>
        <w:rPr>
          <w:rFonts w:cs="Times New Roman"/>
          <w:szCs w:val="24"/>
        </w:rPr>
        <w:t xml:space="preserve">the United States with those in </w:t>
      </w:r>
      <w:r w:rsidRPr="002D6A57">
        <w:rPr>
          <w:rFonts w:cs="Times New Roman"/>
          <w:szCs w:val="24"/>
        </w:rPr>
        <w:t>apart</w:t>
      </w:r>
      <w:r>
        <w:rPr>
          <w:rFonts w:cs="Times New Roman"/>
          <w:szCs w:val="24"/>
        </w:rPr>
        <w:t>heid South Africa. This was a comp</w:t>
      </w:r>
      <w:r w:rsidR="007575F1">
        <w:rPr>
          <w:rFonts w:cs="Times New Roman"/>
          <w:szCs w:val="24"/>
        </w:rPr>
        <w:t>arative history and</w:t>
      </w:r>
      <w:r w:rsidR="00490EC3">
        <w:rPr>
          <w:rFonts w:cs="Times New Roman"/>
          <w:szCs w:val="24"/>
        </w:rPr>
        <w:t xml:space="preserve"> mostly focuses</w:t>
      </w:r>
      <w:r>
        <w:rPr>
          <w:rFonts w:cs="Times New Roman"/>
          <w:szCs w:val="24"/>
        </w:rPr>
        <w:t xml:space="preserve"> on the Americ</w:t>
      </w:r>
      <w:r w:rsidR="00490EC3">
        <w:rPr>
          <w:rFonts w:cs="Times New Roman"/>
          <w:szCs w:val="24"/>
        </w:rPr>
        <w:t xml:space="preserve">an gambling debate. Sallaz notes </w:t>
      </w:r>
      <w:r w:rsidRPr="002D6A57">
        <w:rPr>
          <w:rFonts w:cs="Times New Roman"/>
          <w:szCs w:val="24"/>
        </w:rPr>
        <w:t>that few American states have legalised gambling, whilst other</w:t>
      </w:r>
      <w:r w:rsidR="00490EC3">
        <w:rPr>
          <w:rFonts w:cs="Times New Roman"/>
          <w:szCs w:val="24"/>
        </w:rPr>
        <w:t xml:space="preserve"> states’</w:t>
      </w:r>
      <w:r w:rsidRPr="002D6A57">
        <w:rPr>
          <w:rFonts w:cs="Times New Roman"/>
          <w:szCs w:val="24"/>
        </w:rPr>
        <w:t xml:space="preserve"> casinos are only legal </w:t>
      </w:r>
      <w:r>
        <w:rPr>
          <w:rFonts w:cs="Times New Roman"/>
          <w:szCs w:val="24"/>
        </w:rPr>
        <w:t>i</w:t>
      </w:r>
      <w:r w:rsidRPr="002D6A57">
        <w:rPr>
          <w:rFonts w:cs="Times New Roman"/>
          <w:szCs w:val="24"/>
        </w:rPr>
        <w:t xml:space="preserve">n </w:t>
      </w:r>
      <w:r>
        <w:rPr>
          <w:rFonts w:cs="Times New Roman"/>
          <w:szCs w:val="24"/>
        </w:rPr>
        <w:t>the Native American</w:t>
      </w:r>
      <w:r w:rsidRPr="002D6A57">
        <w:rPr>
          <w:rFonts w:cs="Times New Roman"/>
          <w:szCs w:val="24"/>
        </w:rPr>
        <w:t xml:space="preserve"> reserves.</w:t>
      </w:r>
      <w:r w:rsidR="007575F1">
        <w:rPr>
          <w:rFonts w:cs="Times New Roman"/>
          <w:szCs w:val="24"/>
        </w:rPr>
        <w:t xml:space="preserve"> A comparison is made between the bantustan areas and the Native American reserves.</w:t>
      </w:r>
      <w:r>
        <w:rPr>
          <w:rStyle w:val="FootnoteReference"/>
          <w:rFonts w:cs="Times New Roman"/>
          <w:szCs w:val="24"/>
        </w:rPr>
        <w:footnoteReference w:id="38"/>
      </w:r>
      <w:r w:rsidRPr="002D6A57">
        <w:rPr>
          <w:rFonts w:cs="Times New Roman"/>
          <w:szCs w:val="24"/>
        </w:rPr>
        <w:t xml:space="preserve"> </w:t>
      </w:r>
      <w:r w:rsidR="00490EC3">
        <w:rPr>
          <w:rFonts w:cs="Times New Roman"/>
          <w:szCs w:val="24"/>
        </w:rPr>
        <w:t xml:space="preserve">The second book </w:t>
      </w:r>
      <w:r w:rsidR="00490EC3">
        <w:rPr>
          <w:rFonts w:cs="Times New Roman"/>
          <w:szCs w:val="24"/>
        </w:rPr>
        <w:lastRenderedPageBreak/>
        <w:t>contains</w:t>
      </w:r>
      <w:r>
        <w:rPr>
          <w:rFonts w:cs="Times New Roman"/>
          <w:szCs w:val="24"/>
        </w:rPr>
        <w:t xml:space="preserve"> a</w:t>
      </w:r>
      <w:r w:rsidRPr="002D6A57">
        <w:rPr>
          <w:rFonts w:cs="Times New Roman"/>
          <w:szCs w:val="24"/>
        </w:rPr>
        <w:t xml:space="preserve"> short history of the</w:t>
      </w:r>
      <w:r>
        <w:rPr>
          <w:rFonts w:cs="Times New Roman"/>
          <w:szCs w:val="24"/>
        </w:rPr>
        <w:t xml:space="preserve"> South African</w:t>
      </w:r>
      <w:r w:rsidRPr="002D6A57">
        <w:rPr>
          <w:rFonts w:cs="Times New Roman"/>
          <w:szCs w:val="24"/>
        </w:rPr>
        <w:t xml:space="preserve"> bantustan system of casino establishment, </w:t>
      </w:r>
      <w:r>
        <w:rPr>
          <w:rFonts w:cs="Times New Roman"/>
          <w:szCs w:val="24"/>
        </w:rPr>
        <w:t>with</w:t>
      </w:r>
      <w:r w:rsidRPr="002D6A57">
        <w:rPr>
          <w:rFonts w:cs="Times New Roman"/>
          <w:szCs w:val="24"/>
        </w:rPr>
        <w:t xml:space="preserve"> much emphasis placed on </w:t>
      </w:r>
      <w:r>
        <w:rPr>
          <w:rFonts w:cs="Times New Roman"/>
          <w:szCs w:val="24"/>
        </w:rPr>
        <w:t>the modern casinos role</w:t>
      </w:r>
      <w:r w:rsidRPr="002D6A57">
        <w:rPr>
          <w:rFonts w:cs="Times New Roman"/>
          <w:szCs w:val="24"/>
        </w:rPr>
        <w:t xml:space="preserve"> in illegal activities such as drugs and prostitution. </w:t>
      </w:r>
      <w:r>
        <w:rPr>
          <w:rFonts w:cs="Times New Roman"/>
          <w:szCs w:val="24"/>
        </w:rPr>
        <w:t>Again</w:t>
      </w:r>
      <w:r w:rsidRPr="002D6A57">
        <w:rPr>
          <w:rFonts w:cs="Times New Roman"/>
          <w:szCs w:val="24"/>
        </w:rPr>
        <w:t xml:space="preserve">, interesting comparisons </w:t>
      </w:r>
      <w:r w:rsidR="00490EC3">
        <w:rPr>
          <w:rFonts w:cs="Times New Roman"/>
          <w:szCs w:val="24"/>
        </w:rPr>
        <w:t>a</w:t>
      </w:r>
      <w:r>
        <w:rPr>
          <w:rFonts w:cs="Times New Roman"/>
          <w:szCs w:val="24"/>
        </w:rPr>
        <w:t>re</w:t>
      </w:r>
      <w:r w:rsidRPr="002D6A57">
        <w:rPr>
          <w:rFonts w:cs="Times New Roman"/>
          <w:szCs w:val="24"/>
        </w:rPr>
        <w:t xml:space="preserve"> drawn between the South African system and t</w:t>
      </w:r>
      <w:r>
        <w:rPr>
          <w:rFonts w:cs="Times New Roman"/>
          <w:szCs w:val="24"/>
        </w:rPr>
        <w:t>he United States casinos in the</w:t>
      </w:r>
      <w:r w:rsidRPr="002D6A57">
        <w:rPr>
          <w:rFonts w:cs="Times New Roman"/>
          <w:szCs w:val="24"/>
        </w:rPr>
        <w:t xml:space="preserve"> reserves.</w:t>
      </w:r>
      <w:r w:rsidRPr="0023702B">
        <w:t xml:space="preserve"> </w:t>
      </w:r>
      <w:r>
        <w:t xml:space="preserve">The comparison </w:t>
      </w:r>
      <w:r w:rsidR="00490EC3">
        <w:t>is</w:t>
      </w:r>
      <w:r>
        <w:t xml:space="preserve"> based on the idea that sections of land within a country can have different laws and both the bantustans and the Native American reserves chose to legalise and profit from gambling.</w:t>
      </w:r>
      <w:r>
        <w:rPr>
          <w:rStyle w:val="FootnoteReference"/>
        </w:rPr>
        <w:footnoteReference w:id="39"/>
      </w:r>
      <w:r>
        <w:t xml:space="preserve"> However, a more detailed history of gambling in the bantustans is needed and more importantly this should investigate the effects of casinos on the bantustans themselves. </w:t>
      </w:r>
    </w:p>
    <w:p w14:paraId="77D6CF37" w14:textId="77777777" w:rsidR="003E1DD7" w:rsidRPr="00BA451F" w:rsidRDefault="003E1DD7" w:rsidP="00CF58CD">
      <w:r>
        <w:t>Two dissertations on Sun City have emerged from the University of California in recent years. The first was completed at the University of California, Santa Barbara</w:t>
      </w:r>
      <w:r w:rsidR="00490EC3">
        <w:t>,</w:t>
      </w:r>
      <w:r>
        <w:t xml:space="preserve"> by Torsten Sannar and </w:t>
      </w:r>
      <w:r w:rsidR="00490EC3">
        <w:t>analyses</w:t>
      </w:r>
      <w:r>
        <w:t xml:space="preserve"> Sun City as a site of escape. </w:t>
      </w:r>
      <w:r w:rsidRPr="00ED7E08">
        <w:rPr>
          <w:rFonts w:cs="Times New Roman"/>
          <w:szCs w:val="24"/>
        </w:rPr>
        <w:t xml:space="preserve">It </w:t>
      </w:r>
      <w:r w:rsidR="00490EC3">
        <w:rPr>
          <w:rFonts w:cs="Times New Roman"/>
          <w:szCs w:val="24"/>
        </w:rPr>
        <w:t>is</w:t>
      </w:r>
      <w:r w:rsidRPr="00ED7E08">
        <w:rPr>
          <w:rFonts w:cs="Times New Roman"/>
          <w:szCs w:val="24"/>
        </w:rPr>
        <w:t xml:space="preserve"> heavy with descriptions of theatrical stage </w:t>
      </w:r>
      <w:r w:rsidR="007575F1">
        <w:rPr>
          <w:rFonts w:cs="Times New Roman"/>
          <w:szCs w:val="24"/>
        </w:rPr>
        <w:t>and</w:t>
      </w:r>
      <w:r w:rsidRPr="00ED7E08">
        <w:rPr>
          <w:rFonts w:cs="Times New Roman"/>
          <w:szCs w:val="24"/>
        </w:rPr>
        <w:t xml:space="preserve"> other productions at Sun City.</w:t>
      </w:r>
      <w:r>
        <w:rPr>
          <w:rFonts w:cs="Times New Roman"/>
          <w:szCs w:val="24"/>
        </w:rPr>
        <w:t xml:space="preserve"> The focus of the </w:t>
      </w:r>
      <w:r w:rsidR="00490EC3">
        <w:rPr>
          <w:rFonts w:cs="Times New Roman"/>
          <w:szCs w:val="24"/>
        </w:rPr>
        <w:t>research</w:t>
      </w:r>
      <w:r>
        <w:rPr>
          <w:rFonts w:cs="Times New Roman"/>
          <w:szCs w:val="24"/>
        </w:rPr>
        <w:t xml:space="preserve"> was on performance and the definition was extended to include the very nature of being a tourist. The performance of a tourist was dissected by Sannar in </w:t>
      </w:r>
      <w:r w:rsidR="007575F1">
        <w:rPr>
          <w:rFonts w:cs="Times New Roman"/>
          <w:szCs w:val="24"/>
        </w:rPr>
        <w:t>detail</w:t>
      </w:r>
      <w:r>
        <w:rPr>
          <w:rFonts w:cs="Times New Roman"/>
          <w:szCs w:val="24"/>
        </w:rPr>
        <w:t xml:space="preserve"> </w:t>
      </w:r>
      <w:r w:rsidR="00FA6A91">
        <w:rPr>
          <w:rFonts w:cs="Times New Roman"/>
          <w:szCs w:val="24"/>
        </w:rPr>
        <w:t>regarding</w:t>
      </w:r>
      <w:r>
        <w:rPr>
          <w:rFonts w:cs="Times New Roman"/>
          <w:szCs w:val="24"/>
        </w:rPr>
        <w:t xml:space="preserve"> apartheid but with little reference to ban</w:t>
      </w:r>
      <w:r w:rsidR="00490EC3">
        <w:rPr>
          <w:rFonts w:cs="Times New Roman"/>
          <w:szCs w:val="24"/>
        </w:rPr>
        <w:t>tustan policy or Bophuthatswana</w:t>
      </w:r>
      <w:r>
        <w:rPr>
          <w:rFonts w:cs="Times New Roman"/>
          <w:szCs w:val="24"/>
        </w:rPr>
        <w:t>.</w:t>
      </w:r>
      <w:r>
        <w:rPr>
          <w:rStyle w:val="FootnoteReference"/>
          <w:rFonts w:cs="Times New Roman"/>
          <w:szCs w:val="24"/>
        </w:rPr>
        <w:footnoteReference w:id="40"/>
      </w:r>
      <w:r>
        <w:rPr>
          <w:rFonts w:cs="Times New Roman"/>
          <w:szCs w:val="24"/>
        </w:rPr>
        <w:t xml:space="preserve"> The second thesis </w:t>
      </w:r>
      <w:r w:rsidR="00490EC3">
        <w:rPr>
          <w:rFonts w:cs="Times New Roman"/>
          <w:szCs w:val="24"/>
        </w:rPr>
        <w:t>is</w:t>
      </w:r>
      <w:r>
        <w:rPr>
          <w:rFonts w:cs="Times New Roman"/>
          <w:szCs w:val="24"/>
        </w:rPr>
        <w:t xml:space="preserve"> a Masters’ project by Jonathan Freeman. His research focused on the cultural boycott and the role African-American artists and sports icons played in disseminating the anti-apartheid message. The focus </w:t>
      </w:r>
      <w:r w:rsidR="00490EC3">
        <w:rPr>
          <w:rFonts w:cs="Times New Roman"/>
          <w:szCs w:val="24"/>
        </w:rPr>
        <w:t>is thus</w:t>
      </w:r>
      <w:r>
        <w:rPr>
          <w:rFonts w:cs="Times New Roman"/>
          <w:szCs w:val="24"/>
        </w:rPr>
        <w:t xml:space="preserve"> solely on the boycott movement and told from </w:t>
      </w:r>
      <w:r w:rsidR="00490EC3">
        <w:rPr>
          <w:rFonts w:cs="Times New Roman"/>
          <w:szCs w:val="24"/>
        </w:rPr>
        <w:t>a</w:t>
      </w:r>
      <w:r>
        <w:rPr>
          <w:rFonts w:cs="Times New Roman"/>
          <w:szCs w:val="24"/>
        </w:rPr>
        <w:t xml:space="preserve"> </w:t>
      </w:r>
      <w:r w:rsidR="00490EC3">
        <w:rPr>
          <w:rFonts w:cs="Times New Roman"/>
          <w:szCs w:val="24"/>
        </w:rPr>
        <w:t xml:space="preserve">US perspective. The emphasis on </w:t>
      </w:r>
      <w:r>
        <w:rPr>
          <w:rFonts w:cs="Times New Roman"/>
          <w:szCs w:val="24"/>
        </w:rPr>
        <w:t>African-American artists and sportspeople in the research is important, but it limits the scope of the study.</w:t>
      </w:r>
      <w:r>
        <w:rPr>
          <w:rStyle w:val="FootnoteReference"/>
          <w:rFonts w:cs="Times New Roman"/>
          <w:szCs w:val="24"/>
        </w:rPr>
        <w:footnoteReference w:id="41"/>
      </w:r>
      <w:r>
        <w:rPr>
          <w:rFonts w:cs="Times New Roman"/>
          <w:szCs w:val="24"/>
        </w:rPr>
        <w:t xml:space="preserve"> Both research papers focused on the entertainment section of Sun City and failed to adequately place the topic in the historical context of apartheid and bantustan policy. </w:t>
      </w:r>
    </w:p>
    <w:p w14:paraId="06D8577C" w14:textId="77777777" w:rsidR="00FB1927" w:rsidRDefault="00FB1927" w:rsidP="00246DA1">
      <w:pPr>
        <w:pStyle w:val="Heading2"/>
        <w:numPr>
          <w:ilvl w:val="0"/>
          <w:numId w:val="0"/>
        </w:numPr>
        <w:ind w:left="578" w:hanging="578"/>
      </w:pPr>
      <w:bookmarkStart w:id="5" w:name="_Toc488481699"/>
      <w:r>
        <w:t>Focus</w:t>
      </w:r>
      <w:r w:rsidR="00BB0A79">
        <w:t xml:space="preserve"> of the S</w:t>
      </w:r>
      <w:r>
        <w:t>tudy</w:t>
      </w:r>
      <w:bookmarkEnd w:id="5"/>
    </w:p>
    <w:p w14:paraId="34A0F61B" w14:textId="77777777" w:rsidR="0081290A" w:rsidRPr="0081290A" w:rsidRDefault="00016AA7" w:rsidP="0081290A">
      <w:r>
        <w:t>This research project aims to add fresh insight to understanding the interests of the symbiotic relationships between the NP, black elites and private enterprise in apartheid South Africa</w:t>
      </w:r>
      <w:r w:rsidR="007575F1">
        <w:t xml:space="preserve"> within the nature of the Bophuthatswana political economy.</w:t>
      </w:r>
      <w:r>
        <w:t xml:space="preserve"> The mineral wealth of bantustans is well documented, whilst the relationship between the entertainment industry and the nominally independent government of Bophuthatswana is relatively unchartered territory.</w:t>
      </w:r>
    </w:p>
    <w:p w14:paraId="1E0E3D48" w14:textId="77777777" w:rsidR="00757572" w:rsidRDefault="00FB725F" w:rsidP="00C0736A">
      <w:r>
        <w:lastRenderedPageBreak/>
        <w:t xml:space="preserve">The bantustans have inscribed a deep legacy in the social, cultural and economic </w:t>
      </w:r>
      <w:r w:rsidR="00490EC3">
        <w:t>fabric</w:t>
      </w:r>
      <w:r>
        <w:t xml:space="preserve"> of South Africa’s interior. These legacies are resilient and inescapable and </w:t>
      </w:r>
      <w:r w:rsidR="007D59E1">
        <w:t xml:space="preserve">continue to </w:t>
      </w:r>
      <w:r>
        <w:t xml:space="preserve">exist long after the bantustan </w:t>
      </w:r>
      <w:r w:rsidR="00C16453">
        <w:t>were</w:t>
      </w:r>
      <w:r>
        <w:t xml:space="preserve"> dismantled. To understand the critical politics and disputes over land and chieftaincies that transpire currently, the histories of </w:t>
      </w:r>
      <w:r w:rsidR="00490EC3">
        <w:t>the bantustans must be explored</w:t>
      </w:r>
      <w:r>
        <w:t>.</w:t>
      </w:r>
      <w:r>
        <w:rPr>
          <w:rStyle w:val="FootnoteReference"/>
        </w:rPr>
        <w:footnoteReference w:id="42"/>
      </w:r>
      <w:r>
        <w:t xml:space="preserve"> </w:t>
      </w:r>
      <w:r w:rsidR="00323ED9">
        <w:t>B</w:t>
      </w:r>
      <w:r w:rsidR="00427D83">
        <w:t>ernard Mbenga and Andrew Manson are</w:t>
      </w:r>
      <w:r w:rsidR="00323ED9">
        <w:t xml:space="preserve"> prolific writers on the histories of the North-West </w:t>
      </w:r>
      <w:r w:rsidR="007575F1">
        <w:t>p</w:t>
      </w:r>
      <w:r w:rsidR="007D59E1">
        <w:t>rovince</w:t>
      </w:r>
      <w:r w:rsidR="007575F1">
        <w:t xml:space="preserve"> and the Bophuthatswana homeland</w:t>
      </w:r>
      <w:r w:rsidR="00427D83">
        <w:t>. They argue that the</w:t>
      </w:r>
      <w:r w:rsidR="00323ED9">
        <w:t xml:space="preserve"> </w:t>
      </w:r>
      <w:r w:rsidR="007D59E1">
        <w:t xml:space="preserve">area </w:t>
      </w:r>
      <w:r w:rsidR="00323ED9">
        <w:t xml:space="preserve">should not be relegated to the </w:t>
      </w:r>
      <w:r w:rsidR="00C16453">
        <w:t>periphery</w:t>
      </w:r>
      <w:r w:rsidR="007D59E1">
        <w:t xml:space="preserve"> of South African history</w:t>
      </w:r>
      <w:r w:rsidR="00427D83">
        <w:t xml:space="preserve"> and that</w:t>
      </w:r>
      <w:r w:rsidR="007D59E1">
        <w:t xml:space="preserve"> the bantustans</w:t>
      </w:r>
      <w:r w:rsidR="00C16453">
        <w:t xml:space="preserve"> left a decisive mark that was not eradicated by the election of democratic government and the unification of South Africa.</w:t>
      </w:r>
      <w:r w:rsidR="00427D83">
        <w:t xml:space="preserve"> Manson and Mbenga, together with historian Arianna </w:t>
      </w:r>
      <w:r w:rsidR="00FA6A91">
        <w:t>Lissoni</w:t>
      </w:r>
      <w:r w:rsidR="00427D83">
        <w:t xml:space="preserve"> have written extensively on Bophuthatswana as a site of political resistance with the publication of</w:t>
      </w:r>
      <w:r w:rsidR="00427D83" w:rsidRPr="00427D83">
        <w:rPr>
          <w:i/>
        </w:rPr>
        <w:t xml:space="preserve"> Khongolose: A Short History of the ANC in the North-West Province from 1909</w:t>
      </w:r>
      <w:r w:rsidR="00427D83">
        <w:rPr>
          <w:i/>
        </w:rPr>
        <w:t xml:space="preserve">. </w:t>
      </w:r>
      <w:r w:rsidR="00427D83">
        <w:t>The book explores the history political struggle in Bophuthatswana and touches on the history of Sun City briefly. However, a more comprehensive historiography is required.</w:t>
      </w:r>
      <w:r w:rsidR="00C16453">
        <w:rPr>
          <w:rStyle w:val="FootnoteReference"/>
        </w:rPr>
        <w:footnoteReference w:id="43"/>
      </w:r>
      <w:r w:rsidR="00C16453">
        <w:t xml:space="preserve"> </w:t>
      </w:r>
    </w:p>
    <w:p w14:paraId="2351B3F9" w14:textId="77777777" w:rsidR="00757572" w:rsidRPr="00836C54" w:rsidRDefault="00490EC3" w:rsidP="00C0736A">
      <w:r w:rsidRPr="009F5F5C">
        <w:t>There is a ho</w:t>
      </w:r>
      <w:r w:rsidR="000F2B0B">
        <w:t>st of new historical literature</w:t>
      </w:r>
      <w:r w:rsidRPr="009F5F5C">
        <w:t xml:space="preserve"> that </w:t>
      </w:r>
      <w:r>
        <w:t xml:space="preserve">has </w:t>
      </w:r>
      <w:r w:rsidRPr="009F5F5C">
        <w:t>emerge</w:t>
      </w:r>
      <w:r w:rsidR="000F2B0B">
        <w:t>d on the bantustans which seeks</w:t>
      </w:r>
      <w:r>
        <w:t xml:space="preserve"> to understands bantustan internal politics, bureaucracy and legacy.  </w:t>
      </w:r>
      <w:r w:rsidR="00FB725F">
        <w:t xml:space="preserve">The </w:t>
      </w:r>
      <w:r w:rsidR="00566FF7">
        <w:t>South African Research Chair in</w:t>
      </w:r>
      <w:r w:rsidR="00FB725F">
        <w:t xml:space="preserve"> </w:t>
      </w:r>
      <w:r w:rsidR="00427D83">
        <w:t>‘</w:t>
      </w:r>
      <w:r w:rsidR="00FB725F">
        <w:t>Local Histories and Present Realities</w:t>
      </w:r>
      <w:r w:rsidR="00427D83">
        <w:t>’</w:t>
      </w:r>
      <w:r w:rsidR="00FB725F">
        <w:t xml:space="preserve"> at the University of the Witwatersrand</w:t>
      </w:r>
      <w:r w:rsidR="00566FF7">
        <w:t xml:space="preserve">, funded by the National Research </w:t>
      </w:r>
      <w:r w:rsidR="001657D8">
        <w:t>Foundation</w:t>
      </w:r>
      <w:r w:rsidR="00566FF7">
        <w:t xml:space="preserve">, </w:t>
      </w:r>
      <w:r w:rsidR="001657D8">
        <w:t>host</w:t>
      </w:r>
      <w:r>
        <w:t>s</w:t>
      </w:r>
      <w:r w:rsidR="00FB725F">
        <w:t xml:space="preserve"> numerous studies in </w:t>
      </w:r>
      <w:r>
        <w:t>the former bantustans</w:t>
      </w:r>
      <w:r w:rsidR="00FB725F">
        <w:t xml:space="preserve">. </w:t>
      </w:r>
      <w:r w:rsidR="00566FF7">
        <w:t>The programme</w:t>
      </w:r>
      <w:r w:rsidR="00FB725F">
        <w:t xml:space="preserve"> seeks to encourage research and conversation on the histories of the bantustans. </w:t>
      </w:r>
      <w:r w:rsidR="000F2B0B">
        <w:t>A</w:t>
      </w:r>
      <w:r w:rsidR="00DB2AA1">
        <w:t xml:space="preserve"> recent special issue of</w:t>
      </w:r>
      <w:r w:rsidR="001657D8" w:rsidRPr="009F5F5C">
        <w:t xml:space="preserve"> </w:t>
      </w:r>
      <w:r w:rsidR="000F2B0B">
        <w:t xml:space="preserve">the </w:t>
      </w:r>
      <w:r w:rsidR="001657D8" w:rsidRPr="00DB2AA1">
        <w:rPr>
          <w:i/>
        </w:rPr>
        <w:t>South African Historical</w:t>
      </w:r>
      <w:r w:rsidR="000F2B0B">
        <w:rPr>
          <w:i/>
        </w:rPr>
        <w:t xml:space="preserve"> Journal</w:t>
      </w:r>
      <w:r w:rsidR="00757572">
        <w:t>,</w:t>
      </w:r>
      <w:r w:rsidR="001657D8" w:rsidRPr="00757572">
        <w:t xml:space="preserve"> </w:t>
      </w:r>
      <w:r w:rsidR="009F5F5C">
        <w:t>focuses on</w:t>
      </w:r>
      <w:r w:rsidR="000F2B0B">
        <w:t xml:space="preserve"> new</w:t>
      </w:r>
      <w:r w:rsidR="009F5F5C">
        <w:t xml:space="preserve"> </w:t>
      </w:r>
      <w:r w:rsidR="000F2B0B">
        <w:t>histories</w:t>
      </w:r>
      <w:r w:rsidR="000F2B0B" w:rsidRPr="009F5F5C">
        <w:t xml:space="preserve"> </w:t>
      </w:r>
      <w:r w:rsidR="000F2B0B">
        <w:t xml:space="preserve">of the </w:t>
      </w:r>
      <w:r w:rsidR="001657D8" w:rsidRPr="009F5F5C">
        <w:t>bantu</w:t>
      </w:r>
      <w:r w:rsidR="009F5F5C">
        <w:t>stan.</w:t>
      </w:r>
      <w:r w:rsidR="00DB2AA1">
        <w:rPr>
          <w:rStyle w:val="FootnoteReference"/>
        </w:rPr>
        <w:footnoteReference w:id="44"/>
      </w:r>
      <w:r w:rsidR="009F5F5C">
        <w:t xml:space="preserve"> </w:t>
      </w:r>
      <w:r w:rsidR="00757572">
        <w:t>Ally and Lissoni</w:t>
      </w:r>
      <w:r w:rsidR="000F2B0B">
        <w:t xml:space="preserve"> explain</w:t>
      </w:r>
      <w:r w:rsidR="00757572">
        <w:t xml:space="preserve"> in the preface that South African social historians and other scholars</w:t>
      </w:r>
      <w:r w:rsidR="00757572" w:rsidRPr="002D6A57">
        <w:t xml:space="preserve"> who wrote </w:t>
      </w:r>
      <w:r w:rsidR="00757572">
        <w:t>about</w:t>
      </w:r>
      <w:r w:rsidR="00757572" w:rsidRPr="002D6A57">
        <w:t xml:space="preserve"> the bantustans whilst apartheid still maintained its grip, wrote with the intent to undermine the bantustans</w:t>
      </w:r>
      <w:r w:rsidR="00757572">
        <w:t>’</w:t>
      </w:r>
      <w:r w:rsidR="00757572" w:rsidRPr="002D6A57">
        <w:t xml:space="preserve"> legitimacy. The areas were seen as repress</w:t>
      </w:r>
      <w:r w:rsidR="00757572">
        <w:t>ive</w:t>
      </w:r>
      <w:r w:rsidR="00757572" w:rsidRPr="002D6A57">
        <w:t xml:space="preserve"> and as signifiers of apartheid’s draconian control</w:t>
      </w:r>
      <w:r w:rsidR="00757572">
        <w:t>.</w:t>
      </w:r>
      <w:r w:rsidR="00757572">
        <w:rPr>
          <w:rStyle w:val="FootnoteReference"/>
        </w:rPr>
        <w:footnoteReference w:id="45"/>
      </w:r>
      <w:r w:rsidR="009D149E">
        <w:t xml:space="preserve"> The special issue</w:t>
      </w:r>
      <w:r w:rsidR="00757572">
        <w:t xml:space="preserve"> </w:t>
      </w:r>
      <w:r w:rsidR="009D149E">
        <w:t xml:space="preserve">includes </w:t>
      </w:r>
      <w:r w:rsidR="00757572">
        <w:t xml:space="preserve">research </w:t>
      </w:r>
      <w:r w:rsidR="009D149E">
        <w:t xml:space="preserve">on a range of topics </w:t>
      </w:r>
      <w:r w:rsidR="00757572">
        <w:t xml:space="preserve">from prominent scholars such as William Beinart, Andrew Manson, Bernard Mbenga and Laura Evans as well as a memoir from the </w:t>
      </w:r>
      <w:r w:rsidR="000F2B0B">
        <w:t>TEC</w:t>
      </w:r>
      <w:r w:rsidR="00757572">
        <w:t xml:space="preserve"> administrator after Lucas Mangope was ousted, Tebogo Job Mokgoro. </w:t>
      </w:r>
      <w:r w:rsidR="00836C54">
        <w:t xml:space="preserve">A further special issue, published by the </w:t>
      </w:r>
      <w:r w:rsidR="00836C54">
        <w:rPr>
          <w:i/>
        </w:rPr>
        <w:t xml:space="preserve">Journal of Southern African Studies, </w:t>
      </w:r>
      <w:r w:rsidR="00836C54">
        <w:t xml:space="preserve">also sought to bring new bantustan histories to the fore. However, this journal is more anthropological in nature. </w:t>
      </w:r>
      <w:r w:rsidR="0000242B">
        <w:t xml:space="preserve">Despite numerous publications </w:t>
      </w:r>
      <w:r w:rsidR="0000242B">
        <w:lastRenderedPageBreak/>
        <w:t xml:space="preserve">and tireless research, there is much left still to be </w:t>
      </w:r>
      <w:r w:rsidR="009E72CB">
        <w:t>investigated as new histories are</w:t>
      </w:r>
      <w:r w:rsidR="0000242B">
        <w:t xml:space="preserve"> still emerging. </w:t>
      </w:r>
    </w:p>
    <w:p w14:paraId="10720F82" w14:textId="77777777" w:rsidR="003E1DD7" w:rsidRPr="00DB2AA1" w:rsidRDefault="003E1DD7" w:rsidP="00C0736A">
      <w:pPr>
        <w:rPr>
          <w:rFonts w:cs="Times New Roman"/>
          <w:color w:val="000000"/>
          <w:szCs w:val="24"/>
          <w:shd w:val="clear" w:color="auto" w:fill="FFFFFF"/>
        </w:rPr>
      </w:pPr>
      <w:r>
        <w:rPr>
          <w:rFonts w:cs="Times New Roman"/>
          <w:color w:val="000000"/>
          <w:szCs w:val="24"/>
          <w:shd w:val="clear" w:color="auto" w:fill="FFFFFF"/>
        </w:rPr>
        <w:t>References to gambling in the South African bantustans and Sun City are sporadic. The focus of the literature appears to be on the capital and architecture of the hotel complex such Clive Chipkin’s work.</w:t>
      </w:r>
      <w:r>
        <w:rPr>
          <w:rStyle w:val="FootnoteReference"/>
          <w:rFonts w:cs="Times New Roman"/>
          <w:color w:val="000000"/>
          <w:szCs w:val="24"/>
          <w:shd w:val="clear" w:color="auto" w:fill="FFFFFF"/>
        </w:rPr>
        <w:footnoteReference w:id="46"/>
      </w:r>
      <w:r>
        <w:rPr>
          <w:rFonts w:cs="Times New Roman"/>
          <w:color w:val="000000"/>
          <w:szCs w:val="24"/>
          <w:shd w:val="clear" w:color="auto" w:fill="FFFFFF"/>
        </w:rPr>
        <w:t xml:space="preserve"> </w:t>
      </w:r>
      <w:r w:rsidR="001E600F">
        <w:rPr>
          <w:rFonts w:cs="Times New Roman"/>
          <w:color w:val="000000"/>
          <w:szCs w:val="24"/>
          <w:shd w:val="clear" w:color="auto" w:fill="FFFFFF"/>
        </w:rPr>
        <w:t>Regarding</w:t>
      </w:r>
      <w:r>
        <w:rPr>
          <w:rFonts w:cs="Times New Roman"/>
          <w:color w:val="000000"/>
          <w:szCs w:val="24"/>
          <w:shd w:val="clear" w:color="auto" w:fill="FFFFFF"/>
        </w:rPr>
        <w:t xml:space="preserve"> gambling and casinos,</w:t>
      </w:r>
      <w:r w:rsidRPr="002D6A57">
        <w:rPr>
          <w:rFonts w:cs="Times New Roman"/>
          <w:color w:val="000000"/>
          <w:szCs w:val="24"/>
          <w:shd w:val="clear" w:color="auto" w:fill="FFFFFF"/>
        </w:rPr>
        <w:t xml:space="preserve"> </w:t>
      </w:r>
      <w:r>
        <w:rPr>
          <w:rFonts w:cs="Times New Roman"/>
          <w:color w:val="000000"/>
          <w:szCs w:val="24"/>
          <w:shd w:val="clear" w:color="auto" w:fill="FFFFFF"/>
        </w:rPr>
        <w:t>virtually nothing</w:t>
      </w:r>
      <w:r w:rsidRPr="002D6A57">
        <w:rPr>
          <w:rFonts w:cs="Times New Roman"/>
          <w:color w:val="000000"/>
          <w:szCs w:val="24"/>
          <w:shd w:val="clear" w:color="auto" w:fill="FFFFFF"/>
        </w:rPr>
        <w:t xml:space="preserve"> has been </w:t>
      </w:r>
      <w:r>
        <w:rPr>
          <w:rFonts w:cs="Times New Roman"/>
          <w:color w:val="000000"/>
          <w:szCs w:val="24"/>
          <w:shd w:val="clear" w:color="auto" w:fill="FFFFFF"/>
        </w:rPr>
        <w:t>written</w:t>
      </w:r>
      <w:r w:rsidRPr="002D6A57">
        <w:rPr>
          <w:rFonts w:cs="Times New Roman"/>
          <w:color w:val="000000"/>
          <w:szCs w:val="24"/>
          <w:shd w:val="clear" w:color="auto" w:fill="FFFFFF"/>
        </w:rPr>
        <w:t xml:space="preserve"> about the history of the gambling industry in South Africa</w:t>
      </w:r>
      <w:r>
        <w:rPr>
          <w:rFonts w:cs="Times New Roman"/>
          <w:color w:val="000000"/>
          <w:szCs w:val="24"/>
          <w:shd w:val="clear" w:color="auto" w:fill="FFFFFF"/>
        </w:rPr>
        <w:t>, according to this author’s knowledge.</w:t>
      </w:r>
      <w:r w:rsidRPr="002D6A57">
        <w:rPr>
          <w:rFonts w:cs="Times New Roman"/>
          <w:color w:val="000000"/>
          <w:szCs w:val="24"/>
          <w:shd w:val="clear" w:color="auto" w:fill="FFFFFF"/>
        </w:rPr>
        <w:t xml:space="preserve"> </w:t>
      </w:r>
    </w:p>
    <w:p w14:paraId="02C99C9C" w14:textId="77777777" w:rsidR="004A27DE" w:rsidRPr="004A27DE" w:rsidRDefault="004A27DE" w:rsidP="00836C54">
      <w:r>
        <w:t>This research</w:t>
      </w:r>
      <w:r w:rsidR="00016AA7">
        <w:t xml:space="preserve"> project</w:t>
      </w:r>
      <w:r>
        <w:t xml:space="preserve"> is located at the </w:t>
      </w:r>
      <w:r w:rsidR="00836C54">
        <w:t>connection</w:t>
      </w:r>
      <w:r>
        <w:t xml:space="preserve"> of two unexplored fields of South African historiography. </w:t>
      </w:r>
      <w:r w:rsidR="00836C54">
        <w:t xml:space="preserve">Specifically, the intersection of the political and the economic viability of the bantustans, and the role that Sun City played in sustaining the homeland project. </w:t>
      </w:r>
      <w:r w:rsidR="000F2B0B">
        <w:t>The focus on Sun City</w:t>
      </w:r>
      <w:r>
        <w:t xml:space="preserve"> will provide an </w:t>
      </w:r>
      <w:r w:rsidR="000F2B0B">
        <w:t>avenue through</w:t>
      </w:r>
      <w:r>
        <w:t xml:space="preserve"> which to demonstrate the ways in which </w:t>
      </w:r>
      <w:r w:rsidR="00836C54">
        <w:t>the political economy of a bantustan casino</w:t>
      </w:r>
      <w:r>
        <w:t xml:space="preserve"> served the interests of the apartheid </w:t>
      </w:r>
      <w:r w:rsidR="00836C54">
        <w:t>plan</w:t>
      </w:r>
      <w:r>
        <w:t xml:space="preserve">. </w:t>
      </w:r>
    </w:p>
    <w:p w14:paraId="0B89D0DC" w14:textId="77777777" w:rsidR="00B847FD" w:rsidRDefault="00016AA7" w:rsidP="00FB725F">
      <w:r>
        <w:t>The</w:t>
      </w:r>
      <w:r w:rsidR="003B7BB1">
        <w:t xml:space="preserve"> </w:t>
      </w:r>
      <w:r>
        <w:t>thesis</w:t>
      </w:r>
      <w:r w:rsidR="003B7BB1">
        <w:t xml:space="preserve"> </w:t>
      </w:r>
      <w:r w:rsidR="0081290A">
        <w:t xml:space="preserve">will </w:t>
      </w:r>
      <w:r w:rsidR="009D149E">
        <w:t>analyse</w:t>
      </w:r>
      <w:r w:rsidR="003B7BB1">
        <w:t xml:space="preserve"> the intersection of two views</w:t>
      </w:r>
      <w:r w:rsidR="00C6118F">
        <w:t>:</w:t>
      </w:r>
      <w:r w:rsidR="0081290A">
        <w:t xml:space="preserve"> </w:t>
      </w:r>
      <w:r w:rsidR="003B7BB1">
        <w:t xml:space="preserve"> the casino as a si</w:t>
      </w:r>
      <w:r w:rsidR="009D149E">
        <w:t>te of exploitation and profiteering from the apartheid syste</w:t>
      </w:r>
      <w:r w:rsidR="003B7BB1">
        <w:t>m</w:t>
      </w:r>
      <w:r w:rsidR="00C6118F">
        <w:t>;</w:t>
      </w:r>
      <w:r w:rsidR="009D149E">
        <w:t xml:space="preserve"> </w:t>
      </w:r>
      <w:r w:rsidR="00C6118F">
        <w:t>and</w:t>
      </w:r>
      <w:r w:rsidR="009D149E">
        <w:t xml:space="preserve"> the</w:t>
      </w:r>
      <w:r w:rsidR="003B7BB1">
        <w:t xml:space="preserve"> resort as an opportunity for employmen</w:t>
      </w:r>
      <w:r w:rsidR="00B847FD">
        <w:t>t, economic growth and infrastructure development</w:t>
      </w:r>
      <w:r w:rsidR="003B7BB1">
        <w:t xml:space="preserve">. </w:t>
      </w:r>
      <w:r w:rsidR="0081290A">
        <w:t xml:space="preserve"> Hotelier Sol Kerzner utilised the political and moral landscape of apartheid South Africa, </w:t>
      </w:r>
      <w:r w:rsidR="00216919">
        <w:t>and drew</w:t>
      </w:r>
      <w:r w:rsidR="0081290A">
        <w:t xml:space="preserve"> on bantustan </w:t>
      </w:r>
      <w:r w:rsidR="000A67CB">
        <w:t>“independence”</w:t>
      </w:r>
      <w:r w:rsidR="0081290A">
        <w:t xml:space="preserve"> to establish several casinos in select bantustans. </w:t>
      </w:r>
      <w:r w:rsidR="00B847FD">
        <w:t xml:space="preserve">This thesis will argue that he exploited and profited directly from the homeland policy. This will be contrasted against Sun City’s role in employment of Bophuthatswana residents and the economic contributions that the casino offered to the bantustan, such as taxation. </w:t>
      </w:r>
      <w:r w:rsidR="00216919">
        <w:t>It</w:t>
      </w:r>
      <w:r w:rsidR="00B847FD">
        <w:t xml:space="preserve"> will be researched with direct reference to the relationship between Southern Sun and Lucas Mangope’s government and </w:t>
      </w:r>
      <w:r w:rsidR="003B7BB1">
        <w:rPr>
          <w:rFonts w:cs="Times New Roman"/>
          <w:szCs w:val="24"/>
        </w:rPr>
        <w:t xml:space="preserve">agreements with the </w:t>
      </w:r>
      <w:r w:rsidR="000A67CB">
        <w:t xml:space="preserve">Bophuthatswana National </w:t>
      </w:r>
      <w:r w:rsidR="00B847FD">
        <w:rPr>
          <w:rFonts w:cs="Times New Roman"/>
          <w:szCs w:val="24"/>
        </w:rPr>
        <w:t>Development Corporation (</w:t>
      </w:r>
      <w:r w:rsidR="003B7BB1">
        <w:rPr>
          <w:rFonts w:cs="Times New Roman"/>
          <w:szCs w:val="24"/>
        </w:rPr>
        <w:t>BNDC</w:t>
      </w:r>
      <w:r w:rsidR="00B847FD">
        <w:rPr>
          <w:rFonts w:cs="Times New Roman"/>
          <w:szCs w:val="24"/>
        </w:rPr>
        <w:t>)</w:t>
      </w:r>
      <w:r w:rsidR="003B7BB1">
        <w:rPr>
          <w:rFonts w:cs="Times New Roman"/>
          <w:szCs w:val="24"/>
        </w:rPr>
        <w:t xml:space="preserve">. </w:t>
      </w:r>
      <w:r w:rsidR="003B7BB1">
        <w:t>Emphasis will be placed on the infrastructure the resort bro</w:t>
      </w:r>
      <w:r w:rsidR="00B847FD">
        <w:t>ught to the surrounding area</w:t>
      </w:r>
      <w:r w:rsidR="003B7BB1">
        <w:t xml:space="preserve"> as well as the contrast between the resort and its impoverished surroundings. </w:t>
      </w:r>
    </w:p>
    <w:p w14:paraId="411E46A4" w14:textId="77777777" w:rsidR="004A27DE" w:rsidRDefault="00B847FD" w:rsidP="00FB725F">
      <w:r>
        <w:t>A central point of the thesis will be</w:t>
      </w:r>
      <w:r w:rsidR="003B7BB1">
        <w:t xml:space="preserve"> Sun City’s ro</w:t>
      </w:r>
      <w:r w:rsidR="00216919">
        <w:t>le in promoting Bophuthatswana as a state</w:t>
      </w:r>
      <w:r w:rsidR="000A67CB">
        <w:t xml:space="preserve"> “independent”</w:t>
      </w:r>
      <w:r>
        <w:t xml:space="preserve"> from South </w:t>
      </w:r>
      <w:r w:rsidR="00D112D3">
        <w:t xml:space="preserve">Africa. This was largely achieved through the tourism attractions offered by Sun City and their neighbouring game reserve, the Pilanesberg National Park. Sun City will </w:t>
      </w:r>
      <w:r w:rsidR="00216919">
        <w:t xml:space="preserve">also </w:t>
      </w:r>
      <w:r w:rsidR="00D112D3">
        <w:t>be discussed in</w:t>
      </w:r>
      <w:r>
        <w:t xml:space="preserve"> reference to the cultural boycott imposed on apartheid South Africa.  In the 1980s Sun City became the focal point for the cultural boycott and received harsh criticism and reproach from a host of international bodies, including the </w:t>
      </w:r>
      <w:r w:rsidR="00836C54">
        <w:t>UN</w:t>
      </w:r>
      <w:r>
        <w:t xml:space="preserve">. </w:t>
      </w:r>
      <w:r w:rsidR="003B7BB1">
        <w:rPr>
          <w:rFonts w:cs="Times New Roman"/>
          <w:szCs w:val="24"/>
        </w:rPr>
        <w:t>Tourism, from South Africa and abroad, will be examined to determine possible revenue streams</w:t>
      </w:r>
      <w:r w:rsidR="00D112D3">
        <w:rPr>
          <w:rFonts w:cs="Times New Roman"/>
          <w:szCs w:val="24"/>
        </w:rPr>
        <w:t>.</w:t>
      </w:r>
      <w:r w:rsidR="003B7BB1">
        <w:rPr>
          <w:rFonts w:cs="Times New Roman"/>
          <w:szCs w:val="24"/>
        </w:rPr>
        <w:t xml:space="preserve"> </w:t>
      </w:r>
      <w:r w:rsidR="00D112D3">
        <w:rPr>
          <w:rFonts w:cs="Times New Roman"/>
          <w:szCs w:val="24"/>
        </w:rPr>
        <w:t xml:space="preserve">This </w:t>
      </w:r>
      <w:r w:rsidR="00D112D3">
        <w:rPr>
          <w:rFonts w:cs="Times New Roman"/>
          <w:szCs w:val="24"/>
        </w:rPr>
        <w:lastRenderedPageBreak/>
        <w:t>will be discussed with direct reference to the desire of</w:t>
      </w:r>
      <w:r w:rsidR="003B7BB1">
        <w:rPr>
          <w:rFonts w:cs="Times New Roman"/>
          <w:szCs w:val="24"/>
        </w:rPr>
        <w:t xml:space="preserve"> </w:t>
      </w:r>
      <w:r w:rsidR="00836C54">
        <w:rPr>
          <w:rFonts w:cs="Times New Roman"/>
          <w:szCs w:val="24"/>
        </w:rPr>
        <w:t>Mangope</w:t>
      </w:r>
      <w:r w:rsidR="00FA6A91">
        <w:rPr>
          <w:rFonts w:cs="Times New Roman"/>
          <w:szCs w:val="24"/>
        </w:rPr>
        <w:t xml:space="preserve"> to legitimise the bantus</w:t>
      </w:r>
      <w:r w:rsidR="003B7BB1">
        <w:rPr>
          <w:rFonts w:cs="Times New Roman"/>
          <w:szCs w:val="24"/>
        </w:rPr>
        <w:t xml:space="preserve">tan independence internationally. </w:t>
      </w:r>
      <w:r w:rsidR="003B7BB1">
        <w:t>The</w:t>
      </w:r>
      <w:r>
        <w:t xml:space="preserve"> thesis will further explore</w:t>
      </w:r>
      <w:r w:rsidR="00216919">
        <w:t xml:space="preserve"> the</w:t>
      </w:r>
      <w:r w:rsidR="003B7BB1">
        <w:t xml:space="preserve"> casino as a site of conspicuous consumption and financial expenditure for the </w:t>
      </w:r>
      <w:r w:rsidR="00216919">
        <w:t xml:space="preserve">white </w:t>
      </w:r>
      <w:r w:rsidR="003B7BB1">
        <w:t xml:space="preserve">South African </w:t>
      </w:r>
      <w:r w:rsidR="00D112D3">
        <w:t>population as</w:t>
      </w:r>
      <w:r>
        <w:t xml:space="preserve"> well as the newly emerged Bophuthatswana middle class and bureaucratic elite</w:t>
      </w:r>
      <w:r w:rsidR="00D112D3">
        <w:t xml:space="preserve">. </w:t>
      </w:r>
      <w:r w:rsidR="003B7BB1">
        <w:t xml:space="preserve">Lastly, the post 1994 incorporation of the bantustan and its casino into the new South Africa will be outlined to gain perspective on current developments. </w:t>
      </w:r>
    </w:p>
    <w:p w14:paraId="4188CD52" w14:textId="77777777" w:rsidR="00CD7311" w:rsidRDefault="00CD7311" w:rsidP="00FB725F">
      <w:r>
        <w:t xml:space="preserve">Chapter one looks at the history of </w:t>
      </w:r>
      <w:r w:rsidR="00994A07">
        <w:t xml:space="preserve">the </w:t>
      </w:r>
      <w:r>
        <w:t xml:space="preserve">Sun International corporation, as well as the construction of the Sun </w:t>
      </w:r>
      <w:r w:rsidR="00994A07">
        <w:t>City resort, whereas the second chapter analyses the employment and labour issues of the casino. The third chapter examines the Sun City casino complex as a site of escap</w:t>
      </w:r>
      <w:r w:rsidR="004D0C71">
        <w:t>e</w:t>
      </w:r>
      <w:r w:rsidR="00994A07">
        <w:t xml:space="preserve"> and conspicuous consumption. Chapter four chronicles the casino’s involvement in the sanctions and boycotts, </w:t>
      </w:r>
      <w:r w:rsidR="00FA6A91">
        <w:t>regarding</w:t>
      </w:r>
      <w:r w:rsidR="00994A07">
        <w:t xml:space="preserve"> sport and music. The last chapter investigates the transition period from 1990 onwards. </w:t>
      </w:r>
    </w:p>
    <w:p w14:paraId="3839A5D8" w14:textId="77777777" w:rsidR="00757572" w:rsidRPr="00D112D3" w:rsidRDefault="00757572" w:rsidP="00FB725F">
      <w:r>
        <w:t>In terms of the contribution to scholarly debate</w:t>
      </w:r>
      <w:r w:rsidR="004A27DE">
        <w:t xml:space="preserve"> on bantustan historiography</w:t>
      </w:r>
      <w:r>
        <w:t xml:space="preserve">, this thesis will augment the understanding of the </w:t>
      </w:r>
      <w:r w:rsidR="004A27DE">
        <w:t>political economy of</w:t>
      </w:r>
      <w:r>
        <w:t xml:space="preserve"> Bophuthatsw</w:t>
      </w:r>
      <w:r w:rsidR="004A27DE">
        <w:t xml:space="preserve">ana, with specific reference to </w:t>
      </w:r>
      <w:r w:rsidR="00216919">
        <w:t>Sun City</w:t>
      </w:r>
      <w:r>
        <w:t>. It will seek to supplement the intellectual agenda set out by the NRF Chair</w:t>
      </w:r>
      <w:r w:rsidR="00216919">
        <w:t xml:space="preserve"> in ‘Local Histories and Present Realities’</w:t>
      </w:r>
      <w:r>
        <w:t xml:space="preserve"> </w:t>
      </w:r>
      <w:r w:rsidR="004A27DE">
        <w:t xml:space="preserve">to encourage research in this field and </w:t>
      </w:r>
      <w:r>
        <w:t>contribute to further comprehension of the history of the former bantustans.</w:t>
      </w:r>
    </w:p>
    <w:p w14:paraId="169C2E42" w14:textId="77777777" w:rsidR="00C7587E" w:rsidRPr="00C7587E" w:rsidRDefault="00C7587E" w:rsidP="00FB725F">
      <w:pPr>
        <w:rPr>
          <w:b/>
          <w:i/>
        </w:rPr>
      </w:pPr>
      <w:r>
        <w:rPr>
          <w:b/>
          <w:i/>
        </w:rPr>
        <w:t>Sources</w:t>
      </w:r>
    </w:p>
    <w:p w14:paraId="00A744D7" w14:textId="77777777" w:rsidR="00C7587E" w:rsidRDefault="00C7587E" w:rsidP="00C7587E">
      <w:r>
        <w:t xml:space="preserve">The </w:t>
      </w:r>
      <w:r w:rsidR="00566FF7">
        <w:t>primary sources</w:t>
      </w:r>
      <w:r>
        <w:t xml:space="preserve"> used for this res</w:t>
      </w:r>
      <w:r w:rsidR="00016AA7">
        <w:t xml:space="preserve">earch project were </w:t>
      </w:r>
      <w:r>
        <w:t xml:space="preserve">obtained from archival repositories and oral sources. The </w:t>
      </w:r>
      <w:r w:rsidR="00566FF7">
        <w:t xml:space="preserve">documentary </w:t>
      </w:r>
      <w:r>
        <w:t>sources were obtained from the National Archives of South Africa located in Pretoria from the following collections</w:t>
      </w:r>
      <w:r w:rsidR="00566FF7">
        <w:t>:</w:t>
      </w:r>
      <w:r>
        <w:t xml:space="preserve"> </w:t>
      </w:r>
      <w:r w:rsidR="00566FF7">
        <w:t>Department of</w:t>
      </w:r>
      <w:r>
        <w:t xml:space="preserve"> Foreign Affairs, </w:t>
      </w:r>
      <w:r w:rsidR="00566FF7">
        <w:t xml:space="preserve">Department </w:t>
      </w:r>
      <w:r>
        <w:t xml:space="preserve">of Home </w:t>
      </w:r>
      <w:r w:rsidRPr="00154956">
        <w:t>Affairs, the Department o</w:t>
      </w:r>
      <w:r w:rsidR="00D112D3">
        <w:t>f Co-Operation and Development</w:t>
      </w:r>
      <w:r w:rsidRPr="00154956">
        <w:t>, Ministry of Constitutional Development and Planning Research</w:t>
      </w:r>
      <w:r>
        <w:t xml:space="preserve"> and the Department of Native Administration and Development. Research was also conducted at the North-West </w:t>
      </w:r>
      <w:r w:rsidR="00566FF7">
        <w:t>Provincial A</w:t>
      </w:r>
      <w:r>
        <w:t>rc</w:t>
      </w:r>
      <w:r w:rsidR="00216919">
        <w:t xml:space="preserve">hives in Mafikeng. The archive </w:t>
      </w:r>
      <w:r>
        <w:t xml:space="preserve">contains </w:t>
      </w:r>
      <w:r w:rsidR="00566FF7">
        <w:t xml:space="preserve">the </w:t>
      </w:r>
      <w:r>
        <w:t xml:space="preserve">Bophuthatswana </w:t>
      </w:r>
      <w:r w:rsidR="00CD7311">
        <w:t xml:space="preserve">Papers </w:t>
      </w:r>
      <w:r w:rsidR="00566FF7">
        <w:t xml:space="preserve">and those of the </w:t>
      </w:r>
      <w:r w:rsidR="00CD7311">
        <w:t>O</w:t>
      </w:r>
      <w:r w:rsidR="00566FF7">
        <w:t>ffice of the President</w:t>
      </w:r>
      <w:r>
        <w:t xml:space="preserve">, including correspondence with Sun International. Online archives from North-Western University and Michigan State University were consulted, where the Africana and Artists Against Apartheid collections </w:t>
      </w:r>
      <w:r w:rsidR="00016AA7">
        <w:t>were used respectively</w:t>
      </w:r>
      <w:r>
        <w:t xml:space="preserve">. Interviews were conducted with past and present employees of the Sun City resort and casino as well as members of the </w:t>
      </w:r>
      <w:r w:rsidR="000A67CB">
        <w:t>BNDC.</w:t>
      </w:r>
      <w:r>
        <w:t xml:space="preserve"> The list of oral sources also includes academics, writers, tourists and previous contestants of the Miss South Africa pageant held at Sun City. </w:t>
      </w:r>
      <w:r w:rsidR="00566FF7">
        <w:t xml:space="preserve">Other primary </w:t>
      </w:r>
      <w:r>
        <w:t xml:space="preserve">sources include newspapers, magazines, pamphlets and brochures. Newspapers </w:t>
      </w:r>
      <w:r>
        <w:lastRenderedPageBreak/>
        <w:t xml:space="preserve">utilised in this thesis were </w:t>
      </w:r>
      <w:r>
        <w:rPr>
          <w:i/>
        </w:rPr>
        <w:t>The Mafikeng Mail</w:t>
      </w:r>
      <w:r>
        <w:t xml:space="preserve">, a Bophuthatswana publication, as well as </w:t>
      </w:r>
      <w:r>
        <w:rPr>
          <w:i/>
        </w:rPr>
        <w:t xml:space="preserve">Time Magazine, The New York Times, The Mail and Guardian and The Sowetan. </w:t>
      </w:r>
      <w:r w:rsidR="00216919">
        <w:t xml:space="preserve">Magazines publishes by Sun International as well as promotional material were also used. </w:t>
      </w:r>
    </w:p>
    <w:p w14:paraId="2C089BB0" w14:textId="77777777" w:rsidR="00C7587E" w:rsidRPr="00C7587E" w:rsidRDefault="00C7587E" w:rsidP="00C7587E">
      <w:pPr>
        <w:rPr>
          <w:b/>
          <w:i/>
        </w:rPr>
      </w:pPr>
      <w:r>
        <w:rPr>
          <w:b/>
          <w:i/>
        </w:rPr>
        <w:t>Limitations of the Study</w:t>
      </w:r>
    </w:p>
    <w:p w14:paraId="61496F86" w14:textId="77777777" w:rsidR="00C7587E" w:rsidRDefault="00C7587E" w:rsidP="00FB725F">
      <w:r>
        <w:t xml:space="preserve">Oral sources proved elusive in this research project, </w:t>
      </w:r>
      <w:r w:rsidR="00566FF7">
        <w:t xml:space="preserve">as </w:t>
      </w:r>
      <w:r>
        <w:t xml:space="preserve">many </w:t>
      </w:r>
      <w:r w:rsidR="00566FF7">
        <w:t xml:space="preserve">participants </w:t>
      </w:r>
      <w:r>
        <w:t xml:space="preserve">were unwilling to disclose information pertaining to the government of Bophuthatswana and Sun International operations. This study looks solely at the Sun City casino in Bophuthatswana and does not include research on casinos located in other areas of Bophuthatswana or other bantustans. </w:t>
      </w:r>
      <w:r w:rsidR="001E600F">
        <w:t>Thus</w:t>
      </w:r>
      <w:r w:rsidR="00016AA7">
        <w:t>,</w:t>
      </w:r>
      <w:r>
        <w:t xml:space="preserve"> it is very focused study due to the lack of resources and time to investigate other casino sites. </w:t>
      </w:r>
    </w:p>
    <w:p w14:paraId="5948630C" w14:textId="77777777" w:rsidR="00A36279" w:rsidRDefault="00A36279" w:rsidP="00FB725F">
      <w:r>
        <w:t xml:space="preserve">Sun City is guarded about its information, tourist demographics and statistics. </w:t>
      </w:r>
      <w:r w:rsidR="00225164">
        <w:t>Specifically</w:t>
      </w:r>
      <w:r w:rsidR="00566FF7">
        <w:t>,</w:t>
      </w:r>
      <w:r w:rsidR="00225164">
        <w:t xml:space="preserve"> a</w:t>
      </w:r>
      <w:r>
        <w:t>ccess to guest sign in books was denied by Sun International</w:t>
      </w:r>
      <w:r w:rsidR="00225164">
        <w:t xml:space="preserve"> and contact</w:t>
      </w:r>
      <w:r>
        <w:t xml:space="preserve"> </w:t>
      </w:r>
      <w:r w:rsidR="00566FF7">
        <w:t xml:space="preserve">with </w:t>
      </w:r>
      <w:r>
        <w:t xml:space="preserve">staff for interviews </w:t>
      </w:r>
      <w:r w:rsidR="00566FF7">
        <w:t xml:space="preserve">was </w:t>
      </w:r>
      <w:r w:rsidR="00225164">
        <w:t>limited. T</w:t>
      </w:r>
      <w:r>
        <w:t xml:space="preserve">he marketing </w:t>
      </w:r>
      <w:r w:rsidR="00225164">
        <w:t>managers</w:t>
      </w:r>
      <w:r>
        <w:t xml:space="preserve"> were guarded a</w:t>
      </w:r>
      <w:r w:rsidR="00225164">
        <w:t>nd wished to remain anonymous, whilst q</w:t>
      </w:r>
      <w:r>
        <w:t xml:space="preserve">uestions about Sun City during apartheid were answered with caution and scepticism. It was evident that </w:t>
      </w:r>
      <w:r w:rsidR="00566FF7">
        <w:t xml:space="preserve">employees </w:t>
      </w:r>
      <w:r>
        <w:t xml:space="preserve">wished to limit the </w:t>
      </w:r>
      <w:r w:rsidR="00566FF7">
        <w:t xml:space="preserve">conversation </w:t>
      </w:r>
      <w:r>
        <w:t xml:space="preserve">to promoting the modern Sun City resort. Interviews with staff had to be cleared with the marketing coordinator and were limited to </w:t>
      </w:r>
      <w:r w:rsidR="00C52107">
        <w:t xml:space="preserve">individuals </w:t>
      </w:r>
      <w:r>
        <w:t xml:space="preserve">she had selected. </w:t>
      </w:r>
      <w:r w:rsidR="00225164">
        <w:t>Employees</w:t>
      </w:r>
      <w:r>
        <w:t xml:space="preserve"> are instructed not </w:t>
      </w:r>
      <w:r w:rsidR="00F3531F">
        <w:t xml:space="preserve">to </w:t>
      </w:r>
      <w:r w:rsidR="00D112D3">
        <w:t>answer any questions a guest might have and are told to r</w:t>
      </w:r>
      <w:r>
        <w:t xml:space="preserve">eport </w:t>
      </w:r>
      <w:r w:rsidR="00216919">
        <w:t xml:space="preserve">such requests </w:t>
      </w:r>
      <w:r>
        <w:t xml:space="preserve">to the </w:t>
      </w:r>
      <w:r w:rsidR="00216919">
        <w:t>management</w:t>
      </w:r>
      <w:r>
        <w:t xml:space="preserve"> team. This can be credited to their reluctance to publicly acknowledge their </w:t>
      </w:r>
      <w:r w:rsidR="00F3531F">
        <w:t>historical</w:t>
      </w:r>
      <w:r>
        <w:t xml:space="preserve"> collusion with </w:t>
      </w:r>
      <w:r w:rsidR="00C52107">
        <w:t xml:space="preserve">the </w:t>
      </w:r>
      <w:r>
        <w:t>apartheid</w:t>
      </w:r>
      <w:r w:rsidR="00C52107">
        <w:t xml:space="preserve"> regime</w:t>
      </w:r>
      <w:r>
        <w:t xml:space="preserve">. </w:t>
      </w:r>
    </w:p>
    <w:p w14:paraId="490CB327" w14:textId="77777777" w:rsidR="004D0C71" w:rsidRDefault="004D0C71">
      <w:pPr>
        <w:spacing w:line="259" w:lineRule="auto"/>
        <w:jc w:val="left"/>
        <w:rPr>
          <w:rFonts w:eastAsiaTheme="majorEastAsia" w:cstheme="majorBidi"/>
          <w:b/>
          <w:bCs/>
          <w:smallCaps/>
          <w:color w:val="000000" w:themeColor="text1"/>
          <w:sz w:val="28"/>
          <w:szCs w:val="36"/>
        </w:rPr>
      </w:pPr>
      <w:bookmarkStart w:id="6" w:name="_Toc459702956"/>
      <w:r>
        <w:br w:type="page"/>
      </w:r>
    </w:p>
    <w:p w14:paraId="0741B94F" w14:textId="77777777" w:rsidR="00CD4878" w:rsidRPr="003C6EF5" w:rsidRDefault="002817A0" w:rsidP="001C0747">
      <w:pPr>
        <w:pStyle w:val="Heading1"/>
        <w:numPr>
          <w:ilvl w:val="0"/>
          <w:numId w:val="0"/>
        </w:numPr>
        <w:rPr>
          <w:i/>
        </w:rPr>
      </w:pPr>
      <w:bookmarkStart w:id="7" w:name="_Toc488481700"/>
      <w:r>
        <w:lastRenderedPageBreak/>
        <w:t>C</w:t>
      </w:r>
      <w:r w:rsidR="00CD4878" w:rsidRPr="003C6EF5">
        <w:t xml:space="preserve">HAPTER </w:t>
      </w:r>
      <w:r w:rsidR="00CD4878">
        <w:t>ONE</w:t>
      </w:r>
      <w:r w:rsidR="00CD4878" w:rsidRPr="003C6EF5">
        <w:t xml:space="preserve">: </w:t>
      </w:r>
      <w:r w:rsidR="00CD4878">
        <w:rPr>
          <w:i/>
        </w:rPr>
        <w:t>Building a Palace in the Sun</w:t>
      </w:r>
      <w:bookmarkEnd w:id="6"/>
      <w:bookmarkEnd w:id="7"/>
    </w:p>
    <w:p w14:paraId="7F6ED2E1" w14:textId="77777777" w:rsidR="00CD4878" w:rsidRDefault="00CD4878" w:rsidP="00CD4878">
      <w:pPr>
        <w:pStyle w:val="Heading2"/>
        <w:numPr>
          <w:ilvl w:val="0"/>
          <w:numId w:val="0"/>
        </w:numPr>
        <w:ind w:left="578" w:hanging="578"/>
      </w:pPr>
      <w:bookmarkStart w:id="8" w:name="_Toc459702957"/>
      <w:bookmarkStart w:id="9" w:name="_Toc488481701"/>
      <w:r>
        <w:t>Introduction</w:t>
      </w:r>
      <w:bookmarkEnd w:id="8"/>
      <w:bookmarkEnd w:id="9"/>
    </w:p>
    <w:p w14:paraId="599CF101" w14:textId="77777777" w:rsidR="00CD4878" w:rsidRDefault="00CD4878" w:rsidP="00CD4878">
      <w:pPr>
        <w:pStyle w:val="Subtitle"/>
        <w:ind w:right="0"/>
      </w:pPr>
      <w:r w:rsidRPr="002F547A">
        <w:t>It was early 1978. Sol Kerzner stood on a parched outcrop of rocky terrain called the Pilan</w:t>
      </w:r>
      <w:r>
        <w:t>e</w:t>
      </w:r>
      <w:r w:rsidRPr="002F547A">
        <w:t xml:space="preserve">sberg. He made his decision there and then. This would be his place in the sun – his </w:t>
      </w:r>
      <w:r w:rsidRPr="00502923">
        <w:rPr>
          <w:i/>
        </w:rPr>
        <w:t>Letsatsing</w:t>
      </w:r>
      <w:r w:rsidRPr="002F547A">
        <w:t xml:space="preserve"> as the Tswana’s would say.</w:t>
      </w:r>
      <w:r>
        <w:rPr>
          <w:rStyle w:val="FootnoteReference"/>
        </w:rPr>
        <w:footnoteReference w:id="47"/>
      </w:r>
    </w:p>
    <w:p w14:paraId="74D6A986" w14:textId="77777777" w:rsidR="00CD4878" w:rsidRDefault="00CD4878" w:rsidP="00CD4878">
      <w:r>
        <w:t xml:space="preserve">Sol Kerzner, owner of the resort and casino Sun City, is widely regarded as one of South Africa’s wealthiest self-made men. The late </w:t>
      </w:r>
      <w:r w:rsidR="0004633D">
        <w:t>South African president Nelson Mandela</w:t>
      </w:r>
      <w:r>
        <w:t xml:space="preserve"> declared Kerzner “by far the greatest entrepreneur in this country’s tourist history”.</w:t>
      </w:r>
      <w:r>
        <w:rPr>
          <w:rStyle w:val="FootnoteReference"/>
        </w:rPr>
        <w:footnoteReference w:id="48"/>
      </w:r>
      <w:r>
        <w:t xml:space="preserve"> A descendant of Jewish Ukrainian immigrants, Kerzner is colloquially known as ‘the Sun King’, so named after his company a</w:t>
      </w:r>
      <w:r w:rsidR="000A67CB">
        <w:t>nd resorts which all boast “sun”</w:t>
      </w:r>
      <w:r>
        <w:t xml:space="preserve"> in the name. </w:t>
      </w:r>
    </w:p>
    <w:p w14:paraId="6A3264AD" w14:textId="77777777" w:rsidR="0004633D" w:rsidRDefault="00CD4878" w:rsidP="00CD4878">
      <w:r>
        <w:t xml:space="preserve">Following the 1965 decision of the </w:t>
      </w:r>
      <w:r w:rsidR="00756A84">
        <w:t>NP</w:t>
      </w:r>
      <w:r>
        <w:t xml:space="preserve"> </w:t>
      </w:r>
      <w:r w:rsidR="00202C82">
        <w:t xml:space="preserve">government </w:t>
      </w:r>
      <w:r>
        <w:t xml:space="preserve">to prohibit most forms of gambling Kerzner expanded his business portfolio of hotels into the bantustans, building casinos under his company name, Southern Sun. In 1977, a host of casinos began to pop up in the homelands. Kerzner maintained working relationships with both the bantustans and the South African government, as well as South African private enterprises. From the late 1970s onwards, Southern Sun expanded rapidly and the company underwent large restructuring. </w:t>
      </w:r>
    </w:p>
    <w:p w14:paraId="2A4D2960" w14:textId="77777777" w:rsidR="00CD4878" w:rsidRDefault="00CD4878" w:rsidP="00CD4878">
      <w:r>
        <w:t>The hotel group’s flagship resort, Sun City, began construction in 1979. The mega-resort</w:t>
      </w:r>
      <w:r w:rsidR="002B45F7">
        <w:t>,</w:t>
      </w:r>
      <w:r>
        <w:t xml:space="preserve"> in the Bophuthatswana bushveld of the Pilanesberg</w:t>
      </w:r>
      <w:r w:rsidR="002B45F7">
        <w:t>,</w:t>
      </w:r>
      <w:r>
        <w:t xml:space="preserve"> was a star studded and opulent multi-million-dollar resort. The slot machines, poker tables and revue chorus girls would attract up to 50, 000 visitors a day, mostly affluent white South Africans</w:t>
      </w:r>
      <w:r w:rsidR="002B45F7">
        <w:t>,</w:t>
      </w:r>
      <w:r>
        <w:t xml:space="preserve"> making the short drive from the Transvaal to take advantage of the bantustan’s open policies. White and black could mingle openly, gambling was encouraged, pornography accepted and the sports and cultural boycotts ignored.</w:t>
      </w:r>
      <w:r>
        <w:rPr>
          <w:rStyle w:val="FootnoteReference"/>
        </w:rPr>
        <w:footnoteReference w:id="49"/>
      </w:r>
      <w:r>
        <w:t xml:space="preserve"> </w:t>
      </w:r>
      <w:r w:rsidRPr="002D733E">
        <w:rPr>
          <w:i/>
        </w:rPr>
        <w:t xml:space="preserve">New York Times </w:t>
      </w:r>
      <w:r>
        <w:t>correspondent Bill Keller wrote in 1992 that the resort had become a tourist mecca in the homeland, but warned that “you are in Africa, but in no particular place”, criticizing the generic depiction of Africa.</w:t>
      </w:r>
      <w:r>
        <w:rPr>
          <w:rStyle w:val="FootnoteReference"/>
        </w:rPr>
        <w:footnoteReference w:id="50"/>
      </w:r>
      <w:r>
        <w:t xml:space="preserve"> Kerzner had attempted to </w:t>
      </w:r>
      <w:r>
        <w:lastRenderedPageBreak/>
        <w:t>recreate the mythology and heritage of Africa within the Bophuthatswana bushveld, but instead had achieved the opulence of Las Vegas with an architectural eclectic medley.</w:t>
      </w:r>
      <w:r>
        <w:rPr>
          <w:rStyle w:val="FootnoteReference"/>
        </w:rPr>
        <w:footnoteReference w:id="51"/>
      </w:r>
      <w:r>
        <w:t xml:space="preserve"> </w:t>
      </w:r>
    </w:p>
    <w:p w14:paraId="6D390A42" w14:textId="77777777" w:rsidR="00CD4878" w:rsidRDefault="00CD4878" w:rsidP="00CD4878">
      <w:r>
        <w:t>However, the resort would soon attract global attention as opposition to apartheid grew in the international community. Sun City contrasted starkly with the poverty strick</w:t>
      </w:r>
      <w:r w:rsidR="00E86F93">
        <w:t>en rural district it was built around</w:t>
      </w:r>
      <w:r>
        <w:t>.</w:t>
      </w:r>
      <w:r>
        <w:rPr>
          <w:rStyle w:val="FootnoteReference"/>
        </w:rPr>
        <w:footnoteReference w:id="52"/>
      </w:r>
      <w:r>
        <w:t xml:space="preserve"> </w:t>
      </w:r>
      <w:r w:rsidR="00E86F93">
        <w:t>In response to this</w:t>
      </w:r>
      <w:r>
        <w:t>, Kerzner intimated that Sun City turned over half the profits to the residents of Bophuthat</w:t>
      </w:r>
      <w:r w:rsidR="002B45F7">
        <w:t xml:space="preserve">swana and that the resort was an employment </w:t>
      </w:r>
      <w:r>
        <w:t>and revenue creator for the homeland.</w:t>
      </w:r>
      <w:r>
        <w:rPr>
          <w:rStyle w:val="FootnoteReference"/>
        </w:rPr>
        <w:footnoteReference w:id="53"/>
      </w:r>
      <w:r>
        <w:t xml:space="preserve"> </w:t>
      </w:r>
      <w:r w:rsidR="00E86F93">
        <w:t>Yet</w:t>
      </w:r>
      <w:r>
        <w:t>, the residents saw very little of the money generated from the casino and Kerzner was heavily critiqued f</w:t>
      </w:r>
      <w:r w:rsidR="00E86F93">
        <w:t>or his relationship with the NP and</w:t>
      </w:r>
      <w:r>
        <w:t xml:space="preserve"> for his role in propping up the illegitimate bantustans. After the collapse of the apartheid regime, </w:t>
      </w:r>
      <w:r w:rsidR="00FA6A91">
        <w:t>Kerzner</w:t>
      </w:r>
      <w:r>
        <w:t xml:space="preserve"> eschewed allegations</w:t>
      </w:r>
      <w:r w:rsidR="00E86F93">
        <w:t xml:space="preserve"> of</w:t>
      </w:r>
      <w:r>
        <w:t xml:space="preserve"> bribery in Bophuthatswana and several other bantustans.</w:t>
      </w:r>
      <w:r w:rsidRPr="006F152E">
        <w:rPr>
          <w:rStyle w:val="FootnoteReference"/>
        </w:rPr>
        <w:footnoteReference w:id="54"/>
      </w:r>
      <w:r w:rsidRPr="006F152E">
        <w:t xml:space="preserve"> </w:t>
      </w:r>
    </w:p>
    <w:p w14:paraId="404B83A2" w14:textId="77777777" w:rsidR="00CD4878" w:rsidRDefault="00CD4878" w:rsidP="00CD4878">
      <w:pPr>
        <w:tabs>
          <w:tab w:val="left" w:pos="2694"/>
        </w:tabs>
      </w:pPr>
      <w:r>
        <w:t xml:space="preserve">This chapter will explore the establishment of Sol Kerzner’s company, Southern Sun (later known as Sun International), and its role as a large </w:t>
      </w:r>
      <w:r w:rsidR="002B45F7">
        <w:t>corporation</w:t>
      </w:r>
      <w:r>
        <w:t xml:space="preserve"> within the southern African hospitality industry. The rise of Kerzner and Southern Sun to dominance within the South African tourist industry in the 1960s will be investigated. The chapter will assess the infl</w:t>
      </w:r>
      <w:r w:rsidR="00E86F93">
        <w:t>uence of Southern Sun investors,</w:t>
      </w:r>
      <w:r>
        <w:t xml:space="preserve"> the South African and the Bophuthatswana governments in establishing Sun City, focusing on the establishment of a casino in an apartheid bantustan. The diplomatic relationship between South Africa and Bophuthatswana will be analysed. The role tourism and Sun City played in th</w:t>
      </w:r>
      <w:r w:rsidR="000A67CB">
        <w:t>e formation of a “Tswana nation”</w:t>
      </w:r>
      <w:r>
        <w:t xml:space="preserve"> and the promotion of the Bantustan project will be examined. The construction of Sun City and its impact on the surrounding areas, in terms of infrastructure and tourism, will be discussed. Lastly, Sun City, as Kerzner’s hotel masterpiece, will be evaluated in terms of its </w:t>
      </w:r>
      <w:r w:rsidR="00FA6A91">
        <w:t>appropriation</w:t>
      </w:r>
      <w:r>
        <w:t xml:space="preserve"> of African history and culture. The chapter is based on documentary sources from the Office of the President in the Bophuthatswana papers in Mafikeng. It also includes interviews with individuals involved in the establishment and marketing of Sun City during the 1970s and 1980s. </w:t>
      </w:r>
    </w:p>
    <w:p w14:paraId="2C05A8DB" w14:textId="77777777" w:rsidR="00CD4878" w:rsidRPr="00046755" w:rsidRDefault="00CD4878" w:rsidP="00CD4878">
      <w:pPr>
        <w:pStyle w:val="Heading2"/>
        <w:numPr>
          <w:ilvl w:val="0"/>
          <w:numId w:val="0"/>
        </w:numPr>
        <w:ind w:left="578" w:hanging="578"/>
      </w:pPr>
      <w:bookmarkStart w:id="10" w:name="_Toc459702958"/>
      <w:bookmarkStart w:id="11" w:name="_Toc488481702"/>
      <w:r>
        <w:lastRenderedPageBreak/>
        <w:t>Southern Sun meets Sun International</w:t>
      </w:r>
      <w:bookmarkEnd w:id="10"/>
      <w:bookmarkEnd w:id="11"/>
    </w:p>
    <w:p w14:paraId="702BAC94" w14:textId="77777777" w:rsidR="00CD4878" w:rsidRDefault="00CD4878" w:rsidP="00CD4878">
      <w:r>
        <w:t>More than five decades ago, in December 1964, Sol Kerzner built his first hotel, situated on the north coast of Durban in Umhlanga. To build the hotel, he borrowed heavily from the banks and invested his parent’s life savings, despite limited tourist development north of Durban.</w:t>
      </w:r>
      <w:r>
        <w:rPr>
          <w:rStyle w:val="FootnoteReference"/>
        </w:rPr>
        <w:footnoteReference w:id="55"/>
      </w:r>
      <w:r>
        <w:t xml:space="preserve"> The Beverley Hills hotel that Kerzner developed in Umhlanga was an unashamed version of American luxury.</w:t>
      </w:r>
      <w:r>
        <w:rPr>
          <w:rStyle w:val="FootnoteReference"/>
        </w:rPr>
        <w:footnoteReference w:id="56"/>
      </w:r>
      <w:r>
        <w:t xml:space="preserve">  With the construction of the luxurious hotel, which is still enormously popular today, </w:t>
      </w:r>
      <w:r w:rsidR="00A153C1" w:rsidRPr="00A153C1">
        <w:t xml:space="preserve">Kerzner introduced new possibilities for sensual pleasures </w:t>
      </w:r>
      <w:r w:rsidR="00E86F93">
        <w:t>into the homelands. The hotel</w:t>
      </w:r>
    </w:p>
    <w:p w14:paraId="56888D7E" w14:textId="77777777" w:rsidR="00CD4878" w:rsidRPr="006F6110" w:rsidRDefault="00CD4878" w:rsidP="00CD4878">
      <w:pPr>
        <w:pStyle w:val="Subtitle"/>
        <w:rPr>
          <w:rFonts w:cs="Times New Roman"/>
          <w:szCs w:val="20"/>
        </w:rPr>
      </w:pPr>
      <w:r w:rsidRPr="006F6110">
        <w:rPr>
          <w:rFonts w:cs="Times New Roman"/>
          <w:szCs w:val="20"/>
        </w:rPr>
        <w:t>was also South Africa’s first new resort hotel to be a</w:t>
      </w:r>
      <w:r w:rsidR="002B45F7">
        <w:rPr>
          <w:rFonts w:cs="Times New Roman"/>
          <w:szCs w:val="20"/>
        </w:rPr>
        <w:t>warded five star</w:t>
      </w:r>
      <w:r w:rsidRPr="006F6110">
        <w:rPr>
          <w:rFonts w:cs="Times New Roman"/>
          <w:szCs w:val="20"/>
        </w:rPr>
        <w:t>s and the property set a new standard for hotels in this country and was part of the country tourism future.</w:t>
      </w:r>
      <w:r>
        <w:rPr>
          <w:rStyle w:val="FootnoteReference"/>
          <w:rFonts w:cs="Times New Roman"/>
          <w:szCs w:val="20"/>
        </w:rPr>
        <w:footnoteReference w:id="57"/>
      </w:r>
    </w:p>
    <w:p w14:paraId="4FA911FC" w14:textId="77777777" w:rsidR="00CD4878" w:rsidRDefault="00CD4878" w:rsidP="00CD4878">
      <w:r>
        <w:t>It marked a change in the South African hospitality business, where a five-star hotel experience could offer the comforts tourists</w:t>
      </w:r>
      <w:r w:rsidR="00E86F93">
        <w:t>,</w:t>
      </w:r>
      <w:r>
        <w:t xml:space="preserve"> </w:t>
      </w:r>
      <w:r w:rsidR="00E86F93">
        <w:t xml:space="preserve">both local and international, </w:t>
      </w:r>
      <w:r>
        <w:t xml:space="preserve">desired. </w:t>
      </w:r>
    </w:p>
    <w:p w14:paraId="2423CA03" w14:textId="77777777" w:rsidR="00CD4878" w:rsidRDefault="00CD4878" w:rsidP="00CD4878">
      <w:r>
        <w:t xml:space="preserve">The Beverley Hills was built amidst a period of massive redevelopment and growth in the South African hotel industry. South African Breweries Ltd. (SAB) had a large share in the hotel industry, which mainly consisted of lower quality boarding houses and commercial hotels. The </w:t>
      </w:r>
      <w:r w:rsidR="00756A84">
        <w:t>NP</w:t>
      </w:r>
      <w:r w:rsidR="00202C82">
        <w:t xml:space="preserve"> government </w:t>
      </w:r>
      <w:r>
        <w:t>encouraged a restructuring of the hotel industry in the 1960s in a bid to encourage tourism, especially from the international market.</w:t>
      </w:r>
      <w:r>
        <w:rPr>
          <w:rStyle w:val="FootnoteReference"/>
        </w:rPr>
        <w:footnoteReference w:id="58"/>
      </w:r>
      <w:r>
        <w:t xml:space="preserve"> Government interest in tourism came in the wake of a massive South African economic boom after the consolidation of the NP’s power. Technological advancements such as the introduction of the commercial jet, which lowered unit prices and made global travel easier, opened South Africa to new international markets. Following the concerted effort of policy makers to encourage international tourism, the influx of international tourists entering South Africa increased by 330% between 1961 and 1967.</w:t>
      </w:r>
      <w:r>
        <w:rPr>
          <w:rStyle w:val="FootnoteReference"/>
        </w:rPr>
        <w:footnoteReference w:id="59"/>
      </w:r>
      <w:r>
        <w:t xml:space="preserve"> This prompted SAB to divest from the lower interest bracket of the hotel market and partner with ostentatious entrepreneur Sol Kerzner. Together they formed the Southern Sun Hotel group in 1969 and focused on building a chain of luxury hotel across South Africa. Their initial base consisted of one hotel in Johannesburg, two adjacent to </w:t>
      </w:r>
      <w:r>
        <w:lastRenderedPageBreak/>
        <w:t xml:space="preserve">the Kruger National Park and three on the KwaZulu-Natal coast. Four years later the group had acquired a total of 24 hotels </w:t>
      </w:r>
      <w:r w:rsidR="002B45F7">
        <w:t xml:space="preserve">and had expanded internationally. </w:t>
      </w:r>
      <w:r>
        <w:t>Thus, a multinational corporation was born. In 1975, Sol Kerzner was elected as one of seven members of the National Hotels Board, in accordance with the Hotels Act, No. 70 of 1965, furthering his control over the South African hotel and tourism industry.</w:t>
      </w:r>
      <w:r>
        <w:rPr>
          <w:rStyle w:val="FootnoteReference"/>
        </w:rPr>
        <w:footnoteReference w:id="60"/>
      </w:r>
      <w:r>
        <w:t xml:space="preserve"> </w:t>
      </w:r>
    </w:p>
    <w:p w14:paraId="0C09AA49" w14:textId="77777777" w:rsidR="00CD4878" w:rsidRDefault="00CD4878" w:rsidP="00CD4878">
      <w:r>
        <w:t xml:space="preserve">In 1979, SAB began to trade their shares publicly, but kept a 70% stake in the equity </w:t>
      </w:r>
      <w:r w:rsidRPr="00470ED4">
        <w:t>(</w:t>
      </w:r>
      <w:r w:rsidRPr="00D56BB9">
        <w:t>the value of the shares issued by a company)</w:t>
      </w:r>
      <w:r w:rsidRPr="00470ED4">
        <w:t>.</w:t>
      </w:r>
      <w:r>
        <w:t xml:space="preserve"> The move had seen their revenues rise from R3.1 million to R140,8 million and within two years their pre-tax profits had risen to R39 million. Meantime, the Southern Sun group maintained a market capitalisation of R250 million and was ranked the 16</w:t>
      </w:r>
      <w:r w:rsidRPr="006D3E89">
        <w:rPr>
          <w:vertAlign w:val="superscript"/>
        </w:rPr>
        <w:t>th</w:t>
      </w:r>
      <w:r>
        <w:t xml:space="preserve"> largest company listed on the Johannesburg Stock Exchange (JSE) in 1982. The company was also ranked in the top 20 in the world in terms of hotel chain profits. </w:t>
      </w:r>
      <w:r w:rsidR="0081332D">
        <w:t xml:space="preserve">The </w:t>
      </w:r>
      <w:r>
        <w:t>company absorb</w:t>
      </w:r>
      <w:r w:rsidR="0081332D">
        <w:t>ed</w:t>
      </w:r>
      <w:r>
        <w:t xml:space="preserve"> local hotel groups</w:t>
      </w:r>
      <w:r w:rsidR="0081332D">
        <w:t xml:space="preserve"> twice more</w:t>
      </w:r>
      <w:r>
        <w:t xml:space="preserve">. The Cape Hotels Group was taken </w:t>
      </w:r>
      <w:r w:rsidR="00E86F93">
        <w:t>over</w:t>
      </w:r>
      <w:r>
        <w:t xml:space="preserve"> in 1972 and was followed by Transito in 1978. Each move nearly doubled Southern Sun’s market share. Southern Sun continued to build their brand through the construction of a resort in Mauri</w:t>
      </w:r>
      <w:r w:rsidR="002B45F7">
        <w:t xml:space="preserve">tius, the Saint Geran, in 1975. Additionally, </w:t>
      </w:r>
      <w:r>
        <w:t>time share</w:t>
      </w:r>
      <w:r w:rsidR="002B45F7">
        <w:t xml:space="preserve"> was expanded and</w:t>
      </w:r>
      <w:r>
        <w:t xml:space="preserve"> the </w:t>
      </w:r>
      <w:r w:rsidR="002B45F7">
        <w:t xml:space="preserve">trend-setting </w:t>
      </w:r>
      <w:r>
        <w:t>Sun City</w:t>
      </w:r>
      <w:r w:rsidR="002B45F7" w:rsidRPr="002B45F7">
        <w:t xml:space="preserve"> </w:t>
      </w:r>
      <w:r w:rsidR="002B45F7">
        <w:t>was pioneered</w:t>
      </w:r>
      <w:r>
        <w:t>.</w:t>
      </w:r>
    </w:p>
    <w:p w14:paraId="69D67A26" w14:textId="77777777" w:rsidR="00CD4878" w:rsidRPr="006F7691" w:rsidRDefault="00CD4878" w:rsidP="00CD4878">
      <w:r>
        <w:t xml:space="preserve">Sol Kerzner was officially recognised by the NP as a major contributing member to the South African tourism and hotel industry </w:t>
      </w:r>
      <w:r w:rsidR="002B45F7">
        <w:t xml:space="preserve">in 1983, </w:t>
      </w:r>
      <w:r>
        <w:t>and consolidated his hold on the South African hotel industry. In the same year, Sun International Ltd was founded under the executive leadership of Sol Kerzner and Dick Goss, SAB CEO, as Chairman. This represented the culmination of extensive entrepreneurial activities and a mutually beneficial relationship between Kerzner and SAB. It reflected Kerzner’s desire to concentrate on leisure and casino hotels within their portfolio and this was achieved through the introduction of a temporary company in 1983, Newco (New Company), which took over the casino resort interests in the homelands as well as the island of Mauritius.</w:t>
      </w:r>
      <w:r>
        <w:rPr>
          <w:rStyle w:val="FootnoteReference"/>
        </w:rPr>
        <w:footnoteReference w:id="61"/>
      </w:r>
      <w:r>
        <w:t xml:space="preserve"> Newco also acquired the holdings of Rennies Consolidated Holdings Ltd., a hotel and resort chain which was owned by the international company Holiday Inns. This was an important move on the part of Sol Kerzner which saw the addition of 16 establishments with 2428 rooms. Some weeks later, the name Newco changed to Sun International.</w:t>
      </w:r>
      <w:r>
        <w:rPr>
          <w:rStyle w:val="FootnoteReference"/>
        </w:rPr>
        <w:footnoteReference w:id="62"/>
      </w:r>
      <w:r>
        <w:t xml:space="preserve"> With Sun City already an established and profitable casino </w:t>
      </w:r>
      <w:r>
        <w:lastRenderedPageBreak/>
        <w:t xml:space="preserve">resort, the world </w:t>
      </w:r>
      <w:r>
        <w:rPr>
          <w:i/>
        </w:rPr>
        <w:t xml:space="preserve">sun </w:t>
      </w:r>
      <w:r>
        <w:t xml:space="preserve">was an inevitable choice for Kerzner. Adding </w:t>
      </w:r>
      <w:r>
        <w:rPr>
          <w:i/>
        </w:rPr>
        <w:t xml:space="preserve">international </w:t>
      </w:r>
      <w:r>
        <w:t>to the end reflected the company’s stated objective to expand globally.</w:t>
      </w:r>
      <w:r>
        <w:rPr>
          <w:rStyle w:val="FootnoteReference"/>
        </w:rPr>
        <w:footnoteReference w:id="63"/>
      </w:r>
    </w:p>
    <w:p w14:paraId="6418F685" w14:textId="77777777" w:rsidR="00CD4878" w:rsidRDefault="00CD4878" w:rsidP="00CD4878">
      <w:r>
        <w:t>By 1984, Sun International had secured a true monopoly of the hospitality industry, with 18 hotels and 12 casinos across four states in south</w:t>
      </w:r>
      <w:r w:rsidR="000B5B8B">
        <w:t>ern Africa, including in the TVB</w:t>
      </w:r>
      <w:r>
        <w:t>C states. A separate international division was developed for each country or bantustan and was run by Kerzner’s trusted friend and business ally, Peter Bacon.</w:t>
      </w:r>
      <w:r>
        <w:rPr>
          <w:rStyle w:val="FootnoteReference"/>
        </w:rPr>
        <w:footnoteReference w:id="64"/>
      </w:r>
      <w:r>
        <w:t xml:space="preserve"> Until 2000, Southern Sun had a 20% stake in Sun International but in 2012 the former company merged with Tsogo Sun and now operates under that banner.</w:t>
      </w:r>
      <w:r>
        <w:rPr>
          <w:rStyle w:val="FootnoteReference"/>
        </w:rPr>
        <w:footnoteReference w:id="65"/>
      </w:r>
      <w:r>
        <w:t xml:space="preserve"> The principal owners of Sun International </w:t>
      </w:r>
      <w:r w:rsidR="00DD345D">
        <w:t>were</w:t>
      </w:r>
      <w:r>
        <w:t xml:space="preserve"> Kerzner and Associates, Safmarine, Rennies Consolidated Holdings (Pty) Ltd. and Southern Sun. In 1984, Javcor acquired a 34% stake in Sun International to give the company access to the JSE. The executive team of Sun International was then run by Dick Goss (Chairman), Charles Fiddian-Green (Deputy-Chairman), Sol Kerzner (Managing Director) and non-executive members included representatives from SAB, Rennies and Safmarine.</w:t>
      </w:r>
      <w:r>
        <w:rPr>
          <w:rStyle w:val="FootnoteReference"/>
        </w:rPr>
        <w:footnoteReference w:id="66"/>
      </w:r>
      <w:r>
        <w:t xml:space="preserve"> </w:t>
      </w:r>
    </w:p>
    <w:p w14:paraId="2CB629AE" w14:textId="77777777" w:rsidR="00CD4878" w:rsidRDefault="00CD4878" w:rsidP="00CD4878">
      <w:r>
        <w:t xml:space="preserve">Kerzner established Sun City in 1979 with the financial support of the government of South Africa, Bophuthatswana as well as Dick Goss and SAB. </w:t>
      </w:r>
      <w:r w:rsidRPr="00F708CC">
        <w:t>Sun City was used by Pretoria to legitim</w:t>
      </w:r>
      <w:r w:rsidR="006F3AD9">
        <w:t>ise</w:t>
      </w:r>
      <w:r w:rsidRPr="00F708CC">
        <w:t xml:space="preserve"> the homelands and was a convenient tool </w:t>
      </w:r>
      <w:r w:rsidR="000C57FE">
        <w:t>to transfer the cost of subsidis</w:t>
      </w:r>
      <w:r w:rsidRPr="00F708CC">
        <w:t>ing the bantustans from state funds over to private investment, mainly from the coffers of Sol Kerzner’s Sun International.</w:t>
      </w:r>
      <w:r>
        <w:t xml:space="preserve"> The following table depicts the movement of shares and money in the Sun International hierarchy and the Bophuthatswana government’s invol</w:t>
      </w:r>
      <w:r w:rsidR="00DD345D">
        <w:t>vement in the Sun City project (refer to table 1).</w:t>
      </w:r>
    </w:p>
    <w:p w14:paraId="6369B81F" w14:textId="77777777" w:rsidR="00CD4878" w:rsidRDefault="00CD4878" w:rsidP="00CD4878"/>
    <w:p w14:paraId="69C97B24" w14:textId="77777777" w:rsidR="00CD4878" w:rsidRDefault="00CD4878" w:rsidP="00CD4878"/>
    <w:p w14:paraId="7185F3E9" w14:textId="77777777" w:rsidR="00CD4878" w:rsidRDefault="00CD4878" w:rsidP="00CD4878"/>
    <w:p w14:paraId="3AEB17B3" w14:textId="77777777" w:rsidR="00CD4878" w:rsidRDefault="00CD4878" w:rsidP="00CD4878"/>
    <w:p w14:paraId="67F8F0C9" w14:textId="77777777" w:rsidR="00CD4878" w:rsidRDefault="00CD4878" w:rsidP="00CD4878"/>
    <w:p w14:paraId="543A4927" w14:textId="77777777" w:rsidR="00CD4878" w:rsidRDefault="004D0C71" w:rsidP="00CD4878">
      <w:r>
        <w:rPr>
          <w:noProof/>
          <w:lang w:val="en-ZA" w:eastAsia="en-ZA"/>
        </w:rPr>
        <w:lastRenderedPageBreak/>
        <w:drawing>
          <wp:anchor distT="0" distB="0" distL="114300" distR="114300" simplePos="0" relativeHeight="251684864" behindDoc="1" locked="0" layoutInCell="1" allowOverlap="1" wp14:anchorId="0EE481EE" wp14:editId="6F594606">
            <wp:simplePos x="0" y="0"/>
            <wp:positionH relativeFrom="column">
              <wp:posOffset>1781175</wp:posOffset>
            </wp:positionH>
            <wp:positionV relativeFrom="page">
              <wp:posOffset>923925</wp:posOffset>
            </wp:positionV>
            <wp:extent cx="2174240" cy="2952115"/>
            <wp:effectExtent l="0" t="0" r="0" b="0"/>
            <wp:wrapTight wrapText="bothSides">
              <wp:wrapPolygon edited="0">
                <wp:start x="0" y="0"/>
                <wp:lineTo x="0" y="21465"/>
                <wp:lineTo x="21386" y="21465"/>
                <wp:lineTo x="21386" y="0"/>
                <wp:lineTo x="0" y="0"/>
              </wp:wrapPolygon>
            </wp:wrapTight>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174240" cy="2952115"/>
                    </a:xfrm>
                    <a:prstGeom prst="rect">
                      <a:avLst/>
                    </a:prstGeom>
                    <a:noFill/>
                    <a:ln>
                      <a:noFill/>
                    </a:ln>
                  </pic:spPr>
                </pic:pic>
              </a:graphicData>
            </a:graphic>
          </wp:anchor>
        </w:drawing>
      </w:r>
    </w:p>
    <w:p w14:paraId="5B1539DA" w14:textId="77777777" w:rsidR="00CD4878" w:rsidRDefault="00CD4878" w:rsidP="00CD4878"/>
    <w:p w14:paraId="5859547C" w14:textId="77777777" w:rsidR="00CD4878" w:rsidRDefault="00CD4878" w:rsidP="00CD4878"/>
    <w:p w14:paraId="760AEF49" w14:textId="77777777" w:rsidR="00116DC6" w:rsidRDefault="00116DC6" w:rsidP="00CD4878">
      <w:pPr>
        <w:pStyle w:val="Subtitle"/>
        <w:spacing w:after="0"/>
        <w:ind w:left="0"/>
        <w:jc w:val="center"/>
      </w:pPr>
    </w:p>
    <w:p w14:paraId="1C8AC659" w14:textId="77777777" w:rsidR="004D0C71" w:rsidRDefault="004D0C71" w:rsidP="00DD345D">
      <w:pPr>
        <w:pStyle w:val="Subtitle"/>
        <w:spacing w:after="0"/>
        <w:ind w:left="0"/>
        <w:jc w:val="center"/>
      </w:pPr>
    </w:p>
    <w:p w14:paraId="12E7FD81" w14:textId="77777777" w:rsidR="004D0C71" w:rsidRDefault="004D0C71" w:rsidP="00DD345D">
      <w:pPr>
        <w:pStyle w:val="Subtitle"/>
        <w:spacing w:after="0"/>
        <w:ind w:left="0"/>
        <w:jc w:val="center"/>
      </w:pPr>
    </w:p>
    <w:p w14:paraId="68F5080A" w14:textId="77777777" w:rsidR="004D0C71" w:rsidRDefault="004D0C71" w:rsidP="004D0C71"/>
    <w:p w14:paraId="1B426118" w14:textId="77777777" w:rsidR="004D0C71" w:rsidRPr="004D0C71" w:rsidRDefault="004D0C71" w:rsidP="004D0C71"/>
    <w:p w14:paraId="5C939A0D" w14:textId="77777777" w:rsidR="004D0C71" w:rsidRDefault="004D0C71" w:rsidP="00DD345D">
      <w:pPr>
        <w:pStyle w:val="Subtitle"/>
        <w:spacing w:after="0"/>
        <w:ind w:left="0"/>
        <w:jc w:val="center"/>
      </w:pPr>
    </w:p>
    <w:p w14:paraId="2589D7BD" w14:textId="77777777" w:rsidR="004D0C71" w:rsidRDefault="004D0C71" w:rsidP="00DD345D">
      <w:pPr>
        <w:pStyle w:val="Subtitle"/>
        <w:spacing w:after="0"/>
        <w:ind w:left="0"/>
        <w:jc w:val="center"/>
      </w:pPr>
    </w:p>
    <w:p w14:paraId="34264088" w14:textId="77777777" w:rsidR="004D0C71" w:rsidRDefault="004D0C71" w:rsidP="00DD345D">
      <w:pPr>
        <w:pStyle w:val="Subtitle"/>
        <w:spacing w:after="0"/>
        <w:ind w:left="0"/>
        <w:jc w:val="center"/>
      </w:pPr>
    </w:p>
    <w:p w14:paraId="3A867733" w14:textId="77777777" w:rsidR="004D0C71" w:rsidRDefault="004D0C71" w:rsidP="00DD345D">
      <w:pPr>
        <w:pStyle w:val="Subtitle"/>
        <w:spacing w:after="0"/>
        <w:ind w:left="0"/>
        <w:jc w:val="center"/>
      </w:pPr>
    </w:p>
    <w:p w14:paraId="5397B88B" w14:textId="77777777" w:rsidR="004D0C71" w:rsidRDefault="004D0C71" w:rsidP="00DD345D">
      <w:pPr>
        <w:pStyle w:val="Subtitle"/>
        <w:spacing w:after="0"/>
        <w:ind w:left="0"/>
        <w:jc w:val="center"/>
      </w:pPr>
    </w:p>
    <w:p w14:paraId="7E8F7E3D" w14:textId="77777777" w:rsidR="004D0C71" w:rsidRDefault="004D0C71" w:rsidP="00DD345D">
      <w:pPr>
        <w:pStyle w:val="Subtitle"/>
        <w:spacing w:after="0"/>
        <w:ind w:left="0"/>
        <w:jc w:val="center"/>
      </w:pPr>
    </w:p>
    <w:p w14:paraId="61EAF0E1" w14:textId="77777777" w:rsidR="004D0C71" w:rsidRDefault="004D0C71" w:rsidP="00DD345D">
      <w:pPr>
        <w:pStyle w:val="Subtitle"/>
        <w:spacing w:after="0"/>
        <w:ind w:left="0"/>
        <w:jc w:val="center"/>
      </w:pPr>
    </w:p>
    <w:p w14:paraId="0D27D85C" w14:textId="77777777" w:rsidR="00CD4878" w:rsidRDefault="00CD4878" w:rsidP="00DD345D">
      <w:pPr>
        <w:pStyle w:val="Subtitle"/>
        <w:spacing w:after="0"/>
        <w:ind w:left="0"/>
        <w:jc w:val="center"/>
      </w:pPr>
      <w:r>
        <w:t xml:space="preserve">Table 1: </w:t>
      </w:r>
      <w:r w:rsidR="002F536C">
        <w:t>Depiction of</w:t>
      </w:r>
      <w:r>
        <w:t xml:space="preserve"> shifting ownership of Sun International and Sun City.</w:t>
      </w:r>
    </w:p>
    <w:p w14:paraId="4CA3F51F" w14:textId="77777777" w:rsidR="00CD4878" w:rsidRDefault="00CD4878" w:rsidP="00CD4878">
      <w:pPr>
        <w:pStyle w:val="Subtitle"/>
        <w:spacing w:after="0"/>
        <w:jc w:val="center"/>
      </w:pPr>
      <w:r>
        <w:t>[Table by Nicola van der Merwe]</w:t>
      </w:r>
    </w:p>
    <w:p w14:paraId="48FF8CD7" w14:textId="77777777" w:rsidR="00CD4878" w:rsidRPr="00F63C20" w:rsidRDefault="00CD4878" w:rsidP="00CD4878"/>
    <w:p w14:paraId="0ECAE123" w14:textId="77777777" w:rsidR="00CD4878" w:rsidRDefault="00CD4878" w:rsidP="00CD4878">
      <w:r>
        <w:t xml:space="preserve">From the top, the table demonstrates which organisations </w:t>
      </w:r>
      <w:r w:rsidR="005B3CD0" w:rsidRPr="005B3CD0">
        <w:t xml:space="preserve">merged </w:t>
      </w:r>
      <w:r>
        <w:t>to form Sun International. The table establishes the way Kerzner upheld the majority equity in the company to maintain control against companies such as Safmarine and the public. Whilst, Javcor consisted of 7.5% public shares and 92.5% Sun International. The table demonstrates the importance of the acquisition of Rennies Consolidated Holdings Ltd. which made up 50% of Sun Rennies together with Javcor. Sun International then consisted of Rennies Consolidated, Southern Sun and other shareholders. Sun City was then jointly</w:t>
      </w:r>
      <w:r w:rsidR="00E86F93">
        <w:t xml:space="preserve"> and equally</w:t>
      </w:r>
      <w:r>
        <w:t xml:space="preserve"> owned by Sun International and the Bophuthatswana government. </w:t>
      </w:r>
    </w:p>
    <w:p w14:paraId="182BA4B4" w14:textId="77777777" w:rsidR="00CD4878" w:rsidRDefault="00CD4878" w:rsidP="00CD4878">
      <w:r>
        <w:t xml:space="preserve">Sol Kerzner and SAB had a good </w:t>
      </w:r>
      <w:r w:rsidR="00DD345D">
        <w:t>professional</w:t>
      </w:r>
      <w:r>
        <w:t xml:space="preserve"> relationship and the lines of business were often bl</w:t>
      </w:r>
      <w:r w:rsidR="00E86F93">
        <w:t>urred between the two companies.</w:t>
      </w:r>
      <w:r>
        <w:t xml:space="preserve"> A long-serving member of Kerzner and SAB’s marketing team recalls how Kerzner would walk into Dick Goss’s office and ask for money for his latest project. At first, Goss would dis</w:t>
      </w:r>
      <w:r w:rsidR="00DD345D">
        <w:t>regard</w:t>
      </w:r>
      <w:r>
        <w:t xml:space="preserve"> Kerzner’s request but would later give in. This is how Kerzner received funding for his Palace of the Lost City project in the early 1990s. Due to SAB’s</w:t>
      </w:r>
      <w:r w:rsidR="00E86F93">
        <w:t xml:space="preserve"> large market share and the NP government’s</w:t>
      </w:r>
      <w:r>
        <w:t xml:space="preserve"> ruling which prevented them from investing and expanding in the liquor industry, the company has excess funds. In 1979, the apartheid government ordered SAB to sell their Solly Kramer retail liquor stores. SAB </w:t>
      </w:r>
      <w:r w:rsidR="00DD345D">
        <w:t>was</w:t>
      </w:r>
      <w:r>
        <w:t xml:space="preserve"> forced to branch into alternate forms of business enterprise.</w:t>
      </w:r>
      <w:r w:rsidR="00E86F93">
        <w:rPr>
          <w:rStyle w:val="FootnoteReference"/>
        </w:rPr>
        <w:footnoteReference w:id="67"/>
      </w:r>
      <w:r>
        <w:t xml:space="preserve"> The same year, a host </w:t>
      </w:r>
      <w:r>
        <w:lastRenderedPageBreak/>
        <w:t>of foreign owned companies divested their South African investments due to apartheid laws and the ensuing sanctions. This had opened the market and allowed for acquisitions by South African companies. SAB ploughed their excess money into ventures such as Ceres Fruit Juices, Edgars group, Scotts Stores and Da Gama Textiles. This was separate from their continued investment in Sun International.</w:t>
      </w:r>
      <w:r>
        <w:rPr>
          <w:rStyle w:val="FootnoteReference"/>
        </w:rPr>
        <w:footnoteReference w:id="68"/>
      </w:r>
    </w:p>
    <w:p w14:paraId="5D5A4E94" w14:textId="77777777" w:rsidR="00CD4878" w:rsidRDefault="00CD4878" w:rsidP="00CD4878">
      <w:pPr>
        <w:pStyle w:val="Heading2"/>
        <w:numPr>
          <w:ilvl w:val="0"/>
          <w:numId w:val="0"/>
        </w:numPr>
        <w:ind w:left="578" w:hanging="578"/>
      </w:pPr>
      <w:bookmarkStart w:id="12" w:name="_Toc488481703"/>
      <w:r>
        <w:t>Diplomacy</w:t>
      </w:r>
      <w:bookmarkEnd w:id="12"/>
    </w:p>
    <w:p w14:paraId="6C855EA7" w14:textId="77777777" w:rsidR="00CD4878" w:rsidRDefault="00CD4878" w:rsidP="00CD4878">
      <w:pPr>
        <w:rPr>
          <w:rFonts w:cs="Times New Roman"/>
          <w:szCs w:val="24"/>
        </w:rPr>
      </w:pPr>
      <w:r>
        <w:rPr>
          <w:rFonts w:cs="Times New Roman"/>
          <w:szCs w:val="24"/>
        </w:rPr>
        <w:t>Interests between the government</w:t>
      </w:r>
      <w:r w:rsidR="00DD345D">
        <w:rPr>
          <w:rFonts w:cs="Times New Roman"/>
          <w:szCs w:val="24"/>
        </w:rPr>
        <w:t>s</w:t>
      </w:r>
      <w:r>
        <w:rPr>
          <w:rFonts w:cs="Times New Roman"/>
          <w:szCs w:val="24"/>
        </w:rPr>
        <w:t xml:space="preserve"> of South Africa and Bophuthatswana as well as Southern Sun intersected, both overlapped and diverged during the period of Southern Sun’s operation in Bophuthatswana. The relationship between Pretoria and Mmabatho had been established long before Kerzner opened hotels in the bantustan. Each party had their own interests to address, with the presidents of South Africa, Mangope and Kerzner each seeking to satisfy their own needs first. When examining archival material from the </w:t>
      </w:r>
      <w:r w:rsidR="006E3B58">
        <w:rPr>
          <w:rFonts w:cs="Times New Roman"/>
          <w:szCs w:val="24"/>
        </w:rPr>
        <w:t>North-West Provincial Archives</w:t>
      </w:r>
      <w:r>
        <w:rPr>
          <w:rFonts w:cs="Times New Roman"/>
          <w:szCs w:val="24"/>
        </w:rPr>
        <w:t xml:space="preserve"> and the National Archives in Pretoria the correspondence between the three parties demonstrates a self-serving interest.</w:t>
      </w:r>
      <w:r>
        <w:rPr>
          <w:rStyle w:val="FootnoteReference"/>
          <w:rFonts w:cs="Times New Roman"/>
          <w:szCs w:val="24"/>
        </w:rPr>
        <w:footnoteReference w:id="69"/>
      </w:r>
      <w:r>
        <w:rPr>
          <w:rFonts w:cs="Times New Roman"/>
          <w:szCs w:val="24"/>
        </w:rPr>
        <w:t xml:space="preserve"> </w:t>
      </w:r>
    </w:p>
    <w:p w14:paraId="538D132B" w14:textId="77777777" w:rsidR="00CD4878" w:rsidRDefault="00CD4878" w:rsidP="00CD4878">
      <w:pPr>
        <w:rPr>
          <w:rFonts w:cs="Times New Roman"/>
          <w:szCs w:val="24"/>
        </w:rPr>
      </w:pPr>
      <w:r>
        <w:rPr>
          <w:rFonts w:cs="Times New Roman"/>
          <w:szCs w:val="24"/>
        </w:rPr>
        <w:t>A variety of agreements were reached between the governments of South Africa and Bophuthatswana pertaining to the establishment and operation of banking and financial institutions as well as pension funds in the bantustan. It was deemed not necessary for institutions which operated in both territories to register twice, instead any institution which was registered in South Africa was allowed to operate in both areas from the date of Bophuthatswana’s independence, 6 December 1977, onwards.</w:t>
      </w:r>
      <w:r>
        <w:rPr>
          <w:rStyle w:val="FootnoteReference"/>
          <w:rFonts w:cs="Times New Roman"/>
          <w:szCs w:val="24"/>
        </w:rPr>
        <w:footnoteReference w:id="70"/>
      </w:r>
      <w:r>
        <w:rPr>
          <w:rFonts w:cs="Times New Roman"/>
          <w:szCs w:val="24"/>
        </w:rPr>
        <w:t xml:space="preserve"> More agreements were reached with regards to the continuation of Bophuthatswana’s interests in South Africa’s state tender board.</w:t>
      </w:r>
      <w:r>
        <w:rPr>
          <w:rStyle w:val="FootnoteReference"/>
          <w:rFonts w:cs="Times New Roman"/>
          <w:szCs w:val="24"/>
        </w:rPr>
        <w:footnoteReference w:id="71"/>
      </w:r>
      <w:r>
        <w:rPr>
          <w:rFonts w:cs="Times New Roman"/>
          <w:szCs w:val="24"/>
        </w:rPr>
        <w:t xml:space="preserve"> The employment of workers, the establishment of border posts and Bophuthatswana’s relationship and impact on Botswana were thoroughly discussed in the days leading up to Bophuthatswana’s independence. These discussions between the three governments are heavily documented at the South African National Archives in the form of meeting minutes. Botswana’s main concerns centred around border posts and the restriction of their </w:t>
      </w:r>
      <w:r w:rsidR="00E86F93">
        <w:rPr>
          <w:rFonts w:cs="Times New Roman"/>
          <w:szCs w:val="24"/>
        </w:rPr>
        <w:t>citizens</w:t>
      </w:r>
      <w:r>
        <w:rPr>
          <w:rFonts w:cs="Times New Roman"/>
          <w:szCs w:val="24"/>
        </w:rPr>
        <w:t>’ entry into South Africa and Bophuthatswana. The latter governments assured Botswana</w:t>
      </w:r>
      <w:r w:rsidR="00E86F93">
        <w:rPr>
          <w:rFonts w:cs="Times New Roman"/>
          <w:szCs w:val="24"/>
        </w:rPr>
        <w:t>’s</w:t>
      </w:r>
      <w:r>
        <w:rPr>
          <w:rFonts w:cs="Times New Roman"/>
          <w:szCs w:val="24"/>
        </w:rPr>
        <w:t xml:space="preserve"> delegates of the continu</w:t>
      </w:r>
      <w:r w:rsidR="00E86F93">
        <w:rPr>
          <w:rFonts w:cs="Times New Roman"/>
          <w:szCs w:val="24"/>
        </w:rPr>
        <w:t>ed rapport between South Africa</w:t>
      </w:r>
      <w:r>
        <w:rPr>
          <w:rFonts w:cs="Times New Roman"/>
          <w:szCs w:val="24"/>
        </w:rPr>
        <w:t xml:space="preserve"> and Bophuthatswana and their desire to find workable solutions. Attempts at diplomacy from </w:t>
      </w:r>
      <w:r>
        <w:rPr>
          <w:rFonts w:cs="Times New Roman"/>
          <w:szCs w:val="24"/>
        </w:rPr>
        <w:lastRenderedPageBreak/>
        <w:t>South Africa and Bophuthatswana are evident; they voted together to ensure that the bantustan’s eventual independence from South Africa was feasible.</w:t>
      </w:r>
      <w:r>
        <w:rPr>
          <w:rStyle w:val="FootnoteReference"/>
          <w:rFonts w:cs="Times New Roman"/>
          <w:szCs w:val="24"/>
        </w:rPr>
        <w:footnoteReference w:id="72"/>
      </w:r>
      <w:r>
        <w:rPr>
          <w:rFonts w:cs="Times New Roman"/>
          <w:szCs w:val="24"/>
        </w:rPr>
        <w:t xml:space="preserve"> However, after several talks with South Africa, Botswana approached the UN Security Council with the aim of lodging a complaint against South Africa. Botswana as well as Lesotho critic</w:t>
      </w:r>
      <w:r w:rsidR="006F3AD9">
        <w:rPr>
          <w:rFonts w:cs="Times New Roman"/>
          <w:szCs w:val="24"/>
        </w:rPr>
        <w:t>ise</w:t>
      </w:r>
      <w:r>
        <w:rPr>
          <w:rFonts w:cs="Times New Roman"/>
          <w:szCs w:val="24"/>
        </w:rPr>
        <w:t>d the establishment of homeland</w:t>
      </w:r>
      <w:r w:rsidR="000C57FE">
        <w:rPr>
          <w:rFonts w:cs="Times New Roman"/>
          <w:szCs w:val="24"/>
        </w:rPr>
        <w:t>s and felt bullied into recognis</w:t>
      </w:r>
      <w:r>
        <w:rPr>
          <w:rFonts w:cs="Times New Roman"/>
          <w:szCs w:val="24"/>
        </w:rPr>
        <w:t>ing the sovereignty of the homelands through the erection of border posts on common boundaries. Botswana shared a common border with Bophuthatswana, whilst Lesotho and Transkei operated three border posts on their common boundary.</w:t>
      </w:r>
      <w:r>
        <w:rPr>
          <w:rStyle w:val="FootnoteReference"/>
          <w:rFonts w:cs="Times New Roman"/>
          <w:szCs w:val="24"/>
        </w:rPr>
        <w:footnoteReference w:id="73"/>
      </w:r>
      <w:r>
        <w:rPr>
          <w:rFonts w:cs="Times New Roman"/>
          <w:szCs w:val="24"/>
        </w:rPr>
        <w:t xml:space="preserve"> </w:t>
      </w:r>
    </w:p>
    <w:p w14:paraId="6625450A" w14:textId="77777777" w:rsidR="00CD4878" w:rsidRDefault="00CD4878" w:rsidP="00CD4878">
      <w:pPr>
        <w:rPr>
          <w:rFonts w:cs="Times New Roman"/>
          <w:szCs w:val="24"/>
        </w:rPr>
      </w:pPr>
      <w:r>
        <w:rPr>
          <w:rFonts w:cs="Times New Roman"/>
          <w:szCs w:val="24"/>
        </w:rPr>
        <w:t xml:space="preserve">Despite this, the cooperation between South Africa and Bophuthatswana continued as the </w:t>
      </w:r>
      <w:r w:rsidR="00756A84">
        <w:rPr>
          <w:rFonts w:cs="Times New Roman"/>
          <w:szCs w:val="24"/>
        </w:rPr>
        <w:t>NP</w:t>
      </w:r>
      <w:r w:rsidR="00202C82">
        <w:rPr>
          <w:rFonts w:cs="Times New Roman"/>
          <w:szCs w:val="24"/>
        </w:rPr>
        <w:t xml:space="preserve"> </w:t>
      </w:r>
      <w:r w:rsidR="00E86F93">
        <w:rPr>
          <w:rFonts w:cs="Times New Roman"/>
          <w:szCs w:val="24"/>
        </w:rPr>
        <w:t>government</w:t>
      </w:r>
      <w:r>
        <w:rPr>
          <w:rFonts w:cs="Times New Roman"/>
          <w:szCs w:val="24"/>
        </w:rPr>
        <w:t xml:space="preserve"> maintained a paternalistic view towards the homeland in the days leading up to independence in </w:t>
      </w:r>
      <w:r w:rsidR="00E86F93">
        <w:rPr>
          <w:rFonts w:cs="Times New Roman"/>
          <w:szCs w:val="24"/>
        </w:rPr>
        <w:t xml:space="preserve">December </w:t>
      </w:r>
      <w:r>
        <w:rPr>
          <w:rFonts w:cs="Times New Roman"/>
          <w:szCs w:val="24"/>
        </w:rPr>
        <w:t xml:space="preserve">1977. Following this, </w:t>
      </w:r>
      <w:r w:rsidR="00D73569" w:rsidRPr="00D73569">
        <w:rPr>
          <w:rFonts w:cs="Times New Roman"/>
          <w:szCs w:val="24"/>
        </w:rPr>
        <w:t>each g</w:t>
      </w:r>
      <w:r w:rsidR="00D73569">
        <w:rPr>
          <w:rFonts w:cs="Times New Roman"/>
          <w:szCs w:val="24"/>
        </w:rPr>
        <w:t xml:space="preserve">overnment had its own interest </w:t>
      </w:r>
      <w:r w:rsidR="00D73569" w:rsidRPr="00D73569">
        <w:rPr>
          <w:rFonts w:cs="Times New Roman"/>
          <w:szCs w:val="24"/>
        </w:rPr>
        <w:t>to maintai</w:t>
      </w:r>
      <w:r w:rsidR="00D73569">
        <w:rPr>
          <w:rFonts w:cs="Times New Roman"/>
          <w:szCs w:val="24"/>
        </w:rPr>
        <w:t>n independent diplomatic policy</w:t>
      </w:r>
      <w:r>
        <w:rPr>
          <w:rFonts w:cs="Times New Roman"/>
          <w:szCs w:val="24"/>
        </w:rPr>
        <w:t xml:space="preserve">. One such example is: </w:t>
      </w:r>
    </w:p>
    <w:p w14:paraId="3ED68A77" w14:textId="77777777" w:rsidR="00CD4878" w:rsidRDefault="00CD4878" w:rsidP="00CD4878">
      <w:pPr>
        <w:pStyle w:val="Subtitle"/>
      </w:pPr>
      <w:r>
        <w:t>Agreement whereas the Government of the Republic of South Africa and the Gover</w:t>
      </w:r>
      <w:r w:rsidR="000C57FE">
        <w:t>nment of Bophuthatswana recognis</w:t>
      </w:r>
      <w:r>
        <w:t>e the friendly relations existing between the two Governments and their peoples.</w:t>
      </w:r>
      <w:r>
        <w:rPr>
          <w:rStyle w:val="FootnoteReference"/>
          <w:rFonts w:cs="Times New Roman"/>
          <w:szCs w:val="24"/>
        </w:rPr>
        <w:footnoteReference w:id="74"/>
      </w:r>
    </w:p>
    <w:p w14:paraId="478ADE68" w14:textId="77777777" w:rsidR="00CD4878" w:rsidRDefault="00CD4878" w:rsidP="00CD4878">
      <w:pPr>
        <w:rPr>
          <w:rFonts w:cs="Times New Roman"/>
          <w:szCs w:val="24"/>
        </w:rPr>
      </w:pPr>
      <w:r>
        <w:rPr>
          <w:rFonts w:cs="Times New Roman"/>
          <w:szCs w:val="24"/>
        </w:rPr>
        <w:t xml:space="preserve">From these documents, one can ascertain a level of close collaboration between the two governments. It becomes apparent that in their relationship, each government </w:t>
      </w:r>
      <w:r w:rsidR="00DD345D">
        <w:rPr>
          <w:rFonts w:cs="Times New Roman"/>
          <w:szCs w:val="24"/>
        </w:rPr>
        <w:t>has</w:t>
      </w:r>
      <w:r>
        <w:rPr>
          <w:rFonts w:cs="Times New Roman"/>
          <w:szCs w:val="24"/>
        </w:rPr>
        <w:t xml:space="preserve"> their own interests whilst wanting to maintain diplomacy. Each party is willing to concede to the other, as long it serves their individual interests.  For example, following independence, South Africa ceded control of mining rights and prospects in Bophuthatswana to Mangope’s government, under the condition that all current agreements and contracts would be upheld until their expiry date. This served both interests, as South Africa was under obligation to relinquish the semblance of control to Bophuthatswana, but still wanted to maintain governance. Bophuthatswana also agreed to consult South Africa’s Department of Mines </w:t>
      </w:r>
      <w:r w:rsidR="00FA6A91">
        <w:rPr>
          <w:rFonts w:cs="Times New Roman"/>
          <w:szCs w:val="24"/>
        </w:rPr>
        <w:t>regarding</w:t>
      </w:r>
      <w:r>
        <w:rPr>
          <w:rFonts w:cs="Times New Roman"/>
          <w:szCs w:val="24"/>
        </w:rPr>
        <w:t xml:space="preserve"> prospecting and mining rights. South Africa arranged to provide the bantustan with professional, technical and administrative assistance and guidance if employees of the Department of Mines were granted full and uncompromised access to Bophuthatswana documents and mines. South Africa provided Bophuthatswana with the appearance of control and autonomy, whilst still being involved in affairs. </w:t>
      </w:r>
      <w:r w:rsidR="00E86F93">
        <w:rPr>
          <w:rFonts w:cs="Times New Roman"/>
          <w:szCs w:val="24"/>
        </w:rPr>
        <w:t>Bophuthatswana</w:t>
      </w:r>
      <w:r>
        <w:rPr>
          <w:rFonts w:cs="Times New Roman"/>
          <w:szCs w:val="24"/>
        </w:rPr>
        <w:t xml:space="preserve"> </w:t>
      </w:r>
      <w:r w:rsidR="00E86F93">
        <w:rPr>
          <w:rFonts w:cs="Times New Roman"/>
          <w:szCs w:val="24"/>
        </w:rPr>
        <w:t>was</w:t>
      </w:r>
      <w:r>
        <w:rPr>
          <w:rFonts w:cs="Times New Roman"/>
          <w:szCs w:val="24"/>
        </w:rPr>
        <w:t xml:space="preserve"> ultimately aware at </w:t>
      </w:r>
      <w:r>
        <w:rPr>
          <w:rFonts w:cs="Times New Roman"/>
          <w:szCs w:val="24"/>
        </w:rPr>
        <w:lastRenderedPageBreak/>
        <w:t>that the territory would be reliant on South Africa, especially financially. The appearance of autonomy satisfied their interests as after 1977 South Africa continued to play a role in the establishment and administration of Bophuthatswana’s mines.</w:t>
      </w:r>
      <w:r>
        <w:rPr>
          <w:rStyle w:val="FootnoteReference"/>
          <w:rFonts w:cs="Times New Roman"/>
          <w:szCs w:val="24"/>
        </w:rPr>
        <w:footnoteReference w:id="75"/>
      </w:r>
      <w:r>
        <w:rPr>
          <w:rFonts w:cs="Times New Roman"/>
          <w:szCs w:val="24"/>
        </w:rPr>
        <w:t xml:space="preserve"> </w:t>
      </w:r>
    </w:p>
    <w:p w14:paraId="35831A31" w14:textId="77777777" w:rsidR="00E86F93" w:rsidRDefault="00CD4878" w:rsidP="00CD4878">
      <w:pPr>
        <w:rPr>
          <w:rFonts w:cs="Times New Roman"/>
          <w:szCs w:val="24"/>
        </w:rPr>
      </w:pPr>
      <w:r>
        <w:rPr>
          <w:rFonts w:cs="Times New Roman"/>
          <w:szCs w:val="24"/>
        </w:rPr>
        <w:t xml:space="preserve">When agreeing to terms of employment, Bophuthatswana ceded more than South Africa. South Africa maintained that </w:t>
      </w:r>
      <w:r w:rsidR="00E86F93">
        <w:rPr>
          <w:rFonts w:cs="Times New Roman"/>
          <w:szCs w:val="24"/>
        </w:rPr>
        <w:t>citizens</w:t>
      </w:r>
      <w:r>
        <w:rPr>
          <w:rFonts w:cs="Times New Roman"/>
          <w:szCs w:val="24"/>
        </w:rPr>
        <w:t xml:space="preserve"> of Bophuthatswana would abide by apartheid laws, restricting their movement and ability to gain employment in South Africa. They were required to obtain a letter of employment before entering the country as well as report to the Bantu Labour Authorities. In contrast, Bophuthatswana authorities required that South </w:t>
      </w:r>
      <w:r w:rsidR="00E86F93">
        <w:rPr>
          <w:rFonts w:cs="Times New Roman"/>
          <w:szCs w:val="24"/>
        </w:rPr>
        <w:t>Africans entering the bantustan</w:t>
      </w:r>
      <w:r>
        <w:rPr>
          <w:rFonts w:cs="Times New Roman"/>
          <w:szCs w:val="24"/>
        </w:rPr>
        <w:t xml:space="preserve"> merely abide by the general letter of the law. South Africans were not required to carry pass documents, such as Bophuthatswana residents were required to in South Africa. However, Bophuthatswana needed to secure an agreement with South Africa to provide its </w:t>
      </w:r>
      <w:r w:rsidR="00E86F93">
        <w:rPr>
          <w:rFonts w:cs="Times New Roman"/>
          <w:szCs w:val="24"/>
        </w:rPr>
        <w:t>citizens</w:t>
      </w:r>
      <w:r>
        <w:rPr>
          <w:rFonts w:cs="Times New Roman"/>
          <w:szCs w:val="24"/>
        </w:rPr>
        <w:t xml:space="preserve"> with access to employment. A large portion of homeland </w:t>
      </w:r>
      <w:r w:rsidR="00E86F93">
        <w:rPr>
          <w:rFonts w:cs="Times New Roman"/>
          <w:szCs w:val="24"/>
        </w:rPr>
        <w:t>citizens</w:t>
      </w:r>
      <w:r>
        <w:rPr>
          <w:rFonts w:cs="Times New Roman"/>
          <w:szCs w:val="24"/>
        </w:rPr>
        <w:t xml:space="preserve"> sought employment in South African metropoles due to the scarcity of employment opportunities in Bophuthatswana. </w:t>
      </w:r>
      <w:r w:rsidR="00DD345D">
        <w:rPr>
          <w:rFonts w:cs="Times New Roman"/>
          <w:szCs w:val="24"/>
        </w:rPr>
        <w:t>Therefore,</w:t>
      </w:r>
      <w:r>
        <w:rPr>
          <w:rFonts w:cs="Times New Roman"/>
          <w:szCs w:val="24"/>
        </w:rPr>
        <w:t xml:space="preserve"> Bophuthatswana was forced to concede to more stringent border entry requirements for their </w:t>
      </w:r>
      <w:r w:rsidR="00E86F93">
        <w:rPr>
          <w:rFonts w:cs="Times New Roman"/>
          <w:szCs w:val="24"/>
        </w:rPr>
        <w:t>citizens</w:t>
      </w:r>
      <w:r>
        <w:rPr>
          <w:rFonts w:cs="Times New Roman"/>
          <w:szCs w:val="24"/>
        </w:rPr>
        <w:t>.</w:t>
      </w:r>
      <w:r>
        <w:rPr>
          <w:rStyle w:val="FootnoteReference"/>
          <w:rFonts w:cs="Times New Roman"/>
          <w:szCs w:val="24"/>
        </w:rPr>
        <w:footnoteReference w:id="76"/>
      </w:r>
      <w:r>
        <w:rPr>
          <w:rFonts w:cs="Times New Roman"/>
          <w:szCs w:val="24"/>
        </w:rPr>
        <w:t xml:space="preserve"> </w:t>
      </w:r>
    </w:p>
    <w:p w14:paraId="01909E8C" w14:textId="77777777" w:rsidR="00CD4878" w:rsidRDefault="00CD4878" w:rsidP="00CD4878">
      <w:pPr>
        <w:rPr>
          <w:rFonts w:cs="Times New Roman"/>
          <w:szCs w:val="24"/>
        </w:rPr>
      </w:pPr>
      <w:r>
        <w:rPr>
          <w:rFonts w:cs="Times New Roman"/>
          <w:szCs w:val="24"/>
        </w:rPr>
        <w:t>The BNDC had close ties with the Corporation for Economic Development (CED) in South Africa, which had the aim of promoting economic development in the homelands. For example, the CED maintained 50% stake in the Bophuthatswana Transport Holdings. South Africa’s involvement in the homelands followed the terms of Section 7A of the Promotion of the Economic Development of Bantu Homelands Act (Act No. 4 of 1968).  This act allowed for the controlled introduction of white capital into the homeland. This was achieved through the CED and South Africa’s monetary investment in Bophuthatswana. The government of Bophuthatswana agreed to repay loans granted to the BNDC by the CED.</w:t>
      </w:r>
      <w:r>
        <w:rPr>
          <w:rStyle w:val="FootnoteReference"/>
          <w:rFonts w:cs="Times New Roman"/>
          <w:szCs w:val="24"/>
        </w:rPr>
        <w:footnoteReference w:id="77"/>
      </w:r>
      <w:r w:rsidR="00E86F93">
        <w:rPr>
          <w:rFonts w:cs="Times New Roman"/>
          <w:szCs w:val="24"/>
        </w:rPr>
        <w:t xml:space="preserve"> The aim of the NP</w:t>
      </w:r>
      <w:r>
        <w:rPr>
          <w:rFonts w:cs="Times New Roman"/>
          <w:szCs w:val="24"/>
        </w:rPr>
        <w:t xml:space="preserve"> government was to ensure the financial success of the homelands, but for self-serving interests</w:t>
      </w:r>
      <w:r w:rsidR="00E86F93">
        <w:rPr>
          <w:rFonts w:cs="Times New Roman"/>
          <w:szCs w:val="24"/>
        </w:rPr>
        <w:t>,</w:t>
      </w:r>
      <w:r>
        <w:rPr>
          <w:rFonts w:cs="Times New Roman"/>
          <w:szCs w:val="24"/>
        </w:rPr>
        <w:t xml:space="preserve"> </w:t>
      </w:r>
      <w:r w:rsidR="00DD345D">
        <w:rPr>
          <w:rFonts w:cs="Times New Roman"/>
          <w:szCs w:val="24"/>
        </w:rPr>
        <w:t>grand apartheid.</w:t>
      </w:r>
    </w:p>
    <w:p w14:paraId="241F250C" w14:textId="77777777" w:rsidR="00CD4878" w:rsidRDefault="00CD4878" w:rsidP="00CD4878">
      <w:pPr>
        <w:rPr>
          <w:rFonts w:cs="Times New Roman"/>
          <w:szCs w:val="24"/>
        </w:rPr>
      </w:pPr>
      <w:r>
        <w:rPr>
          <w:rFonts w:cs="Times New Roman"/>
          <w:szCs w:val="24"/>
        </w:rPr>
        <w:t xml:space="preserve">This mutually self-serving relationship between South Africa and Bophuthatswana was carried over to </w:t>
      </w:r>
      <w:r w:rsidR="00E86F93">
        <w:rPr>
          <w:rFonts w:cs="Times New Roman"/>
          <w:szCs w:val="24"/>
        </w:rPr>
        <w:t xml:space="preserve">the </w:t>
      </w:r>
      <w:r>
        <w:rPr>
          <w:rFonts w:cs="Times New Roman"/>
          <w:szCs w:val="24"/>
        </w:rPr>
        <w:t xml:space="preserve">establishment of casinos and resorts in the homeland. After negotiations </w:t>
      </w:r>
      <w:r>
        <w:rPr>
          <w:rFonts w:cs="Times New Roman"/>
          <w:szCs w:val="24"/>
        </w:rPr>
        <w:lastRenderedPageBreak/>
        <w:t xml:space="preserve">between the government of Bophuthatswana and Southern Sun, a Casino Act for Bophuthatswana was drawn up based on existent casino acts in Swaziland, Lesotho and Botswana. A letter, with the draft of a Casino Act attached, was sent to Pretoria for consideration in 1972. The memorandum attached outlined the reasons for South Africa to approve the casino act, stating that Bophuthatswana as a tourist destination would be desirable for South Africa. Drawing on tenets of economic development, the parties stated the BNDC’s attainment of 50% stake in the casino would promote the bantustan’s financial independence from South Africa. The establishment of gambling centres in the homeland would generate income for the territory, limiting </w:t>
      </w:r>
      <w:r w:rsidR="00076909">
        <w:rPr>
          <w:rFonts w:cs="Times New Roman"/>
          <w:szCs w:val="24"/>
        </w:rPr>
        <w:t>its</w:t>
      </w:r>
      <w:r>
        <w:rPr>
          <w:rFonts w:cs="Times New Roman"/>
          <w:szCs w:val="24"/>
        </w:rPr>
        <w:t xml:space="preserve"> dependence on South Africa whilst further promoting Bophuthatswana’s status as sovereign.</w:t>
      </w:r>
      <w:r>
        <w:rPr>
          <w:rStyle w:val="FootnoteReference"/>
          <w:rFonts w:cs="Times New Roman"/>
          <w:szCs w:val="24"/>
        </w:rPr>
        <w:footnoteReference w:id="78"/>
      </w:r>
      <w:r>
        <w:rPr>
          <w:rFonts w:cs="Times New Roman"/>
          <w:szCs w:val="24"/>
        </w:rPr>
        <w:t xml:space="preserve"> Moreover, the adoption of different gambling laws for Bophuthatswana contributed to promoting the myth of the bantustan’s political independence from South Africa. Bophuthatswana’s aims mirrored South Africa’s – as Mangope wanted more than the mere illusion of independence from South Africa. The introduction of separate laws, international exposure of the territory and the potential income generated from gambling would further Mangope’s pursuit</w:t>
      </w:r>
      <w:r w:rsidR="00076909">
        <w:rPr>
          <w:rFonts w:cs="Times New Roman"/>
          <w:szCs w:val="24"/>
        </w:rPr>
        <w:t xml:space="preserve"> of independence</w:t>
      </w:r>
      <w:r>
        <w:rPr>
          <w:rFonts w:cs="Times New Roman"/>
          <w:szCs w:val="24"/>
        </w:rPr>
        <w:t xml:space="preserve">. </w:t>
      </w:r>
    </w:p>
    <w:p w14:paraId="59DCFC13" w14:textId="77777777" w:rsidR="00CD4878" w:rsidRDefault="00CD4878" w:rsidP="00CD4878">
      <w:pPr>
        <w:rPr>
          <w:rFonts w:cs="Times New Roman"/>
          <w:szCs w:val="24"/>
        </w:rPr>
      </w:pPr>
      <w:r>
        <w:rPr>
          <w:rFonts w:cs="Times New Roman"/>
          <w:szCs w:val="24"/>
        </w:rPr>
        <w:t>However, it was Southern Sun that ultimately benefitted the most from the arrangement. Kerzner ensured a monopoly in the homelands, establishing his hold on the southern African hospitality industry. With relationships secured with both</w:t>
      </w:r>
      <w:r w:rsidR="00E86F93">
        <w:rPr>
          <w:rFonts w:cs="Times New Roman"/>
          <w:szCs w:val="24"/>
        </w:rPr>
        <w:t xml:space="preserve"> the NP and the Bophuthatswana</w:t>
      </w:r>
      <w:r>
        <w:rPr>
          <w:rFonts w:cs="Times New Roman"/>
          <w:szCs w:val="24"/>
        </w:rPr>
        <w:t xml:space="preserve"> governments, he </w:t>
      </w:r>
      <w:r w:rsidR="00FC25A0">
        <w:rPr>
          <w:rFonts w:cs="Times New Roman"/>
          <w:szCs w:val="24"/>
        </w:rPr>
        <w:t>could</w:t>
      </w:r>
      <w:r>
        <w:rPr>
          <w:rFonts w:cs="Times New Roman"/>
          <w:szCs w:val="24"/>
        </w:rPr>
        <w:t xml:space="preserve"> develop a gambling empire in the homelands, without the threat of competition. Kerzner was honoured by the </w:t>
      </w:r>
      <w:r w:rsidR="00756A84">
        <w:rPr>
          <w:rFonts w:cs="Times New Roman"/>
          <w:szCs w:val="24"/>
        </w:rPr>
        <w:t>NP</w:t>
      </w:r>
      <w:r w:rsidR="00202C82">
        <w:rPr>
          <w:rFonts w:cs="Times New Roman"/>
          <w:szCs w:val="24"/>
        </w:rPr>
        <w:t xml:space="preserve"> government</w:t>
      </w:r>
      <w:r>
        <w:rPr>
          <w:rFonts w:cs="Times New Roman"/>
          <w:szCs w:val="24"/>
        </w:rPr>
        <w:t xml:space="preserve"> as one of South Africa’s premier entrepreneurs, further evidence of his close relationship with Pretoria. His relationship with Mangope has been well documented by the media. While on holiday in the United States, Kerzner even met up with Mangope’s son who was studying in Chicago, and relayed information back to Mangope regarding the progress of his son’s studies.</w:t>
      </w:r>
      <w:r>
        <w:rPr>
          <w:rStyle w:val="FootnoteReference"/>
          <w:rFonts w:cs="Times New Roman"/>
          <w:szCs w:val="24"/>
        </w:rPr>
        <w:footnoteReference w:id="79"/>
      </w:r>
      <w:r>
        <w:rPr>
          <w:rFonts w:cs="Times New Roman"/>
          <w:szCs w:val="24"/>
        </w:rPr>
        <w:t xml:space="preserve"> After the dissolution of the apartheid state, Kerzner was indicted on charges of corruption and bribery relating to Mangope, amongst other bantustan leaders.</w:t>
      </w:r>
      <w:r>
        <w:rPr>
          <w:rStyle w:val="FootnoteReference"/>
          <w:rFonts w:cs="Times New Roman"/>
          <w:szCs w:val="24"/>
        </w:rPr>
        <w:footnoteReference w:id="80"/>
      </w:r>
      <w:r>
        <w:rPr>
          <w:rFonts w:cs="Times New Roman"/>
          <w:szCs w:val="24"/>
        </w:rPr>
        <w:t xml:space="preserve"> A</w:t>
      </w:r>
      <w:r w:rsidR="00D4122A">
        <w:rPr>
          <w:rFonts w:cs="Times New Roman"/>
          <w:szCs w:val="24"/>
        </w:rPr>
        <w:t xml:space="preserve"> former</w:t>
      </w:r>
      <w:r>
        <w:rPr>
          <w:rFonts w:cs="Times New Roman"/>
          <w:szCs w:val="24"/>
        </w:rPr>
        <w:t xml:space="preserve"> member of the BNDC stated that the governments of South Africa and Bophuthatswana and Southern Sun together </w:t>
      </w:r>
      <w:r>
        <w:rPr>
          <w:rFonts w:cs="Times New Roman"/>
          <w:szCs w:val="24"/>
        </w:rPr>
        <w:lastRenderedPageBreak/>
        <w:t>formed a successful and mutually beneficial triangular relationship. Each party received benefits through the introduction of casinos into the Bophuthatswana homeland.</w:t>
      </w:r>
      <w:r>
        <w:rPr>
          <w:rStyle w:val="FootnoteReference"/>
          <w:rFonts w:cs="Times New Roman"/>
          <w:szCs w:val="24"/>
        </w:rPr>
        <w:footnoteReference w:id="81"/>
      </w:r>
      <w:bookmarkStart w:id="13" w:name="_Toc459702959"/>
    </w:p>
    <w:p w14:paraId="0DBF4B85" w14:textId="77777777" w:rsidR="00CD4878" w:rsidRPr="00CB1722" w:rsidRDefault="00FC25A0" w:rsidP="00CD4878">
      <w:pPr>
        <w:pStyle w:val="Heading2"/>
        <w:numPr>
          <w:ilvl w:val="0"/>
          <w:numId w:val="0"/>
        </w:numPr>
        <w:ind w:left="578" w:hanging="578"/>
        <w:rPr>
          <w:rFonts w:eastAsiaTheme="minorEastAsia" w:cs="Times New Roman"/>
          <w:color w:val="auto"/>
          <w:szCs w:val="24"/>
        </w:rPr>
      </w:pPr>
      <w:bookmarkStart w:id="14" w:name="_Toc488481704"/>
      <w:bookmarkEnd w:id="13"/>
      <w:r>
        <w:t>Tourism and the Ethno-Nationalist Project</w:t>
      </w:r>
      <w:bookmarkEnd w:id="14"/>
      <w:r>
        <w:t xml:space="preserve">  </w:t>
      </w:r>
    </w:p>
    <w:p w14:paraId="7EC0EA9B" w14:textId="77777777" w:rsidR="00CD4878" w:rsidRPr="00FA5A5B" w:rsidRDefault="00FA6A91" w:rsidP="00CD4878">
      <w:r>
        <w:t>During</w:t>
      </w:r>
      <w:r w:rsidR="00CD4878">
        <w:t xml:space="preserve"> the 1960s racially divided society, white South Africans, who yearned to escape</w:t>
      </w:r>
      <w:r w:rsidR="00D4122A">
        <w:t xml:space="preserve"> the</w:t>
      </w:r>
      <w:r w:rsidR="00CD4878">
        <w:t xml:space="preserve"> Calvinistic morals of the ruling party, discovered an integrated society across the border in independent Swaziland’s hotel resorts. In neighbouring Swaziland, they enjoyed uninhibited weekends and revelled in gambling and other prohibited behaviours. With the Swazi Spa, Casino and Holiday Inn a four-hour drive from the Gauteng metropolises on a dangerous road, it was not a convenient get-away. </w:t>
      </w:r>
      <w:r>
        <w:t>Kerzner</w:t>
      </w:r>
      <w:r w:rsidR="00CD4878">
        <w:t xml:space="preserve"> reworked this concept and applied it to the South African bantustan territories by taking advantage of the loopholes in the </w:t>
      </w:r>
      <w:r>
        <w:t>bantustan’s</w:t>
      </w:r>
      <w:r w:rsidR="00CD4878">
        <w:t xml:space="preserve"> legal systems. Kerzner’s offered the </w:t>
      </w:r>
      <w:r>
        <w:t>bantustan’s</w:t>
      </w:r>
      <w:r w:rsidR="00CD4878">
        <w:t xml:space="preserve"> governments with an opportunity to affirm their separate identity from South Africa by allowing gambling, pornography and inter-racial mingling within their borders. However, as an apartheid construct, the bantustans continued to be </w:t>
      </w:r>
      <w:r w:rsidR="00FE06B1" w:rsidRPr="00FE06B1">
        <w:t>dominated by white bureaucrats whose ideologies rested on segregationist principles and white superiority in South Africa</w:t>
      </w:r>
      <w:r w:rsidR="00FE06B1">
        <w:t>.</w:t>
      </w:r>
      <w:r w:rsidR="00CD4878">
        <w:rPr>
          <w:rStyle w:val="FootnoteReference"/>
        </w:rPr>
        <w:footnoteReference w:id="82"/>
      </w:r>
      <w:r w:rsidR="00CD4878" w:rsidRPr="00FA5A5B">
        <w:t xml:space="preserve"> </w:t>
      </w:r>
    </w:p>
    <w:p w14:paraId="49F52C7A" w14:textId="77777777" w:rsidR="00CD4878" w:rsidRDefault="00CD4878" w:rsidP="00CD4878">
      <w:pPr>
        <w:rPr>
          <w:color w:val="FF0000"/>
        </w:rPr>
      </w:pPr>
      <w:r w:rsidRPr="00FA5A5B">
        <w:t>Kerzner</w:t>
      </w:r>
      <w:r w:rsidR="00FC25A0">
        <w:t xml:space="preserve"> met with Mangope</w:t>
      </w:r>
      <w:r>
        <w:t xml:space="preserve"> </w:t>
      </w:r>
      <w:r w:rsidRPr="00FA5A5B">
        <w:t>and his cabinet to make a presentation for a hotel, man-made lake, golf course and mono-rail in the Bophuthatswana bushveld</w:t>
      </w:r>
      <w:r>
        <w:t xml:space="preserve"> in 1976</w:t>
      </w:r>
      <w:r w:rsidRPr="00FA5A5B">
        <w:t xml:space="preserve">. </w:t>
      </w:r>
      <w:r>
        <w:t>According to Kerzner,</w:t>
      </w:r>
      <w:r w:rsidRPr="00FA5A5B">
        <w:t xml:space="preserve"> Mangope and his people </w:t>
      </w:r>
      <w:r w:rsidR="000A67CB">
        <w:t>“</w:t>
      </w:r>
      <w:r w:rsidRPr="00FA5A5B">
        <w:t xml:space="preserve">were blown </w:t>
      </w:r>
      <w:r w:rsidR="000A67CB">
        <w:t>over”</w:t>
      </w:r>
      <w:r w:rsidRPr="00FA5A5B">
        <w:t xml:space="preserve"> and </w:t>
      </w:r>
      <w:r>
        <w:t xml:space="preserve">he </w:t>
      </w:r>
      <w:r w:rsidRPr="00FA5A5B">
        <w:t>attribute</w:t>
      </w:r>
      <w:r w:rsidR="00FC25A0">
        <w:t>d</w:t>
      </w:r>
      <w:r w:rsidRPr="00FA5A5B">
        <w:t xml:space="preserve"> the successful presentation and the impressive concept as the reason why </w:t>
      </w:r>
      <w:r>
        <w:t>Southern Sun</w:t>
      </w:r>
      <w:r w:rsidRPr="00FA5A5B">
        <w:t xml:space="preserve"> was awarded the casino concession. The investment was enormous for the time, totalling R35 million. Over the decades much has been said about Kerzner</w:t>
      </w:r>
      <w:r>
        <w:t xml:space="preserve"> and Mangope’s close relationship which is clouded with allegations of bribery and corruption (</w:t>
      </w:r>
      <w:r w:rsidR="006E44C2">
        <w:t xml:space="preserve">refer to </w:t>
      </w:r>
      <w:r w:rsidR="00FC25A0">
        <w:t>Chapter 5</w:t>
      </w:r>
      <w:r>
        <w:t>).</w:t>
      </w:r>
      <w:r w:rsidRPr="00FA5A5B">
        <w:rPr>
          <w:rStyle w:val="FootnoteReference"/>
        </w:rPr>
        <w:footnoteReference w:id="83"/>
      </w:r>
    </w:p>
    <w:p w14:paraId="5DB81B03" w14:textId="77777777" w:rsidR="00CD4878" w:rsidRDefault="00CD4878" w:rsidP="00CD4878">
      <w:r>
        <w:t xml:space="preserve">Southern Sun worked closely with the </w:t>
      </w:r>
      <w:r w:rsidR="00D4122A">
        <w:t>BNDC</w:t>
      </w:r>
      <w:r>
        <w:t xml:space="preserve"> to develop tourism within the bantustan. The BNDC assisted in the financing and establishment of a range of businesses, including factories and industry in the bantustan as well </w:t>
      </w:r>
      <w:r w:rsidR="00FE06B1">
        <w:t>aiming</w:t>
      </w:r>
      <w:r>
        <w:t xml:space="preserve"> to establish numerous tourist facilities. It was argued that the development of tourism would create infrastructure for the bantustan through the development of facilities such as hotels and conference centres as well as through the paving of roads, construction of telecommunications networks, improved water systems, the electrification of communities and houses and the building of schools, clinics and </w:t>
      </w:r>
      <w:r>
        <w:lastRenderedPageBreak/>
        <w:t>government buildings - all of which would help expand the job market. In May 1976, the Southern Sun hotel group demonstrated a keen interest to play a leading role in the development of the hotel industry in Bophuthatswana. An agreement was reached between the BNDC and Southern Sun to build hotel complexes in the areas that the BNDC was working on developing. A commercially beneficial relationship was thus established. Before this, little focus had been paid to the concept or development of tourism in the bantustan and Southern Sun argued to the BNDC that Bophuthatswana could become one of southern Africa’s most important tourist industries if it were planned and developed correctly.</w:t>
      </w:r>
      <w:r>
        <w:rPr>
          <w:rStyle w:val="FootnoteReference"/>
        </w:rPr>
        <w:footnoteReference w:id="84"/>
      </w:r>
    </w:p>
    <w:p w14:paraId="7AF121FF" w14:textId="77777777" w:rsidR="00CD4878" w:rsidRDefault="00CD4878" w:rsidP="00CD4878">
      <w:r>
        <w:t xml:space="preserve">A Southern Sun document dated 1976 and titled </w:t>
      </w:r>
      <w:r w:rsidRPr="000A67CB">
        <w:rPr>
          <w:i/>
        </w:rPr>
        <w:t>Touris</w:t>
      </w:r>
      <w:r w:rsidR="000A67CB" w:rsidRPr="000A67CB">
        <w:rPr>
          <w:i/>
        </w:rPr>
        <w:t>m Development in Bophuthatswana</w:t>
      </w:r>
      <w:r w:rsidR="00D4122A">
        <w:t>,</w:t>
      </w:r>
      <w:r w:rsidR="00FC25A0">
        <w:t xml:space="preserve"> found at the North-</w:t>
      </w:r>
      <w:r>
        <w:t>West Provincial Archives in Mafikeng, was presented to promote the concept of a Bophuthatswana tourism industry to Lucas Mangope and his government. Southern Sun explicitly tried to align its proposal for Bophuthatswana’s tourist developm</w:t>
      </w:r>
      <w:r w:rsidR="000A67CB">
        <w:t>ent with Mangope’s ideals of a “Tswana nation”</w:t>
      </w:r>
      <w:r>
        <w:t>. P.S. Jones argues that Mangope created a nation and a national identity based on a created historical narrative. The Bophuthatswana bantustan was created by the NP and Lucas Mangope created a national identity to align with his pseudo-state.</w:t>
      </w:r>
      <w:r>
        <w:rPr>
          <w:rStyle w:val="FootnoteReference"/>
        </w:rPr>
        <w:footnoteReference w:id="85"/>
      </w:r>
      <w:r>
        <w:t xml:space="preserve"> </w:t>
      </w:r>
    </w:p>
    <w:p w14:paraId="0FB220A9" w14:textId="77777777" w:rsidR="00CD4878" w:rsidRDefault="00CD4878" w:rsidP="00CD4878">
      <w:pPr>
        <w:pStyle w:val="Subtitle"/>
      </w:pPr>
      <w:r>
        <w:t>The Bophuthatswana state was particularly determined to gain recognition and access to their international community of nation-states and, to that end, pursued policies which it considered commensurate with international 'norms'. Mangope's attempts to rejuvenate tr</w:t>
      </w:r>
      <w:r w:rsidR="000C57FE">
        <w:t>aditional structures and mobilis</w:t>
      </w:r>
      <w:r>
        <w:t>e ethnic identity were contradicted</w:t>
      </w:r>
      <w:r w:rsidR="000C57FE">
        <w:t xml:space="preserve"> by the impetus towards modernis</w:t>
      </w:r>
      <w:r>
        <w:t>ation and its implicit emphasis that Batswana culture should be modified, adapted, updated.</w:t>
      </w:r>
      <w:r>
        <w:rPr>
          <w:rStyle w:val="FootnoteReference"/>
        </w:rPr>
        <w:footnoteReference w:id="86"/>
      </w:r>
    </w:p>
    <w:p w14:paraId="3F9BB1F6" w14:textId="686E8772" w:rsidR="00CD4878" w:rsidRPr="00277221" w:rsidRDefault="00CD4878" w:rsidP="00CD4878">
      <w:r>
        <w:t xml:space="preserve">Research by Lawrence and Manson demonstrates that the notion of a </w:t>
      </w:r>
      <w:r w:rsidR="000A67CB">
        <w:t>“Tswana nation”</w:t>
      </w:r>
      <w:r w:rsidR="00096A45">
        <w:t xml:space="preserve"> </w:t>
      </w:r>
      <w:r>
        <w:t>is problematic and stems from colonialism and the introduction of imagined and false ethnic groupings. It was from this false idea that the Bophuthatswana homeland was built.</w:t>
      </w:r>
      <w:r w:rsidRPr="005C1E9E">
        <w:rPr>
          <w:rStyle w:val="FootnoteReference"/>
        </w:rPr>
        <w:t xml:space="preserve"> </w:t>
      </w:r>
      <w:r>
        <w:rPr>
          <w:rStyle w:val="FootnoteReference"/>
        </w:rPr>
        <w:footnoteReference w:id="87"/>
      </w:r>
      <w:r>
        <w:t xml:space="preserve"> </w:t>
      </w:r>
    </w:p>
    <w:p w14:paraId="5306F78B" w14:textId="77777777" w:rsidR="00CD4878" w:rsidRDefault="00CD4878" w:rsidP="00CD4878">
      <w:r>
        <w:t xml:space="preserve">The document by Southern Sun sketched the notion of </w:t>
      </w:r>
      <w:r w:rsidR="000A67CB">
        <w:t>“Tswana nation</w:t>
      </w:r>
      <w:r>
        <w:t>alism</w:t>
      </w:r>
      <w:r w:rsidR="000A67CB">
        <w:t>”</w:t>
      </w:r>
      <w:r>
        <w:t xml:space="preserve"> and the attempt</w:t>
      </w:r>
      <w:r w:rsidR="000A67CB">
        <w:t>s to build a homogenous “nation”</w:t>
      </w:r>
      <w:r>
        <w:t xml:space="preserve"> by drawing on tenets of Bophuthatswana’s ethno-nationalist project. The project proposal carefully outlined the benefits of tourism to the developing bantustan and linked these with Mangope’s desires for int</w:t>
      </w:r>
      <w:r w:rsidR="000C57FE">
        <w:t xml:space="preserve">ernational exposure and </w:t>
      </w:r>
      <w:r w:rsidR="000C57FE">
        <w:lastRenderedPageBreak/>
        <w:t>modernis</w:t>
      </w:r>
      <w:r>
        <w:t>ation.</w:t>
      </w:r>
      <w:r>
        <w:rPr>
          <w:rStyle w:val="FootnoteReference"/>
        </w:rPr>
        <w:footnoteReference w:id="88"/>
      </w:r>
      <w:r>
        <w:t xml:space="preserve"> Southern Sun argued that tourism serves as a major stimulus for bringing people of different heritage, background, race, experience, language and culture together. They further argued that the development of a tourism infrastructure and its related attractions within </w:t>
      </w:r>
      <w:r w:rsidR="000A67CB">
        <w:t>Bophuthatswana would encourage “Tswanas”</w:t>
      </w:r>
      <w:r>
        <w:t xml:space="preserve"> to move within and through their country, resulting in communication and exposure to different ideas and areas. It was noted that specific attractions would be developed to encourage people to learn about Bophuthatswana’s heritage, culture and traditions. Tourism would draw residents from other countries, not just South Africa, to the ba</w:t>
      </w:r>
      <w:r w:rsidR="000A67CB">
        <w:t>ntustan, where they would meet “Tswanas” and learn about the “nation”</w:t>
      </w:r>
      <w:r>
        <w:t xml:space="preserve"> and its people. The Southern Sun hotel group argued that this would not only broaden the minds of the people of Bophuthatswana but also of the visiting tourists, resulting i</w:t>
      </w:r>
      <w:r w:rsidR="000C57FE">
        <w:t>n a change of attitude. Modernis</w:t>
      </w:r>
      <w:r>
        <w:t xml:space="preserve">ation through the building of infrastructure and the addition of lavish casinos, hotels and resorts throughout Bophuthatswana, which in turn would promote the idea of a </w:t>
      </w:r>
      <w:r w:rsidR="000A67CB">
        <w:t xml:space="preserve">“Tswana nation” </w:t>
      </w:r>
      <w:r>
        <w:t>locally and internationally and help Bophuthatswana achieve international recognition, was at the heart of the pitch.</w:t>
      </w:r>
      <w:r>
        <w:rPr>
          <w:rStyle w:val="FootnoteReference"/>
        </w:rPr>
        <w:footnoteReference w:id="89"/>
      </w:r>
    </w:p>
    <w:p w14:paraId="4D536CC8" w14:textId="77777777" w:rsidR="00CD4878" w:rsidRDefault="00CD4878" w:rsidP="00CD4878">
      <w:r>
        <w:t>Economically, the hotel group argued, there were many benefits to be reaped.</w:t>
      </w:r>
      <w:r w:rsidRPr="00EC6A36">
        <w:t xml:space="preserve"> </w:t>
      </w:r>
      <w:r>
        <w:t xml:space="preserve">Tourism is considered to have potential to be one of the largest sectors of industry in an economy, </w:t>
      </w:r>
      <w:r w:rsidR="00AD04CC" w:rsidRPr="00AD04CC">
        <w:t>with trade generating foreign exchange</w:t>
      </w:r>
      <w:r>
        <w:t xml:space="preserve">. In 1975, the South African tourist industry earned R275 million in foreign currency. A successful tourism industry will ensure that tourist foreign currency is spent within that country. In their estimates for the tourism industry in Bophuthatswana, Southern Sun suggested that </w:t>
      </w:r>
      <w:r w:rsidR="00FC25A0">
        <w:t xml:space="preserve">every new hotel bedroom, of a </w:t>
      </w:r>
      <w:r w:rsidR="000B251E">
        <w:t>four</w:t>
      </w:r>
      <w:r w:rsidR="00FC25A0">
        <w:t>-</w:t>
      </w:r>
      <w:r>
        <w:t>star stan</w:t>
      </w:r>
      <w:r w:rsidR="000B251E">
        <w:t>dard, was expected to generate one</w:t>
      </w:r>
      <w:r>
        <w:t xml:space="preserve"> and a half new jobs within th</w:t>
      </w:r>
      <w:r w:rsidR="000B251E">
        <w:t>e hotel industry, with another one</w:t>
      </w:r>
      <w:r>
        <w:t xml:space="preserve"> and a half new jobs created in ancillary industries. Therefore, a hotel with 200 rooms was expected to garner 600 new employment opportunities. Along with job creation was large scale training in technical, managerial and social skills as well as employment benefits such as pension schemes, medical aid and unemployment insurance for many who did not have access to these structures before.  Southern Sun urged that creation of new employment opportunities would have </w:t>
      </w:r>
      <w:r w:rsidR="00FC25A0">
        <w:t>several</w:t>
      </w:r>
      <w:r>
        <w:t xml:space="preserve"> socio-economic benefits for Bophuthatswana. With the creation of several thousand new jobs, there would be a meaningful increase in the economic activity of Bophuthatswana. A total of 4 200 hotel rooms was expected to be built, </w:t>
      </w:r>
      <w:r>
        <w:lastRenderedPageBreak/>
        <w:t>with the estimated 1 and a half new jobs per room, Southern Sun calculated that the tourism industry across Bophuthatswana would create 6 300 new employment opportunities.</w:t>
      </w:r>
      <w:r>
        <w:rPr>
          <w:rStyle w:val="FootnoteReference"/>
        </w:rPr>
        <w:footnoteReference w:id="90"/>
      </w:r>
    </w:p>
    <w:p w14:paraId="148113F8" w14:textId="77777777" w:rsidR="000B77F5" w:rsidRDefault="00CD4878" w:rsidP="00CD4878">
      <w:r>
        <w:t>However, Bophuthatswana did not possess the natural attraction</w:t>
      </w:r>
      <w:r w:rsidR="00D4122A">
        <w:t>s, beaches and scenic magnetism</w:t>
      </w:r>
      <w:r>
        <w:t xml:space="preserve"> of other southern African territories, instead it had rugged and often arid bushveld with mountainous kopjes. Despite this, Southern Sun felt that it had sufficient potential to develop an independent and exciting tourist industry given its unique characteristics. The company felt that given their abilities and proven track record, they could pioneer a tourist industry in Bophuthatswana than would eventually dominate southern Africa. Their first point of departure was in 1976 to create a hotel, with approximately 100 rooms, within the new capital city, Mmabatho. The next step was to draw up a feasibility study to investigate the construction of a deluxe resort and casino hotel complex close to Rustenburg. </w:t>
      </w:r>
    </w:p>
    <w:p w14:paraId="36E7C65E" w14:textId="77777777" w:rsidR="000B77F5" w:rsidRDefault="000B77F5" w:rsidP="000B77F5">
      <w:pPr>
        <w:pStyle w:val="Heading2"/>
        <w:numPr>
          <w:ilvl w:val="0"/>
          <w:numId w:val="0"/>
        </w:numPr>
        <w:ind w:left="578" w:hanging="578"/>
      </w:pPr>
      <w:bookmarkStart w:id="15" w:name="_Toc488481705"/>
      <w:r>
        <w:t>Bantustan’s and Bribery</w:t>
      </w:r>
      <w:bookmarkEnd w:id="15"/>
      <w:r>
        <w:t xml:space="preserve"> </w:t>
      </w:r>
    </w:p>
    <w:p w14:paraId="74B1E39B" w14:textId="77777777" w:rsidR="00CD4878" w:rsidRDefault="00CD4878" w:rsidP="00CD4878">
      <w:r>
        <w:t>According to a legal document between Southern Sun and the Bophuthatswana government, Southern Sun would only commence with this operation if exclusive rights were given to them to operate casinos in Bophuthatswana. These rights were granted from 13 December 1976, initially for a ten-year period. The hotel group also retained the right to renew the licence first, before another company was offered the option. In return, Kerzner signed a document which prohibited him from operating casinos in other bantustans before independence was granted to them. If Kerzner wished to construct a hotel in another bantustan, permission from the Bophuthatswana government needed to be obtained first. Southern Sun also ensured that the company would be taxed in accordance with any other company operating in the bantustan, this included taxation on the casino profits.</w:t>
      </w:r>
      <w:r>
        <w:rPr>
          <w:rStyle w:val="FootnoteReference"/>
        </w:rPr>
        <w:footnoteReference w:id="91"/>
      </w:r>
      <w:r>
        <w:t xml:space="preserve"> </w:t>
      </w:r>
    </w:p>
    <w:p w14:paraId="67759AE1" w14:textId="04F0D6C6" w:rsidR="00CD4878" w:rsidRDefault="00CD4878" w:rsidP="00CD4878">
      <w:r>
        <w:t>During the period of Sun International’s operations in Bophuthatswana there was a variety of taxation laws implemented to suit Kerzner’s benefits. The governm</w:t>
      </w:r>
      <w:r w:rsidR="00D4122A">
        <w:t>ent of Bophuthatswana and the B</w:t>
      </w:r>
      <w:r>
        <w:t>NDC encouraged the growth of tourism through a tax concession for new hotels and tax allowances for overseas marketing expenditure to encourage private investment in tourism.</w:t>
      </w:r>
      <w:r>
        <w:rPr>
          <w:rStyle w:val="FootnoteReference"/>
        </w:rPr>
        <w:footnoteReference w:id="92"/>
      </w:r>
      <w:r>
        <w:t xml:space="preserve"> In 1984, Leslie Young, Finance Minister for Bophuthatswana, agreed that any investment by Sun International (Bophuthatswana) Ltd. that marketed apartheid South Africa </w:t>
      </w:r>
      <w:r>
        <w:lastRenderedPageBreak/>
        <w:t xml:space="preserve">internationally would be tax deductible in Bophuthatswana. In 1987, Young agreed that entertainers who earned more than R26 000 per annum were required to pay 50% tax to the Bophuthatswana government, whilst 90% of taxation collected from entertainment workers in Bophuthatswana would be payable to Sun International (Bophuthatswana) Ltd. This practice was highly exploitive as it taxed Sun City employees at a high rate and then gave that money back to the resort. This provided Southern Sun with a financial incentive to operate in Bophuthatswana and annulled any financial and taxation benefits the casino would have provided the bantustan. </w:t>
      </w:r>
      <w:r w:rsidR="00D4122A">
        <w:t>The</w:t>
      </w:r>
      <w:r>
        <w:t xml:space="preserve"> depreciative tax allowance on business equipment in Bophuthatswana was above standard in comparison to South Africa</w:t>
      </w:r>
      <w:r w:rsidR="00D4122A">
        <w:t xml:space="preserve"> and</w:t>
      </w:r>
      <w:r>
        <w:t xml:space="preserve"> the allowances allocated to Sun International (Bop) were abundant. These included allowances for investments, buildings, grading and investments on the cost of constructions. All this meant that Sun International paid virtually no tax. </w:t>
      </w:r>
    </w:p>
    <w:p w14:paraId="25C3A765" w14:textId="77777777" w:rsidR="00CD4878" w:rsidRPr="00DB5D4A" w:rsidRDefault="00CD4878" w:rsidP="00CD4878">
      <w:r>
        <w:t>Kerzner used Sun International (Bophuthatswana) Ltd. to establish a corporation known as Sun International Management (SIM) in 1985. This company paid Kerzner and his associates a management fee through a Bermuda tax haven. Yo</w:t>
      </w:r>
      <w:r w:rsidR="000C57FE">
        <w:t>ung has since alleged that Kerzn</w:t>
      </w:r>
      <w:r>
        <w:t xml:space="preserve">er and associates siphoned </w:t>
      </w:r>
      <w:r w:rsidR="00FA6A91">
        <w:t>more than</w:t>
      </w:r>
      <w:r>
        <w:t xml:space="preserve"> R50 million per year (approximately R300 million today) through the payment of double fees. It has not been established whether this was done in contravention of the Reserve Bank and the Exchange Control Regulations.</w:t>
      </w:r>
      <w:r>
        <w:rPr>
          <w:rStyle w:val="FootnoteReference"/>
        </w:rPr>
        <w:footnoteReference w:id="93"/>
      </w:r>
    </w:p>
    <w:p w14:paraId="5DF9989E" w14:textId="77777777" w:rsidR="00CD4878" w:rsidRDefault="00CD4878" w:rsidP="00CD4878">
      <w:r>
        <w:t xml:space="preserve">Throughout the world, wherever a casino is in operation, the gambling industry is presumed to contribute </w:t>
      </w:r>
      <w:r w:rsidRPr="00331135">
        <w:t xml:space="preserve">economically to the area in which it operates. These economic </w:t>
      </w:r>
      <w:r w:rsidR="00331135" w:rsidRPr="00331135">
        <w:t>remunerations</w:t>
      </w:r>
      <w:r w:rsidRPr="00331135">
        <w:t xml:space="preserve"> range from incurring taxation above the accepted corporate rates, the growth of tourism, funding charitable causes and, in some</w:t>
      </w:r>
      <w:r w:rsidR="005E6435">
        <w:t xml:space="preserve"> </w:t>
      </w:r>
      <w:r w:rsidRPr="00331135">
        <w:t>cases, bribery. According to Peter Collins, director of the South Africa</w:t>
      </w:r>
      <w:r w:rsidR="00331135">
        <w:t>n Responsible Gambling Foundation</w:t>
      </w:r>
      <w:r w:rsidRPr="00331135">
        <w:t xml:space="preserve">, government regulation impacts on casino profitability in </w:t>
      </w:r>
      <w:r w:rsidR="005B165E" w:rsidRPr="00331135">
        <w:t>a number of ways</w:t>
      </w:r>
      <w:r w:rsidRPr="00331135">
        <w:t xml:space="preserve">. </w:t>
      </w:r>
      <w:r w:rsidR="005B165E" w:rsidRPr="00331135">
        <w:t>Governments</w:t>
      </w:r>
      <w:r w:rsidRPr="00331135">
        <w:t xml:space="preserve"> impose strict regulations to </w:t>
      </w:r>
      <w:r w:rsidR="005B165E" w:rsidRPr="00331135">
        <w:t>limit</w:t>
      </w:r>
      <w:r w:rsidRPr="00331135">
        <w:t xml:space="preserve"> market </w:t>
      </w:r>
      <w:r w:rsidR="00FA6A91" w:rsidRPr="00331135">
        <w:t>size</w:t>
      </w:r>
      <w:r w:rsidRPr="00331135">
        <w:t xml:space="preserve"> </w:t>
      </w:r>
      <w:r w:rsidR="005B165E" w:rsidRPr="00331135">
        <w:t xml:space="preserve">and </w:t>
      </w:r>
      <w:r w:rsidRPr="00331135">
        <w:t xml:space="preserve">deflate potential </w:t>
      </w:r>
      <w:r w:rsidR="005B165E" w:rsidRPr="00331135">
        <w:t xml:space="preserve">casino </w:t>
      </w:r>
      <w:r w:rsidRPr="00331135">
        <w:t xml:space="preserve">profits and then heavily tax those profits. </w:t>
      </w:r>
      <w:r w:rsidR="005B165E" w:rsidRPr="00331135">
        <w:t>The main motivator to regulate gambling is the control of the national gambling problem.</w:t>
      </w:r>
      <w:r w:rsidRPr="005E6435">
        <w:rPr>
          <w:rStyle w:val="FootnoteReference"/>
        </w:rPr>
        <w:footnoteReference w:id="94"/>
      </w:r>
      <w:r w:rsidRPr="005E6435">
        <w:rPr>
          <w:vertAlign w:val="superscript"/>
        </w:rPr>
        <w:t xml:space="preserve"> </w:t>
      </w:r>
    </w:p>
    <w:p w14:paraId="4B60D7D0" w14:textId="77777777" w:rsidR="00CD4878" w:rsidRDefault="00CD4878" w:rsidP="00CD4878">
      <w:r>
        <w:t xml:space="preserve">In the case of Southern Sun, the apartheid government sought to eliminate gambling in South Africa but could not control the number of casinos in the bantustans due to the introduction of  </w:t>
      </w:r>
      <w:r w:rsidRPr="007A70F5">
        <w:t xml:space="preserve"> </w:t>
      </w:r>
      <w:r>
        <w:t xml:space="preserve">Bantu Homelands Constitution Act, No. 21 of 1971, which allowed for self-governance of the bantustans. </w:t>
      </w:r>
      <w:r w:rsidR="009C4CF0">
        <w:t>Bophuthatswana</w:t>
      </w:r>
      <w:r>
        <w:t xml:space="preserve"> were entitled to formulate </w:t>
      </w:r>
      <w:r w:rsidR="009C4CF0">
        <w:t xml:space="preserve">its </w:t>
      </w:r>
      <w:r>
        <w:t xml:space="preserve">own laws and regulations, and </w:t>
      </w:r>
      <w:r>
        <w:lastRenderedPageBreak/>
        <w:t xml:space="preserve">opted to legalise gambling within its borders. This is more evident through the contractual agreement between Bophuthatswana and Southern Sun, which prohibited Kerzner from establishing casinos, both in Bophuthatswana and other homelands, without Mangope’s approval. Leaders like Mangope had no desire to restrict gambling or the casino market </w:t>
      </w:r>
      <w:r w:rsidR="00D4122A">
        <w:t>size</w:t>
      </w:r>
      <w:r>
        <w:t>, as he was reliant on the taxes generated from Sun City (despite the reduced taxation that Sun City paid).</w:t>
      </w:r>
      <w:r w:rsidR="009C4CF0">
        <w:t xml:space="preserve"> Further, as majority of the Sun City’s gambling clientele came from outside Bophuthatswana borders, </w:t>
      </w:r>
      <w:r w:rsidR="00536882">
        <w:t>Mangope had no obligation to be concerned about the harmful effects of gambling. Additionally, t</w:t>
      </w:r>
      <w:r>
        <w:t xml:space="preserve">he luxury and affluent facilities at Sun City reflected well on the homeland territory and aided in garnering international recognition. Mangope hoped that through the international marketing of the resort, the bantustan would earn status as a sovereign nation. This did not materialise.  </w:t>
      </w:r>
    </w:p>
    <w:p w14:paraId="5D442E69" w14:textId="77777777" w:rsidR="000B77F5" w:rsidRDefault="000B77F5" w:rsidP="000B77F5">
      <w:pPr>
        <w:pStyle w:val="Heading2"/>
        <w:numPr>
          <w:ilvl w:val="0"/>
          <w:numId w:val="0"/>
        </w:numPr>
        <w:ind w:left="578" w:hanging="578"/>
      </w:pPr>
      <w:bookmarkStart w:id="16" w:name="_Toc488481706"/>
      <w:r>
        <w:t xml:space="preserve">Creating a </w:t>
      </w:r>
      <w:r w:rsidR="000C462B">
        <w:t>T</w:t>
      </w:r>
      <w:r w:rsidR="000A67CB">
        <w:t>ourist “</w:t>
      </w:r>
      <w:r w:rsidR="000C462B">
        <w:t>M</w:t>
      </w:r>
      <w:r>
        <w:t>ecca</w:t>
      </w:r>
      <w:r w:rsidR="000A67CB">
        <w:t>”</w:t>
      </w:r>
      <w:bookmarkEnd w:id="16"/>
    </w:p>
    <w:p w14:paraId="1BB568E9" w14:textId="77777777" w:rsidR="00CD4878" w:rsidRDefault="00CD4878" w:rsidP="00CD4878">
      <w:r>
        <w:t>Kerzner was very specific about the quality and types of services the deluxe hotel and resort would offer and require. They aimed to provide a tourist attraction within a short distance from the Transvaal metropolitan areas, which could be driven to on good roads. The hotel complex needed to readily provide food, liquor and other supplies on a regular basis. The cost of land, construction and utilities needed to be reasonable and with a readily available source of labour. An area that can hold game was considered a benefit in facilitating the development of attractions and proximity to water, in any form of a river or dam, was required for the development of attractions.</w:t>
      </w:r>
      <w:r>
        <w:rPr>
          <w:rStyle w:val="FootnoteReference"/>
        </w:rPr>
        <w:footnoteReference w:id="95"/>
      </w:r>
      <w:r>
        <w:t xml:space="preserve"> </w:t>
      </w:r>
    </w:p>
    <w:p w14:paraId="1986624D" w14:textId="77777777" w:rsidR="00CD4878" w:rsidRDefault="00CD4878" w:rsidP="00CD4878">
      <w:r>
        <w:t xml:space="preserve">In the mind of Sol Kerzner, the hotels themselves had to be based on exciting architectural concepts, for the style of a hotel and the mystique about it can have a direct impact on its success. Clive Chipkin observes that the with the imagination, drive and total disdain for history that Kerzner possessed, he could take advantage of the puzzling idiosyncrasies of the apartheid state and transform the bare bushveld into a casino paradise. Sun City reworked history and “[fabricated pieces of exotica] on an unprecedented scale for foreign tourists, jaded businessmen, rich farmers, Killarney widows and lonely socialites.” </w:t>
      </w:r>
      <w:r>
        <w:rPr>
          <w:rStyle w:val="FootnoteReference"/>
        </w:rPr>
        <w:footnoteReference w:id="96"/>
      </w:r>
    </w:p>
    <w:p w14:paraId="5375EB87" w14:textId="77777777" w:rsidR="000B77F5" w:rsidRDefault="00CD4878" w:rsidP="00CD4878">
      <w:r>
        <w:t xml:space="preserve">The attractions needed to be of a high quality to meet international standards, for no amount of marketing would prove meaningful if the charms were not as good, if not better, then what </w:t>
      </w:r>
      <w:r>
        <w:lastRenderedPageBreak/>
        <w:t xml:space="preserve">South Africa </w:t>
      </w:r>
      <w:r w:rsidR="000A67CB">
        <w:t>had to offer. The concept of a “tourist town”</w:t>
      </w:r>
      <w:r>
        <w:t xml:space="preserve"> was proposed, in which everything a tourist could need would be in one</w:t>
      </w:r>
      <w:r w:rsidR="000A67CB">
        <w:t xml:space="preserve"> central location, a “</w:t>
      </w:r>
      <w:r w:rsidR="000B77F5">
        <w:t>tourist me</w:t>
      </w:r>
      <w:r w:rsidR="000A67CB">
        <w:t>cca”</w:t>
      </w:r>
      <w:r>
        <w:t xml:space="preserve">. </w:t>
      </w:r>
    </w:p>
    <w:p w14:paraId="6DD985CA" w14:textId="77777777" w:rsidR="00CD4878" w:rsidRDefault="00CD4878" w:rsidP="00CD4878">
      <w:r>
        <w:t>Initially, Southern Sun believed the development of tourist areas in Bophuthatswana should be centred on two main themes. The first theme cen</w:t>
      </w:r>
      <w:r w:rsidR="000A67CB">
        <w:t>tred on Bophuthatswana and the “Tswana people”</w:t>
      </w:r>
      <w:r>
        <w:t>, drawing on the ideology of Tswana ethnic nationalism. Tourists would</w:t>
      </w:r>
      <w:r w:rsidR="000A67CB">
        <w:t xml:space="preserve"> be encouraged to have the full “Tswana experience”</w:t>
      </w:r>
      <w:r>
        <w:t xml:space="preserve"> from arts, culture, and history to customs. Given the limited natural attractions of the bantustan, the difference between Bophuthatswana and other African destinations was to going to be its people. Tourists would be given the opportunity to meet and get to know the people of Bophuthatswana, see where the trinkets and souvenirs they bought were made and learn first-hand about the country they had come to visit. Towards this end, Southern Sun proposed a Tswana historical museum and a Tswana living village</w:t>
      </w:r>
      <w:r w:rsidR="00396630">
        <w:t xml:space="preserve"> (a tourist village)</w:t>
      </w:r>
      <w:r>
        <w:t xml:space="preserve">. The second theme focused on entertainment, advocating for the largest entertainment complex in southern Africa, drawing inspiration from metropolises such as Las Vegas. The proposed entertainment complex would include a host of sport facilities from conventional ball sports to horse riding and water sports as well as an elaborate children’s playhouse, as the success of a parent’s holidays </w:t>
      </w:r>
      <w:r w:rsidR="000B77F5">
        <w:t>was</w:t>
      </w:r>
      <w:r>
        <w:t xml:space="preserve"> dependent on that of their children. A cinema was to be built with a more liberal approach than South Africa’s screening policy, which was heavily censored, allowing adults to watch what t</w:t>
      </w:r>
      <w:r w:rsidR="00AA0B14">
        <w:t>hey desired. Each hotel in the tourist town</w:t>
      </w:r>
      <w:r>
        <w:t xml:space="preserve"> was to have their own </w:t>
      </w:r>
      <w:r w:rsidRPr="00CB2C05">
        <w:rPr>
          <w:i/>
        </w:rPr>
        <w:t xml:space="preserve">a la carte </w:t>
      </w:r>
      <w:r w:rsidRPr="00CB2C05">
        <w:t>restaurant</w:t>
      </w:r>
      <w:r w:rsidRPr="00CB2C05">
        <w:rPr>
          <w:i/>
        </w:rPr>
        <w:t xml:space="preserve"> </w:t>
      </w:r>
      <w:r>
        <w:t>and bar with a unique theme and character.</w:t>
      </w:r>
      <w:r>
        <w:rPr>
          <w:rStyle w:val="FootnoteReference"/>
        </w:rPr>
        <w:footnoteReference w:id="97"/>
      </w:r>
      <w:r>
        <w:t xml:space="preserve">  </w:t>
      </w:r>
    </w:p>
    <w:p w14:paraId="4CEE77DD" w14:textId="77777777" w:rsidR="00CD4878" w:rsidRDefault="00CD4878" w:rsidP="00CD4878">
      <w:r>
        <w:t>It was Southern Sun’s opinion that to maximise the tourist potential of Bophuthatswana the tourist centres would have to be heavily concentrated in a few selected areas, as opposed to scattered sparsely throughout the bantustan.</w:t>
      </w:r>
      <w:r>
        <w:rPr>
          <w:rStyle w:val="FootnoteReference"/>
        </w:rPr>
        <w:footnoteReference w:id="98"/>
      </w:r>
      <w:r>
        <w:t xml:space="preserve"> This is where the development of the Pilanesberg National Park would become essential. </w:t>
      </w:r>
      <w:r w:rsidR="000B77F5">
        <w:t>Thus</w:t>
      </w:r>
      <w:r>
        <w:t xml:space="preserve">, determining </w:t>
      </w:r>
      <w:r w:rsidRPr="004A56C4">
        <w:t xml:space="preserve">the </w:t>
      </w:r>
      <w:r>
        <w:t xml:space="preserve">site where Sun City was to be built was not an easy task. A childhood friend of Sol Kerzner and </w:t>
      </w:r>
      <w:r w:rsidR="00D4122A">
        <w:t>prominent businessman who wishes</w:t>
      </w:r>
      <w:r>
        <w:t xml:space="preserve"> to remain anonymous recalls how he accompanied Kerzner on several occasions as he flew in a helicopter over the Bophuthatswana bushveld, looking for the perfect site to establish his </w:t>
      </w:r>
      <w:r w:rsidRPr="00CB2C05">
        <w:rPr>
          <w:i/>
        </w:rPr>
        <w:t>letsatsing</w:t>
      </w:r>
      <w:r>
        <w:t xml:space="preserve">, </w:t>
      </w:r>
      <w:r w:rsidR="00D4122A">
        <w:t xml:space="preserve">a </w:t>
      </w:r>
      <w:r>
        <w:t>place in the sun.</w:t>
      </w:r>
      <w:r>
        <w:rPr>
          <w:rStyle w:val="FootnoteReference"/>
        </w:rPr>
        <w:footnoteReference w:id="99"/>
      </w:r>
      <w:r>
        <w:t xml:space="preserve"> In late 1977, Kerzner flew over Houwaterdam in a helicopter, landing near the Pilanesberg mountains, and found the perfect </w:t>
      </w:r>
      <w:r>
        <w:lastRenderedPageBreak/>
        <w:t>location for his project.</w:t>
      </w:r>
      <w:r w:rsidRPr="004A56C4">
        <w:rPr>
          <w:rStyle w:val="FootnoteReference"/>
        </w:rPr>
        <w:footnoteReference w:id="100"/>
      </w:r>
      <w:r w:rsidRPr="004A56C4">
        <w:t xml:space="preserve"> </w:t>
      </w:r>
      <w:r>
        <w:t xml:space="preserve">During the process of establishing what would become Sun City, the source and Kerzner developed a good relationship with Mangope. It was together with Mangope that Kerzner settled on the farm Doornhoek, located in the Pilanesberg </w:t>
      </w:r>
      <w:r w:rsidR="000B77F5">
        <w:t>mountains</w:t>
      </w:r>
      <w:r>
        <w:t>.</w:t>
      </w:r>
      <w:r>
        <w:rPr>
          <w:rStyle w:val="FootnoteReference"/>
        </w:rPr>
        <w:footnoteReference w:id="101"/>
      </w:r>
    </w:p>
    <w:p w14:paraId="73793F42" w14:textId="77777777" w:rsidR="00CD4878" w:rsidRDefault="00CD4878" w:rsidP="00CD4878">
      <w:r>
        <w:t xml:space="preserve">Legal agreements and correspondence between Southern Sun and Bophuthatswana found </w:t>
      </w:r>
      <w:r w:rsidR="00D4122A">
        <w:t>in</w:t>
      </w:r>
      <w:r>
        <w:t xml:space="preserve"> the archives in Mafikeng provide a timeline of the establishment and construction of the Sun City resort and casino. Bophuthatswana was one of the most favourable places to operate a business during the 1980s </w:t>
      </w:r>
      <w:r w:rsidR="000B251E" w:rsidRPr="000B251E">
        <w:t>as Mangope’s government welcomed foreign investment</w:t>
      </w:r>
      <w:r>
        <w:t>. There was an uncomplicated set of laws to abide by and the homeland was easily accessible from the economic hub of the Transvaal. The role that the BNDC played in facilitating this status of Bophuthatswana was essential. The corporation would smooth over any business deal, especially industrial developments in the bantusta</w:t>
      </w:r>
      <w:r w:rsidR="000C57FE">
        <w:t>n, and help newcomers familiaris</w:t>
      </w:r>
      <w:r>
        <w:t>e with the rules and regulations.</w:t>
      </w:r>
      <w:r>
        <w:rPr>
          <w:rStyle w:val="FootnoteReference"/>
        </w:rPr>
        <w:footnoteReference w:id="102"/>
      </w:r>
      <w:r>
        <w:t xml:space="preserve"> </w:t>
      </w:r>
    </w:p>
    <w:p w14:paraId="0D7CCF59" w14:textId="77777777" w:rsidR="001D3203" w:rsidRDefault="00CD4878" w:rsidP="00CD4878">
      <w:r>
        <w:t>Southern Sun obtained a 99-year lease for the Doornhoek farm. The farm was owned by the government of Bophuthatswana and leased by them to Southern Sun, which was registered under number K6/1878 on 23 October 1978. The farm measured 3046, 8002 hectares in s</w:t>
      </w:r>
      <w:r w:rsidR="000B77F5">
        <w:t>iz</w:t>
      </w:r>
      <w:r w:rsidR="006F3AD9">
        <w:t>e</w:t>
      </w:r>
      <w:r>
        <w:t xml:space="preserve"> and the first lease was taken from 1 December 1979 to 31 March 2079. The rental was R30, 000 per annum for the first three years, R40, 000 for the following four years and R50, 000 for the ten years after that ending in 1996. The rental amounts after 1996 was not discussed in the legal agreement.</w:t>
      </w:r>
      <w:r>
        <w:rPr>
          <w:rStyle w:val="FootnoteReference"/>
        </w:rPr>
        <w:footnoteReference w:id="103"/>
      </w:r>
      <w:r>
        <w:t xml:space="preserve"> </w:t>
      </w:r>
      <w:r w:rsidR="0039479A">
        <w:t>However, it should be noted that s</w:t>
      </w:r>
      <w:r w:rsidR="001D3203">
        <w:t>uch a contract is standard in the gambling industry where organisations are given long term contracts and exclusive rights to conduct business.</w:t>
      </w:r>
      <w:r w:rsidR="0039479A">
        <w:rPr>
          <w:rStyle w:val="FootnoteReference"/>
        </w:rPr>
        <w:footnoteReference w:id="104"/>
      </w:r>
      <w:r w:rsidR="001D3203">
        <w:t xml:space="preserve"> </w:t>
      </w:r>
    </w:p>
    <w:p w14:paraId="082B534A" w14:textId="77777777" w:rsidR="00CD4878" w:rsidRDefault="00CD4878" w:rsidP="00CD4878">
      <w:r>
        <w:t xml:space="preserve">On 25 June 1979, Southern Sun attorney Aldo Grosso filed on behalf of the hotel group for the intention to </w:t>
      </w:r>
      <w:r w:rsidR="000B77F5">
        <w:t>apply</w:t>
      </w:r>
      <w:r>
        <w:t xml:space="preserve"> for a liquor licence as well as a casino licence on the farm of Doornhoek where Sun City would be built. These applications were filed </w:t>
      </w:r>
      <w:r w:rsidR="000B77F5">
        <w:t>regarding</w:t>
      </w:r>
      <w:r>
        <w:t xml:space="preserve"> the Bophuthatswana Intoxicating Liquor Act of 1973, in terms of section 28 and the Casino Act of 1977.  The act was introduced </w:t>
      </w:r>
      <w:r w:rsidR="000B77F5">
        <w:t>because of</w:t>
      </w:r>
      <w:r>
        <w:t xml:space="preserve"> meetings between the </w:t>
      </w:r>
      <w:r w:rsidR="00D4122A">
        <w:t>BNDC</w:t>
      </w:r>
      <w:r>
        <w:t xml:space="preserve"> and Southern Sun, </w:t>
      </w:r>
      <w:r>
        <w:lastRenderedPageBreak/>
        <w:t>directly allowing for the establishment of Mmabatho Sun in 1977 and Sun City two years later. The official applications were lodged with the magistrate on 23 July 1979.</w:t>
      </w:r>
      <w:r>
        <w:rPr>
          <w:rStyle w:val="FootnoteReference"/>
        </w:rPr>
        <w:footnoteReference w:id="105"/>
      </w:r>
      <w:r>
        <w:t xml:space="preserve"> Between the purchase of the 99-year rental agreement and the filing for applications for liquor and casino licences, Sun City was well on its way to being established. </w:t>
      </w:r>
    </w:p>
    <w:p w14:paraId="0126FC14" w14:textId="77777777" w:rsidR="00CD4878" w:rsidRDefault="000B77F5" w:rsidP="00CD4878">
      <w:r>
        <w:t>Building</w:t>
      </w:r>
      <w:r w:rsidR="00CD4878">
        <w:t xml:space="preserve"> began on 15 July 1978 with a total labour force of 1200 people working at a gruelling pace - the first phase of Sun City was completed on 7</w:t>
      </w:r>
      <w:r w:rsidR="00CD4878">
        <w:rPr>
          <w:vertAlign w:val="superscript"/>
        </w:rPr>
        <w:t xml:space="preserve"> </w:t>
      </w:r>
      <w:r w:rsidR="00CD4878">
        <w:t>December 1979, just 18 months after the site had been chosen. South African construction and engineering company SIP was contracted to head the project with Jules Schneid as project lead. Following the construction of the Sun City hotel, SIP went on to consult for several Sun International projects across South Africa, including the construction of the Palace of the Lost City. Working with Kerzner presented a challenge, as he was a perfectionist with a strict time line. When Schneid was asked about the fast pace at which Sun City was built he responded:</w:t>
      </w:r>
    </w:p>
    <w:p w14:paraId="4FA13599" w14:textId="77777777" w:rsidR="00CD4878" w:rsidRDefault="00CD4878" w:rsidP="00CD4878">
      <w:pPr>
        <w:pStyle w:val="Subtitle"/>
      </w:pPr>
      <w:r>
        <w:t>We really set up [Sun City like a] command post, a headquarters so we could direct operations like a battle. The field was the Sun City project and the soldiers were the professional men we sent out to the site to challenge the odds.</w:t>
      </w:r>
      <w:r>
        <w:rPr>
          <w:rStyle w:val="FootnoteReference"/>
        </w:rPr>
        <w:footnoteReference w:id="106"/>
      </w:r>
    </w:p>
    <w:p w14:paraId="76922079" w14:textId="77777777" w:rsidR="00CD4878" w:rsidRDefault="00CD4878" w:rsidP="00CD4878">
      <w:r>
        <w:t>The first move had been to construct a temporary landing strip on the Doornhoek farm to allow personnel and mangers to fly in and out of the Pilanesberg; then the focus shifted to the architectural and building problems. Approximately 70% of the labour used for the first phase construction of Sun City came from local, unskilled labourers. They acquired a variety of construction skills during the 18 months on site. SIP praised the workers for their enthusiasm and tenacity.</w:t>
      </w:r>
      <w:r>
        <w:rPr>
          <w:rStyle w:val="FootnoteReference"/>
        </w:rPr>
        <w:footnoteReference w:id="107"/>
      </w:r>
    </w:p>
    <w:p w14:paraId="5EF4AADB" w14:textId="77777777" w:rsidR="00CD4878" w:rsidRPr="000C57FE" w:rsidRDefault="00CD4878" w:rsidP="00CD4878">
      <w:pPr>
        <w:rPr>
          <w:rStyle w:val="SubtitleChar"/>
          <w:color w:val="auto"/>
          <w:spacing w:val="0"/>
          <w:sz w:val="24"/>
        </w:rPr>
      </w:pPr>
      <w:r>
        <w:t xml:space="preserve">Mangope was heavily involved in the development, construction and running of Sun City, which grew exponentially during its first 15 years of existence. More hotels were added to the </w:t>
      </w:r>
      <w:r w:rsidR="00046280">
        <w:t>complex</w:t>
      </w:r>
      <w:r>
        <w:t xml:space="preserve">, catering to varying levels of wealth and entertainment needs. A childhood friend of </w:t>
      </w:r>
      <w:r w:rsidR="00FA6A91">
        <w:t>Kerzner’s</w:t>
      </w:r>
      <w:r>
        <w:t xml:space="preserve"> and member of the BNDC board stated in an interview that</w:t>
      </w:r>
    </w:p>
    <w:p w14:paraId="6B4B78C9" w14:textId="77777777" w:rsidR="00CD4878" w:rsidRPr="005A45A3" w:rsidRDefault="00CD4878" w:rsidP="00CD4878">
      <w:pPr>
        <w:pStyle w:val="Subtitle"/>
        <w:rPr>
          <w:rStyle w:val="SubtitleChar"/>
        </w:rPr>
      </w:pPr>
      <w:r w:rsidRPr="005A45A3">
        <w:rPr>
          <w:rStyle w:val="SubtitleChar"/>
        </w:rPr>
        <w:t>The relationship [between Sol Kerzner and Lucas Mangope] was a very good one. It suited both of them, Lucas Mangope got exposure that he otherwise never would have had…</w:t>
      </w:r>
      <w:r>
        <w:rPr>
          <w:rStyle w:val="SubtitleChar"/>
        </w:rPr>
        <w:t xml:space="preserve"> </w:t>
      </w:r>
      <w:r w:rsidRPr="005A45A3">
        <w:rPr>
          <w:rStyle w:val="SubtitleChar"/>
        </w:rPr>
        <w:t>Sun City turned out to be exactly what Sol Kerzner wanted it be and it turned out very profitable f</w:t>
      </w:r>
      <w:r>
        <w:rPr>
          <w:rStyle w:val="SubtitleChar"/>
        </w:rPr>
        <w:t>rom</w:t>
      </w:r>
      <w:r w:rsidRPr="005A45A3">
        <w:rPr>
          <w:rStyle w:val="SubtitleChar"/>
        </w:rPr>
        <w:t xml:space="preserve"> everyone’s point of view.</w:t>
      </w:r>
      <w:r w:rsidRPr="00125E07">
        <w:rPr>
          <w:rStyle w:val="SubtitleChar"/>
          <w:vertAlign w:val="superscript"/>
        </w:rPr>
        <w:footnoteReference w:id="108"/>
      </w:r>
      <w:r w:rsidRPr="00125E07">
        <w:rPr>
          <w:rStyle w:val="SubtitleChar"/>
          <w:vertAlign w:val="superscript"/>
        </w:rPr>
        <w:t xml:space="preserve"> </w:t>
      </w:r>
      <w:r w:rsidRPr="005A45A3">
        <w:rPr>
          <w:rStyle w:val="SubtitleChar"/>
        </w:rPr>
        <w:t xml:space="preserve"> </w:t>
      </w:r>
    </w:p>
    <w:p w14:paraId="4965A012" w14:textId="77777777" w:rsidR="00CD4878" w:rsidRDefault="00CD4878" w:rsidP="00CD4878">
      <w:r>
        <w:t>The casino wo</w:t>
      </w:r>
      <w:r w:rsidR="000C57FE">
        <w:t>uld subsidis</w:t>
      </w:r>
      <w:r>
        <w:t xml:space="preserve">e the expenditure of such an elaborate hotel venture, as one hotel alone could not subsidise such an entertainment complex. The greater the variety and number </w:t>
      </w:r>
      <w:r>
        <w:lastRenderedPageBreak/>
        <w:t xml:space="preserve">of hotels developed on one site, the greater variety of entertainment facilities could be supported. The casino was to be a vital part of the entertainment section, based on the estimate that the average gambler in Swaziland spent R25 a day in the casino. </w:t>
      </w:r>
    </w:p>
    <w:p w14:paraId="5ABA9F7D" w14:textId="77777777" w:rsidR="00CD4878" w:rsidRPr="00FB18DD" w:rsidRDefault="00CD4878" w:rsidP="00CD4878">
      <w:pPr>
        <w:rPr>
          <w:rStyle w:val="SubtitleChar"/>
          <w:color w:val="auto"/>
          <w:spacing w:val="0"/>
          <w:sz w:val="24"/>
        </w:rPr>
      </w:pPr>
      <w:r>
        <w:t>During a meeting between Mangope and his cabinet, the BNDC and Southern Sun in May 1976, it was projected that the casino would generate a significant revenue in terms of casino-related tax for the Bophuthatswana government.</w:t>
      </w:r>
      <w:r>
        <w:rPr>
          <w:rStyle w:val="FootnoteReference"/>
        </w:rPr>
        <w:footnoteReference w:id="109"/>
      </w:r>
      <w:r>
        <w:t xml:space="preserve"> Tourism, with gambling as a large portion of the industry, was carefully presented to Mangope as an opportunity to put Bophuthatswana on the world map. In Southern Sun’s 1979 mid-year financial prospectus, Kerzner reinforced this concept, just as Sun City was nearing completion: </w:t>
      </w:r>
    </w:p>
    <w:p w14:paraId="44856D27" w14:textId="77777777" w:rsidR="00CD4878" w:rsidRDefault="00CD4878" w:rsidP="00CD4878">
      <w:pPr>
        <w:pStyle w:val="Subtitle"/>
        <w:rPr>
          <w:rStyle w:val="SubtitleChar"/>
        </w:rPr>
      </w:pPr>
      <w:r w:rsidRPr="005A45A3">
        <w:rPr>
          <w:rStyle w:val="SubtitleChar"/>
        </w:rPr>
        <w:t>This project</w:t>
      </w:r>
      <w:r>
        <w:rPr>
          <w:rStyle w:val="SubtitleChar"/>
        </w:rPr>
        <w:t xml:space="preserve"> </w:t>
      </w:r>
      <w:r w:rsidRPr="005A45A3">
        <w:rPr>
          <w:rStyle w:val="SubtitleChar"/>
        </w:rPr>
        <w:t>…</w:t>
      </w:r>
      <w:r>
        <w:rPr>
          <w:rStyle w:val="SubtitleChar"/>
        </w:rPr>
        <w:t xml:space="preserve"> </w:t>
      </w:r>
      <w:r w:rsidRPr="005A45A3">
        <w:rPr>
          <w:rStyle w:val="SubtitleChar"/>
        </w:rPr>
        <w:t>will contribute in a very meaningful way towards the international tourist market in Bophuthatswana and Southern Africa.</w:t>
      </w:r>
      <w:r w:rsidRPr="005A45A3">
        <w:rPr>
          <w:rStyle w:val="SubtitleChar"/>
          <w:vertAlign w:val="superscript"/>
        </w:rPr>
        <w:footnoteReference w:id="110"/>
      </w:r>
    </w:p>
    <w:p w14:paraId="4DB95CD7" w14:textId="77777777" w:rsidR="00CD4878" w:rsidRPr="00846743" w:rsidRDefault="00CD4878" w:rsidP="00CD4878">
      <w:r>
        <w:t xml:space="preserve">One of the largest motivating factors to travel to Sun City was gambling. It was outlawed in South Africa, and the country’s </w:t>
      </w:r>
      <w:r w:rsidR="00E86F93">
        <w:t>citizens</w:t>
      </w:r>
      <w:r>
        <w:t xml:space="preserve"> had to travel to Swaziland to satisfy this </w:t>
      </w:r>
      <w:r w:rsidR="00B87126">
        <w:t>habit</w:t>
      </w:r>
      <w:r>
        <w:t xml:space="preserve">. The majority of the market share of tourism came from the </w:t>
      </w:r>
      <w:r w:rsidRPr="001C7599">
        <w:t>PWV Megalopolis</w:t>
      </w:r>
      <w:r>
        <w:t>.</w:t>
      </w:r>
      <w:r>
        <w:rPr>
          <w:rStyle w:val="FootnoteReference"/>
        </w:rPr>
        <w:footnoteReference w:id="111"/>
      </w:r>
      <w:r>
        <w:t xml:space="preserve"> The </w:t>
      </w:r>
      <w:r w:rsidRPr="001C7599">
        <w:t>PWV Megalopolis</w:t>
      </w:r>
      <w:r>
        <w:t xml:space="preserve"> was (and is) home to the largest portion of South Africa’s population and had the highest per capita income. In 1974, the total population was estimated to be 7, 3 million, with</w:t>
      </w:r>
      <w:r w:rsidR="00307D9E">
        <w:t xml:space="preserve"> an annual growth rate of 3, 0% and</w:t>
      </w:r>
      <w:r>
        <w:t xml:space="preserve"> this figure would increase to 1, 55 million by 1980. In 1975, the South Africa National Tourist Board conducted a survey of 12 543 white households in the seven main metropolitan areas of the country, encompassing all income groups. Some of the most pertinent points uncovered were that 83% of people enjoyed a regular holiday a far distance from home and 60% enjoyed a holiday every year. </w:t>
      </w:r>
      <w:r w:rsidR="00307D9E">
        <w:t>Most</w:t>
      </w:r>
      <w:r>
        <w:t xml:space="preserve"> people expressed a preference for a holiday of two weeks, and 76% of people travelled to their destination by car.</w:t>
      </w:r>
      <w:r>
        <w:rPr>
          <w:rStyle w:val="FootnoteReference"/>
        </w:rPr>
        <w:footnoteReference w:id="112"/>
      </w:r>
      <w:r>
        <w:t xml:space="preserve"> These figures further encouraged Southern Sun to construct the mega resort within the borders of Bophuthatswana.</w:t>
      </w:r>
    </w:p>
    <w:p w14:paraId="5B2B7E9E" w14:textId="77777777" w:rsidR="00CD4878" w:rsidRDefault="00CD4878" w:rsidP="00CD4878">
      <w:r>
        <w:t>It was a direct aim of Southern Sun, with the help of the Bophuthat</w:t>
      </w:r>
      <w:r w:rsidR="00D4122A">
        <w:t>swana government, to develop</w:t>
      </w:r>
      <w:r>
        <w:t xml:space="preserve"> the Heystekrand town, community and the surrounding Pilanesberg region. This was a self-serving endeavour, as they hoped to speed up the region’s development </w:t>
      </w:r>
      <w:r w:rsidR="00FA6A91">
        <w:t>to</w:t>
      </w:r>
      <w:r>
        <w:t xml:space="preserve"> be able to provide the necessary infrastructure required to establish, operate and develop a tourist resort. This came after it was discovered that little to no infrastructure existed in the area Southern </w:t>
      </w:r>
      <w:r>
        <w:lastRenderedPageBreak/>
        <w:t xml:space="preserve">Sun had selected. The question of housing, in the form of a township, for its employees, especially was a large looming question. The </w:t>
      </w:r>
      <w:r w:rsidR="00D4122A">
        <w:t>BNDC</w:t>
      </w:r>
      <w:r>
        <w:t xml:space="preserve"> had suggested an alternative site for the hotel, but Southern Sun rejected this proposal and offered to finance to the cost of building the necessary infrastructure.</w:t>
      </w:r>
      <w:r>
        <w:rPr>
          <w:rStyle w:val="FootnoteReference"/>
        </w:rPr>
        <w:footnoteReference w:id="113"/>
      </w:r>
      <w:r>
        <w:t xml:space="preserve"> </w:t>
      </w:r>
    </w:p>
    <w:p w14:paraId="2EA55D6C" w14:textId="77777777" w:rsidR="00CD4878" w:rsidRDefault="00CD4878" w:rsidP="00CD4878">
      <w:r>
        <w:t xml:space="preserve">The OPEC oil embargo, which was imposed on South Africa on 23 November 1973, saw a dramatic rise in oil prices and placed restrictions on the availability of petrol. The South African government adopted reduced speed limits throughout the country </w:t>
      </w:r>
      <w:r w:rsidR="00FA6A91">
        <w:t>to</w:t>
      </w:r>
      <w:r>
        <w:t xml:space="preserve"> reduce fuel consumption. The limit was reduced from 120 km/h on rural roads and freeways to 80 km/h under the National Supplies Procurement Act in 1973. The limit was raised to 90 km/h in May 1975, until the </w:t>
      </w:r>
      <w:r w:rsidR="00307D9E">
        <w:t>Iranian</w:t>
      </w:r>
      <w:r>
        <w:t xml:space="preserve"> civil war again threatened South Africa’s oil supply. Thereafter the speed limit fluctuated between 70 km/h and 90 km/h throughout the latter part of the 1970s and was only raised to 100 km/h in 1981.</w:t>
      </w:r>
      <w:r>
        <w:rPr>
          <w:rStyle w:val="FootnoteReference"/>
        </w:rPr>
        <w:footnoteReference w:id="114"/>
      </w:r>
      <w:r>
        <w:t xml:space="preserve"> As airfares and petrol prices continued to increase during this period and speed limits, along with restrictions on how far one car could travel, restricted travel options, it was predicted that Sun City, located less than 200 km away from Johannesburg, would be an attractiv</w:t>
      </w:r>
      <w:r w:rsidR="00307D9E">
        <w:t>e choice to other destinations.</w:t>
      </w:r>
    </w:p>
    <w:p w14:paraId="18FDD2E6" w14:textId="77777777" w:rsidR="00CD4878" w:rsidRDefault="00CD4878" w:rsidP="00CD4878">
      <w:r>
        <w:t>The potable water supply for the Sun City hotel complex came from the Vaalkop Water Board via its reservoir at La Patrie approximately 35km from the resort. It utilised a 350mm asbestos concrete pipeline constructed between the reservoir and the nearby town of Heystekrand, approximately 15km north east of Sun City. The pipeline was designed to cater for a sustained peak demand of 6 700 k</w:t>
      </w:r>
      <w:r>
        <w:rPr>
          <w:i/>
        </w:rPr>
        <w:t xml:space="preserve">l </w:t>
      </w:r>
      <w:r>
        <w:t xml:space="preserve">per day and the anticipated demands for the first ten years of the resort’s operations. The pipeline was installed within the shortest </w:t>
      </w:r>
      <w:r w:rsidR="00FA6A91">
        <w:t>period</w:t>
      </w:r>
      <w:r>
        <w:t>, with huge pressures placed on the company hired, Valente Bros. (Pty). It included supply to the 130 houses built for the Sun City staff members. The sewerage and wastewater system implemented was entirely financed by Southern Sun and was estimated to have cost R1 000 000 in 1979.</w:t>
      </w:r>
      <w:r>
        <w:rPr>
          <w:rStyle w:val="FootnoteReference"/>
        </w:rPr>
        <w:footnoteReference w:id="115"/>
      </w:r>
      <w:r>
        <w:t xml:space="preserve"> </w:t>
      </w:r>
    </w:p>
    <w:p w14:paraId="5C909326" w14:textId="77777777" w:rsidR="00CD4878" w:rsidRDefault="00CD4878" w:rsidP="00CD4878">
      <w:r>
        <w:t xml:space="preserve">Sun City also demanded a technological upgrade for the bantustan. The telecommunications network of Sun City formed part of both local and national networks. Local infrastructure included the construction of eight 70m tall towers in the region to support communications in </w:t>
      </w:r>
      <w:r>
        <w:lastRenderedPageBreak/>
        <w:t>the hotel complex and the Pilanesberg region. The towers were connected to the town of Phokeng, approximately 35km away. The exchange at Phokeng, which was directly set up for use by Sun City, was inaugurated on 3 October 1979 and was the first automatic exchange in Bophuthatswana. From there the calls were sent through to the automatic exchange in Rustenberg via radio link. Later calls where directed through the automatic exchange set up in Mmabatho, Bophuthatswana’s capital city. This served as the homeland’s gateway to the outside world. Sun City originally had 24 lines set up for telephone calls and telexes. The resort’s telecommunications networks could handle direct dialling from the hotel to anywhere in South Africa but until the automatic exchange was erected in Mmabatho, international calls where directed via Cape Town.</w:t>
      </w:r>
      <w:r>
        <w:rPr>
          <w:rStyle w:val="FootnoteReference"/>
        </w:rPr>
        <w:footnoteReference w:id="116"/>
      </w:r>
      <w:r>
        <w:t xml:space="preserve"> </w:t>
      </w:r>
    </w:p>
    <w:p w14:paraId="316A1197" w14:textId="77777777" w:rsidR="00CD4878" w:rsidRDefault="00CD4878" w:rsidP="00CD4878">
      <w:r>
        <w:t xml:space="preserve">The existing electrical grid system in the town of Heystekrand as well as the Pilanesberg region was upgraded and expanded to service the Sun City hotel complex. An 88/11 kV substation was constructed approximately 2km from the resort a year after negotiations were started between Southern Sun, the </w:t>
      </w:r>
      <w:r w:rsidR="00D4122A">
        <w:t>BNDC</w:t>
      </w:r>
      <w:r>
        <w:t>. and the Department of Works and Housing of Bophuthatswana. The substation served as the centr</w:t>
      </w:r>
      <w:r w:rsidR="000C57FE">
        <w:t>al point from which the modernis</w:t>
      </w:r>
      <w:r>
        <w:t xml:space="preserve">ed electrical network for the Pilanesberg region radiated. High tension cabling was then installed to the hotel complex. Heystekrand was fed via an </w:t>
      </w:r>
      <w:r w:rsidR="00FA6A91">
        <w:t>11-kV</w:t>
      </w:r>
      <w:r>
        <w:t xml:space="preserve"> power line and 30km long 88 kV lines served the mining sector in the Pilanesberg area. The plan in 1980 was to make ample provision for the future development of residential, business, commercial and industrial infrastructures in the town. </w:t>
      </w:r>
    </w:p>
    <w:p w14:paraId="4D31A034" w14:textId="77777777" w:rsidR="00CD4878" w:rsidRDefault="00CD4878" w:rsidP="00CD4878">
      <w:r>
        <w:t>A progress report from construction engineers dated 1979 stated that relations between Department</w:t>
      </w:r>
      <w:r w:rsidR="00D4122A">
        <w:t>s of Works and</w:t>
      </w:r>
      <w:r>
        <w:t xml:space="preserve"> Housing in Bophuthatswana and South African officials were </w:t>
      </w:r>
      <w:r w:rsidR="007C7C60" w:rsidRPr="007C7C60">
        <w:t>fruitful</w:t>
      </w:r>
      <w:r>
        <w:t xml:space="preserve"> and Southern Sun executives were pleased with the progress. The </w:t>
      </w:r>
      <w:r w:rsidR="00D4122A">
        <w:t>NP</w:t>
      </w:r>
      <w:r>
        <w:t xml:space="preserve"> government had provided funding for the establishment of infrastructure in the Pilanesberg region and were satisfied with the progress and construction. This directly impacted on Sun City’s construction, which without the necessary water and electricity would have been delayed.</w:t>
      </w:r>
      <w:r>
        <w:rPr>
          <w:rStyle w:val="FootnoteReference"/>
        </w:rPr>
        <w:footnoteReference w:id="117"/>
      </w:r>
      <w:r>
        <w:t xml:space="preserve">   </w:t>
      </w:r>
    </w:p>
    <w:p w14:paraId="03DBB646" w14:textId="77777777" w:rsidR="00CD4878" w:rsidRDefault="00585C93" w:rsidP="00CD4878">
      <w:r>
        <w:t>C</w:t>
      </w:r>
      <w:r w:rsidR="00F41EAB" w:rsidRPr="00F41EAB">
        <w:t>onstruction was begun on a tarred road</w:t>
      </w:r>
      <w:r w:rsidR="00F41EAB">
        <w:t xml:space="preserve"> in</w:t>
      </w:r>
      <w:r w:rsidR="00CD4878">
        <w:t xml:space="preserve"> March 1979 between Heystekrand and the existing road which linked Phokeng and Rustenberg with the southern and western portion of the Mankwe district of Bophuthatswana. This road, named at the time P115/1, served as the main access road to Sun City, carrying a large volume of commuter traffic and construction vehicles as well as servicing the mines in the areas situated to the south and south west of the </w:t>
      </w:r>
      <w:r w:rsidR="00CD4878">
        <w:lastRenderedPageBreak/>
        <w:t>Pilanesberg. At the time of the construction of the road, it was estimated that this road would eventually service approximately 10 000 vehicles a day. The total cost of the road was estimated at R2.2 million. The Bophuthatswana and the South African governments jointly paid R1.6 million of the construction costs and Southern Sun paid for the remaining R400 000.</w:t>
      </w:r>
      <w:r w:rsidR="00CD4878">
        <w:rPr>
          <w:rStyle w:val="FootnoteReference"/>
        </w:rPr>
        <w:footnoteReference w:id="118"/>
      </w:r>
    </w:p>
    <w:p w14:paraId="1EEC4491" w14:textId="77777777" w:rsidR="00CD4878" w:rsidRDefault="00CD4878" w:rsidP="00CD4878">
      <w:r>
        <w:t xml:space="preserve">This expensive telecommunications and road network was implemented to service Sun City but would also benefit the mining sector. The previously largely inaccessible region became attractive for development of tourism and mining. It had a developing town region and roads to access them more easily. In 1979, the town Heystekrand was declared on the brink of a growth spurt by the Development Council of Bophuthatswana and was demarcated as the capital of the Mankwe region. Development of the town included a magistrate’s court, police station, post office, business centre, a school and housing for local government officials. However, Bophuthatswana was a largely rural and poor territory, fragmented into seven separate regions. </w:t>
      </w:r>
      <w:r w:rsidR="00FA6A91">
        <w:t>Most</w:t>
      </w:r>
      <w:r>
        <w:t xml:space="preserve"> residents did not benefit from the massive influx of money and infrastructure to service Sun City. The opulent casino and resort that was built in the district of Mankwe contrasted severely against the rural backwaters of </w:t>
      </w:r>
      <w:r w:rsidR="00FA6A91">
        <w:t>Bophuthatswana</w:t>
      </w:r>
      <w:r>
        <w:t xml:space="preserve"> and was a severely disproportionate investment in one area on the part of Southern Sun.</w:t>
      </w:r>
      <w:r>
        <w:rPr>
          <w:rStyle w:val="FootnoteReference"/>
        </w:rPr>
        <w:footnoteReference w:id="119"/>
      </w:r>
      <w:r>
        <w:t xml:space="preserve"> </w:t>
      </w:r>
    </w:p>
    <w:p w14:paraId="690F3DCC" w14:textId="77777777" w:rsidR="00D4122A" w:rsidRDefault="00CD4878" w:rsidP="00CD4878">
      <w:r>
        <w:t xml:space="preserve">The costs of constructing the Sun City casino itself were also divided between the hotel group and the bantustan. Sun City fell under Southern Sun subsidiary Southern Sun Hotels (Bophuthatswana) Ltd. and it was jointly owned by the corporation and the Bophuthatswana government, through the BNDC. </w:t>
      </w:r>
      <w:r w:rsidR="00FA6A91">
        <w:t>Thus</w:t>
      </w:r>
      <w:r>
        <w:t>, Southern Sun only had a controlling interest of 50%. Financing of R20 million for Sun City was put forward each by Southern Sun and the BNDC</w:t>
      </w:r>
      <w:r w:rsidR="00D4122A">
        <w:t>.</w:t>
      </w:r>
      <w:r>
        <w:rPr>
          <w:rStyle w:val="FootnoteReference"/>
        </w:rPr>
        <w:footnoteReference w:id="120"/>
      </w:r>
      <w:r>
        <w:t xml:space="preserve"> </w:t>
      </w:r>
      <w:r w:rsidR="00307D9E">
        <w:t>To</w:t>
      </w:r>
      <w:r>
        <w:t xml:space="preserve"> finance the casino resort, Southern Sun secured 60% of the funds required via a loan and the balance was obtained through the subscription of shares in the company and investments from SAB. </w:t>
      </w:r>
      <w:r w:rsidR="00307D9E">
        <w:t>For</w:t>
      </w:r>
      <w:r>
        <w:t xml:space="preserve"> this to occur, the share capital of Southern Sun was increased to R1.6 million based on the company’s ability to secure the long</w:t>
      </w:r>
      <w:r w:rsidR="000C57FE">
        <w:t>-</w:t>
      </w:r>
      <w:r>
        <w:t xml:space="preserve">term loan. The remaining shares were offered to Bophuthatswana </w:t>
      </w:r>
      <w:r w:rsidR="00E86F93">
        <w:t>citizens</w:t>
      </w:r>
      <w:r>
        <w:t xml:space="preserve"> and when </w:t>
      </w:r>
      <w:r w:rsidR="00307D9E">
        <w:t>most</w:t>
      </w:r>
      <w:r w:rsidR="00396630">
        <w:t xml:space="preserve"> of</w:t>
      </w:r>
      <w:r>
        <w:t xml:space="preserve"> the shares were not bought, they were offered to the BNDC</w:t>
      </w:r>
      <w:r w:rsidR="00D4122A">
        <w:t>.</w:t>
      </w:r>
      <w:r>
        <w:t xml:space="preserve"> The latter retained the right to dispose the shares, but only to Bophuthatswana </w:t>
      </w:r>
      <w:r w:rsidR="00E86F93">
        <w:t>citizens</w:t>
      </w:r>
      <w:r>
        <w:t>.</w:t>
      </w:r>
      <w:r>
        <w:rPr>
          <w:rStyle w:val="FootnoteReference"/>
        </w:rPr>
        <w:footnoteReference w:id="121"/>
      </w:r>
      <w:r>
        <w:t xml:space="preserve"> </w:t>
      </w:r>
    </w:p>
    <w:p w14:paraId="08C2B41F" w14:textId="77777777" w:rsidR="00CD4878" w:rsidRDefault="00CD4878" w:rsidP="00CD4878">
      <w:r>
        <w:lastRenderedPageBreak/>
        <w:t>The South African government fronted R10 million towards the development of infrastructure in the area surrounding Sun City.</w:t>
      </w:r>
      <w:r>
        <w:rPr>
          <w:rStyle w:val="FootnoteReference"/>
        </w:rPr>
        <w:footnoteReference w:id="122"/>
      </w:r>
      <w:r>
        <w:t xml:space="preserve"> An additional R8 million was granted as a loan from the South African government to Southern Sun and the Bophuthatswana government, for specific regional development in the Heystekrand district. This was granted at a fixed 2% interest rate per annum over a 15-year period by the Industrial Development Corporation of South Africa Limited (IDC). This is a national development finance intuition that was founded in 1940 to promote economic growth and industrial development.</w:t>
      </w:r>
      <w:r>
        <w:rPr>
          <w:rStyle w:val="FootnoteReference"/>
        </w:rPr>
        <w:footnoteReference w:id="123"/>
      </w:r>
      <w:r>
        <w:t xml:space="preserve">  The IDC further advanced Southern Sun a maximum sum of R12 million towards the building of the hotel and casino complex itself for a 9% stake in the company.</w:t>
      </w:r>
      <w:r>
        <w:rPr>
          <w:rStyle w:val="FootnoteReference"/>
        </w:rPr>
        <w:footnoteReference w:id="124"/>
      </w:r>
      <w:r>
        <w:t xml:space="preserve"> This </w:t>
      </w:r>
      <w:r w:rsidR="00307D9E">
        <w:t xml:space="preserve">information </w:t>
      </w:r>
      <w:r>
        <w:t>was leaked by the South African media in</w:t>
      </w:r>
      <w:r w:rsidR="00AA0B14">
        <w:t xml:space="preserve"> 1983, which reported that the “</w:t>
      </w:r>
      <w:r>
        <w:t xml:space="preserve">conservative and morally </w:t>
      </w:r>
      <w:r w:rsidR="00585C93">
        <w:t>[abhorrent]</w:t>
      </w:r>
      <w:r w:rsidR="00AA0B14">
        <w:t>”</w:t>
      </w:r>
      <w:r>
        <w:t xml:space="preserve"> apartheid government had an indirect 9% inter</w:t>
      </w:r>
      <w:r w:rsidR="00AA0B14">
        <w:t>est in the “hedonistic playground”</w:t>
      </w:r>
      <w:r>
        <w:t xml:space="preserve"> just across the border with Bophuthatswana, where gambling and pornography proliferated. A deal was reached and the IDC divested their stake in Sun International, selling the shares to private entities.</w:t>
      </w:r>
      <w:r>
        <w:rPr>
          <w:rStyle w:val="FootnoteReference"/>
        </w:rPr>
        <w:footnoteReference w:id="125"/>
      </w:r>
      <w:r>
        <w:t xml:space="preserve"> Kerzner had managed to play both sides of the coin and reap the benefits from both the government of </w:t>
      </w:r>
      <w:r w:rsidR="00307D9E">
        <w:t>Bophuthatswana</w:t>
      </w:r>
      <w:r>
        <w:t xml:space="preserve"> and South Africa. He had received financing from the IDC and the </w:t>
      </w:r>
      <w:r w:rsidR="00D4122A">
        <w:t>NP</w:t>
      </w:r>
      <w:r>
        <w:t xml:space="preserve"> government which was necessary to get his dream of casino in the bush off the ground; years later when Sun City was flourishing, this scandal made little impact to his greater hotel empire. </w:t>
      </w:r>
    </w:p>
    <w:p w14:paraId="3084CA27" w14:textId="77777777" w:rsidR="00CD4878" w:rsidRDefault="00CD4878" w:rsidP="00CD4878">
      <w:r>
        <w:t>From 1975 to 1979 Southern Sun’s earning per share grew at an annual compound rate of approximately 28%.</w:t>
      </w:r>
      <w:r>
        <w:rPr>
          <w:rStyle w:val="FootnoteReference"/>
        </w:rPr>
        <w:footnoteReference w:id="126"/>
      </w:r>
      <w:r>
        <w:t xml:space="preserve"> Southern Sun was one of the BNDC’s largest investments, the other being Yabeng, a Pretoria based investment corporation. In 1992, the two companies paid out dividends to the BNDC totalling R61, 6 million for the previous financial year. This was used to further facilitate development in the bantustan. From 1980, more than 400 factories were subsidised as the BNDC took over control of the industrial sector. Before this, Bophuthatswana had only one factory located in Hammanskraal, close to Pretoria. The </w:t>
      </w:r>
      <w:r w:rsidR="00D4122A">
        <w:t>BNDC</w:t>
      </w:r>
      <w:r>
        <w:t xml:space="preserve"> claimed that these factories were funded with profits from Sun City, which employed over 12,500 people in 1992.</w:t>
      </w:r>
      <w:r>
        <w:rPr>
          <w:rStyle w:val="FootnoteReference"/>
        </w:rPr>
        <w:footnoteReference w:id="127"/>
      </w:r>
      <w:r>
        <w:t xml:space="preserve"> </w:t>
      </w:r>
    </w:p>
    <w:p w14:paraId="714BF92E" w14:textId="77777777" w:rsidR="00CD4878" w:rsidRDefault="00CD4878" w:rsidP="00CD4878">
      <w:pPr>
        <w:pStyle w:val="Heading2"/>
        <w:numPr>
          <w:ilvl w:val="0"/>
          <w:numId w:val="0"/>
        </w:numPr>
      </w:pPr>
      <w:bookmarkStart w:id="17" w:name="_Toc459702960"/>
      <w:bookmarkStart w:id="18" w:name="_Toc488481707"/>
      <w:r>
        <w:lastRenderedPageBreak/>
        <w:t>Sol Kerzner’s Empire</w:t>
      </w:r>
      <w:bookmarkEnd w:id="17"/>
      <w:bookmarkEnd w:id="18"/>
      <w:r>
        <w:t xml:space="preserve"> </w:t>
      </w:r>
    </w:p>
    <w:p w14:paraId="0AA350B3" w14:textId="77777777" w:rsidR="00CD4878" w:rsidRPr="002627E7" w:rsidRDefault="00CD4878" w:rsidP="00CD4878">
      <w:r>
        <w:t>The story of Kerzner’s search for the eden of Sun City is often retold with near legendary status.</w:t>
      </w:r>
      <w:r>
        <w:rPr>
          <w:rStyle w:val="FootnoteReference"/>
        </w:rPr>
        <w:footnoteReference w:id="128"/>
      </w:r>
      <w:r>
        <w:t xml:space="preserve"> In an interview with Kerzner’s previous personal assistant and current manager</w:t>
      </w:r>
      <w:r w:rsidR="006E1114">
        <w:t xml:space="preserve"> of the Palace of the Lost City, </w:t>
      </w:r>
      <w:r>
        <w:t>she recounts the story of Sun City’s origin with animation.</w:t>
      </w:r>
      <w:r>
        <w:rPr>
          <w:rStyle w:val="FootnoteReference"/>
        </w:rPr>
        <w:footnoteReference w:id="129"/>
      </w:r>
      <w:r>
        <w:t xml:space="preserve"> The media in the early 1990s bought into this story without reservation and cast Kerzner as th</w:t>
      </w:r>
      <w:r w:rsidR="000C57FE">
        <w:t>e ultimate adventurer of a long-</w:t>
      </w:r>
      <w:r>
        <w:t>established tradition of</w:t>
      </w:r>
      <w:r w:rsidR="000C57FE">
        <w:t xml:space="preserve"> Western domination of uncivilis</w:t>
      </w:r>
      <w:r>
        <w:t xml:space="preserve">ed Africa. Sannar argues that these views are embedded in the writings of </w:t>
      </w:r>
      <w:r w:rsidR="007E613D">
        <w:t>19th</w:t>
      </w:r>
      <w:r>
        <w:t xml:space="preserve"> century explorers in Africa. This fable was then endorsed by Kerzner in his advertising campaigns, positioning him as the hero along with the likes of David Livingstone. He created a marketable image of the white, Western discoverer and connected him and his company to iconic figures.</w:t>
      </w:r>
      <w:r>
        <w:rPr>
          <w:rStyle w:val="FootnoteReference"/>
        </w:rPr>
        <w:footnoteReference w:id="130"/>
      </w:r>
    </w:p>
    <w:p w14:paraId="365BA796" w14:textId="77777777" w:rsidR="00CD4878" w:rsidRDefault="00CD4878" w:rsidP="00CD4878">
      <w:pPr>
        <w:spacing w:after="0" w:line="240" w:lineRule="auto"/>
        <w:ind w:right="709"/>
      </w:pPr>
      <w:r>
        <w:t xml:space="preserve">In 1983 </w:t>
      </w:r>
      <w:r>
        <w:rPr>
          <w:i/>
        </w:rPr>
        <w:t xml:space="preserve">Time Magazine </w:t>
      </w:r>
      <w:r>
        <w:t xml:space="preserve">wrote that when Kerzner spoke </w:t>
      </w:r>
    </w:p>
    <w:p w14:paraId="7539070C" w14:textId="77777777" w:rsidR="00CD4878" w:rsidRDefault="00CD4878" w:rsidP="00CD4878">
      <w:pPr>
        <w:spacing w:after="0" w:line="240" w:lineRule="auto"/>
        <w:ind w:left="709" w:right="709"/>
      </w:pPr>
    </w:p>
    <w:p w14:paraId="27D0443B" w14:textId="77777777" w:rsidR="00CD4878" w:rsidRDefault="00CD4878" w:rsidP="00CD4878">
      <w:pPr>
        <w:pStyle w:val="Subtitle"/>
      </w:pPr>
      <w:r>
        <w:t>He comes across more like a New Jersey dockhand than a powerful executive. He talks machine gun-style, from the corner of his mouth, with an accent sounding a bit like Marlon Brando in On the Waterfront. Yet the [manner] suits his controversial role in business.</w:t>
      </w:r>
      <w:r>
        <w:rPr>
          <w:rStyle w:val="FootnoteReference"/>
        </w:rPr>
        <w:footnoteReference w:id="131"/>
      </w:r>
    </w:p>
    <w:p w14:paraId="7BD6626C" w14:textId="77777777" w:rsidR="00CD4878" w:rsidRDefault="00CD4878" w:rsidP="00CD4878">
      <w:r>
        <w:t xml:space="preserve">Sun City was vilified by some of the international media, with journalists writing scathing reviews of the resort. A </w:t>
      </w:r>
      <w:r w:rsidRPr="007E3D6C">
        <w:rPr>
          <w:i/>
        </w:rPr>
        <w:t>New York Times</w:t>
      </w:r>
      <w:r>
        <w:t xml:space="preserve"> correspondent wrote that</w:t>
      </w:r>
    </w:p>
    <w:p w14:paraId="6A8AC503" w14:textId="77777777" w:rsidR="00CD4878" w:rsidRDefault="00CD4878" w:rsidP="00CD4878">
      <w:pPr>
        <w:pStyle w:val="Subtitle"/>
      </w:pPr>
      <w:r>
        <w:t>When [Bophuthatswana] was still newly minted, Mr. Kerzner built here the Las Vegas style Sun City complex as a place where South Africans could escape the Puritan constraints of their own society to enjoy gambling and bare-breasted chorus lines in an interracial setting…This white man’s fantasy of Africa is 100 miles northwest of Johannesburg, within another white man’s fantasy of Africa…Politics becomes tricky.</w:t>
      </w:r>
      <w:r>
        <w:rPr>
          <w:rStyle w:val="FootnoteReference"/>
        </w:rPr>
        <w:footnoteReference w:id="132"/>
      </w:r>
    </w:p>
    <w:p w14:paraId="68B506FD" w14:textId="77777777" w:rsidR="00CD4878" w:rsidRDefault="00CD4878" w:rsidP="00CD4878">
      <w:r>
        <w:t xml:space="preserve">It was </w:t>
      </w:r>
      <w:r w:rsidR="00FA6A91">
        <w:t>apparent</w:t>
      </w:r>
      <w:r>
        <w:t xml:space="preserve"> to international audiences that Bophuthatswana’s Sun City had become a sanctioned space where white South Africans could take advantage of </w:t>
      </w:r>
      <w:r w:rsidR="00585C93">
        <w:t>facilities</w:t>
      </w:r>
      <w:r>
        <w:t xml:space="preserve"> that were banned in South Africa. Sun City had become a signifier of the homeland system of apartheid. Martha Evans, </w:t>
      </w:r>
      <w:r w:rsidR="006E1114">
        <w:t xml:space="preserve">a </w:t>
      </w:r>
      <w:r>
        <w:t xml:space="preserve">media expert at the University of Cape Town stated that vilifying Sun City was a </w:t>
      </w:r>
      <w:r w:rsidR="00307D9E">
        <w:t>way</w:t>
      </w:r>
      <w:r>
        <w:t xml:space="preserve"> to express international dissatisfaction with South Africa</w:t>
      </w:r>
      <w:r w:rsidR="006E1114">
        <w:t xml:space="preserve"> as “all of white South African</w:t>
      </w:r>
      <w:r>
        <w:t>s hypocrisy and contradictions found expression in Sun City.”</w:t>
      </w:r>
      <w:r>
        <w:rPr>
          <w:rStyle w:val="FootnoteReference"/>
        </w:rPr>
        <w:footnoteReference w:id="133"/>
      </w:r>
    </w:p>
    <w:p w14:paraId="03D9FE44" w14:textId="77777777" w:rsidR="00CD4878" w:rsidRPr="002B462C" w:rsidRDefault="00CD4878" w:rsidP="00CD4878">
      <w:r>
        <w:t xml:space="preserve">Sun City opened its doors for business on 7 December 1979. Kerzner invited journalists and VIP’s from South Africa and abroad to attend the grand opening. Amongst the guests was </w:t>
      </w:r>
      <w:r>
        <w:lastRenderedPageBreak/>
        <w:t>President Lucas Mangope, who officiated over the inaugural ceremonies. The massive influx of guests, VIPs and journalists in the first months of operations and over the Christmas period proved to be more than expected. Many departments could not cope, room service especially. When guest called to order breakfasts in their rooms, they would be told “Yes, you may have breakfast in your room, sir, but it will not arrive until lunchtime.”</w:t>
      </w:r>
      <w:r>
        <w:rPr>
          <w:rStyle w:val="FootnoteReference"/>
        </w:rPr>
        <w:footnoteReference w:id="134"/>
      </w:r>
      <w:r>
        <w:t xml:space="preserve"> After the Christmas holiday rush, the hotel </w:t>
      </w:r>
      <w:r w:rsidR="00307D9E">
        <w:t>could</w:t>
      </w:r>
      <w:r>
        <w:t xml:space="preserve"> re-evaluate and restructure before the rush of the Easter period. It soon became obvious that more accommodation was needed. Despite the chaos behind the scene, Sun City was praised by the South Africa media. This was vital, even though the facilities on offer were impressive and inviting, it is often the image portrayed by the media that persuades potential guests.</w:t>
      </w:r>
      <w:r>
        <w:rPr>
          <w:rStyle w:val="FootnoteReference"/>
        </w:rPr>
        <w:footnoteReference w:id="135"/>
      </w:r>
    </w:p>
    <w:p w14:paraId="5CFC2ED3" w14:textId="77777777" w:rsidR="00CD4878" w:rsidRDefault="00CD4878" w:rsidP="00CD4878">
      <w:r>
        <w:t>The first template for the casino resort concept blossomed in the 1950s in Las Vegas by offering guests a rel</w:t>
      </w:r>
      <w:r w:rsidR="00AA0B14">
        <w:t>atively inexpensive option for “sin without guilt”</w:t>
      </w:r>
      <w:r>
        <w:t xml:space="preserve">. It was marketed as a “safe vacation adventure for Middle America trapped in everyday lives of conservatism and conformity.” </w:t>
      </w:r>
      <w:r>
        <w:rPr>
          <w:rStyle w:val="FootnoteReference"/>
        </w:rPr>
        <w:footnoteReference w:id="136"/>
      </w:r>
      <w:r>
        <w:t xml:space="preserve"> Sun City was marketed to the white South Africans in similar ways. </w:t>
      </w:r>
      <w:r w:rsidRPr="009C408B">
        <w:t>Kerzner has openly admitted to modelling Sun City on Las Vegas and given</w:t>
      </w:r>
      <w:r w:rsidR="00202C82">
        <w:t xml:space="preserve"> the </w:t>
      </w:r>
      <w:r w:rsidR="00756A84">
        <w:t>NP</w:t>
      </w:r>
      <w:r w:rsidR="00202C82">
        <w:t xml:space="preserve"> government’s</w:t>
      </w:r>
      <w:r w:rsidRPr="009C408B">
        <w:t xml:space="preserve"> Christian</w:t>
      </w:r>
      <w:r>
        <w:t xml:space="preserve"> doctrine and puritan ideology</w:t>
      </w:r>
      <w:r w:rsidRPr="009C408B">
        <w:t>, the lifestyle of conspicuous consumption which Kerzner marketed b</w:t>
      </w:r>
      <w:r>
        <w:t>ecame increasingly popular. White South Africans</w:t>
      </w:r>
      <w:r w:rsidRPr="009C408B">
        <w:t xml:space="preserve"> flocked to the Bophuthatswana bushveld for escapism and luxury consumption framed by themed spaces, including but not restricted to gambling venues. </w:t>
      </w:r>
    </w:p>
    <w:p w14:paraId="519D305D" w14:textId="2BB605B2" w:rsidR="00CD4878" w:rsidRDefault="00CD4878" w:rsidP="00CD4878">
      <w:r>
        <w:t>The Sun City casino and resort was achieved through the commodification of the African and</w:t>
      </w:r>
      <w:r w:rsidR="006E1114">
        <w:t xml:space="preserve"> South African heritage. </w:t>
      </w:r>
      <w:r>
        <w:t>Hall</w:t>
      </w:r>
      <w:r w:rsidR="006E1114">
        <w:t xml:space="preserve"> and </w:t>
      </w:r>
      <w:r w:rsidR="006E1114" w:rsidRPr="006E1114">
        <w:t>Bombardella</w:t>
      </w:r>
      <w:r>
        <w:t xml:space="preserve"> describe heritage as “mobilisation of culture in the service of the present” and refers to Sun City as the re-appropriation of Africa. Heritage was repurposed to attract tourists to make a profit.  The experiential economy of Sun City became centred on the amalgamation of entertainment, security, stimulation and simulation as well as the perception of a new and unique experience. Often these resorts are marketed at customers that are aware of the reproduction of heritage and know that the environment is replicated and not authentic. The success of such a destination then </w:t>
      </w:r>
      <w:r w:rsidR="00096A45">
        <w:t>centres</w:t>
      </w:r>
      <w:r>
        <w:t xml:space="preserve"> o</w:t>
      </w:r>
      <w:r w:rsidR="00396630">
        <w:t>n</w:t>
      </w:r>
      <w:r>
        <w:t xml:space="preserve"> the sophistication and grandiose nature of the environment. This done without the constraints of factual history.</w:t>
      </w:r>
      <w:r>
        <w:rPr>
          <w:rStyle w:val="FootnoteReference"/>
        </w:rPr>
        <w:footnoteReference w:id="137"/>
      </w:r>
      <w:r>
        <w:t xml:space="preserve"> </w:t>
      </w:r>
    </w:p>
    <w:p w14:paraId="16554637" w14:textId="77777777" w:rsidR="00CD4878" w:rsidRDefault="00CD4878" w:rsidP="00CD4878">
      <w:r>
        <w:lastRenderedPageBreak/>
        <w:t>Sun City wi</w:t>
      </w:r>
      <w:r w:rsidR="00AA0B14">
        <w:t>th the generic reproduction of “Africa”</w:t>
      </w:r>
      <w:r>
        <w:t xml:space="preserve"> served as the perfect space for Bophuthatswana to draw tourists and legitimise its independence. Opulence was paramount and guests were introduced to the extravagant lifestyle from the start; the entrance was ordained with mirrors, lights, fountains, tropical plants and a spacecraft-like bar suspended over the slot machines. The hotel and casino were the first to be completed in 1979, totalling </w:t>
      </w:r>
      <w:r w:rsidR="00307D9E">
        <w:t>a cost of R30 million. The six-</w:t>
      </w:r>
      <w:r>
        <w:t>storey main hotel had a lobby the s</w:t>
      </w:r>
      <w:r w:rsidR="006F3AD9">
        <w:t>i</w:t>
      </w:r>
      <w:r w:rsidR="00307D9E">
        <w:t>z</w:t>
      </w:r>
      <w:r w:rsidR="006F3AD9">
        <w:t>e</w:t>
      </w:r>
      <w:r>
        <w:t xml:space="preserve"> of a soccer field, four glass elevators imported from the Hyatt Regency in San Francisco and four restaurants.</w:t>
      </w:r>
      <w:r>
        <w:rPr>
          <w:rStyle w:val="FootnoteReference"/>
        </w:rPr>
        <w:footnoteReference w:id="138"/>
      </w:r>
      <w:r>
        <w:t xml:space="preserve"> The casino held 300 specialised slot machines as well as 38 American roulette tables - the largest amount outside of the United States. </w:t>
      </w:r>
    </w:p>
    <w:p w14:paraId="60736B12" w14:textId="77777777" w:rsidR="00CD4878" w:rsidRPr="0084354A" w:rsidRDefault="00CD4878" w:rsidP="00CD4878">
      <w:pPr>
        <w:rPr>
          <w:color w:val="0563C1" w:themeColor="hyperlink"/>
          <w:u w:val="single"/>
        </w:rPr>
      </w:pPr>
      <w:r>
        <w:t>The black elites and bureaucrats in Bophuthatswana enjoyed the facilities on offer at the Sun City resort. Mangope and Bophuthatswana officials directly benefitted from the establishment of a casino resort in the bantustan. This was not only on a political and economic level through government coffers, but through personal perks such as complimentary hotel rooms and holidays.</w:t>
      </w:r>
      <w:r w:rsidR="00510F3F">
        <w:t xml:space="preserve"> </w:t>
      </w:r>
      <w:r>
        <w:t>The presidential suite at the Mmabatho Sun was continuously reserved for Mangope. The Southern Sun hotel group charged Mangope a special rate of R20 per night.</w:t>
      </w:r>
      <w:r>
        <w:rPr>
          <w:rStyle w:val="FootnoteReference"/>
        </w:rPr>
        <w:footnoteReference w:id="139"/>
      </w:r>
      <w:r>
        <w:t xml:space="preserve"> A block of five rooms was also held for the use of the president and his cabinet. Peter Wagner, the General Manager of Sun City during the 1980s, served as the Bophuthatswana government</w:t>
      </w:r>
      <w:r w:rsidR="006E1114">
        <w:t>’s</w:t>
      </w:r>
      <w:r>
        <w:t xml:space="preserve"> personal correspondent in arranging accommodation and entertainment at Sun City.</w:t>
      </w:r>
      <w:r>
        <w:rPr>
          <w:rStyle w:val="FootnoteReference"/>
        </w:rPr>
        <w:footnoteReference w:id="140"/>
      </w:r>
      <w:r>
        <w:t xml:space="preserve"> The rooms were charged at R10 per person and Sun City employed strict regulations on the holidaying </w:t>
      </w:r>
      <w:r w:rsidR="006E1114">
        <w:t xml:space="preserve">government </w:t>
      </w:r>
      <w:r>
        <w:t>officials according to Wagner. These included time deadlines for bookings, documentation for prior approval and strict rules regarding the number of guests. These instructions were outlined in a letter from Wagner to Mangope’s secretary Jerry Reid prior to the arrival of sojourning bureaucrats, including the Secretary for Economic Affairs, over the Christmas period of 1980.</w:t>
      </w:r>
      <w:r>
        <w:rPr>
          <w:rStyle w:val="FootnoteReference"/>
        </w:rPr>
        <w:footnoteReference w:id="141"/>
      </w:r>
      <w:r>
        <w:t xml:space="preserve"> </w:t>
      </w:r>
    </w:p>
    <w:p w14:paraId="46DF6921" w14:textId="77777777" w:rsidR="00CD4878" w:rsidRPr="00CD4878" w:rsidRDefault="00CD4878" w:rsidP="00CD4878">
      <w:r w:rsidRPr="00CD4878">
        <w:rPr>
          <w:rStyle w:val="Hyperlink"/>
          <w:color w:val="auto"/>
          <w:u w:val="none"/>
        </w:rPr>
        <w:t xml:space="preserve">In 1988, an attempt was made to oust President Lucas Mangope by the leader of Bophuthatswana’s opposition party, </w:t>
      </w:r>
      <w:r w:rsidR="006E1114">
        <w:rPr>
          <w:rStyle w:val="Hyperlink"/>
          <w:color w:val="auto"/>
          <w:u w:val="none"/>
        </w:rPr>
        <w:t xml:space="preserve">the </w:t>
      </w:r>
      <w:r w:rsidRPr="00CD4878">
        <w:rPr>
          <w:rStyle w:val="Hyperlink"/>
          <w:color w:val="auto"/>
          <w:u w:val="none"/>
        </w:rPr>
        <w:t xml:space="preserve">Progressive’s Peoples Party, Rocky Maleba-Metsing. Years later, many residents of the former bantustan joked and regaled unsubstantiated stories about the whereabouts of Mangope during the rebel attacks. The myth </w:t>
      </w:r>
      <w:r w:rsidR="00585C93">
        <w:rPr>
          <w:rStyle w:val="Hyperlink"/>
          <w:color w:val="auto"/>
          <w:u w:val="none"/>
        </w:rPr>
        <w:t>went</w:t>
      </w:r>
      <w:r w:rsidRPr="00CD4878">
        <w:rPr>
          <w:rStyle w:val="Hyperlink"/>
          <w:color w:val="auto"/>
          <w:u w:val="none"/>
        </w:rPr>
        <w:t xml:space="preserve"> that he and his </w:t>
      </w:r>
      <w:r w:rsidRPr="00CD4878">
        <w:rPr>
          <w:rStyle w:val="Hyperlink"/>
          <w:color w:val="auto"/>
          <w:u w:val="none"/>
        </w:rPr>
        <w:lastRenderedPageBreak/>
        <w:t>mistress were hauled embarrassingly from their suite at one of Kerzner’s casino hotels to safety.</w:t>
      </w:r>
      <w:r w:rsidRPr="00CD4878">
        <w:rPr>
          <w:rStyle w:val="FootnoteReference"/>
        </w:rPr>
        <w:footnoteReference w:id="142"/>
      </w:r>
      <w:r w:rsidRPr="00CD4878">
        <w:rPr>
          <w:rStyle w:val="Hyperlink"/>
          <w:color w:val="auto"/>
          <w:u w:val="none"/>
        </w:rPr>
        <w:t xml:space="preserve"> </w:t>
      </w:r>
    </w:p>
    <w:p w14:paraId="03D0FDCB" w14:textId="77777777" w:rsidR="00CD4878" w:rsidRDefault="00CD4878" w:rsidP="00CD4878">
      <w:pPr>
        <w:pStyle w:val="Heading2"/>
        <w:numPr>
          <w:ilvl w:val="0"/>
          <w:numId w:val="0"/>
        </w:numPr>
      </w:pPr>
      <w:bookmarkStart w:id="19" w:name="_Toc459702961"/>
      <w:bookmarkStart w:id="20" w:name="_Toc488481708"/>
      <w:r>
        <w:t>Conclusion</w:t>
      </w:r>
      <w:bookmarkEnd w:id="19"/>
      <w:bookmarkEnd w:id="20"/>
    </w:p>
    <w:p w14:paraId="03A51051" w14:textId="77777777" w:rsidR="00510F3F" w:rsidRDefault="00CD4878" w:rsidP="00510F3F">
      <w:r>
        <w:t>With investments from major South African firms</w:t>
      </w:r>
      <w:r w:rsidR="00510F3F">
        <w:t>,</w:t>
      </w:r>
      <w:r>
        <w:t xml:space="preserve"> such as</w:t>
      </w:r>
      <w:r w:rsidR="00510F3F">
        <w:t xml:space="preserve"> SAB, and government entities, </w:t>
      </w:r>
      <w:r>
        <w:t xml:space="preserve">Kerzner </w:t>
      </w:r>
      <w:r w:rsidR="00510F3F">
        <w:t>built</w:t>
      </w:r>
      <w:r>
        <w:t xml:space="preserve"> a</w:t>
      </w:r>
      <w:r w:rsidR="00510F3F">
        <w:t xml:space="preserve"> hotel empire in the bantustans. Kerzner</w:t>
      </w:r>
      <w:r w:rsidR="006B6FF4">
        <w:t xml:space="preserve">’s presence impacted </w:t>
      </w:r>
      <w:r w:rsidR="00510F3F">
        <w:t xml:space="preserve">the area through his political ties to individuals such as Mangope. Additionally, the economic impact of the casino was significant for the area through the promised employment, tax benefits and tourism increases. </w:t>
      </w:r>
      <w:r w:rsidR="00510F3F" w:rsidRPr="00510F3F">
        <w:t>Sun City</w:t>
      </w:r>
      <w:r w:rsidR="00510F3F">
        <w:t>,</w:t>
      </w:r>
      <w:r w:rsidR="00510F3F" w:rsidRPr="00510F3F">
        <w:t xml:space="preserve"> with the generic rep</w:t>
      </w:r>
      <w:r w:rsidR="002837EB">
        <w:t>resentation</w:t>
      </w:r>
      <w:r w:rsidR="00AA0B14">
        <w:t xml:space="preserve"> of “</w:t>
      </w:r>
      <w:r w:rsidR="00510F3F" w:rsidRPr="00510F3F">
        <w:t>Afr</w:t>
      </w:r>
      <w:r w:rsidR="00AA0B14">
        <w:t>ica”</w:t>
      </w:r>
      <w:r w:rsidR="00510F3F">
        <w:t>,</w:t>
      </w:r>
      <w:r w:rsidR="00510F3F" w:rsidRPr="00510F3F">
        <w:t xml:space="preserve"> served as the perfect space for Bophuthatswana to draw tourists and legitimise its independence</w:t>
      </w:r>
      <w:r w:rsidR="00510F3F">
        <w:t>.</w:t>
      </w:r>
      <w:r w:rsidR="00510F3F" w:rsidRPr="00510F3F">
        <w:t xml:space="preserve"> Sun City furthered the aims of the NP through its promotion of Mangope’s ethno</w:t>
      </w:r>
      <w:r w:rsidR="00510F3F">
        <w:t>-</w:t>
      </w:r>
      <w:r w:rsidR="00510F3F" w:rsidRPr="00510F3F">
        <w:t xml:space="preserve">nationalist project. </w:t>
      </w:r>
    </w:p>
    <w:p w14:paraId="6E6FB669" w14:textId="77777777" w:rsidR="00CD4878" w:rsidRDefault="00510F3F" w:rsidP="00CD4878">
      <w:r>
        <w:t>Sun City brought</w:t>
      </w:r>
      <w:r w:rsidR="00CD4878">
        <w:t xml:space="preserve"> subst</w:t>
      </w:r>
      <w:r>
        <w:t>antial changes to the landscape of Bophuthatswana</w:t>
      </w:r>
      <w:r w:rsidR="00CD4878">
        <w:t>. The areas surrounding Sun City saw development in the form of infrastructure and technological advancements through phone exchanges, new roads, expansion of water and electricity</w:t>
      </w:r>
      <w:r>
        <w:t xml:space="preserve"> supplies and government buildings. </w:t>
      </w:r>
      <w:r w:rsidR="00CD4878">
        <w:t xml:space="preserve">However, this infrastructure was for the benefit of Sun City guests and not for the development of the surrounding areas. The </w:t>
      </w:r>
      <w:r>
        <w:t>residents</w:t>
      </w:r>
      <w:r w:rsidR="00CD4878">
        <w:t xml:space="preserve"> of Bophuthatswana did not benefit from the upgrades to the town of Heystekrand. </w:t>
      </w:r>
      <w:r w:rsidR="002837EB">
        <w:t xml:space="preserve">The money that was pouring into Sun City would only benefit the political elite of Bophuthatswana and the Southern Sun business men.  </w:t>
      </w:r>
    </w:p>
    <w:p w14:paraId="4EB5C2D2" w14:textId="77777777" w:rsidR="00CD4878" w:rsidRDefault="00CD4878" w:rsidP="00CD4878"/>
    <w:p w14:paraId="2DFFC2B0" w14:textId="77777777" w:rsidR="00CD4878" w:rsidRDefault="00CD4878" w:rsidP="00CD4878"/>
    <w:p w14:paraId="47DCAFF4" w14:textId="77777777" w:rsidR="002B55DA" w:rsidRDefault="002B55DA">
      <w:pPr>
        <w:spacing w:line="259" w:lineRule="auto"/>
        <w:jc w:val="left"/>
        <w:rPr>
          <w:rFonts w:eastAsiaTheme="majorEastAsia" w:cstheme="majorBidi"/>
          <w:b/>
          <w:bCs/>
          <w:smallCaps/>
          <w:color w:val="000000" w:themeColor="text1"/>
          <w:sz w:val="28"/>
          <w:szCs w:val="36"/>
        </w:rPr>
      </w:pPr>
      <w:bookmarkStart w:id="21" w:name="_Toc459702962"/>
      <w:r>
        <w:br w:type="page"/>
      </w:r>
    </w:p>
    <w:p w14:paraId="7857118F" w14:textId="77777777" w:rsidR="00CD4878" w:rsidRPr="00D25889" w:rsidRDefault="00CD4878" w:rsidP="00CD4878">
      <w:pPr>
        <w:pStyle w:val="Heading1"/>
        <w:numPr>
          <w:ilvl w:val="0"/>
          <w:numId w:val="0"/>
        </w:numPr>
        <w:jc w:val="center"/>
      </w:pPr>
      <w:bookmarkStart w:id="22" w:name="_Toc488481709"/>
      <w:r>
        <w:lastRenderedPageBreak/>
        <w:t xml:space="preserve">CHAPTER TWO: </w:t>
      </w:r>
      <w:r w:rsidRPr="006F53F5">
        <w:rPr>
          <w:i/>
        </w:rPr>
        <w:t>Employme</w:t>
      </w:r>
      <w:r>
        <w:rPr>
          <w:i/>
        </w:rPr>
        <w:t>nt and L</w:t>
      </w:r>
      <w:r w:rsidRPr="006F53F5">
        <w:rPr>
          <w:i/>
        </w:rPr>
        <w:t>abour</w:t>
      </w:r>
      <w:bookmarkEnd w:id="21"/>
      <w:bookmarkEnd w:id="22"/>
    </w:p>
    <w:p w14:paraId="3F4986B2" w14:textId="77777777" w:rsidR="00CD4878" w:rsidRPr="004C1DA3" w:rsidRDefault="00CD4878" w:rsidP="00CD4878">
      <w:pPr>
        <w:pStyle w:val="Heading2"/>
        <w:numPr>
          <w:ilvl w:val="0"/>
          <w:numId w:val="0"/>
        </w:numPr>
        <w:ind w:left="578" w:hanging="578"/>
      </w:pPr>
      <w:bookmarkStart w:id="23" w:name="_Toc459702963"/>
      <w:bookmarkStart w:id="24" w:name="_Toc488481710"/>
      <w:r w:rsidRPr="004C1DA3">
        <w:t>Introduction</w:t>
      </w:r>
      <w:bookmarkEnd w:id="23"/>
      <w:bookmarkEnd w:id="24"/>
    </w:p>
    <w:p w14:paraId="02C13C4D" w14:textId="77777777" w:rsidR="00CD4878" w:rsidRDefault="00CD4878" w:rsidP="00CD4878">
      <w:r>
        <w:t>Bophuthatswana became a tourist haven in the 1980s as Sol Kerzner cemented his hold on the South African tourist industry with the addition and expansion of facilities available at Sun City. As Kerzner marketed his idea of a homeland casino and resort to the BNDC, he drew heavily on ide</w:t>
      </w:r>
      <w:r w:rsidR="00AA0B14">
        <w:t>als of providing employment to “</w:t>
      </w:r>
      <w:r>
        <w:t xml:space="preserve">Tswana </w:t>
      </w:r>
      <w:r w:rsidR="00E86F93">
        <w:t>citizens</w:t>
      </w:r>
      <w:r w:rsidR="00AA0B14">
        <w:t>”</w:t>
      </w:r>
      <w:r>
        <w:t xml:space="preserve">. Sun City would need </w:t>
      </w:r>
      <w:r w:rsidR="006E1114">
        <w:t>workers</w:t>
      </w:r>
      <w:r>
        <w:t xml:space="preserve"> to function and Bophuthatswana suffered from a high unemployment rate. However, labour disputes would plague Sun City throughout the 1980s, despite intervention from</w:t>
      </w:r>
      <w:r w:rsidR="009B5C43">
        <w:t xml:space="preserve"> Bophuthatswana President,</w:t>
      </w:r>
      <w:r w:rsidR="00FA6A91">
        <w:t xml:space="preserve"> Lucas Ma</w:t>
      </w:r>
      <w:r>
        <w:t>n</w:t>
      </w:r>
      <w:r w:rsidR="00FA6A91">
        <w:t>g</w:t>
      </w:r>
      <w:r>
        <w:t>ope</w:t>
      </w:r>
      <w:r w:rsidR="009B5C43">
        <w:t>,</w:t>
      </w:r>
      <w:r>
        <w:t xml:space="preserve"> and his ministers as well as regular statements endorsing inclusiveness from Sun City’s managing directors.  </w:t>
      </w:r>
    </w:p>
    <w:p w14:paraId="4A32FD16" w14:textId="77777777" w:rsidR="00CD4878" w:rsidRDefault="00CD4878" w:rsidP="00CD4878">
      <w:r>
        <w:t xml:space="preserve">This chapter seeks to chronicle the story of employment at the Sun City resort through personal interviews with past and present employees in a variety of positions (from </w:t>
      </w:r>
      <w:r w:rsidR="009B5C43">
        <w:t>the levels managements</w:t>
      </w:r>
      <w:r>
        <w:t xml:space="preserve"> to service industry) at the casino resort. It will evaluate the position of employees, the availability of jobs and opportunities for upward promotion within the company. It will also delve into employee satisfaction and life at Sun City. The chapter draws on archival sources from the North-West provincial repository as well as Sun City staff publications. A database of employees has been compiled from manuscript sources found at the archive. This will be used to establish patterns and figures for salaries, employee demographics and the number of positions available. </w:t>
      </w:r>
    </w:p>
    <w:p w14:paraId="212407CB" w14:textId="77777777" w:rsidR="00CD4878" w:rsidRPr="00E86E98" w:rsidRDefault="00CD4878" w:rsidP="00CD4878">
      <w:pPr>
        <w:pStyle w:val="Heading2"/>
        <w:numPr>
          <w:ilvl w:val="0"/>
          <w:numId w:val="0"/>
        </w:numPr>
        <w:ind w:left="578" w:hanging="578"/>
      </w:pPr>
      <w:bookmarkStart w:id="25" w:name="_Toc488481711"/>
      <w:r>
        <w:t>Employment and Labour Disputes</w:t>
      </w:r>
      <w:bookmarkEnd w:id="25"/>
    </w:p>
    <w:p w14:paraId="7E4BB635" w14:textId="77777777" w:rsidR="00CD4878" w:rsidRDefault="00CD4878" w:rsidP="00CD4878">
      <w:r>
        <w:t>Since its inception, Sun City has provided employment to a wide range of workers from South Africa, Bophuthatswana, the other homelands and international immigrants. In 1977 Southern Sun estimated they would spend R3 850 000 on salaries and wages for their employees in 1980, which would constitute 32% of their proposed annual budget.</w:t>
      </w:r>
      <w:r>
        <w:rPr>
          <w:rStyle w:val="FootnoteReference"/>
        </w:rPr>
        <w:footnoteReference w:id="143"/>
      </w:r>
      <w:r>
        <w:t xml:space="preserve"> The construction company, Stewart, Sviridov and Oliver Consulting Engineers and Project Managers, calculated that 9800 workers were both drawn to the region and were used from the region for the construction of the resort and the surrounding infrastructure.</w:t>
      </w:r>
      <w:r>
        <w:rPr>
          <w:rStyle w:val="FootnoteReference"/>
        </w:rPr>
        <w:footnoteReference w:id="144"/>
      </w:r>
      <w:r>
        <w:t xml:space="preserve"> In 1985, Sun City employed approximately 3 000 people and </w:t>
      </w:r>
      <w:r w:rsidR="006E1114">
        <w:t xml:space="preserve">the </w:t>
      </w:r>
      <w:r>
        <w:t>resort</w:t>
      </w:r>
      <w:r w:rsidR="006E1114">
        <w:t>’s</w:t>
      </w:r>
      <w:r>
        <w:t xml:space="preserve"> management estimated that 5 times as many people gained indirect employment from the resort. Examples of </w:t>
      </w:r>
      <w:r w:rsidR="006E1114">
        <w:t>this</w:t>
      </w:r>
      <w:r>
        <w:t xml:space="preserve"> include </w:t>
      </w:r>
      <w:r>
        <w:lastRenderedPageBreak/>
        <w:t xml:space="preserve">the neighbouring game reserve, the surrounding hotels which accommodation overflow guests, retail stores outside the resort, transportation to the resort and industries such as water works, electricity, telephones and the postal service. </w:t>
      </w:r>
      <w:r>
        <w:rPr>
          <w:rStyle w:val="FootnoteReference"/>
        </w:rPr>
        <w:footnoteReference w:id="145"/>
      </w:r>
      <w:r>
        <w:t xml:space="preserve"> By 1987 Sun City was providing employment to 3300 workers, </w:t>
      </w:r>
      <w:r w:rsidR="009B5C43">
        <w:t>most</w:t>
      </w:r>
      <w:r>
        <w:t xml:space="preserve"> whom were Bophuthatswana residents. These employment figur</w:t>
      </w:r>
      <w:r w:rsidR="000C57FE">
        <w:t>es were based on a policy utilis</w:t>
      </w:r>
      <w:r>
        <w:t xml:space="preserve">ed by Sun City to employ persons from surrounding communities first. The casino resort helped to ease the unemployment rates in </w:t>
      </w:r>
      <w:r w:rsidR="009B5C43">
        <w:t xml:space="preserve">the surrounding </w:t>
      </w:r>
      <w:r>
        <w:t>areas such as Ledig, Mogwase and Chaneng, albeit marginally.</w:t>
      </w:r>
      <w:r>
        <w:rPr>
          <w:rStyle w:val="FootnoteReference"/>
        </w:rPr>
        <w:footnoteReference w:id="146"/>
      </w:r>
    </w:p>
    <w:p w14:paraId="399A09B0" w14:textId="77777777" w:rsidR="00CD4878" w:rsidRDefault="00CD4878" w:rsidP="00CD4878">
      <w:r>
        <w:t>However, the 1984 Keenan Report on the Pilanesberg National Game Park (and secondarily Sun City) suggested that the majority of skilled workers were drawn from the metropolitan regions of the Transvaal, rather than locally.</w:t>
      </w:r>
      <w:r>
        <w:rPr>
          <w:rStyle w:val="FootnoteReference"/>
        </w:rPr>
        <w:footnoteReference w:id="147"/>
      </w:r>
      <w:r w:rsidRPr="007074B9">
        <w:t xml:space="preserve"> </w:t>
      </w:r>
      <w:r>
        <w:t>Research by Manson and Mbenga showed that in 1984 unemployment in the nearby town of Ledig was high, but was below average for the region.</w:t>
      </w:r>
      <w:r>
        <w:rPr>
          <w:rStyle w:val="FootnoteReference"/>
        </w:rPr>
        <w:footnoteReference w:id="148"/>
      </w:r>
      <w:r>
        <w:t xml:space="preserve"> </w:t>
      </w:r>
      <w:r w:rsidR="006E1114">
        <w:t>As the previous chapter showed,</w:t>
      </w:r>
      <w:r>
        <w:t xml:space="preserve"> marketing the concept of a casino and hotel to BNDC, Sun International promoted Sun City as a source of employment for the area. Current employees at Sun City praise the resort for its role in alleviating unemployment during the years of homeland policy. This narrative is especially promoted by the Sun International Corporate Social Responsibility </w:t>
      </w:r>
      <w:r w:rsidR="009B5C43">
        <w:t xml:space="preserve">(CSR) </w:t>
      </w:r>
      <w:r>
        <w:t xml:space="preserve">unit.  </w:t>
      </w:r>
    </w:p>
    <w:p w14:paraId="65727748" w14:textId="77777777" w:rsidR="00CD4878" w:rsidRDefault="00CD4878" w:rsidP="00CD4878">
      <w:r>
        <w:t>By contrast, the residents of surrounding communities did not see Sun City as their saviour. They found wages at Sun City lower than those offered elsewhere, especially in places of employment closer to Rustenburg, and argued that the working conditions were arduous. In 1982 the workers brought their concerns to the general manager, Peter Wagner, as they felt the situation was of grave concern.</w:t>
      </w:r>
      <w:r w:rsidRPr="007F0AA3">
        <w:t xml:space="preserve"> </w:t>
      </w:r>
      <w:r>
        <w:t>Under Mangope’s government trade unions</w:t>
      </w:r>
      <w:r w:rsidR="009B5C43">
        <w:t xml:space="preserve"> were illegal in Bophuthatswana and this</w:t>
      </w:r>
      <w:r>
        <w:t xml:space="preserve"> led to a lack of representation and a space where workplace</w:t>
      </w:r>
      <w:r w:rsidR="009B5C43">
        <w:t xml:space="preserve"> disputes</w:t>
      </w:r>
      <w:r>
        <w:t xml:space="preserve"> could be negotiated. Despite promises from Sun City</w:t>
      </w:r>
      <w:r w:rsidR="009B5C43">
        <w:t xml:space="preserve"> to the contrary</w:t>
      </w:r>
      <w:r>
        <w:t>, their working conditions did not improve.  A delegation</w:t>
      </w:r>
      <w:r w:rsidR="006E1114">
        <w:t xml:space="preserve"> of workers</w:t>
      </w:r>
      <w:r>
        <w:t xml:space="preserve"> from Sun City then approached Mangope directly. Initially the president appeared sympathetic and sent his then Minister of Manpower, Rowan Cronje, to investigate the work conditions at Sun City.</w:t>
      </w:r>
      <w:r>
        <w:rPr>
          <w:rStyle w:val="FootnoteReference"/>
        </w:rPr>
        <w:footnoteReference w:id="149"/>
      </w:r>
      <w:r>
        <w:t xml:space="preserve"> This was done through the establishment of a workers’ representative committee. However, due to a perceived lack of legitimacy and support from Mangope’s government, the committee failed </w:t>
      </w:r>
      <w:r>
        <w:lastRenderedPageBreak/>
        <w:t>to bring about any change. A further attempt was made later in 1982 to bring the issue of employment conditions to the attention of Mangope and the Bophuthatswana government with no success. The Sun City workers’ delegation was then accused of being influenced by Dr Nthato Motlana’s Soweto Committee of Ten. Motlana</w:t>
      </w:r>
      <w:r w:rsidR="006E1114">
        <w:t xml:space="preserve"> was an anti-apartheid activist and</w:t>
      </w:r>
      <w:r>
        <w:t xml:space="preserve"> a member of the underground ANC. The Soweto Committee of Ten was a civic organisation that aimed to run Soweto after the collapse of its council in 1978. The group had gone to the press about the harsh working conditions and </w:t>
      </w:r>
      <w:r w:rsidR="006B6FF4" w:rsidRPr="006B6FF4">
        <w:t>relatively low wages</w:t>
      </w:r>
      <w:r w:rsidR="006B6FF4" w:rsidRPr="006B6FF4" w:rsidDel="006B6FF4">
        <w:t xml:space="preserve"> </w:t>
      </w:r>
      <w:r>
        <w:t>at Sun City.  The negative publicity upset Mangope and with his support Wagner fired five of the workers’ delegates. This was proof to the Sun City employees and the surrounding communities that Bophuthatswana and by extension Sun City was indifferent to their predicament.</w:t>
      </w:r>
      <w:r>
        <w:rPr>
          <w:rStyle w:val="FootnoteReference"/>
        </w:rPr>
        <w:footnoteReference w:id="150"/>
      </w:r>
    </w:p>
    <w:p w14:paraId="7356F6E5" w14:textId="77777777" w:rsidR="00CD4878" w:rsidRDefault="00CD4878" w:rsidP="00CD4878">
      <w:pPr>
        <w:rPr>
          <w:rStyle w:val="PageNumber"/>
        </w:rPr>
      </w:pPr>
      <w:r>
        <w:rPr>
          <w:rStyle w:val="PageNumber"/>
        </w:rPr>
        <w:t xml:space="preserve">Throughout the 1980s and into the 1990s, local residents continued to dissent against the working conditions at Sun City, especially the lengthy hours without overtime pay. </w:t>
      </w:r>
      <w:r w:rsidR="00F51C11" w:rsidRPr="00F51C11">
        <w:rPr>
          <w:rStyle w:val="PageNumber"/>
        </w:rPr>
        <w:t xml:space="preserve">In the eyes of the workers and detractors alike, Sun City’s image </w:t>
      </w:r>
      <w:r>
        <w:rPr>
          <w:rStyle w:val="PageNumber"/>
        </w:rPr>
        <w:t xml:space="preserve"> was tarnished by labour disputes during its first several years of operation. Mangope’s government intervened to suppress these labour disputes on more than one occasion, which gave the workers the impression that Mangope was “in Kerzner’s pocket”.</w:t>
      </w:r>
      <w:r>
        <w:rPr>
          <w:rStyle w:val="FootnoteReference"/>
        </w:rPr>
        <w:footnoteReference w:id="151"/>
      </w:r>
    </w:p>
    <w:p w14:paraId="6A4AA50D" w14:textId="77777777" w:rsidR="00CD4878" w:rsidRDefault="006E1114" w:rsidP="00CD4878">
      <w:pPr>
        <w:pStyle w:val="Heading2"/>
        <w:numPr>
          <w:ilvl w:val="0"/>
          <w:numId w:val="0"/>
        </w:numPr>
        <w:ind w:left="578" w:hanging="578"/>
      </w:pPr>
      <w:bookmarkStart w:id="26" w:name="_Toc488481712"/>
      <w:r>
        <w:t>E</w:t>
      </w:r>
      <w:r w:rsidR="002817A0">
        <w:t>mployee</w:t>
      </w:r>
      <w:r>
        <w:t xml:space="preserve"> </w:t>
      </w:r>
      <w:r w:rsidR="001E6E29">
        <w:t>Analysis</w:t>
      </w:r>
      <w:bookmarkEnd w:id="26"/>
    </w:p>
    <w:p w14:paraId="4CAAD949" w14:textId="77777777" w:rsidR="00CD4878" w:rsidRDefault="00CD4878" w:rsidP="00CD4878">
      <w:pPr>
        <w:rPr>
          <w:rStyle w:val="PageNumber"/>
        </w:rPr>
      </w:pPr>
      <w:r>
        <w:rPr>
          <w:rStyle w:val="PageNumber"/>
        </w:rPr>
        <w:t xml:space="preserve">In 1982 Lucas Mangope requested a list of all individuals employed at Sun International casinos in Bophuthatswana. The reason for this is unclear but the list provides a detailed account of individuals employed by Sun International. A database </w:t>
      </w:r>
      <w:r w:rsidR="006E1114">
        <w:rPr>
          <w:rStyle w:val="PageNumber"/>
        </w:rPr>
        <w:t>of employee information for the year of 1984 was</w:t>
      </w:r>
      <w:r>
        <w:rPr>
          <w:rStyle w:val="PageNumber"/>
        </w:rPr>
        <w:t xml:space="preserve"> created from documents sent to Mangope’s office, which ar</w:t>
      </w:r>
      <w:r w:rsidR="006E1114">
        <w:rPr>
          <w:rStyle w:val="PageNumber"/>
        </w:rPr>
        <w:t>e currently housed in the North-West Provincial A</w:t>
      </w:r>
      <w:r>
        <w:rPr>
          <w:rStyle w:val="PageNumber"/>
        </w:rPr>
        <w:t>rchives in Mafiken</w:t>
      </w:r>
      <w:r w:rsidR="00396630">
        <w:rPr>
          <w:rStyle w:val="PageNumber"/>
        </w:rPr>
        <w:t>g.</w:t>
      </w:r>
      <w:r w:rsidRPr="00396630">
        <w:rPr>
          <w:rStyle w:val="PageNumber"/>
          <w:vertAlign w:val="superscript"/>
        </w:rPr>
        <w:footnoteReference w:id="152"/>
      </w:r>
      <w:r w:rsidRPr="00396630">
        <w:rPr>
          <w:rStyle w:val="PageNumber"/>
          <w:vertAlign w:val="superscript"/>
        </w:rPr>
        <w:t xml:space="preserve"> </w:t>
      </w:r>
      <w:r>
        <w:rPr>
          <w:rStyle w:val="PageNumber"/>
        </w:rPr>
        <w:t xml:space="preserve">A variety of information can be gleaned from these documents, despite the list comprising only individuals employed in the year 1982. The </w:t>
      </w:r>
      <w:r w:rsidRPr="005B702A">
        <w:rPr>
          <w:rStyle w:val="PageNumber"/>
        </w:rPr>
        <w:t>employees were classified according to apartheid South Africa’s racial and ethnic categories in line with h</w:t>
      </w:r>
      <w:r w:rsidR="00FF6FCC" w:rsidRPr="005B702A">
        <w:rPr>
          <w:rStyle w:val="PageNumber"/>
        </w:rPr>
        <w:t>omel</w:t>
      </w:r>
      <w:r w:rsidR="006E1114" w:rsidRPr="005B702A">
        <w:rPr>
          <w:rStyle w:val="PageNumber"/>
        </w:rPr>
        <w:t>and designation. (refer to appendix</w:t>
      </w:r>
      <w:r w:rsidR="00FF6FCC" w:rsidRPr="005B702A">
        <w:rPr>
          <w:rStyle w:val="PageNumber"/>
        </w:rPr>
        <w:t>).</w:t>
      </w:r>
    </w:p>
    <w:p w14:paraId="515E9F22" w14:textId="77777777" w:rsidR="00CD4878" w:rsidRDefault="00CD4878" w:rsidP="00CD4878">
      <w:pPr>
        <w:rPr>
          <w:rStyle w:val="PageNumber"/>
        </w:rPr>
      </w:pPr>
      <w:r>
        <w:rPr>
          <w:rStyle w:val="PageNumber"/>
        </w:rPr>
        <w:t>In 1982 Sun City employed a total of 3129 employees. Workers</w:t>
      </w:r>
      <w:r w:rsidR="00AA0B14">
        <w:rPr>
          <w:rStyle w:val="PageNumber"/>
        </w:rPr>
        <w:t xml:space="preserve"> classified as “Tswana”</w:t>
      </w:r>
      <w:r>
        <w:rPr>
          <w:rStyle w:val="PageNumber"/>
        </w:rPr>
        <w:t xml:space="preserve"> made up a total of 42% of the employees, </w:t>
      </w:r>
      <w:r w:rsidR="001E6E29">
        <w:rPr>
          <w:rStyle w:val="PageNumber"/>
        </w:rPr>
        <w:t>most</w:t>
      </w:r>
      <w:r>
        <w:rPr>
          <w:rStyle w:val="PageNumber"/>
        </w:rPr>
        <w:t xml:space="preserve"> whom were in the service industry and manual labour positions. Most of the supervisors and the top tier management were white South </w:t>
      </w:r>
      <w:r>
        <w:rPr>
          <w:rStyle w:val="PageNumber"/>
        </w:rPr>
        <w:lastRenderedPageBreak/>
        <w:t xml:space="preserve">Africans and Europeans, coming in at 97%. Only four black individuals were employed in </w:t>
      </w:r>
      <w:r w:rsidR="001E6E29">
        <w:rPr>
          <w:rStyle w:val="PageNumber"/>
        </w:rPr>
        <w:t>supervisory roles and no black individuals</w:t>
      </w:r>
      <w:r>
        <w:rPr>
          <w:rStyle w:val="PageNumber"/>
        </w:rPr>
        <w:t xml:space="preserve"> were employed in top management positions. Four supervisors of </w:t>
      </w:r>
      <w:r w:rsidR="00AA0B14">
        <w:rPr>
          <w:rStyle w:val="PageNumber"/>
        </w:rPr>
        <w:t>colour were employed: two were “Tswana”, one was “Xhosa”</w:t>
      </w:r>
      <w:r>
        <w:rPr>
          <w:rStyle w:val="PageNumber"/>
        </w:rPr>
        <w:t xml:space="preserve"> and one was Indian (</w:t>
      </w:r>
      <w:r w:rsidR="001E6E29">
        <w:rPr>
          <w:rStyle w:val="PageNumber"/>
        </w:rPr>
        <w:t>refer to T</w:t>
      </w:r>
      <w:r w:rsidR="006E1114">
        <w:rPr>
          <w:rStyle w:val="PageNumber"/>
        </w:rPr>
        <w:t>able</w:t>
      </w:r>
      <w:r>
        <w:rPr>
          <w:rStyle w:val="PageNumber"/>
        </w:rPr>
        <w:t xml:space="preserve"> 3</w:t>
      </w:r>
      <w:r w:rsidR="001E6E29">
        <w:rPr>
          <w:rStyle w:val="PageNumber"/>
        </w:rPr>
        <w:t xml:space="preserve"> in the appendix</w:t>
      </w:r>
      <w:r>
        <w:rPr>
          <w:rStyle w:val="PageNumber"/>
        </w:rPr>
        <w:t xml:space="preserve">). </w:t>
      </w:r>
      <w:r w:rsidR="001E6E29">
        <w:rPr>
          <w:rStyle w:val="PageNumber"/>
        </w:rPr>
        <w:t xml:space="preserve"> Sun City employed</w:t>
      </w:r>
      <w:r>
        <w:rPr>
          <w:rStyle w:val="PageNumber"/>
        </w:rPr>
        <w:t xml:space="preserve"> 79 permanent waiters with starting salaries of R85 </w:t>
      </w:r>
      <w:r w:rsidR="001E6E29">
        <w:rPr>
          <w:rStyle w:val="PageNumber"/>
        </w:rPr>
        <w:t>with an average</w:t>
      </w:r>
      <w:r>
        <w:rPr>
          <w:rStyle w:val="PageNumber"/>
        </w:rPr>
        <w:t xml:space="preserve"> </w:t>
      </w:r>
      <w:r w:rsidR="001E6E29">
        <w:rPr>
          <w:rStyle w:val="PageNumber"/>
        </w:rPr>
        <w:t xml:space="preserve">of </w:t>
      </w:r>
      <w:r>
        <w:rPr>
          <w:rStyle w:val="PageNumber"/>
        </w:rPr>
        <w:t xml:space="preserve">R134. 58% of the waiters were from Bophuthatswana and classified as Tswana </w:t>
      </w:r>
      <w:r w:rsidR="00E86F93">
        <w:rPr>
          <w:rStyle w:val="PageNumber"/>
        </w:rPr>
        <w:t>citizens</w:t>
      </w:r>
      <w:r>
        <w:rPr>
          <w:rStyle w:val="PageNumber"/>
        </w:rPr>
        <w:t>. None of the headwaiters employed were from Bophuthatswana, and the majority were Indian and Swazi, earning from R200 to R340 per month (</w:t>
      </w:r>
      <w:r w:rsidR="006E1114">
        <w:rPr>
          <w:rStyle w:val="PageNumber"/>
        </w:rPr>
        <w:t xml:space="preserve">refer to </w:t>
      </w:r>
      <w:r w:rsidR="001E6E29">
        <w:rPr>
          <w:rStyle w:val="PageNumber"/>
        </w:rPr>
        <w:t>T</w:t>
      </w:r>
      <w:r w:rsidR="006E1114">
        <w:rPr>
          <w:rStyle w:val="PageNumber"/>
        </w:rPr>
        <w:t>able</w:t>
      </w:r>
      <w:r>
        <w:rPr>
          <w:rStyle w:val="PageNumber"/>
        </w:rPr>
        <w:t xml:space="preserve"> 4</w:t>
      </w:r>
      <w:r w:rsidR="001E6E29">
        <w:rPr>
          <w:rStyle w:val="PageNumber"/>
        </w:rPr>
        <w:t xml:space="preserve"> in the appendix</w:t>
      </w:r>
      <w:r>
        <w:rPr>
          <w:rStyle w:val="PageNumber"/>
        </w:rPr>
        <w:t>).</w:t>
      </w:r>
      <w:r w:rsidR="001E6E29">
        <w:rPr>
          <w:rStyle w:val="PageNumber"/>
        </w:rPr>
        <w:t xml:space="preserve"> </w:t>
      </w:r>
      <w:r>
        <w:rPr>
          <w:rStyle w:val="PageNumber"/>
        </w:rPr>
        <w:t xml:space="preserve"> </w:t>
      </w:r>
    </w:p>
    <w:p w14:paraId="360BBE7C" w14:textId="77777777" w:rsidR="00CD4878" w:rsidRDefault="00CD4878" w:rsidP="00CD4878">
      <w:pPr>
        <w:rPr>
          <w:rStyle w:val="PageNumber"/>
        </w:rPr>
      </w:pPr>
      <w:r>
        <w:rPr>
          <w:rStyle w:val="PageNumber"/>
        </w:rPr>
        <w:t>In c</w:t>
      </w:r>
      <w:r w:rsidR="00AA0B14">
        <w:rPr>
          <w:rStyle w:val="PageNumber"/>
        </w:rPr>
        <w:t>omparison to their colleagues, “Tswana”</w:t>
      </w:r>
      <w:r>
        <w:rPr>
          <w:rStyle w:val="PageNumber"/>
        </w:rPr>
        <w:t xml:space="preserve"> workers were </w:t>
      </w:r>
      <w:r w:rsidR="006E1114">
        <w:rPr>
          <w:rStyle w:val="PageNumber"/>
        </w:rPr>
        <w:t>paid less</w:t>
      </w:r>
      <w:r>
        <w:rPr>
          <w:rStyle w:val="PageNumber"/>
        </w:rPr>
        <w:t xml:space="preserve"> for their work at Sun City. The figures suggest that Sun International preferred to employ and promote white workers first and individuals of colo</w:t>
      </w:r>
      <w:r w:rsidR="00AA0B14">
        <w:rPr>
          <w:rStyle w:val="PageNumber"/>
        </w:rPr>
        <w:t>ur that were not classified as “</w:t>
      </w:r>
      <w:r>
        <w:rPr>
          <w:rStyle w:val="PageNumber"/>
        </w:rPr>
        <w:t xml:space="preserve">Tswana </w:t>
      </w:r>
      <w:r w:rsidR="00E86F93">
        <w:rPr>
          <w:rStyle w:val="PageNumber"/>
        </w:rPr>
        <w:t>citizens</w:t>
      </w:r>
      <w:r w:rsidR="00AA0B14">
        <w:rPr>
          <w:rStyle w:val="PageNumber"/>
        </w:rPr>
        <w:t>”</w:t>
      </w:r>
      <w:r w:rsidR="006E1114">
        <w:rPr>
          <w:rStyle w:val="PageNumber"/>
        </w:rPr>
        <w:t xml:space="preserve">. This pattern continued in the Sun City restaurant </w:t>
      </w:r>
      <w:r>
        <w:rPr>
          <w:rStyle w:val="PageNumber"/>
        </w:rPr>
        <w:t xml:space="preserve">kitchens, where employees brought in from outside Bophuthatswana earned more than those classified as Tswana. The average salary earned by kitchen staff </w:t>
      </w:r>
      <w:r w:rsidR="001E6E29">
        <w:rPr>
          <w:rStyle w:val="PageNumber"/>
        </w:rPr>
        <w:t>was</w:t>
      </w:r>
      <w:r>
        <w:rPr>
          <w:rStyle w:val="PageNumber"/>
        </w:rPr>
        <w:t xml:space="preserve"> R197, while the average salary for Tswana kitchen employees was R105. Therefore, on average a non-Tswana kitchen employee received almost double the wages compared to a Bophuthatswana employee, depending on rank. As in other departments, Indian and Coloured staff members held higher positions </w:t>
      </w:r>
      <w:r w:rsidR="006E1114">
        <w:rPr>
          <w:rStyle w:val="PageNumber"/>
        </w:rPr>
        <w:t xml:space="preserve">and salaries </w:t>
      </w:r>
      <w:r>
        <w:rPr>
          <w:rStyle w:val="PageNumber"/>
        </w:rPr>
        <w:t>in the kitchens and earned from R300 to R700. If an employee was white, the salary was even higher. Lastly, Sun City employed a host of cleaning staff, most of whom were Tswana and with only two Zulu women and one Xhosa woman. The average salary was R92 and ranged from R85 to R110. 91% of stewards employed were Tswana and earned an average salary of R105 (</w:t>
      </w:r>
      <w:r w:rsidR="006E1114">
        <w:rPr>
          <w:rStyle w:val="PageNumber"/>
        </w:rPr>
        <w:t xml:space="preserve">refer to </w:t>
      </w:r>
      <w:r w:rsidR="001E6E29">
        <w:rPr>
          <w:rStyle w:val="PageNumber"/>
        </w:rPr>
        <w:t>T</w:t>
      </w:r>
      <w:r>
        <w:rPr>
          <w:rStyle w:val="PageNumber"/>
        </w:rPr>
        <w:t>able 2</w:t>
      </w:r>
      <w:r w:rsidR="006E1114">
        <w:rPr>
          <w:rStyle w:val="PageNumber"/>
        </w:rPr>
        <w:t xml:space="preserve"> in the appendix</w:t>
      </w:r>
      <w:r>
        <w:rPr>
          <w:rStyle w:val="PageNumber"/>
        </w:rPr>
        <w:t>).</w:t>
      </w:r>
      <w:r>
        <w:rPr>
          <w:rStyle w:val="FootnoteReference"/>
          <w:color w:val="000000"/>
        </w:rPr>
        <w:footnoteReference w:id="153"/>
      </w:r>
      <w:r>
        <w:rPr>
          <w:rStyle w:val="PageNumber"/>
        </w:rPr>
        <w:t xml:space="preserve"> </w:t>
      </w:r>
    </w:p>
    <w:p w14:paraId="7B975A6F" w14:textId="77777777" w:rsidR="00CD4878" w:rsidRPr="006E77D0" w:rsidRDefault="00CD4878" w:rsidP="00CD4878">
      <w:pPr>
        <w:rPr>
          <w:color w:val="000000"/>
        </w:rPr>
      </w:pPr>
      <w:r>
        <w:rPr>
          <w:rStyle w:val="PageNumber"/>
        </w:rPr>
        <w:t xml:space="preserve">From these figures, it seems that Sun City adhered to its stated policy of striving to employ Bophuthatswana </w:t>
      </w:r>
      <w:r w:rsidR="00E86F93">
        <w:rPr>
          <w:rStyle w:val="PageNumber"/>
        </w:rPr>
        <w:t>citizens</w:t>
      </w:r>
      <w:r>
        <w:rPr>
          <w:rStyle w:val="PageNumber"/>
        </w:rPr>
        <w:t xml:space="preserve">, as they represent </w:t>
      </w:r>
      <w:r w:rsidR="001E6E29">
        <w:rPr>
          <w:rStyle w:val="PageNumber"/>
        </w:rPr>
        <w:t>most</w:t>
      </w:r>
      <w:r>
        <w:rPr>
          <w:rStyle w:val="PageNumber"/>
        </w:rPr>
        <w:t xml:space="preserve"> </w:t>
      </w:r>
      <w:r w:rsidR="001E6E29">
        <w:rPr>
          <w:rStyle w:val="PageNumber"/>
        </w:rPr>
        <w:t>the</w:t>
      </w:r>
      <w:r>
        <w:rPr>
          <w:rStyle w:val="PageNumber"/>
        </w:rPr>
        <w:t xml:space="preserve"> employees. However, </w:t>
      </w:r>
      <w:r w:rsidR="00AA0B14">
        <w:rPr>
          <w:rStyle w:val="PageNumber"/>
        </w:rPr>
        <w:t xml:space="preserve">“Tswana” </w:t>
      </w:r>
      <w:r w:rsidR="00E86F93">
        <w:rPr>
          <w:rStyle w:val="PageNumber"/>
        </w:rPr>
        <w:t>citizens</w:t>
      </w:r>
      <w:r>
        <w:rPr>
          <w:rStyle w:val="PageNumber"/>
        </w:rPr>
        <w:t xml:space="preserve"> were given lower ranked positions within the service industry and received lower salaries compared to their colleagues at the same level of employment. Moreover, three years after Sun City’s doors opened, Tswana workers did not see upward movement within the company.</w:t>
      </w:r>
      <w:r>
        <w:rPr>
          <w:rStyle w:val="FootnoteReference"/>
          <w:color w:val="000000"/>
        </w:rPr>
        <w:footnoteReference w:id="154"/>
      </w:r>
      <w:r>
        <w:rPr>
          <w:rStyle w:val="PageNumber"/>
        </w:rPr>
        <w:t xml:space="preserve"> Despite the training received at Sun City, many individuals left Sun City in search of other hospitality employment. The first management position held by a black member of staff was in 1984 after extensive training in Europe. The training was such that a </w:t>
      </w:r>
      <w:r>
        <w:rPr>
          <w:rStyle w:val="PageNumber"/>
        </w:rPr>
        <w:lastRenderedPageBreak/>
        <w:t>black staff member was always overseen by a white supervisor.</w:t>
      </w:r>
      <w:r>
        <w:rPr>
          <w:rStyle w:val="FootnoteReference"/>
          <w:color w:val="000000"/>
        </w:rPr>
        <w:footnoteReference w:id="155"/>
      </w:r>
      <w:r>
        <w:rPr>
          <w:rStyle w:val="PageNumber"/>
        </w:rPr>
        <w:t xml:space="preserve"> Race relations at Sun City operated according to a hierarchy – from the outside it appeared integrated but it placed white employees in positions of power. The rosy picture presented by Kerzner and Wagner obscured the racial and ethnic hierarchy in employment at Sun City. </w:t>
      </w:r>
    </w:p>
    <w:p w14:paraId="787547C9" w14:textId="77777777" w:rsidR="00724C4D" w:rsidRDefault="00F51C11" w:rsidP="00724C4D">
      <w:pPr>
        <w:pStyle w:val="Heading2"/>
        <w:numPr>
          <w:ilvl w:val="0"/>
          <w:numId w:val="0"/>
        </w:numPr>
        <w:ind w:left="578" w:hanging="578"/>
      </w:pPr>
      <w:bookmarkStart w:id="27" w:name="_Toc488481713"/>
      <w:r>
        <w:t xml:space="preserve">Working conditions </w:t>
      </w:r>
      <w:r w:rsidR="00724C4D">
        <w:t>at Sun City</w:t>
      </w:r>
      <w:bookmarkEnd w:id="27"/>
      <w:r w:rsidR="00724C4D">
        <w:t xml:space="preserve"> </w:t>
      </w:r>
    </w:p>
    <w:p w14:paraId="464FE6C6" w14:textId="77777777" w:rsidR="00CD4878" w:rsidRDefault="00CD4878" w:rsidP="00CD4878">
      <w:r>
        <w:t>The working conditions for the white managerial staff, mostly brought in from South Africa, were attractive. White South African employees that worked at Sun City in the 1980s interviewed for this research stated that the salaries offered were competitive for the time and Sun City was a good work opportunity. All staff received an allowance which they could use to eat at the various restaurants in the resort. This was in conjunction to the staff canteen which offered free food to all staff members. Initially, managerial staff received free accommodation. Rosemary Dreyer, head of the banqueting department at Sun City in the 1980s, stated that Sun City had to provide accommodation for employees and their families if they hoped to attract the calibre of staff they needed. Low paid work such as waiters and cleaning staff could be attracted from the surrounding townships and communities, but if Sun City hoped to lure white South Africans into Bophuthatswana, adequate housing was a necessity, as was schooling.</w:t>
      </w:r>
      <w:r>
        <w:rPr>
          <w:rStyle w:val="FootnoteReference"/>
        </w:rPr>
        <w:footnoteReference w:id="156"/>
      </w:r>
      <w:r>
        <w:t xml:space="preserve"> According to Dreyer, Sun City needed qualified white staff, which they drew from South Africa, and if they hoped to employ skilled staff then their employment packages had to be of a high standard. She continued to say that locally sourced black employees did not need housing as many lived in the towns of Ledig, Mogwase and Chaneng.</w:t>
      </w:r>
      <w:r>
        <w:rPr>
          <w:rStyle w:val="FootnoteReference"/>
        </w:rPr>
        <w:footnoteReference w:id="157"/>
      </w:r>
      <w:r>
        <w:t xml:space="preserve"> During the 1980s housing </w:t>
      </w:r>
      <w:r w:rsidR="00724C4D">
        <w:t xml:space="preserve">was provided </w:t>
      </w:r>
      <w:r>
        <w:t>for approximately 80% of its staff and their families.</w:t>
      </w:r>
      <w:r>
        <w:rPr>
          <w:rStyle w:val="FootnoteReference"/>
        </w:rPr>
        <w:footnoteReference w:id="158"/>
      </w:r>
      <w:r>
        <w:t xml:space="preserve"> </w:t>
      </w:r>
      <w:r w:rsidR="00724C4D">
        <w:t>This was for</w:t>
      </w:r>
      <w:r w:rsidR="00AA0B14">
        <w:t xml:space="preserve"> mostly “non-Tswana”</w:t>
      </w:r>
      <w:r>
        <w:t xml:space="preserve"> workers, specifically those who were employed in the </w:t>
      </w:r>
      <w:r w:rsidR="00724C4D">
        <w:t>managerial positions</w:t>
      </w:r>
      <w:r>
        <w:t xml:space="preserve">. The houses went to white employees such as Dreyer who originated from Johannesburg and migrated to Bophuthatswana for work. </w:t>
      </w:r>
    </w:p>
    <w:p w14:paraId="02552468" w14:textId="77777777" w:rsidR="00CD4878" w:rsidRDefault="00CD4878" w:rsidP="00CD4878">
      <w:r>
        <w:t xml:space="preserve">A current marketing manager, who wished to remain anonymous, has been employed at Sun City for over two decades and explained the housing system in the course of an interview. </w:t>
      </w:r>
      <w:r w:rsidR="00724C4D">
        <w:t>She stated that</w:t>
      </w:r>
      <w:r>
        <w:t xml:space="preserve"> Sun City currently provides accommodation for a percentage of their staff either on site, opposite the Entertainment Centre, or outside Sun City, in the nearby town of Ledig. Located close to the Sun City main gate is a shopping centre known as Sun Village, </w:t>
      </w:r>
      <w:r>
        <w:lastRenderedPageBreak/>
        <w:t xml:space="preserve">which also contains a staff housing village. This is </w:t>
      </w:r>
      <w:r w:rsidR="00AA0B14">
        <w:t>“</w:t>
      </w:r>
      <w:r>
        <w:t>modern</w:t>
      </w:r>
      <w:r w:rsidR="00AA0B14">
        <w:t>”</w:t>
      </w:r>
      <w:r>
        <w:t xml:space="preserve"> housing and provides the bulk of Sun City’s staff accommodation. Both sets of accommodation range from bachelor to four bedroom apartments or houses. The housing is allocated according to availability once a job is accepted, what each employee’s personal needs are and</w:t>
      </w:r>
      <w:r w:rsidR="00ED4B9C">
        <w:t>,</w:t>
      </w:r>
      <w:r>
        <w:t xml:space="preserve"> more significantly, what position he or she holds. Currently, employees are expected to pay rent, water and electricity but the costs are subsidised by Sun International. </w:t>
      </w:r>
    </w:p>
    <w:p w14:paraId="17626188" w14:textId="77777777" w:rsidR="00CD4878" w:rsidRPr="003459FB" w:rsidRDefault="00CD4878" w:rsidP="00CD4878">
      <w:r>
        <w:t>In the 1980s, a crèche was established at the Sun City sports fields where Sun City employees, both black and white, could send their toddlers.</w:t>
      </w:r>
      <w:r>
        <w:rPr>
          <w:rStyle w:val="FootnoteReference"/>
        </w:rPr>
        <w:footnoteReference w:id="159"/>
      </w:r>
      <w:r>
        <w:t xml:space="preserve"> The crèche is now located just outside the gates of Sun City and the school-going age </w:t>
      </w:r>
      <w:r w:rsidR="00F51C11" w:rsidRPr="00F51C11">
        <w:t>children</w:t>
      </w:r>
      <w:r>
        <w:t xml:space="preserve"> are bussed to Rustenburg daily to five different schools.</w:t>
      </w:r>
      <w:r>
        <w:rPr>
          <w:rStyle w:val="FootnoteReference"/>
        </w:rPr>
        <w:footnoteReference w:id="160"/>
      </w:r>
      <w:r>
        <w:t xml:space="preserve"> Dreyer sent her daughter, Tanya, to weekly boarding school in Ruste</w:t>
      </w:r>
      <w:r w:rsidR="00AA0B14">
        <w:t>nburg, as she did not want her “causing trouble”</w:t>
      </w:r>
      <w:r>
        <w:t xml:space="preserve"> around Sun City after school and avoiding homework as most of the staff’s children did.</w:t>
      </w:r>
      <w:r>
        <w:rPr>
          <w:rStyle w:val="FootnoteReference"/>
        </w:rPr>
        <w:footnoteReference w:id="161"/>
      </w:r>
      <w:r>
        <w:t xml:space="preserve"> Dreyer started working at Sun City in 1983, when the Cascades was under construction, and through her decade and a half tenure at Sun City she witnessed the mega-resort expand and change as the country transitioned from apartheid into democracy. She started in the banqueting department and eventually headed the department by the time she left Sun City.</w:t>
      </w:r>
      <w:r>
        <w:rPr>
          <w:rStyle w:val="FootnoteReference"/>
        </w:rPr>
        <w:footnoteReference w:id="162"/>
      </w:r>
      <w:r>
        <w:t xml:space="preserve"> </w:t>
      </w:r>
      <w:r>
        <w:rPr>
          <w:rFonts w:cs="Times New Roman"/>
          <w:szCs w:val="24"/>
        </w:rPr>
        <w:t>After her daughter finished her studies, she returned to Sun City to work with her mother in the banqueting department in 1991.</w:t>
      </w:r>
      <w:r>
        <w:rPr>
          <w:rStyle w:val="FootnoteReference"/>
          <w:rFonts w:cs="Times New Roman"/>
          <w:szCs w:val="24"/>
        </w:rPr>
        <w:footnoteReference w:id="163"/>
      </w:r>
      <w:r>
        <w:t xml:space="preserve"> </w:t>
      </w:r>
    </w:p>
    <w:p w14:paraId="34445748" w14:textId="77777777" w:rsidR="00CD4878" w:rsidRDefault="00CD4878" w:rsidP="00CD4878">
      <w:r>
        <w:t xml:space="preserve">Sun International Bophuthatswana published two staff magazines, </w:t>
      </w:r>
      <w:r>
        <w:rPr>
          <w:i/>
        </w:rPr>
        <w:t xml:space="preserve">Letsatsing </w:t>
      </w:r>
      <w:r>
        <w:t xml:space="preserve">and </w:t>
      </w:r>
      <w:r>
        <w:rPr>
          <w:i/>
        </w:rPr>
        <w:t>SunBop</w:t>
      </w:r>
      <w:r>
        <w:rPr>
          <w:rStyle w:val="CommentReference"/>
        </w:rPr>
        <w:t xml:space="preserve">, </w:t>
      </w:r>
      <w:r w:rsidRPr="005E3F49">
        <w:t>from</w:t>
      </w:r>
      <w:r>
        <w:t xml:space="preserve"> the 1980s to the early 1990s. </w:t>
      </w:r>
      <w:r w:rsidRPr="006E56B9">
        <w:rPr>
          <w:i/>
        </w:rPr>
        <w:t>Letsatsing</w:t>
      </w:r>
      <w:r>
        <w:t xml:space="preserve"> was for the staff of Sun City, taking its name from the Tswana word for </w:t>
      </w:r>
      <w:r w:rsidR="00AA0B14">
        <w:t>“</w:t>
      </w:r>
      <w:r w:rsidR="00ED4B9C">
        <w:t xml:space="preserve">a </w:t>
      </w:r>
      <w:r w:rsidR="00AA0B14">
        <w:t>place in the sun”</w:t>
      </w:r>
      <w:r>
        <w:t xml:space="preserve">, while </w:t>
      </w:r>
      <w:r w:rsidRPr="006E56B9">
        <w:rPr>
          <w:i/>
        </w:rPr>
        <w:t>SunBop</w:t>
      </w:r>
      <w:r>
        <w:t xml:space="preserve"> was a publication circulated to staff of all Sun International employees in Bophuthatswana. These magazines promoted</w:t>
      </w:r>
      <w:r w:rsidR="00ED4B9C">
        <w:t xml:space="preserve"> </w:t>
      </w:r>
      <w:r>
        <w:t>upward mobility within the Sun City ranks, specifically for white staff members. The magazines congratulate staff members who had been promoted to higher positions and jobs in various departments, such as the marketing, banqueting and hospitality departments. However, these are all white staff members. In comparison, black employees are congratulated for long service, the returning of a lost item or transfer to a new department.</w:t>
      </w:r>
      <w:r>
        <w:rPr>
          <w:rStyle w:val="FootnoteReference"/>
        </w:rPr>
        <w:footnoteReference w:id="164"/>
      </w:r>
      <w:r>
        <w:t xml:space="preserve"> According to the current marketing manager, Sun City has always held a good reputation for </w:t>
      </w:r>
      <w:r>
        <w:lastRenderedPageBreak/>
        <w:t>its status as an employer and it was not difficult to find general employees, but it did struggle in the past to find qualified personnel and therefore opts to train and hire from within.</w:t>
      </w:r>
      <w:r>
        <w:rPr>
          <w:rStyle w:val="FootnoteReference"/>
        </w:rPr>
        <w:footnoteReference w:id="165"/>
      </w:r>
      <w:r>
        <w:t xml:space="preserve"> </w:t>
      </w:r>
    </w:p>
    <w:p w14:paraId="3CD52A77" w14:textId="77777777" w:rsidR="00CD4878" w:rsidRDefault="00CD4878" w:rsidP="00CD4878">
      <w:r>
        <w:t>When Sun City first opened in 1979 language and cultural differences posed a significant problem.</w:t>
      </w:r>
      <w:r>
        <w:rPr>
          <w:rStyle w:val="FootnoteReference"/>
        </w:rPr>
        <w:footnoteReference w:id="166"/>
      </w:r>
      <w:r>
        <w:t xml:space="preserve"> The locally sourced employees’ home language was Tswana with second language</w:t>
      </w:r>
      <w:r w:rsidR="00724C4D">
        <w:t>s as</w:t>
      </w:r>
      <w:r>
        <w:t xml:space="preserve"> English and Afrikaans. The managerial staff spoke either English or Afrikaans, the catering staff were sourced from Europe and often spoke French or German and the casino floor staff came from the United Kingdom. </w:t>
      </w:r>
      <w:r w:rsidR="00FA6A91">
        <w:t>Most</w:t>
      </w:r>
      <w:r>
        <w:t xml:space="preserve"> security staff spoke Afrikaans as their primary language.</w:t>
      </w:r>
      <w:r w:rsidR="00ED4B9C">
        <w:rPr>
          <w:rStyle w:val="FootnoteReference"/>
        </w:rPr>
        <w:footnoteReference w:id="167"/>
      </w:r>
      <w:r>
        <w:t xml:space="preserve"> Very few of the managerial staff </w:t>
      </w:r>
      <w:r w:rsidR="00FA6A91">
        <w:t>could</w:t>
      </w:r>
      <w:r>
        <w:t xml:space="preserve"> converse in Tswana. The employees from the local communities were new to the hospitality industry. For many of them, it the first time they were int</w:t>
      </w:r>
      <w:r w:rsidR="005B702A">
        <w:t xml:space="preserve">eracting with other races on a technically </w:t>
      </w:r>
      <w:r>
        <w:t>equal basis as apartheid had dictated social interactions in South Africa. The extent to which they were interacting on equal basis cannot be verified, in Bophuthatswana there was apartheid, but racism and separatism were entr</w:t>
      </w:r>
      <w:r w:rsidR="00724C4D">
        <w:t xml:space="preserve">enched in societal structures. </w:t>
      </w:r>
    </w:p>
    <w:p w14:paraId="58CAF1BE" w14:textId="77777777" w:rsidR="00CD4878" w:rsidRDefault="00724C4D" w:rsidP="00CD4878">
      <w:r>
        <w:t xml:space="preserve">In July </w:t>
      </w:r>
      <w:r w:rsidR="00CD4878">
        <w:t xml:space="preserve">1986 a new hotel was under construction in Mmabatho and open call interviews were held at the Mmabatho Convention Centre for 230 jobs. The interview process was chaotic as thousands of desperate people of a variety of ages descended on the convention centre. The people pushed and shoved, the process threatened to turn violent as the people from all over Bophuthatswana queued outside, waiting to be seen by 20 interviewers.  Many were turned away as fluency in English was a prerequisite for employment. An article published in the </w:t>
      </w:r>
      <w:r w:rsidR="00CD4878">
        <w:rPr>
          <w:i/>
        </w:rPr>
        <w:t xml:space="preserve">The Mail, </w:t>
      </w:r>
      <w:r w:rsidR="00CD4878">
        <w:t>a Mafikeng weekly newspaper, explained that it was necessary for all employees - from front desk receptionists to the cleaning staff - to be able to communicate with the hotel guests in English.</w:t>
      </w:r>
      <w:r w:rsidR="00CD4878">
        <w:rPr>
          <w:rStyle w:val="FootnoteReference"/>
        </w:rPr>
        <w:footnoteReference w:id="168"/>
      </w:r>
      <w:r w:rsidR="00CD4878">
        <w:t xml:space="preserve"> In her interview, Dreyer confirmed that Bophuthatswana hotels, such as Sun City, needed to hire employees with a fluency in English as well as basic hospitality skills.</w:t>
      </w:r>
      <w:r w:rsidR="00CD4878">
        <w:rPr>
          <w:rStyle w:val="FootnoteReference"/>
        </w:rPr>
        <w:footnoteReference w:id="169"/>
      </w:r>
      <w:r w:rsidR="00CD4878">
        <w:t xml:space="preserve"> However, these were not skills possessed by many local residents and the promise of employment Sun City brought did not materialise for </w:t>
      </w:r>
      <w:r>
        <w:t>many</w:t>
      </w:r>
      <w:r w:rsidR="00CD4878">
        <w:t xml:space="preserve"> individuals. The chaos at the Mmabatho Convention Centre speaks to the desperation of Bophuthatswana’s residents to find employment and the scarcity of jobs in the bantustan. </w:t>
      </w:r>
    </w:p>
    <w:p w14:paraId="7CA8F00B" w14:textId="77777777" w:rsidR="00CD4878" w:rsidRDefault="00CD4878" w:rsidP="00CD4878">
      <w:r>
        <w:t xml:space="preserve">Sun City experienced a high staff turnover throughout the 1980s: while it did command a large employee base, every month at least fifteen to twenty people were leaving their </w:t>
      </w:r>
      <w:r>
        <w:lastRenderedPageBreak/>
        <w:t>employment in search of alternative opportunities.</w:t>
      </w:r>
      <w:r>
        <w:rPr>
          <w:rStyle w:val="FootnoteReference"/>
        </w:rPr>
        <w:footnoteReference w:id="170"/>
      </w:r>
      <w:r>
        <w:t xml:space="preserve"> Staff at Sun City worked under immense pressure, especially during peak seasons and whenever Kerzner decided to open a new hotel at the resort.</w:t>
      </w:r>
      <w:r>
        <w:rPr>
          <w:rStyle w:val="FootnoteReference"/>
        </w:rPr>
        <w:footnoteReference w:id="171"/>
      </w:r>
      <w:r>
        <w:t xml:space="preserve"> </w:t>
      </w:r>
    </w:p>
    <w:p w14:paraId="780DD705" w14:textId="77777777" w:rsidR="00CD4878" w:rsidRPr="00FA06CB" w:rsidRDefault="00CD4878" w:rsidP="00CD4878">
      <w:pPr>
        <w:rPr>
          <w:rFonts w:cs="Times New Roman"/>
          <w:szCs w:val="24"/>
        </w:rPr>
      </w:pPr>
      <w:r>
        <w:rPr>
          <w:rFonts w:cs="Times New Roman"/>
          <w:szCs w:val="24"/>
        </w:rPr>
        <w:t>In 1989 Peter Wagner, the Sun International Bophuthatswana General Manager, claimed that: “Sun City is a place where people of every race, colour and creed meet and mingle. Not once in ten years have we experienced any racial animosity.”</w:t>
      </w:r>
      <w:r>
        <w:rPr>
          <w:rStyle w:val="FootnoteReference"/>
          <w:rFonts w:cs="Times New Roman"/>
          <w:szCs w:val="24"/>
        </w:rPr>
        <w:footnoteReference w:id="172"/>
      </w:r>
      <w:r>
        <w:rPr>
          <w:rFonts w:cs="Times New Roman"/>
          <w:szCs w:val="24"/>
        </w:rPr>
        <w:t xml:space="preserve"> Dreyer recalled that there were never problems of racism as because of Sun City’s location within Bophuthatswana, the resort had to abide by the bantustan government’s policies of integration. </w:t>
      </w:r>
      <w:r w:rsidR="00F51C11" w:rsidRPr="00F51C11">
        <w:rPr>
          <w:rFonts w:cs="Times New Roman"/>
          <w:szCs w:val="24"/>
        </w:rPr>
        <w:t>These sentiments reflect the mentality of Sun City’s mainly white management that had little conception of the working conditions of its black employees</w:t>
      </w:r>
      <w:r>
        <w:rPr>
          <w:rFonts w:cs="Times New Roman"/>
          <w:szCs w:val="24"/>
        </w:rPr>
        <w:t>.</w:t>
      </w:r>
      <w:r>
        <w:rPr>
          <w:rStyle w:val="FootnoteReference"/>
          <w:rFonts w:cs="Times New Roman"/>
          <w:szCs w:val="24"/>
        </w:rPr>
        <w:footnoteReference w:id="173"/>
      </w:r>
      <w:r>
        <w:rPr>
          <w:rFonts w:cs="Times New Roman"/>
          <w:szCs w:val="24"/>
        </w:rPr>
        <w:t xml:space="preserve"> Despite the lack of employment opportunities in Bophuthatswana, Dreyer insisted that there were sufficient opportunities for black individuals in search of work at Sun City. She stated they could enter any field of hospitality work they were interested in and a white front office manager or restaurant manager would train black staff members and allow them to go through the ranks of employment. She claims that this was compounded by the ample training opportunities offered for further training and education at Sun City and, by 1997, when she retired, there was a host of black mangers employed at Sun City.</w:t>
      </w:r>
      <w:r>
        <w:rPr>
          <w:rStyle w:val="FootnoteReference"/>
          <w:rFonts w:cs="Times New Roman"/>
          <w:szCs w:val="24"/>
        </w:rPr>
        <w:footnoteReference w:id="174"/>
      </w:r>
      <w:r>
        <w:rPr>
          <w:rFonts w:cs="Times New Roman"/>
          <w:szCs w:val="24"/>
        </w:rPr>
        <w:t xml:space="preserve"> </w:t>
      </w:r>
    </w:p>
    <w:p w14:paraId="45FED2ED" w14:textId="77777777" w:rsidR="00CD4878" w:rsidRDefault="00CD4878" w:rsidP="00CD4878">
      <w:r>
        <w:t>In 1984 Cheryl B</w:t>
      </w:r>
      <w:r>
        <w:rPr>
          <w:rFonts w:cs="Times New Roman"/>
        </w:rPr>
        <w:t>ü</w:t>
      </w:r>
      <w:r>
        <w:t>hrer, a Cape Town municipality worker, travelled to Sun City with a group of friends, including one Coloured girl, to watch the band Queen perform. Their friend was the only guest of colour staying at the Cabanas during their four-day visit over Queen’s week of performances. While this did not impact on their experience, it was a contrast to the marketed image of Sun City where black and white guests mingling together was the norm.</w:t>
      </w:r>
      <w:r>
        <w:rPr>
          <w:rStyle w:val="FootnoteReference"/>
        </w:rPr>
        <w:footnoteReference w:id="175"/>
      </w:r>
      <w:r>
        <w:t xml:space="preserve"> Patricia Cackett, a frequent visitor to Sun City, recalled that:</w:t>
      </w:r>
    </w:p>
    <w:p w14:paraId="5BEEAE87" w14:textId="77777777" w:rsidR="00CD4878" w:rsidRDefault="00CD4878" w:rsidP="00CD4878">
      <w:pPr>
        <w:pStyle w:val="Subtitle"/>
      </w:pPr>
      <w:r>
        <w:t>During apartheid, I cannot recall mingling with other guests who were not white. The only black people I saw were the staff.</w:t>
      </w:r>
      <w:r>
        <w:rPr>
          <w:rStyle w:val="FootnoteReference"/>
        </w:rPr>
        <w:footnoteReference w:id="176"/>
      </w:r>
      <w:r>
        <w:t xml:space="preserve"> </w:t>
      </w:r>
    </w:p>
    <w:p w14:paraId="6EAA687A" w14:textId="77777777" w:rsidR="00CD4878" w:rsidRDefault="00CD4878" w:rsidP="00CD4878">
      <w:r>
        <w:t xml:space="preserve">Herliane Portenschlager has a larger than life reputation at Sun City, where she started working in 1990. She was Sol Kerzner’s personal assistant when she arrived and she opened </w:t>
      </w:r>
      <w:r>
        <w:lastRenderedPageBreak/>
        <w:t>the Palace of the Lost City in 1992, which she now manages.</w:t>
      </w:r>
      <w:r>
        <w:rPr>
          <w:rStyle w:val="FootnoteReference"/>
        </w:rPr>
        <w:footnoteReference w:id="177"/>
      </w:r>
      <w:r>
        <w:t xml:space="preserve"> </w:t>
      </w:r>
      <w:r w:rsidRPr="005E3F49">
        <w:t xml:space="preserve">Portschenlager and her husband arrived </w:t>
      </w:r>
      <w:r>
        <w:t xml:space="preserve">as immigrants </w:t>
      </w:r>
      <w:r w:rsidRPr="005E3F49">
        <w:t>in Bophuthatswana during the transitory period in South Africa</w:t>
      </w:r>
      <w:r>
        <w:t xml:space="preserve">. They </w:t>
      </w:r>
      <w:r w:rsidRPr="005E3F49">
        <w:t>were worried about the</w:t>
      </w:r>
      <w:r>
        <w:t xml:space="preserve"> Mixed Marriage Laws which existed in South Africa. She was classified as coloured by the </w:t>
      </w:r>
      <w:r w:rsidR="00756A84">
        <w:t>NP</w:t>
      </w:r>
      <w:r w:rsidR="00202C82">
        <w:t xml:space="preserve"> government </w:t>
      </w:r>
      <w:r>
        <w:t>due to her mixed raced parentage (with Dutch and Indonesian heritage), while her husband is white. However, Portschenlager recalls that her skin colour was never an issue at Sun City.</w:t>
      </w:r>
      <w:r>
        <w:rPr>
          <w:rStyle w:val="FootnoteReference"/>
        </w:rPr>
        <w:footnoteReference w:id="178"/>
      </w:r>
      <w:r>
        <w:t xml:space="preserve"> In her interview, she praised life in Bophuthatswana: stated </w:t>
      </w:r>
    </w:p>
    <w:p w14:paraId="1A76FEB1" w14:textId="77777777" w:rsidR="00CD4878" w:rsidRDefault="00CD4878" w:rsidP="00CD4878">
      <w:pPr>
        <w:pStyle w:val="Subtitle"/>
      </w:pPr>
      <w:r w:rsidRPr="00340E7D">
        <w:t xml:space="preserve">The great thing about this place is that something was created from nothing, and we've given employment to thousands </w:t>
      </w:r>
      <w:r>
        <w:t>of people who live around here.</w:t>
      </w:r>
      <w:r>
        <w:rPr>
          <w:rStyle w:val="FootnoteReference"/>
        </w:rPr>
        <w:footnoteReference w:id="179"/>
      </w:r>
    </w:p>
    <w:p w14:paraId="62159534" w14:textId="77777777" w:rsidR="00CD4878" w:rsidRDefault="00CD4878" w:rsidP="00CD4878">
      <w:r>
        <w:t>She expressed the view tha</w:t>
      </w:r>
      <w:r w:rsidR="00AA0B14">
        <w:t>t the negative press which had plagued</w:t>
      </w:r>
      <w:r>
        <w:t xml:space="preserve"> Sun City were unfounded; instead, she praised Sun City for its policies of employing local residents.</w:t>
      </w:r>
      <w:r>
        <w:rPr>
          <w:rStyle w:val="CommentReference"/>
        </w:rPr>
        <w:t xml:space="preserve"> </w:t>
      </w:r>
      <w:r>
        <w:t xml:space="preserve"> </w:t>
      </w:r>
      <w:r w:rsidRPr="00340E7D">
        <w:t xml:space="preserve"> </w:t>
      </w:r>
      <w:r>
        <w:t>Portenschlager has worked at Sun City for 26 years and is very proud of the legacy she will leave behind. She wants to pass on hospitality skills she has learned and for her employees to expand their knowledge base and travel, gain experience and learn other languages. She has a different approach to managing employees compared to Sun City during the 1980s, where some employees could not read and write.</w:t>
      </w:r>
      <w:r>
        <w:rPr>
          <w:rStyle w:val="FootnoteReference"/>
        </w:rPr>
        <w:footnoteReference w:id="180"/>
      </w:r>
      <w:r>
        <w:t xml:space="preserve"> </w:t>
      </w:r>
    </w:p>
    <w:p w14:paraId="7109E1FA" w14:textId="77777777" w:rsidR="00CD4878" w:rsidRPr="0025604D" w:rsidRDefault="00CD4878" w:rsidP="00724C4D">
      <w:pPr>
        <w:pStyle w:val="Heading2"/>
        <w:numPr>
          <w:ilvl w:val="0"/>
          <w:numId w:val="0"/>
        </w:numPr>
        <w:ind w:left="578" w:hanging="578"/>
        <w:rPr>
          <w:color w:val="000000"/>
        </w:rPr>
      </w:pPr>
      <w:bookmarkStart w:id="28" w:name="_Toc488481714"/>
      <w:r w:rsidRPr="0025604D">
        <w:t>Employee Training and Advancement</w:t>
      </w:r>
      <w:bookmarkEnd w:id="28"/>
      <w:r w:rsidRPr="0025604D">
        <w:t xml:space="preserve"> </w:t>
      </w:r>
    </w:p>
    <w:p w14:paraId="232F17DA" w14:textId="77777777" w:rsidR="00CD4878" w:rsidRDefault="00CD4878" w:rsidP="00CD4878">
      <w:r>
        <w:t xml:space="preserve">Due to Sun City’s location within Bophuthatswana and the resort’s </w:t>
      </w:r>
      <w:r w:rsidR="00724C4D">
        <w:t xml:space="preserve">CSR </w:t>
      </w:r>
      <w:r>
        <w:t xml:space="preserve">policies, employees received training in the hospitality industry. Employees would use their work experience from Sun City to gain employment in other parts of southern Africa. Many employees left Sun City to pursue career opportunities in South African cities and other casinos in countries such as Lesotho and Swaziland. </w:t>
      </w:r>
      <w:r w:rsidR="00FA6A91">
        <w:t>Most</w:t>
      </w:r>
      <w:r>
        <w:t xml:space="preserve"> positions available at Sun City were for cleaning, maintenance, serving staff and porters. To gain employment in departments such as catering, conferencing and marketing an applicant needed the necessary qualifications and experience, which most Bophuthatswana </w:t>
      </w:r>
      <w:r w:rsidR="00E86F93">
        <w:t>citizens</w:t>
      </w:r>
      <w:r>
        <w:t xml:space="preserve"> did not have.</w:t>
      </w:r>
      <w:r>
        <w:rPr>
          <w:rStyle w:val="FootnoteReference"/>
        </w:rPr>
        <w:footnoteReference w:id="181"/>
      </w:r>
      <w:r>
        <w:t xml:space="preserve"> Since its inception, Sun City has offered training support for its employees to finish matric, study towards a diploma or degree as well as a variety of short courses. The only requirement is that staff need to prove the </w:t>
      </w:r>
      <w:r>
        <w:lastRenderedPageBreak/>
        <w:t>relevance of what they want to study to their current position.</w:t>
      </w:r>
      <w:r>
        <w:rPr>
          <w:rStyle w:val="FootnoteReference"/>
        </w:rPr>
        <w:footnoteReference w:id="182"/>
      </w:r>
      <w:r>
        <w:t xml:space="preserve"> The marketing manager insisted that</w:t>
      </w:r>
    </w:p>
    <w:p w14:paraId="60B2CC8D" w14:textId="77777777" w:rsidR="00CD4878" w:rsidRDefault="00CD4878" w:rsidP="00CD4878">
      <w:pPr>
        <w:pStyle w:val="Subtitle"/>
      </w:pPr>
      <w:r>
        <w:t>[Sun City] had a very good training facility here, they offered a number of courses for people. Plus, if you wanted to learn something other than what is offered and it falls within the guidelines of hospitability and hotels, [Sun International] would sponsor you to study and you would work it off like a bursary. Employees really had opportunities.</w:t>
      </w:r>
      <w:r>
        <w:rPr>
          <w:rStyle w:val="FootnoteReference"/>
        </w:rPr>
        <w:footnoteReference w:id="183"/>
      </w:r>
    </w:p>
    <w:p w14:paraId="465E2C91" w14:textId="77777777" w:rsidR="00CD4878" w:rsidRDefault="00CD4878" w:rsidP="00CD4878">
      <w:r>
        <w:t>Training was heavily encouraged by Sun City across all employment tiers, and was driven by an ideal of continuous improvement. In 1985 Sun City paid for a number of their security staff to study further and gain more skills at a variety of training institutions. Following the successful completion of their courses the security guards were promoted to the rank of sergeant. These students included M. Camphor, J. Mokgathle, J. Leepile, S. Motshegwa and S. Mothlhaboi.</w:t>
      </w:r>
      <w:r>
        <w:rPr>
          <w:rStyle w:val="FootnoteReference"/>
        </w:rPr>
        <w:footnoteReference w:id="184"/>
      </w:r>
      <w:r>
        <w:t xml:space="preserve"> This training operated on a continuous basis, with every month new recruits graduating into the role of security guard from the Sun City on-site Security Training Camp. Below is an image taken from the staff magazine at Sun City</w:t>
      </w:r>
      <w:r w:rsidR="00B01EF2">
        <w:t xml:space="preserve"> </w:t>
      </w:r>
      <w:r w:rsidR="00FD64F3">
        <w:t>(refer to</w:t>
      </w:r>
      <w:r w:rsidR="00B01EF2">
        <w:t xml:space="preserve"> Figur</w:t>
      </w:r>
      <w:r w:rsidR="00FD64F3">
        <w:t>e 2</w:t>
      </w:r>
      <w:r w:rsidR="00B01EF2">
        <w:t>)</w:t>
      </w:r>
      <w:r>
        <w:t>. The picture shows the May 1985 graduating class of security guards with their trainer. This is one of many images printed in the monthly magazine, where Sun City aimed to demonstrate the lengths the company was going to train their staff.</w:t>
      </w:r>
      <w:r>
        <w:rPr>
          <w:rStyle w:val="FootnoteReference"/>
        </w:rPr>
        <w:footnoteReference w:id="185"/>
      </w:r>
      <w:r>
        <w:t xml:space="preserve">  </w:t>
      </w:r>
    </w:p>
    <w:p w14:paraId="25E08D5F" w14:textId="77777777" w:rsidR="00CD4878" w:rsidRDefault="00CD4878" w:rsidP="00CD4878">
      <w:r>
        <w:rPr>
          <w:noProof/>
          <w:lang w:val="en-ZA" w:eastAsia="en-ZA"/>
        </w:rPr>
        <w:drawing>
          <wp:anchor distT="0" distB="0" distL="114300" distR="114300" simplePos="0" relativeHeight="251635712" behindDoc="1" locked="0" layoutInCell="1" allowOverlap="1" wp14:anchorId="4EE047B8" wp14:editId="0D2C3B48">
            <wp:simplePos x="0" y="0"/>
            <wp:positionH relativeFrom="margin">
              <wp:posOffset>1005692</wp:posOffset>
            </wp:positionH>
            <wp:positionV relativeFrom="paragraph">
              <wp:posOffset>161925</wp:posOffset>
            </wp:positionV>
            <wp:extent cx="3827721" cy="2222835"/>
            <wp:effectExtent l="0" t="0" r="1905" b="635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827721" cy="2222835"/>
                    </a:xfrm>
                    <a:prstGeom prst="rect">
                      <a:avLst/>
                    </a:prstGeom>
                    <a:noFill/>
                    <a:ln>
                      <a:noFill/>
                    </a:ln>
                  </pic:spPr>
                </pic:pic>
              </a:graphicData>
            </a:graphic>
          </wp:anchor>
        </w:drawing>
      </w:r>
    </w:p>
    <w:p w14:paraId="329C2F0F" w14:textId="77777777" w:rsidR="00CD4878" w:rsidRDefault="00CD4878" w:rsidP="00CD4878"/>
    <w:p w14:paraId="2CC6191C" w14:textId="77777777" w:rsidR="00CD4878" w:rsidRDefault="00CD4878" w:rsidP="00CD4878"/>
    <w:p w14:paraId="46BE05A9" w14:textId="77777777" w:rsidR="00CD4878" w:rsidRDefault="00CD4878" w:rsidP="00CD4878"/>
    <w:p w14:paraId="02EC10F8" w14:textId="77777777" w:rsidR="00CD4878" w:rsidRDefault="00CD4878" w:rsidP="00CD4878"/>
    <w:p w14:paraId="3553B523" w14:textId="77777777" w:rsidR="00CD4878" w:rsidRDefault="00CD4878" w:rsidP="00CD4878"/>
    <w:p w14:paraId="6758DEA6" w14:textId="77777777" w:rsidR="00CD4878" w:rsidRDefault="00CD4878" w:rsidP="00CD4878"/>
    <w:p w14:paraId="57627C77" w14:textId="77777777" w:rsidR="00CD4878" w:rsidRDefault="00672413" w:rsidP="00CD4878">
      <w:pPr>
        <w:pStyle w:val="Subtitle"/>
        <w:spacing w:after="0"/>
        <w:ind w:left="0"/>
        <w:jc w:val="center"/>
      </w:pPr>
      <w:r>
        <w:t xml:space="preserve">Figure </w:t>
      </w:r>
      <w:r w:rsidR="00FD64F3">
        <w:t>2</w:t>
      </w:r>
      <w:r w:rsidR="00CD4878">
        <w:t xml:space="preserve">: Sun City security guards graduate training </w:t>
      </w:r>
    </w:p>
    <w:p w14:paraId="784DCC3A" w14:textId="77777777" w:rsidR="00CD4878" w:rsidRPr="00EC24BA" w:rsidRDefault="00CD4878" w:rsidP="00CD4878">
      <w:pPr>
        <w:pStyle w:val="Subtitle"/>
        <w:spacing w:after="0"/>
        <w:jc w:val="center"/>
      </w:pPr>
      <w:r>
        <w:t xml:space="preserve">[Source: </w:t>
      </w:r>
      <w:r w:rsidRPr="00311905">
        <w:rPr>
          <w:i/>
        </w:rPr>
        <w:t>Letsatsing</w:t>
      </w:r>
      <w:r>
        <w:t>, May 1985]</w:t>
      </w:r>
    </w:p>
    <w:p w14:paraId="5BA0B598" w14:textId="77777777" w:rsidR="00CD4878" w:rsidRDefault="00CD4878" w:rsidP="00CD4878"/>
    <w:p w14:paraId="3F63710B" w14:textId="77777777" w:rsidR="00CD4878" w:rsidRDefault="00CD4878" w:rsidP="00CD4878">
      <w:r>
        <w:lastRenderedPageBreak/>
        <w:t>In 1985 eight Sun City staff members from the main hotel and from the Cascades attended a month long bartending course at the GaRankuwa Hotel School. All students were internally recruited from the hotel and finished the course with exemplary marks.</w:t>
      </w:r>
      <w:r>
        <w:rPr>
          <w:rStyle w:val="FootnoteReference"/>
        </w:rPr>
        <w:footnoteReference w:id="186"/>
      </w:r>
      <w:r>
        <w:t xml:space="preserve"> This school was funded by both the South African and Bophuthatswana government. Specifically, the Bantu Investment Corporation of South Africa was responsible for the administration, funding and operations of the GaRankuwa Hotel School. The introduction of a hotel school was thought to be in the “best interests of all” for economic development and skills training.</w:t>
      </w:r>
      <w:r>
        <w:rPr>
          <w:rStyle w:val="FootnoteReference"/>
        </w:rPr>
        <w:footnoteReference w:id="187"/>
      </w:r>
      <w:r>
        <w:t xml:space="preserve"> Israel Katane completed a chef’s course in 1979 at the GaRankuwa Hotel School and immediately joined the Sun City team. He spent time working in a variety of kitchens in the hotel to gain experience, and in 1986 he was chosen as the Performance Award Winner of the year for his work at the Cabanas. In July 1986 he was chosen to represent Sun City as part of the South African Chef’s Association delegation to the Chef’s World Conference in Yugoslavia. His trip was entirely sponsored by Sun City. He </w:t>
      </w:r>
      <w:r w:rsidR="00B01EF2">
        <w:t>could</w:t>
      </w:r>
      <w:r>
        <w:t xml:space="preserve"> gain international exposure and experience at a time when opportunities of this kind were severely limited for black South Africans.</w:t>
      </w:r>
      <w:r>
        <w:rPr>
          <w:rStyle w:val="FootnoteReference"/>
        </w:rPr>
        <w:footnoteReference w:id="188"/>
      </w:r>
    </w:p>
    <w:p w14:paraId="64F49141" w14:textId="77777777" w:rsidR="00CD4878" w:rsidRPr="00392745" w:rsidRDefault="00CD4878" w:rsidP="00CD4878">
      <w:pPr>
        <w:rPr>
          <w:rFonts w:cs="Times New Roman"/>
          <w:szCs w:val="24"/>
        </w:rPr>
      </w:pPr>
      <w:r>
        <w:rPr>
          <w:rFonts w:cs="Times New Roman"/>
          <w:szCs w:val="24"/>
        </w:rPr>
        <w:t xml:space="preserve">In 1989 the Wits Technicon Hotel School accepted three Bophuthatswana students from Sun International Bophuthatswana hotels to study towards a diploma in Hotel Management. In previous years black students had been accepted for short courses but this was the first time Bophuthatswana </w:t>
      </w:r>
      <w:r w:rsidR="00E86F93">
        <w:rPr>
          <w:rFonts w:cs="Times New Roman"/>
          <w:szCs w:val="24"/>
        </w:rPr>
        <w:t>citizens</w:t>
      </w:r>
      <w:r>
        <w:rPr>
          <w:rFonts w:cs="Times New Roman"/>
          <w:szCs w:val="24"/>
        </w:rPr>
        <w:t xml:space="preserve"> were accepted into a three year programme where they could study towards a diploma and career advancement. The students - George Moualefe, Head Barman from the Sun City Hotel, Jacqueline Maboe, Front Office Manager from the Sun City Cabanas and Jacob Thekiso, Assistant Night Manager at the Morula Sun - were sponsored by Sun International Bophuthatswana.</w:t>
      </w:r>
      <w:r>
        <w:rPr>
          <w:rStyle w:val="FootnoteReference"/>
          <w:rFonts w:cs="Times New Roman"/>
          <w:szCs w:val="24"/>
        </w:rPr>
        <w:footnoteReference w:id="189"/>
      </w:r>
      <w:r>
        <w:rPr>
          <w:rFonts w:cs="Times New Roman"/>
          <w:szCs w:val="24"/>
        </w:rPr>
        <w:t xml:space="preserve"> </w:t>
      </w:r>
    </w:p>
    <w:p w14:paraId="157557C9" w14:textId="77777777" w:rsidR="00CD4878" w:rsidRPr="00151C9B" w:rsidRDefault="00CD4878" w:rsidP="00CD4878">
      <w:r>
        <w:t xml:space="preserve">One interviewee, Simphiwe Buthelezi, has worked for Sun City for several decades, starting as a waiter in 1988. Today he is the director of the </w:t>
      </w:r>
      <w:r w:rsidR="00B01EF2">
        <w:t>CSR</w:t>
      </w:r>
      <w:r>
        <w:t xml:space="preserve"> department of Sun City and runs the annual Nedbank Golf Challenge. He is deeply grateful for the opportunities that Sun City has provided him. He and his wife both started waiting tables at Sun City and today hold impressive corporate jobs. He expressed in his interview that not all service industry employees at Sun City have the same drive that he has and without the desire to work hard </w:t>
      </w:r>
      <w:r>
        <w:lastRenderedPageBreak/>
        <w:t>you will not be successful at Sun City. He, his wife and their two daughters live on site at the Sun Village and their daughters attend the private school hosted by Sun City.</w:t>
      </w:r>
      <w:r>
        <w:rPr>
          <w:rStyle w:val="FootnoteReference"/>
        </w:rPr>
        <w:footnoteReference w:id="190"/>
      </w:r>
    </w:p>
    <w:p w14:paraId="51B58672" w14:textId="77777777" w:rsidR="00CD4878" w:rsidRDefault="00CD4878" w:rsidP="00CD4878">
      <w:r>
        <w:t xml:space="preserve">Stytler Segone, another member of the Sun City team, was chosen by his supervisors to receive training by the Bad Klessheim Hotel School in Austria, a unique opportunity for a black South African during apartheid. Returning to South Africa in 1984, he spent another year receiving further rigorous training in a variety of hotel departments - the kitchens, housekeeping and the front desk. He </w:t>
      </w:r>
      <w:r w:rsidRPr="00F51B9C">
        <w:t>stated</w:t>
      </w:r>
      <w:r>
        <w:t xml:space="preserve"> that his international experience made it easier for him to work and integrate with the cosmopolitan staff at Sun City.</w:t>
      </w:r>
      <w:r>
        <w:rPr>
          <w:rStyle w:val="FootnoteReference"/>
        </w:rPr>
        <w:footnoteReference w:id="191"/>
      </w:r>
      <w:r>
        <w:t xml:space="preserve"> It was only after training in Europe, however, that he felt comfortable around his white colleagues – thus suggesting that uneducated black staff were alienated at Sun City. He went on to become the first black member of the management team at Sun City in 1986.</w:t>
      </w:r>
      <w:r>
        <w:rPr>
          <w:rStyle w:val="FootnoteReference"/>
        </w:rPr>
        <w:footnoteReference w:id="192"/>
      </w:r>
      <w:r>
        <w:t xml:space="preserve"> </w:t>
      </w:r>
    </w:p>
    <w:p w14:paraId="3BF3A7BE" w14:textId="77777777" w:rsidR="00CD4878" w:rsidRDefault="00FA6A91" w:rsidP="00CD4878">
      <w:r>
        <w:t>During</w:t>
      </w:r>
      <w:r w:rsidR="00CD4878">
        <w:t xml:space="preserve"> interviews with past and present Sun City employees, specifically those individuals employed in the service industry as cleaners and waiters, it became apparent that </w:t>
      </w:r>
      <w:r>
        <w:t>most</w:t>
      </w:r>
      <w:r w:rsidR="00CD4878">
        <w:t xml:space="preserve"> entry level work available at Sun City was and is seasonal. Therefore, the work d</w:t>
      </w:r>
      <w:r w:rsidR="005B702A">
        <w:t>id</w:t>
      </w:r>
      <w:r w:rsidR="00CD4878">
        <w:t xml:space="preserve"> not allow for a sustainable income. Many of the workers were unhappy with the casual system of employment in place, as they sometimes could go for weeks and even months without working and therefore without income due to the contract nature of their employment.</w:t>
      </w:r>
      <w:r w:rsidR="00CD4878">
        <w:rPr>
          <w:rStyle w:val="FootnoteReference"/>
        </w:rPr>
        <w:footnoteReference w:id="193"/>
      </w:r>
      <w:r w:rsidR="00CD4878">
        <w:t xml:space="preserve"> Joseph Ketane worked at Sun City from 1992-1997 as a casual labourer, waiting tables and bartending. He decided to leave Sun City to enter the field of security work in the mines, where he claimed the work was more consistent, with year-round employment and slightly higher wages. He expressed gratitude for working in the hospitality sector as it provided him with work experience, especially in terms of interacting with people. Ketane enjoyed working at Sun City, where foreign tourists used to tip generously, and he appreciated working with people from his community and relished the spirit of camaraderie. He claimed that very few people </w:t>
      </w:r>
      <w:r w:rsidR="00B01EF2">
        <w:t>c</w:t>
      </w:r>
      <w:r w:rsidR="009D1A58">
        <w:t>ould</w:t>
      </w:r>
      <w:r w:rsidR="00CD4878">
        <w:t xml:space="preserve"> go far within Sun International, as one needed education, which most people from the surrounding areas did not have. However, Sun City did and continues to hire casual staff every year and having that experience on a r</w:t>
      </w:r>
      <w:r w:rsidR="00CD4878">
        <w:rPr>
          <w:rFonts w:cs="Times New Roman"/>
        </w:rPr>
        <w:t>é</w:t>
      </w:r>
      <w:r w:rsidR="00CD4878">
        <w:t>sum</w:t>
      </w:r>
      <w:r w:rsidR="00CD4878">
        <w:rPr>
          <w:rFonts w:cs="Times New Roman"/>
        </w:rPr>
        <w:t xml:space="preserve">é </w:t>
      </w:r>
      <w:r w:rsidR="00CD4878" w:rsidRPr="007B3561">
        <w:t xml:space="preserve">makes one more desirable at hotels and in </w:t>
      </w:r>
      <w:r w:rsidR="00CD4878">
        <w:t>border</w:t>
      </w:r>
      <w:r w:rsidR="00CD4878" w:rsidRPr="007B3561">
        <w:t xml:space="preserve"> industries where hospitability skills are favour</w:t>
      </w:r>
      <w:r w:rsidR="00CD4878">
        <w:t>ed</w:t>
      </w:r>
      <w:r w:rsidR="00CD4878" w:rsidRPr="007B3561">
        <w:t>.</w:t>
      </w:r>
      <w:r w:rsidR="00CD4878">
        <w:t xml:space="preserve"> Many of the casual sta</w:t>
      </w:r>
      <w:r w:rsidR="00ED4B9C">
        <w:t xml:space="preserve">ff from </w:t>
      </w:r>
      <w:r w:rsidR="00ED4B9C">
        <w:lastRenderedPageBreak/>
        <w:t>Sun City would later be</w:t>
      </w:r>
      <w:r w:rsidR="00CD4878">
        <w:t xml:space="preserve"> employed by the surrounding mines and other hotels in the areas. Ketane says, “if you are lucky you will get a job at a hotel in </w:t>
      </w:r>
      <w:r w:rsidR="004D0C71">
        <w:t>[Johannesburg]</w:t>
      </w:r>
      <w:r w:rsidR="00CD4878">
        <w:t>.”</w:t>
      </w:r>
      <w:r w:rsidR="00CD4878">
        <w:rPr>
          <w:rStyle w:val="FootnoteReference"/>
        </w:rPr>
        <w:footnoteReference w:id="194"/>
      </w:r>
      <w:r w:rsidR="00CD4878">
        <w:t xml:space="preserve"> </w:t>
      </w:r>
    </w:p>
    <w:p w14:paraId="0D77062F" w14:textId="77777777" w:rsidR="00CD4878" w:rsidRPr="00BD57C3" w:rsidRDefault="00CD4878" w:rsidP="00CD4878">
      <w:pPr>
        <w:rPr>
          <w:color w:val="FF0000"/>
        </w:rPr>
      </w:pPr>
      <w:r>
        <w:t xml:space="preserve">Many of the people from the surrounding communities acknowledge the contribution Sun City has made to the improvement of their areas. Tshepo (surname not provided) was born in 1970 and has lived in Ledig his whole life. His late mother worked at Sun City. He currently works as a security guard at a hotel 10km from Sun City and he believes that if it were not for Sun City he would not have a job. He stated that </w:t>
      </w:r>
      <w:r w:rsidR="00B01EF2">
        <w:t>most</w:t>
      </w:r>
      <w:r>
        <w:t xml:space="preserve"> the people in his community are employed at Sun City.</w:t>
      </w:r>
      <w:r>
        <w:rPr>
          <w:rStyle w:val="FootnoteReference"/>
        </w:rPr>
        <w:footnoteReference w:id="195"/>
      </w:r>
      <w:r>
        <w:t xml:space="preserve"> The hotels and resorts surrounding Sun City would not exist without the overflow traffic from the Sun International casino resort. Sun City is an expensive establishment to spend the night</w:t>
      </w:r>
      <w:r w:rsidRPr="00F51B9C">
        <w:t xml:space="preserve">. The surrounding accommodation </w:t>
      </w:r>
      <w:r>
        <w:t xml:space="preserve">accommodates </w:t>
      </w:r>
      <w:r w:rsidRPr="00F51B9C">
        <w:t xml:space="preserve">guests when Sun City is fully booked </w:t>
      </w:r>
      <w:r>
        <w:t>or</w:t>
      </w:r>
      <w:r w:rsidRPr="00F51B9C">
        <w:t xml:space="preserve"> those with a smaller budget.</w:t>
      </w:r>
      <w:r w:rsidRPr="00F51B9C">
        <w:rPr>
          <w:rStyle w:val="FootnoteReference"/>
        </w:rPr>
        <w:footnoteReference w:id="196"/>
      </w:r>
      <w:r w:rsidRPr="00F51B9C">
        <w:t xml:space="preserve"> There</w:t>
      </w:r>
      <w:r w:rsidR="003E205F">
        <w:t xml:space="preserve"> remains</w:t>
      </w:r>
      <w:r w:rsidRPr="00F51B9C">
        <w:t xml:space="preserve"> a </w:t>
      </w:r>
      <w:r>
        <w:t xml:space="preserve">market </w:t>
      </w:r>
      <w:r w:rsidRPr="00F51B9C">
        <w:t xml:space="preserve">for the surrounding hotels and lodges </w:t>
      </w:r>
      <w:r>
        <w:t>which</w:t>
      </w:r>
      <w:r w:rsidRPr="00F51B9C">
        <w:t xml:space="preserve"> benefit from Sun City’s existence.</w:t>
      </w:r>
      <w:r w:rsidRPr="00F51B9C">
        <w:rPr>
          <w:rStyle w:val="FootnoteReference"/>
        </w:rPr>
        <w:footnoteReference w:id="197"/>
      </w:r>
    </w:p>
    <w:p w14:paraId="2A34EA9A" w14:textId="77777777" w:rsidR="00CD4878" w:rsidRDefault="00CD4878" w:rsidP="00CD4878">
      <w:r>
        <w:t>Patrick (surname not provided) was born in 1979, the year that Sun City was opened, and has spent his whole life living in the surrounding communities. His mother was a cleaner at Sun City in the 1970s. He spent two months working at Sun City as a waiter for a pop-up restaurant over the peak season in 1997-1998. However, when the restaurant closed, his employment also ended and he was forced to seek work elsewhere. He hoped to find another job at Sun City but was unsuccessful. Eventually he sought employment in the surrounding hotels and restaurants, gaining employment at a small resort as a waiter. Growing up, he and other children were attracted by Sun City and he was excited to gain employment there, as he had heard the stories of the international celebrities who had performed and holidayed at Sun City. This added to the allure of the resort.</w:t>
      </w:r>
      <w:r>
        <w:rPr>
          <w:rStyle w:val="FootnoteReference"/>
        </w:rPr>
        <w:footnoteReference w:id="198"/>
      </w:r>
    </w:p>
    <w:p w14:paraId="4B18F242" w14:textId="77777777" w:rsidR="00CD4878" w:rsidRDefault="00CD4878" w:rsidP="00CD4878">
      <w:pPr>
        <w:rPr>
          <w:rStyle w:val="PageNumber"/>
        </w:rPr>
      </w:pPr>
      <w:r>
        <w:t>Sun City focused</w:t>
      </w:r>
      <w:r w:rsidRPr="00F51B9C">
        <w:t xml:space="preserve"> attention </w:t>
      </w:r>
      <w:r>
        <w:t>on an area which previously had no commercial attraction. The complex employed, and continues to employ, people from the neighbouring communities of Ledig, Chaneng and Mogwase</w:t>
      </w:r>
      <w:r>
        <w:rPr>
          <w:rStyle w:val="PageNumber"/>
        </w:rPr>
        <w:t xml:space="preserve">. Employment has not always been of a formal nature. For example, prostitution increased following the opening of Sun City. Despite Sun City’s (and Pilanesberg National Park’s) declared policy to help surrounding communities through offering employment, a few years after they were opened it was reported that unemployment in Ledig was alarmingly high, despite this being lower than among other Bophuthatswana </w:t>
      </w:r>
      <w:r>
        <w:rPr>
          <w:rStyle w:val="PageNumber"/>
        </w:rPr>
        <w:lastRenderedPageBreak/>
        <w:t>communities.</w:t>
      </w:r>
      <w:r>
        <w:rPr>
          <w:rStyle w:val="FootnoteReference"/>
          <w:color w:val="000000"/>
        </w:rPr>
        <w:footnoteReference w:id="199"/>
      </w:r>
      <w:r>
        <w:rPr>
          <w:rStyle w:val="PageNumber"/>
        </w:rPr>
        <w:t xml:space="preserve"> Many individuals migrated to Sun City in search of jobs, when only a limited number were available.  During Sun City’s first years of operation, </w:t>
      </w:r>
      <w:r w:rsidR="00B01EF2">
        <w:rPr>
          <w:rStyle w:val="PageNumber"/>
        </w:rPr>
        <w:t>most</w:t>
      </w:r>
      <w:r>
        <w:rPr>
          <w:rStyle w:val="PageNumber"/>
        </w:rPr>
        <w:t xml:space="preserve"> workers came from outside of the Pilanesberg region, with only 16.6% of those employed originating from Ledig.</w:t>
      </w:r>
      <w:r>
        <w:rPr>
          <w:rStyle w:val="FootnoteReference"/>
          <w:color w:val="000000"/>
        </w:rPr>
        <w:footnoteReference w:id="200"/>
      </w:r>
      <w:r>
        <w:rPr>
          <w:rStyle w:val="PageNumber"/>
        </w:rPr>
        <w:t xml:space="preserve"> At the time there was a perception that the wages offered by Sun International were lower than those that could be earned in other sectors outside the tourism industry. </w:t>
      </w:r>
    </w:p>
    <w:p w14:paraId="17129F6D" w14:textId="77777777" w:rsidR="00ED4B9C" w:rsidRDefault="00CD4878" w:rsidP="00CD4878">
      <w:pPr>
        <w:rPr>
          <w:rStyle w:val="PageNumber"/>
        </w:rPr>
      </w:pPr>
      <w:r>
        <w:rPr>
          <w:rStyle w:val="PageNumber"/>
        </w:rPr>
        <w:t>Kirsten and Rogerson explored the aspects of small tourism based enterprises in South Africa and their link to potential poverty alleviation</w:t>
      </w:r>
      <w:r w:rsidR="00ED4B9C">
        <w:rPr>
          <w:rStyle w:val="PageNumber"/>
        </w:rPr>
        <w:t xml:space="preserve"> in 2010</w:t>
      </w:r>
      <w:r>
        <w:rPr>
          <w:rStyle w:val="PageNumber"/>
        </w:rPr>
        <w:t>. It is widely recognised that informal businesses based on tourism, such as the sellers and suppliers of hand-made goods, untrained tour guides and taxi drivers, occupy the lowest fraction of entrepreneurship. However, these entrepreneurs are dependent on larger tourism based companies and the opportunities to graduate into more forma</w:t>
      </w:r>
      <w:r w:rsidR="000C57FE">
        <w:rPr>
          <w:rStyle w:val="PageNumber"/>
        </w:rPr>
        <w:t>lise</w:t>
      </w:r>
      <w:r>
        <w:rPr>
          <w:rStyle w:val="PageNumber"/>
        </w:rPr>
        <w:t>d business ventures are limited. Despite this, informal businesses occupy a critical space in uplifting the economic status of rural and poor communities. In rural communities of developing countries such as South Africa, self-employment in the tourism industry that is linked to the formal sector has an important impact on poverty alleviation. Such enterprises are often viewed as a nuisance and not often assisted by the government.</w:t>
      </w:r>
      <w:r>
        <w:rPr>
          <w:rStyle w:val="FootnoteReference"/>
          <w:color w:val="000000"/>
        </w:rPr>
        <w:footnoteReference w:id="201"/>
      </w:r>
      <w:r>
        <w:rPr>
          <w:rStyle w:val="PageNumber"/>
        </w:rPr>
        <w:t xml:space="preserve"> </w:t>
      </w:r>
    </w:p>
    <w:p w14:paraId="407ADD15" w14:textId="77777777" w:rsidR="00CD4878" w:rsidRDefault="00CD4878" w:rsidP="00CD4878">
      <w:r>
        <w:rPr>
          <w:rStyle w:val="PageNumber"/>
        </w:rPr>
        <w:t>However, at Sun City few opportunities were awarded to such entrepreneurs. The mega-resort is a gated community and those who are not guests or employees are not granted entry. Direct employment from Sun City, the Pilanesberg National Park or surrounding formal infrastructure have been the most important way of gaining employment from the tourism industry in the area.</w:t>
      </w:r>
      <w:r>
        <w:rPr>
          <w:rStyle w:val="FootnoteReference"/>
          <w:color w:val="000000"/>
        </w:rPr>
        <w:footnoteReference w:id="202"/>
      </w:r>
      <w:r>
        <w:rPr>
          <w:rStyle w:val="PageNumber"/>
        </w:rPr>
        <w:t xml:space="preserve"> Management tier white employees state that f</w:t>
      </w:r>
      <w:r>
        <w:t xml:space="preserve">inding waiters, cleaners and drivers from the surrounding areas does not pose a problem. This is contrasted against the high </w:t>
      </w:r>
      <w:r w:rsidR="00B01EF2">
        <w:t>un</w:t>
      </w:r>
      <w:r>
        <w:t>employment rate in the surrounding areas. Sun City does not have difficulty in finding employees, but the residents have difficulty</w:t>
      </w:r>
      <w:r w:rsidR="006E44C2">
        <w:t xml:space="preserve"> finding employment in a densely-populated</w:t>
      </w:r>
      <w:r>
        <w:t xml:space="preserve"> area with a high unemployment rate. This is despite </w:t>
      </w:r>
      <w:r w:rsidR="006E44C2">
        <w:t>the host</w:t>
      </w:r>
      <w:r>
        <w:t xml:space="preserve"> of hotels and resorts in the area as well as game reserves and platinum mines (the mines are a significant source of employment in the area).</w:t>
      </w:r>
      <w:r>
        <w:rPr>
          <w:rStyle w:val="FootnoteReference"/>
        </w:rPr>
        <w:footnoteReference w:id="203"/>
      </w:r>
      <w:bookmarkStart w:id="29" w:name="_Toc459702966"/>
    </w:p>
    <w:p w14:paraId="44804938" w14:textId="77777777" w:rsidR="00CD4878" w:rsidRPr="00CB2F7C" w:rsidRDefault="00CD4878" w:rsidP="00CD4878">
      <w:pPr>
        <w:pStyle w:val="Heading2"/>
        <w:numPr>
          <w:ilvl w:val="0"/>
          <w:numId w:val="0"/>
        </w:numPr>
        <w:ind w:left="578" w:hanging="578"/>
        <w:rPr>
          <w:rFonts w:eastAsiaTheme="minorEastAsia" w:cstheme="minorBidi"/>
          <w:color w:val="auto"/>
          <w:szCs w:val="22"/>
        </w:rPr>
      </w:pPr>
      <w:bookmarkStart w:id="30" w:name="_Toc488481715"/>
      <w:r>
        <w:lastRenderedPageBreak/>
        <w:t>Conclusion</w:t>
      </w:r>
      <w:bookmarkEnd w:id="29"/>
      <w:bookmarkEnd w:id="30"/>
    </w:p>
    <w:p w14:paraId="0885B3FA" w14:textId="77777777" w:rsidR="00CD4878" w:rsidRDefault="00CD4878" w:rsidP="00CD4878">
      <w:r>
        <w:t xml:space="preserve">Sun City did provide training </w:t>
      </w:r>
      <w:r w:rsidR="00B01EF2">
        <w:t xml:space="preserve">and employment for any employee </w:t>
      </w:r>
      <w:r>
        <w:t xml:space="preserve">wishing to further education. While </w:t>
      </w:r>
      <w:r w:rsidR="00B01EF2">
        <w:t>most</w:t>
      </w:r>
      <w:r>
        <w:t xml:space="preserve"> employees at Sun City were classified as </w:t>
      </w:r>
      <w:r w:rsidR="00AA0B14">
        <w:rPr>
          <w:rStyle w:val="PageNumber"/>
        </w:rPr>
        <w:t xml:space="preserve">“Tswana” </w:t>
      </w:r>
      <w:r w:rsidR="00E86F93">
        <w:t>citizens</w:t>
      </w:r>
      <w:r>
        <w:t xml:space="preserve">, they tended to be placed in lower-paid positions within the service industry, as opposed to management and supervisory roles. Despite the training of Bophuthatswana employees, it was exceedingly rare for them to advance through the hierarchy at Sun City. The employment structure favoured white South African and international employees, who overwhelming controlled the managerial ranks.  Sun City maintained the appearance of an integrated work space, but the complaints and allegations surrounding employment demonstrate that workers did not feel satisfied with working conditions. </w:t>
      </w:r>
      <w:r w:rsidR="00F51C11" w:rsidRPr="00F51C11">
        <w:t>The wide disparity in wages between mainly white employees and their black workers demonstrates</w:t>
      </w:r>
      <w:r w:rsidR="00F51C11" w:rsidRPr="00F51C11" w:rsidDel="00F51C11">
        <w:t xml:space="preserve"> </w:t>
      </w:r>
      <w:r>
        <w:t xml:space="preserve">a racist and paternalist attitude towards Bophuthatswana employees. Many workers, while appreciative of work experience and training, sought, and continue to seek, employment opportunities elsewhere. In the end, Sun City was reliant on a pool of cheap, locally sourced black labour that Bophuthatswana provided.  </w:t>
      </w:r>
    </w:p>
    <w:p w14:paraId="0C562E01" w14:textId="77777777" w:rsidR="002F536C" w:rsidRDefault="002F536C" w:rsidP="00CD4878"/>
    <w:p w14:paraId="612F87F8" w14:textId="77777777" w:rsidR="002F536C" w:rsidRDefault="002F536C" w:rsidP="00CD4878"/>
    <w:p w14:paraId="77802A5A" w14:textId="77777777" w:rsidR="002F536C" w:rsidRDefault="002F536C" w:rsidP="00CD4878"/>
    <w:p w14:paraId="0AE5C92B" w14:textId="77777777" w:rsidR="002F536C" w:rsidRDefault="002F536C" w:rsidP="00CD4878"/>
    <w:p w14:paraId="2C631D83" w14:textId="77777777" w:rsidR="002F536C" w:rsidRDefault="002F536C" w:rsidP="00CD4878"/>
    <w:p w14:paraId="716FE87A" w14:textId="77777777" w:rsidR="002F536C" w:rsidRDefault="002F536C" w:rsidP="00CD4878"/>
    <w:p w14:paraId="6D3691DE" w14:textId="77777777" w:rsidR="002F536C" w:rsidRDefault="002F536C" w:rsidP="00CD4878"/>
    <w:p w14:paraId="6186F419" w14:textId="77777777" w:rsidR="002F536C" w:rsidRDefault="002F536C" w:rsidP="00CD4878"/>
    <w:p w14:paraId="114F4611" w14:textId="77777777" w:rsidR="002F536C" w:rsidRDefault="002F536C" w:rsidP="00CD4878"/>
    <w:p w14:paraId="293FABA1" w14:textId="77777777" w:rsidR="002F536C" w:rsidRDefault="002F536C" w:rsidP="00CD4878"/>
    <w:p w14:paraId="0AA814D6" w14:textId="77777777" w:rsidR="002F536C" w:rsidRDefault="002F536C" w:rsidP="00CD4878"/>
    <w:p w14:paraId="6D3404F2" w14:textId="77777777" w:rsidR="002F536C" w:rsidRDefault="002F536C" w:rsidP="00CD4878"/>
    <w:p w14:paraId="7FAEA262" w14:textId="77777777" w:rsidR="002F536C" w:rsidRDefault="002F536C" w:rsidP="00CD4878"/>
    <w:p w14:paraId="69988E26" w14:textId="77777777" w:rsidR="002F536C" w:rsidRPr="00C109CC" w:rsidRDefault="002F536C" w:rsidP="002F536C">
      <w:pPr>
        <w:pStyle w:val="Heading1"/>
        <w:numPr>
          <w:ilvl w:val="0"/>
          <w:numId w:val="0"/>
        </w:numPr>
        <w:jc w:val="center"/>
      </w:pPr>
      <w:bookmarkStart w:id="31" w:name="_Toc459702967"/>
      <w:bookmarkStart w:id="32" w:name="_Toc488481716"/>
      <w:r>
        <w:lastRenderedPageBreak/>
        <w:t xml:space="preserve">CHAPTER THREE: </w:t>
      </w:r>
      <w:r w:rsidRPr="006A1DD5">
        <w:rPr>
          <w:i/>
        </w:rPr>
        <w:t>Sin City</w:t>
      </w:r>
      <w:bookmarkEnd w:id="31"/>
      <w:bookmarkEnd w:id="32"/>
    </w:p>
    <w:p w14:paraId="1C922E16" w14:textId="77777777" w:rsidR="002F536C" w:rsidRPr="00AF73FD" w:rsidRDefault="002F536C" w:rsidP="00B01EF2">
      <w:pPr>
        <w:pStyle w:val="Subtitle"/>
      </w:pPr>
      <w:r w:rsidRPr="00AF73FD">
        <w:t>A new dimension in first class living. First class vacationing has taken another step in the right direction. Introducing Bophuthatswana – a refuge from the world for the very world… Bring your heightened expectations and marvel at how we surpass them in Bophuthatswana.</w:t>
      </w:r>
    </w:p>
    <w:p w14:paraId="2EFEB326" w14:textId="77777777" w:rsidR="002F536C" w:rsidRPr="003A6406" w:rsidRDefault="002F536C" w:rsidP="002F536C">
      <w:pPr>
        <w:pStyle w:val="Subtitle"/>
        <w:ind w:right="0"/>
        <w:jc w:val="right"/>
      </w:pPr>
      <w:r w:rsidRPr="00662ED8">
        <w:t>Bophuthatswana advert</w:t>
      </w:r>
      <w:r>
        <w:rPr>
          <w:i/>
        </w:rPr>
        <w:t xml:space="preserve">. </w:t>
      </w:r>
      <w:r w:rsidRPr="00662ED8">
        <w:rPr>
          <w:i/>
        </w:rPr>
        <w:t>The Sun</w:t>
      </w:r>
      <w:r>
        <w:t>, 13 October, 1982, p. 13</w:t>
      </w:r>
    </w:p>
    <w:p w14:paraId="7C2B7245" w14:textId="77777777" w:rsidR="002F536C" w:rsidRPr="00AF73FD" w:rsidRDefault="002F536C" w:rsidP="00B01EF2">
      <w:pPr>
        <w:pStyle w:val="Subtitle"/>
      </w:pPr>
      <w:r w:rsidRPr="00AF73FD">
        <w:t xml:space="preserve">Visit </w:t>
      </w:r>
      <w:r w:rsidRPr="00B01EF2">
        <w:t>Bophuthatswana</w:t>
      </w:r>
      <w:r w:rsidRPr="00AF73FD">
        <w:t>. Find your place in the sun and experience the magic of Africa.</w:t>
      </w:r>
    </w:p>
    <w:p w14:paraId="29CBCD7C" w14:textId="77777777" w:rsidR="002F536C" w:rsidRPr="00AF73FD" w:rsidRDefault="002F536C" w:rsidP="002F536C">
      <w:pPr>
        <w:jc w:val="right"/>
        <w:rPr>
          <w:sz w:val="20"/>
          <w:szCs w:val="20"/>
        </w:rPr>
      </w:pPr>
      <w:r w:rsidRPr="00AF73FD">
        <w:rPr>
          <w:sz w:val="20"/>
          <w:szCs w:val="20"/>
        </w:rPr>
        <w:t>Visit Bophuthatswana</w:t>
      </w:r>
      <w:r w:rsidRPr="00AF73FD">
        <w:rPr>
          <w:i/>
          <w:sz w:val="20"/>
          <w:szCs w:val="20"/>
        </w:rPr>
        <w:t>. BopTour</w:t>
      </w:r>
      <w:r w:rsidRPr="00AF73FD">
        <w:rPr>
          <w:sz w:val="20"/>
          <w:szCs w:val="20"/>
        </w:rPr>
        <w:t>, p. 32</w:t>
      </w:r>
    </w:p>
    <w:p w14:paraId="0A96D0D0" w14:textId="77777777" w:rsidR="002F536C" w:rsidRDefault="002F536C" w:rsidP="002F536C">
      <w:pPr>
        <w:pStyle w:val="Heading2"/>
        <w:numPr>
          <w:ilvl w:val="0"/>
          <w:numId w:val="0"/>
        </w:numPr>
        <w:ind w:left="578" w:hanging="578"/>
      </w:pPr>
      <w:bookmarkStart w:id="33" w:name="_Toc459702968"/>
      <w:bookmarkStart w:id="34" w:name="_Toc488481717"/>
      <w:r>
        <w:t>Introduction</w:t>
      </w:r>
      <w:bookmarkEnd w:id="33"/>
      <w:bookmarkEnd w:id="34"/>
    </w:p>
    <w:p w14:paraId="56D568F8" w14:textId="77777777" w:rsidR="002F536C" w:rsidRDefault="004D0C71" w:rsidP="002F536C">
      <w:r>
        <w:t>Labelled a “fun factory”</w:t>
      </w:r>
      <w:r w:rsidR="002F536C">
        <w:t xml:space="preserve"> by advertisers, Sun City had a multitude of attractions and accommodation options for every budget and taste. The mega-resort promoted itself as an interracial space where not only black and white employees allegedly worked alongside one another, bu</w:t>
      </w:r>
      <w:r w:rsidR="00B01EF2">
        <w:t>t where</w:t>
      </w:r>
      <w:r w:rsidR="002F536C">
        <w:t xml:space="preserve"> an integrated tourist experience was formed. This image was in line with the one Bophuthatswana sought to project of itself as a multi-racial, democratic country that was part of a free market capitalist economy. Sun City presented a unique opportunity for white South Africans to escape some of the restrictions of </w:t>
      </w:r>
      <w:r w:rsidR="00756A84">
        <w:t>NP</w:t>
      </w:r>
      <w:r w:rsidR="00202C82">
        <w:t xml:space="preserve"> government</w:t>
      </w:r>
      <w:r w:rsidR="002F536C">
        <w:t xml:space="preserve"> rule. The censorship, pornography, integration and miscegenation laws were perceived as oppressive by many South Africans. Topless dancers, game drives and water sports are some the attractions white South Africans could enjoy as they tried to escape the Calvinistic ideals of the </w:t>
      </w:r>
      <w:r w:rsidR="00107822">
        <w:t>NP</w:t>
      </w:r>
      <w:r w:rsidR="002F536C">
        <w:t xml:space="preserve"> and experiment in a comfortable interracial setting.</w:t>
      </w:r>
      <w:r w:rsidR="002F536C">
        <w:rPr>
          <w:rStyle w:val="FootnoteReference"/>
        </w:rPr>
        <w:footnoteReference w:id="204"/>
      </w:r>
      <w:r w:rsidR="002F536C">
        <w:t xml:space="preserve"> In 1985 over one hundred thousand people visited Sun City each month and, on peak days, as many as 30 000 people passed through the gates daily.</w:t>
      </w:r>
      <w:r w:rsidR="002F536C">
        <w:rPr>
          <w:rStyle w:val="FootnoteReference"/>
        </w:rPr>
        <w:footnoteReference w:id="205"/>
      </w:r>
      <w:r w:rsidR="002F536C">
        <w:t xml:space="preserve"> The presence of a casino in Bophuthatswana allowed Mangope to reap the profits of gambling but also to attract tourism and gain international exposure in the process.</w:t>
      </w:r>
      <w:r w:rsidR="002F536C">
        <w:rPr>
          <w:rStyle w:val="FootnoteReference"/>
        </w:rPr>
        <w:footnoteReference w:id="206"/>
      </w:r>
      <w:r w:rsidR="002F536C">
        <w:t xml:space="preserve"> </w:t>
      </w:r>
    </w:p>
    <w:p w14:paraId="5428CEC7" w14:textId="77777777" w:rsidR="002F536C" w:rsidRPr="009D72FF" w:rsidRDefault="002F536C" w:rsidP="002F536C">
      <w:r>
        <w:t>This chapter will argue that South African tourists acted as mobile agents who incongruously both fulfilled and contested nationalist and racial ideologies through an engagement with the bantustans. As Desmond argues, tourist venues are “crucial areas of public culture where embodied notions of identity are sold, debated and occasionally contested”.</w:t>
      </w:r>
      <w:r>
        <w:rPr>
          <w:rStyle w:val="FootnoteReference"/>
        </w:rPr>
        <w:footnoteReference w:id="207"/>
      </w:r>
      <w:r>
        <w:t xml:space="preserve"> As one of the apartheid era’s most popular tourist venues, Sun City encouraged its South African patrons to </w:t>
      </w:r>
      <w:r>
        <w:lastRenderedPageBreak/>
        <w:t xml:space="preserve">negotiate their identity through exposure to banned activities and people. </w:t>
      </w:r>
      <w:r w:rsidRPr="00B76C91">
        <w:t>Sol Kerzner</w:t>
      </w:r>
      <w:r>
        <w:t xml:space="preserve"> exploited the opportunity </w:t>
      </w:r>
      <w:r w:rsidRPr="00B76C91">
        <w:t>the bantustans</w:t>
      </w:r>
      <w:r>
        <w:t xml:space="preserve"> presented </w:t>
      </w:r>
      <w:r w:rsidRPr="00B76C91">
        <w:t xml:space="preserve">and used their </w:t>
      </w:r>
      <w:r w:rsidR="000A67CB">
        <w:t>“independence”</w:t>
      </w:r>
      <w:r w:rsidRPr="00B76C91">
        <w:t xml:space="preserve"> from South </w:t>
      </w:r>
      <w:r>
        <w:t>Africa</w:t>
      </w:r>
      <w:r w:rsidRPr="00B76C91">
        <w:t xml:space="preserve"> </w:t>
      </w:r>
      <w:r>
        <w:t>to</w:t>
      </w:r>
      <w:r w:rsidRPr="00B76C91">
        <w:t xml:space="preserve"> provide all that was d</w:t>
      </w:r>
      <w:r>
        <w:t xml:space="preserve">enied by the Calvinistic </w:t>
      </w:r>
      <w:r w:rsidR="00756A84">
        <w:t>NP</w:t>
      </w:r>
      <w:r w:rsidR="00202C82">
        <w:t xml:space="preserve"> government</w:t>
      </w:r>
      <w:r>
        <w:t>:</w:t>
      </w:r>
      <w:r w:rsidRPr="00B76C91">
        <w:t xml:space="preserve"> gambling, illicit sex, pornography and a glimpse into the uncensored Western world. </w:t>
      </w:r>
      <w:r>
        <w:t xml:space="preserve">This chapter will </w:t>
      </w:r>
      <w:r w:rsidR="00AA0B14">
        <w:t>discuss the tourist experience</w:t>
      </w:r>
      <w:r>
        <w:t xml:space="preserve"> at Sun City, </w:t>
      </w:r>
      <w:r w:rsidR="00FA6A91">
        <w:t>regarding</w:t>
      </w:r>
      <w:r>
        <w:t xml:space="preserve"> the gambling, the sale of female bodies through sex work and topless cabaret shows and the Pilanesberg National Park.</w:t>
      </w:r>
    </w:p>
    <w:p w14:paraId="3C919C95" w14:textId="77777777" w:rsidR="002F536C" w:rsidRDefault="002F536C" w:rsidP="002F536C">
      <w:pPr>
        <w:pStyle w:val="Heading2"/>
        <w:numPr>
          <w:ilvl w:val="0"/>
          <w:numId w:val="0"/>
        </w:numPr>
        <w:ind w:left="578" w:hanging="578"/>
      </w:pPr>
      <w:bookmarkStart w:id="35" w:name="_Toc459702969"/>
      <w:bookmarkStart w:id="36" w:name="_Toc488481718"/>
      <w:r>
        <w:t>Sin City: The Tourist Experience:</w:t>
      </w:r>
      <w:bookmarkEnd w:id="35"/>
      <w:bookmarkEnd w:id="36"/>
    </w:p>
    <w:p w14:paraId="3930D65F" w14:textId="77777777" w:rsidR="002F536C" w:rsidRDefault="00FA6A91" w:rsidP="002F536C">
      <w:r>
        <w:t>Per</w:t>
      </w:r>
      <w:r w:rsidR="002F536C">
        <w:t xml:space="preserve"> promotional material published in 1985:</w:t>
      </w:r>
    </w:p>
    <w:p w14:paraId="219CD6FA" w14:textId="77777777" w:rsidR="002F536C" w:rsidRDefault="002F536C" w:rsidP="002F536C">
      <w:pPr>
        <w:pStyle w:val="Subtitle"/>
      </w:pPr>
      <w:r>
        <w:t>Sol Kerzner has tried to provide a facility that will appeal to and cater for everyone, from the high roller who plays enormous stakes to the small punter who enjoys regularly chancing his modest bets. The intention is to provide excitement and thrills while giving the visitor a chance to become one of life’s winners.</w:t>
      </w:r>
      <w:r>
        <w:rPr>
          <w:rStyle w:val="FootnoteReference"/>
        </w:rPr>
        <w:footnoteReference w:id="208"/>
      </w:r>
    </w:p>
    <w:p w14:paraId="18EFEDD8" w14:textId="77777777" w:rsidR="002F536C" w:rsidRPr="00101CC7" w:rsidRDefault="00DA45A5" w:rsidP="002F536C">
      <w:r>
        <w:t>Guests behaviour</w:t>
      </w:r>
      <w:r w:rsidR="002F536C">
        <w:t xml:space="preserve"> at Sun City </w:t>
      </w:r>
      <w:r>
        <w:t xml:space="preserve">was </w:t>
      </w:r>
      <w:r w:rsidR="002F536C">
        <w:t xml:space="preserve">often excused and not examined too carefully in the name of fun. </w:t>
      </w:r>
      <w:r w:rsidR="00F51C11">
        <w:t>The</w:t>
      </w:r>
      <w:r w:rsidR="00F51C11" w:rsidRPr="00F51C11">
        <w:t xml:space="preserve"> </w:t>
      </w:r>
      <w:r>
        <w:t>resort encouraged a</w:t>
      </w:r>
      <w:r w:rsidR="00F51C11">
        <w:t xml:space="preserve"> behaviour</w:t>
      </w:r>
      <w:r>
        <w:t>al norm</w:t>
      </w:r>
      <w:r w:rsidR="00F51C11">
        <w:t>,</w:t>
      </w:r>
      <w:r w:rsidR="00F51C11" w:rsidRPr="00F51C11">
        <w:t xml:space="preserve"> focused on leisure </w:t>
      </w:r>
      <w:r w:rsidR="005E6435" w:rsidRPr="00F51C11">
        <w:t>activities that</w:t>
      </w:r>
      <w:r w:rsidR="00F51C11" w:rsidRPr="00F51C11">
        <w:t xml:space="preserve"> </w:t>
      </w:r>
      <w:r>
        <w:t>distracted from guests potential controversial, political and moral offensive acts</w:t>
      </w:r>
      <w:r w:rsidR="00F51C11">
        <w:t>.</w:t>
      </w:r>
      <w:r w:rsidR="002F536C">
        <w:rPr>
          <w:rStyle w:val="FootnoteReference"/>
        </w:rPr>
        <w:footnoteReference w:id="209"/>
      </w:r>
      <w:r w:rsidR="002F536C">
        <w:t xml:space="preserve"> </w:t>
      </w:r>
    </w:p>
    <w:p w14:paraId="478433B6" w14:textId="77777777" w:rsidR="002F536C" w:rsidRDefault="004D0C71" w:rsidP="002F536C">
      <w:r>
        <w:t>The resort was labelled “Sin City”</w:t>
      </w:r>
      <w:r w:rsidR="002F536C">
        <w:t xml:space="preserve">, by the media and tourists. It was a place </w:t>
      </w:r>
      <w:r w:rsidR="00107822">
        <w:t xml:space="preserve">where </w:t>
      </w:r>
      <w:r w:rsidR="008F4DEF">
        <w:t>several</w:t>
      </w:r>
      <w:r w:rsidR="00107822">
        <w:t xml:space="preserve"> activities were </w:t>
      </w:r>
      <w:r w:rsidR="002F536C">
        <w:t xml:space="preserve">accepted and encouraged as part of the tourist experience. These included gambling, interracial sex, prostitution, revue shows and excessive consumption of alcohol. These activities were the biggest draw-card for Sun City, and they stood in direct contrast to the moral compass of apartheid. However, the activities at Sun City could only be enjoyed through disregarding racial segregation; Sun City’s location in Bophuthatswana, technically a racially integrated space, as well as events such as the revue shows, </w:t>
      </w:r>
      <w:r w:rsidR="00107822">
        <w:t>in which black and white girls</w:t>
      </w:r>
      <w:r w:rsidR="002F536C">
        <w:t xml:space="preserve"> performed alongside o</w:t>
      </w:r>
      <w:r w:rsidR="00107822">
        <w:t>ne another, directly contravening</w:t>
      </w:r>
      <w:r w:rsidR="002F536C">
        <w:t xml:space="preserve"> the policies of apartheid. Kerzner made it </w:t>
      </w:r>
      <w:r w:rsidR="002F536C">
        <w:rPr>
          <w:i/>
        </w:rPr>
        <w:t xml:space="preserve">in vogue </w:t>
      </w:r>
      <w:r w:rsidR="002F536C">
        <w:t xml:space="preserve">to engage in these behaviours. While prostitution was illegal in Bophuthatswana (as it was in South Africa), this did not stop white South Africans from engaging in interracial sex with sex workers. It must be noted that </w:t>
      </w:r>
      <w:r w:rsidR="008F4DEF">
        <w:t>most</w:t>
      </w:r>
      <w:r w:rsidR="002F536C">
        <w:t xml:space="preserve"> </w:t>
      </w:r>
      <w:r w:rsidR="00396630">
        <w:t xml:space="preserve">of </w:t>
      </w:r>
      <w:r w:rsidR="002F536C">
        <w:t xml:space="preserve">the interracial mixing that happened at Sun City occurred through interracial sex in the form of paid sex work. Pornographic film screenings and topless cabaret shows were popular activities at the resort. In 1995 a journalist for the UK </w:t>
      </w:r>
      <w:r w:rsidR="002F536C" w:rsidRPr="004531B4">
        <w:rPr>
          <w:i/>
        </w:rPr>
        <w:t>Independent</w:t>
      </w:r>
      <w:r w:rsidR="002F536C">
        <w:t xml:space="preserve"> wrote:</w:t>
      </w:r>
    </w:p>
    <w:p w14:paraId="35C0A875" w14:textId="77777777" w:rsidR="002F536C" w:rsidRDefault="002F536C" w:rsidP="002F536C">
      <w:pPr>
        <w:pStyle w:val="Subtitle"/>
      </w:pPr>
      <w:r>
        <w:rPr>
          <w:shd w:val="clear" w:color="auto" w:fill="FFFFFF"/>
        </w:rPr>
        <w:t xml:space="preserve">Under apartheid, when inter- racial sex was a crime, white men would drive to Bophuthatswana or Swaziland to watch pornographic films banned by their </w:t>
      </w:r>
      <w:r>
        <w:rPr>
          <w:shd w:val="clear" w:color="auto" w:fill="FFFFFF"/>
        </w:rPr>
        <w:lastRenderedPageBreak/>
        <w:t>Calvinist state, read the girlie magazines they could be fined for having in their own homes, and have sex with black girls.</w:t>
      </w:r>
      <w:r>
        <w:rPr>
          <w:rStyle w:val="FootnoteReference"/>
          <w:shd w:val="clear" w:color="auto" w:fill="FFFFFF"/>
        </w:rPr>
        <w:footnoteReference w:id="210"/>
      </w:r>
    </w:p>
    <w:p w14:paraId="3B0B5417" w14:textId="77777777" w:rsidR="002F536C" w:rsidRDefault="002F536C" w:rsidP="002F536C">
      <w:r>
        <w:t>Hazel Feldman, a Sun City entertainment producer, maintained that Sun City was successful because the average white South African was not interested in race and politics; they journeyed to Sun City in pursuit of entertainment and were not overly concerned by the race of those surrounding them. This argument is supported by numerous research interviews conducted with Sun City tourists from the 1980s. Cheryl B</w:t>
      </w:r>
      <w:r>
        <w:rPr>
          <w:rFonts w:cs="Times New Roman"/>
        </w:rPr>
        <w:t>ü</w:t>
      </w:r>
      <w:r>
        <w:t xml:space="preserve">hrer and </w:t>
      </w:r>
      <w:r w:rsidR="00107822">
        <w:t xml:space="preserve">Patricia Cackett, for example, </w:t>
      </w:r>
      <w:r>
        <w:t>were not concerned with the race of Sun City’s patrons, but noticed the lack of black tourists at the resort.</w:t>
      </w:r>
      <w:r>
        <w:rPr>
          <w:rStyle w:val="FootnoteReference"/>
        </w:rPr>
        <w:footnoteReference w:id="211"/>
      </w:r>
    </w:p>
    <w:p w14:paraId="3CA5CA0D" w14:textId="77777777" w:rsidR="002F536C" w:rsidRDefault="002F536C" w:rsidP="002F536C">
      <w:pPr>
        <w:pStyle w:val="Heading2"/>
        <w:numPr>
          <w:ilvl w:val="0"/>
          <w:numId w:val="0"/>
        </w:numPr>
        <w:ind w:left="578" w:hanging="578"/>
      </w:pPr>
      <w:bookmarkStart w:id="37" w:name="_Toc488481719"/>
      <w:r>
        <w:t>Race and Marketing</w:t>
      </w:r>
      <w:bookmarkEnd w:id="37"/>
    </w:p>
    <w:p w14:paraId="3F452A71" w14:textId="77777777" w:rsidR="002F536C" w:rsidRDefault="00331135" w:rsidP="002F536C">
      <w:r>
        <w:rPr>
          <w:noProof/>
          <w:lang w:val="en-ZA" w:eastAsia="en-ZA"/>
        </w:rPr>
        <w:drawing>
          <wp:anchor distT="0" distB="0" distL="114300" distR="114300" simplePos="0" relativeHeight="251645952" behindDoc="1" locked="0" layoutInCell="1" allowOverlap="1" wp14:anchorId="74EB0009" wp14:editId="766D5306">
            <wp:simplePos x="0" y="0"/>
            <wp:positionH relativeFrom="margin">
              <wp:posOffset>1148715</wp:posOffset>
            </wp:positionH>
            <wp:positionV relativeFrom="page">
              <wp:posOffset>4843145</wp:posOffset>
            </wp:positionV>
            <wp:extent cx="3395980" cy="3234055"/>
            <wp:effectExtent l="0" t="0" r="0" b="0"/>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395980" cy="3234055"/>
                    </a:xfrm>
                    <a:prstGeom prst="rect">
                      <a:avLst/>
                    </a:prstGeom>
                    <a:noFill/>
                    <a:ln>
                      <a:noFill/>
                    </a:ln>
                  </pic:spPr>
                </pic:pic>
              </a:graphicData>
            </a:graphic>
          </wp:anchor>
        </w:drawing>
      </w:r>
      <w:r w:rsidR="002F536C">
        <w:t>Images from Sun City’s promotional material subtly signal that the resort welcomed and encouraged interracial leisure time. These images of interracial mingling, however, appear staged. This comes to the fore in the picture below, where a white and a black woman poses next to one a</w:t>
      </w:r>
      <w:r w:rsidR="006E44C2">
        <w:t>nother</w:t>
      </w:r>
      <w:r w:rsidR="002F536C">
        <w:t xml:space="preserve"> </w:t>
      </w:r>
      <w:r w:rsidR="008F4DEF">
        <w:t>(refer to F</w:t>
      </w:r>
      <w:r w:rsidR="00FD64F3">
        <w:t>igure 3</w:t>
      </w:r>
      <w:r w:rsidR="006E44C2">
        <w:t>).</w:t>
      </w:r>
    </w:p>
    <w:p w14:paraId="5B7A0319" w14:textId="77777777" w:rsidR="002F536C" w:rsidRDefault="002F536C" w:rsidP="002F536C"/>
    <w:p w14:paraId="72D5ABF2" w14:textId="77777777" w:rsidR="002F536C" w:rsidRDefault="002F536C" w:rsidP="002F536C"/>
    <w:p w14:paraId="0A326944" w14:textId="77777777" w:rsidR="002F536C" w:rsidRDefault="002F536C" w:rsidP="002F536C"/>
    <w:p w14:paraId="4AFCFD0A" w14:textId="77777777" w:rsidR="002F536C" w:rsidRDefault="002F536C" w:rsidP="002F536C"/>
    <w:p w14:paraId="66845055" w14:textId="77777777" w:rsidR="002F536C" w:rsidRDefault="002F536C" w:rsidP="002F536C"/>
    <w:p w14:paraId="7D0AB5B3" w14:textId="77777777" w:rsidR="002F536C" w:rsidRDefault="002F536C" w:rsidP="002F536C"/>
    <w:p w14:paraId="1EE998A7" w14:textId="77777777" w:rsidR="002F536C" w:rsidRDefault="002F536C" w:rsidP="002F536C"/>
    <w:p w14:paraId="029205A1" w14:textId="77777777" w:rsidR="002F536C" w:rsidRDefault="002F536C" w:rsidP="002F536C"/>
    <w:p w14:paraId="36EEA57D" w14:textId="77777777" w:rsidR="008F4DEF" w:rsidRDefault="008F4DEF" w:rsidP="008F4DEF">
      <w:pPr>
        <w:pStyle w:val="Subtitle"/>
        <w:spacing w:after="0"/>
        <w:ind w:left="0"/>
        <w:rPr>
          <w:color w:val="auto"/>
          <w:spacing w:val="0"/>
          <w:sz w:val="24"/>
        </w:rPr>
      </w:pPr>
    </w:p>
    <w:p w14:paraId="7C4F887F" w14:textId="77777777" w:rsidR="008F4DEF" w:rsidRDefault="008F4DEF" w:rsidP="008F4DEF">
      <w:pPr>
        <w:pStyle w:val="Subtitle"/>
        <w:spacing w:after="0"/>
        <w:ind w:left="0"/>
        <w:rPr>
          <w:color w:val="auto"/>
          <w:spacing w:val="0"/>
          <w:sz w:val="24"/>
        </w:rPr>
      </w:pPr>
    </w:p>
    <w:p w14:paraId="12346A0C" w14:textId="77777777" w:rsidR="002F536C" w:rsidRDefault="00FD64F3" w:rsidP="008F4DEF">
      <w:pPr>
        <w:pStyle w:val="Subtitle"/>
        <w:spacing w:after="120"/>
        <w:ind w:left="0"/>
        <w:jc w:val="center"/>
      </w:pPr>
      <w:r>
        <w:t>Figure 3</w:t>
      </w:r>
      <w:r w:rsidR="002F536C">
        <w:t xml:space="preserve">: Image taken from Ray Morgan’s promotional magazine on </w:t>
      </w:r>
      <w:r w:rsidR="002F536C" w:rsidRPr="008F4DEF">
        <w:rPr>
          <w:i/>
        </w:rPr>
        <w:t>Sun City</w:t>
      </w:r>
    </w:p>
    <w:p w14:paraId="7FD51636" w14:textId="77777777" w:rsidR="002F536C" w:rsidRDefault="002F536C" w:rsidP="008F4DEF">
      <w:pPr>
        <w:pStyle w:val="Subtitle"/>
        <w:spacing w:after="120"/>
        <w:jc w:val="center"/>
      </w:pPr>
      <w:r>
        <w:t xml:space="preserve">[Source: </w:t>
      </w:r>
      <w:r>
        <w:rPr>
          <w:i/>
        </w:rPr>
        <w:t>Sun City: Bophuthatswana Southern Africa</w:t>
      </w:r>
      <w:r w:rsidR="008F4DEF">
        <w:rPr>
          <w:i/>
        </w:rPr>
        <w:t xml:space="preserve">, </w:t>
      </w:r>
      <w:r w:rsidR="008F4DEF">
        <w:t>1984</w:t>
      </w:r>
      <w:r>
        <w:t>]</w:t>
      </w:r>
    </w:p>
    <w:p w14:paraId="2CC21D3D" w14:textId="77777777" w:rsidR="002F536C" w:rsidRPr="002F536C" w:rsidRDefault="002F536C" w:rsidP="002F536C"/>
    <w:p w14:paraId="2DE87E4F" w14:textId="77777777" w:rsidR="002F536C" w:rsidRDefault="002F536C" w:rsidP="002F536C">
      <w:r>
        <w:lastRenderedPageBreak/>
        <w:t xml:space="preserve">The image was the only </w:t>
      </w:r>
      <w:r w:rsidR="00DA45A5">
        <w:t xml:space="preserve">one </w:t>
      </w:r>
      <w:r>
        <w:t xml:space="preserve">of a black person in the 46-page promotional magazine entitled </w:t>
      </w:r>
      <w:r>
        <w:rPr>
          <w:i/>
        </w:rPr>
        <w:t>Sun City.</w:t>
      </w:r>
      <w:r>
        <w:t xml:space="preserve"> Nevertheless, the image, featured in the centre of a page and surrounded by other shots from Sun City, sends a subtle message that the resort was an interracial space. </w:t>
      </w:r>
      <w:r w:rsidR="008F4DEF">
        <w:t>Meanwhile, o</w:t>
      </w:r>
      <w:r>
        <w:t>vert marketing and presentation of black bodies might have prevented conservative white South Afr</w:t>
      </w:r>
      <w:r w:rsidR="008F4DEF">
        <w:t>icans from visiting Sun City.</w:t>
      </w:r>
    </w:p>
    <w:p w14:paraId="4B426BAC" w14:textId="77777777" w:rsidR="002F536C" w:rsidRDefault="002F536C" w:rsidP="002F536C"/>
    <w:p w14:paraId="4E29908E" w14:textId="77777777" w:rsidR="002F536C" w:rsidRDefault="008F4DEF" w:rsidP="002F536C">
      <w:r>
        <w:rPr>
          <w:noProof/>
          <w:lang w:val="en-ZA" w:eastAsia="en-ZA"/>
        </w:rPr>
        <w:drawing>
          <wp:anchor distT="0" distB="0" distL="114300" distR="114300" simplePos="0" relativeHeight="251654144" behindDoc="0" locked="0" layoutInCell="1" allowOverlap="1" wp14:anchorId="5B1713D3" wp14:editId="1F606F3B">
            <wp:simplePos x="0" y="0"/>
            <wp:positionH relativeFrom="margin">
              <wp:posOffset>947420</wp:posOffset>
            </wp:positionH>
            <wp:positionV relativeFrom="paragraph">
              <wp:posOffset>316865</wp:posOffset>
            </wp:positionV>
            <wp:extent cx="3852579" cy="2557429"/>
            <wp:effectExtent l="0" t="0" r="0"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rot="5400000">
                      <a:off x="0" y="0"/>
                      <a:ext cx="3852579" cy="2557429"/>
                    </a:xfrm>
                    <a:prstGeom prst="rect">
                      <a:avLst/>
                    </a:prstGeom>
                    <a:noFill/>
                    <a:ln>
                      <a:noFill/>
                    </a:ln>
                  </pic:spPr>
                </pic:pic>
              </a:graphicData>
            </a:graphic>
          </wp:anchor>
        </w:drawing>
      </w:r>
    </w:p>
    <w:p w14:paraId="2B9B8715" w14:textId="77777777" w:rsidR="002F536C" w:rsidRDefault="002F536C" w:rsidP="002F536C"/>
    <w:p w14:paraId="0899EEE6" w14:textId="77777777" w:rsidR="002F536C" w:rsidRDefault="002F536C" w:rsidP="002F536C"/>
    <w:p w14:paraId="146E9EDC" w14:textId="77777777" w:rsidR="002F536C" w:rsidRDefault="002F536C" w:rsidP="002F536C"/>
    <w:p w14:paraId="72D12553" w14:textId="77777777" w:rsidR="002F536C" w:rsidRDefault="002F536C" w:rsidP="002F536C"/>
    <w:p w14:paraId="5C91E553" w14:textId="77777777" w:rsidR="002F536C" w:rsidRDefault="002F536C" w:rsidP="002F536C"/>
    <w:p w14:paraId="64178AE0" w14:textId="77777777" w:rsidR="002F536C" w:rsidRDefault="002F536C" w:rsidP="002F536C"/>
    <w:p w14:paraId="76379886" w14:textId="77777777" w:rsidR="002F536C" w:rsidRDefault="002F536C" w:rsidP="002F536C"/>
    <w:p w14:paraId="4DE35520" w14:textId="77777777" w:rsidR="002F536C" w:rsidRPr="0071685A" w:rsidRDefault="002F536C" w:rsidP="002F536C"/>
    <w:p w14:paraId="25457DA0" w14:textId="77777777" w:rsidR="002F536C" w:rsidRPr="00F60CB9" w:rsidRDefault="002F536C" w:rsidP="002F536C"/>
    <w:p w14:paraId="75F12429" w14:textId="77777777" w:rsidR="002F536C" w:rsidRPr="00116DC6" w:rsidRDefault="00FD64F3" w:rsidP="008F4DEF">
      <w:pPr>
        <w:pStyle w:val="Subtitle"/>
        <w:spacing w:after="120"/>
        <w:jc w:val="center"/>
      </w:pPr>
      <w:r>
        <w:t>Figure 4</w:t>
      </w:r>
      <w:r w:rsidR="002F536C" w:rsidRPr="00116DC6">
        <w:t xml:space="preserve">: </w:t>
      </w:r>
      <w:r w:rsidR="002F536C">
        <w:t xml:space="preserve">Advertisement from </w:t>
      </w:r>
      <w:r w:rsidR="008F4DEF">
        <w:rPr>
          <w:i/>
        </w:rPr>
        <w:t>BopTour</w:t>
      </w:r>
    </w:p>
    <w:p w14:paraId="3F052C36" w14:textId="77777777" w:rsidR="002F536C" w:rsidRDefault="002F536C" w:rsidP="008F4DEF">
      <w:pPr>
        <w:pStyle w:val="Subtitle"/>
        <w:spacing w:after="120"/>
        <w:jc w:val="center"/>
      </w:pPr>
      <w:r>
        <w:t xml:space="preserve">[Source: </w:t>
      </w:r>
      <w:r w:rsidR="008F4DEF">
        <w:rPr>
          <w:i/>
        </w:rPr>
        <w:t>BopTour</w:t>
      </w:r>
      <w:r w:rsidR="008F4DEF">
        <w:t>, 1986</w:t>
      </w:r>
      <w:r>
        <w:t>]</w:t>
      </w:r>
    </w:p>
    <w:p w14:paraId="447DDC13" w14:textId="77777777" w:rsidR="008F4DEF" w:rsidRPr="008F4DEF" w:rsidRDefault="008F4DEF" w:rsidP="008F4DEF"/>
    <w:p w14:paraId="2B70912E" w14:textId="77777777" w:rsidR="002F536C" w:rsidRPr="000C0673" w:rsidRDefault="006E44C2" w:rsidP="002F536C">
      <w:r>
        <w:t xml:space="preserve">The </w:t>
      </w:r>
      <w:r w:rsidR="002F536C">
        <w:t>advert</w:t>
      </w:r>
      <w:r>
        <w:t xml:space="preserve"> feature above was</w:t>
      </w:r>
      <w:r w:rsidR="002F536C">
        <w:t xml:space="preserve"> found in a magazine entitled </w:t>
      </w:r>
      <w:r w:rsidR="002F536C">
        <w:rPr>
          <w:i/>
        </w:rPr>
        <w:t xml:space="preserve">BopTour, </w:t>
      </w:r>
      <w:r w:rsidR="002F536C">
        <w:t>published in 1986</w:t>
      </w:r>
      <w:r w:rsidR="00FD64F3">
        <w:t xml:space="preserve"> (refer to Figure 4</w:t>
      </w:r>
      <w:r>
        <w:t>)</w:t>
      </w:r>
      <w:r w:rsidR="002F536C">
        <w:t>. The advert was included on the back cover of the magazine and features an interracial couple holding hands against the background of an African sunset. The slogan “Visit Bophuthatswana. Find your place in the sun and experience the magic of Africa” is broadcast across the advertisement.</w:t>
      </w:r>
      <w:r w:rsidR="002F536C">
        <w:rPr>
          <w:rStyle w:val="FootnoteReference"/>
        </w:rPr>
        <w:footnoteReference w:id="212"/>
      </w:r>
      <w:r w:rsidR="0047182B">
        <w:t xml:space="preserve">  T</w:t>
      </w:r>
      <w:r w:rsidR="002F536C">
        <w:t>his advert seeks to position Bophuthatswana, and by extension Sun City, which is featured extensively in the promotional magazine, as an integrated and multi-racial space. Advertisements such as these stand in sharp contrast to the overwhelming absence of black bodies in the magazines.</w:t>
      </w:r>
    </w:p>
    <w:p w14:paraId="187E681B" w14:textId="77777777" w:rsidR="002F536C" w:rsidRPr="00AC403A" w:rsidRDefault="002F536C" w:rsidP="002F536C">
      <w:r>
        <w:lastRenderedPageBreak/>
        <w:t xml:space="preserve">The advertisements and marketing campaigns for Sun City promoted the casino resort as </w:t>
      </w:r>
      <w:r w:rsidR="0047182B">
        <w:t>a luxurious and exclusive space</w:t>
      </w:r>
      <w:r>
        <w:t xml:space="preserve"> where</w:t>
      </w:r>
      <w:r w:rsidR="0047182B">
        <w:t>,</w:t>
      </w:r>
      <w:r>
        <w:t xml:space="preserve"> at the same time</w:t>
      </w:r>
      <w:r w:rsidR="0047182B">
        <w:t>,</w:t>
      </w:r>
      <w:r>
        <w:t xml:space="preserve"> everyone was welcome. The contradiction aimed to establish Sun City as space that was both high-class and accessible. Welcoming all classes and races, Sun City could be experienced by</w:t>
      </w:r>
      <w:r w:rsidR="0047182B">
        <w:t xml:space="preserve"> white</w:t>
      </w:r>
      <w:r>
        <w:t xml:space="preserve"> middle class South Africans, who constituted </w:t>
      </w:r>
      <w:r w:rsidR="00FA6A91">
        <w:t>most</w:t>
      </w:r>
      <w:r>
        <w:t xml:space="preserve"> its guests, at an affordable rate. While black guests were welcome to the resort in principle, it seems that it was mostly the wealthy bantustan elite that could afford to stay at Sun City</w:t>
      </w:r>
      <w:r w:rsidR="008F4DEF">
        <w:t>,</w:t>
      </w:r>
      <w:r>
        <w:t xml:space="preserve"> and members of Mangope’s government that were given discounted rates by Southern Sun. There are newspaper reports of black patrons being bussed in from Soweto to gamble at the casino, but the frequency of these trips is unsubstantiated.</w:t>
      </w:r>
      <w:r>
        <w:rPr>
          <w:rStyle w:val="FootnoteReference"/>
        </w:rPr>
        <w:footnoteReference w:id="213"/>
      </w:r>
      <w:r>
        <w:t xml:space="preserve"> By portraying the resort as racially inclusive, Southern Sun sought to dista</w:t>
      </w:r>
      <w:r w:rsidR="00202C82">
        <w:t xml:space="preserve">nce it from the </w:t>
      </w:r>
      <w:r w:rsidR="0047182B">
        <w:t>NP’s</w:t>
      </w:r>
      <w:r>
        <w:t xml:space="preserve"> apartheid policies. However, anti-apartheid organisations criticised Kerzner and his mega-resort for profiting from apartheid and for his dealings with government figures in South Africa and Bophuthatswana. </w:t>
      </w:r>
      <w:r>
        <w:rPr>
          <w:shd w:val="clear" w:color="auto" w:fill="FFFFFF"/>
        </w:rPr>
        <w:t xml:space="preserve">Frank Partrdige, a travel journalist for the </w:t>
      </w:r>
      <w:r w:rsidRPr="002E00DE">
        <w:rPr>
          <w:shd w:val="clear" w:color="auto" w:fill="FFFFFF"/>
        </w:rPr>
        <w:t>UK</w:t>
      </w:r>
      <w:r w:rsidRPr="007B3E58">
        <w:rPr>
          <w:i/>
          <w:shd w:val="clear" w:color="auto" w:fill="FFFFFF"/>
        </w:rPr>
        <w:t xml:space="preserve"> Independent</w:t>
      </w:r>
      <w:r>
        <w:rPr>
          <w:i/>
          <w:shd w:val="clear" w:color="auto" w:fill="FFFFFF"/>
        </w:rPr>
        <w:t xml:space="preserve"> </w:t>
      </w:r>
      <w:r>
        <w:rPr>
          <w:shd w:val="clear" w:color="auto" w:fill="FFFFFF"/>
        </w:rPr>
        <w:t>newspaper who</w:t>
      </w:r>
      <w:r>
        <w:rPr>
          <w:i/>
          <w:shd w:val="clear" w:color="auto" w:fill="FFFFFF"/>
        </w:rPr>
        <w:t xml:space="preserve"> </w:t>
      </w:r>
      <w:r>
        <w:rPr>
          <w:shd w:val="clear" w:color="auto" w:fill="FFFFFF"/>
        </w:rPr>
        <w:t>travelled to Sun City in 1985, recently remembered</w:t>
      </w:r>
    </w:p>
    <w:p w14:paraId="446C97D8" w14:textId="77777777" w:rsidR="002F536C" w:rsidRDefault="002F536C" w:rsidP="002F536C">
      <w:pPr>
        <w:pStyle w:val="Subtitle"/>
        <w:rPr>
          <w:shd w:val="clear" w:color="auto" w:fill="FFFFFF"/>
        </w:rPr>
      </w:pPr>
      <w:r>
        <w:rPr>
          <w:shd w:val="clear" w:color="auto" w:fill="FFFFFF"/>
        </w:rPr>
        <w:t>being shocked by the subservience of the predominantly black staff to the exclusively white clientele, presumably because the resort represented their best hope of a living wage.</w:t>
      </w:r>
      <w:r>
        <w:rPr>
          <w:rStyle w:val="FootnoteReference"/>
          <w:shd w:val="clear" w:color="auto" w:fill="FFFFFF"/>
        </w:rPr>
        <w:footnoteReference w:id="214"/>
      </w:r>
    </w:p>
    <w:p w14:paraId="150A109D" w14:textId="77777777" w:rsidR="002F536C" w:rsidRDefault="002F536C" w:rsidP="002F536C">
      <w:r>
        <w:t>This environment did potentially present a challenge for average South Africans, who were used to imparting orders to their black counterparts, were now encouraged to interact with potential fellow black tourists. The potential benefit of employment from Sun City was the system that cemented the racial hierarchy at Sun City.</w:t>
      </w:r>
      <w:r>
        <w:rPr>
          <w:rStyle w:val="FootnoteReference"/>
        </w:rPr>
        <w:footnoteReference w:id="215"/>
      </w:r>
      <w:r>
        <w:t xml:space="preserve"> Employment of Bophuthatswana’s residents may have provided some financial relief, but it also conformed to apartheid’s racial hierarchies in the resort where black workers waited on whites. Different races and demographics received different wages for the same employment levels at Sun City (</w:t>
      </w:r>
      <w:r w:rsidR="006E44C2">
        <w:t>refer to</w:t>
      </w:r>
      <w:r w:rsidR="009B5C43">
        <w:t xml:space="preserve"> C</w:t>
      </w:r>
      <w:r w:rsidR="0047182B">
        <w:t>hapter 2</w:t>
      </w:r>
      <w:r>
        <w:t>).</w:t>
      </w:r>
      <w:r>
        <w:rPr>
          <w:rStyle w:val="FootnoteReference"/>
        </w:rPr>
        <w:footnoteReference w:id="216"/>
      </w:r>
    </w:p>
    <w:p w14:paraId="3E2C1407" w14:textId="77777777" w:rsidR="002F536C" w:rsidRDefault="002F536C" w:rsidP="002F536C">
      <w:pPr>
        <w:pStyle w:val="Heading2"/>
        <w:numPr>
          <w:ilvl w:val="0"/>
          <w:numId w:val="0"/>
        </w:numPr>
      </w:pPr>
      <w:bookmarkStart w:id="38" w:name="_Toc488481720"/>
      <w:r>
        <w:t>Gambling at Sin City</w:t>
      </w:r>
      <w:bookmarkEnd w:id="38"/>
    </w:p>
    <w:p w14:paraId="3C0924D6" w14:textId="77777777" w:rsidR="002F536C" w:rsidRDefault="002F536C" w:rsidP="002F536C">
      <w:r>
        <w:t>Guests could arrive at the resort through various modes of transport; every day thousands of guests made their way through Sun City’s gate into an oasis, which stood in sharp contrast to its surrounding impoverished communities.</w:t>
      </w:r>
      <w:r>
        <w:rPr>
          <w:rStyle w:val="FootnoteReference"/>
        </w:rPr>
        <w:footnoteReference w:id="217"/>
      </w:r>
      <w:r>
        <w:t xml:space="preserve"> As can be seen below, a train service was </w:t>
      </w:r>
      <w:r>
        <w:lastRenderedPageBreak/>
        <w:t>introduced shortly after the resort opened in 1979 to bring passengers from Pretoria to Sun City, but it did not operate for an extended period</w:t>
      </w:r>
      <w:r w:rsidR="00784692">
        <w:t xml:space="preserve"> (refer to Figure </w:t>
      </w:r>
      <w:r w:rsidR="00B8198E">
        <w:t>5</w:t>
      </w:r>
      <w:r w:rsidR="00784692">
        <w:t>)</w:t>
      </w:r>
      <w:r>
        <w:t>. The train lines were built with a tourist railway in mind; however, due to its lack of popularity the route was closed shortly after it was opened. For overnight and day visitors, travel by car or bus proved to be the most popular. Day visitors would leave their cars in the large parking areas near the entrance gate and make their way to the monorail SkyTrain. This monorail system could transport 4000 guests an hour to the Cascades Hotel and the trips’ duration measured at approximately seven minutes.</w:t>
      </w:r>
      <w:r>
        <w:rPr>
          <w:rStyle w:val="FootnoteReference"/>
        </w:rPr>
        <w:footnoteReference w:id="218"/>
      </w:r>
      <w:r>
        <w:t xml:space="preserve"> </w:t>
      </w:r>
    </w:p>
    <w:p w14:paraId="45D70CD8" w14:textId="77777777" w:rsidR="002F536C" w:rsidRDefault="00784692" w:rsidP="002F536C">
      <w:r w:rsidRPr="00B5465A">
        <w:rPr>
          <w:noProof/>
          <w:lang w:val="en-ZA" w:eastAsia="en-ZA"/>
        </w:rPr>
        <w:drawing>
          <wp:anchor distT="0" distB="0" distL="114300" distR="114300" simplePos="0" relativeHeight="251640832" behindDoc="0" locked="0" layoutInCell="1" allowOverlap="1" wp14:anchorId="5197DB49" wp14:editId="49C469D8">
            <wp:simplePos x="0" y="0"/>
            <wp:positionH relativeFrom="margin">
              <wp:posOffset>1614739</wp:posOffset>
            </wp:positionH>
            <wp:positionV relativeFrom="paragraph">
              <wp:posOffset>17566</wp:posOffset>
            </wp:positionV>
            <wp:extent cx="2469515" cy="3600450"/>
            <wp:effectExtent l="0" t="0" r="6985" b="0"/>
            <wp:wrapSquare wrapText="bothSides"/>
            <wp:docPr id="8" name="Picture 8" descr="C:\Users\Nicola van der Merwe\Documents\Masters\Photos\unnamed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icola van der Merwe\Documents\Masters\Photos\unnamed (4).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469515" cy="3600450"/>
                    </a:xfrm>
                    <a:prstGeom prst="rect">
                      <a:avLst/>
                    </a:prstGeom>
                    <a:noFill/>
                    <a:ln>
                      <a:noFill/>
                    </a:ln>
                  </pic:spPr>
                </pic:pic>
              </a:graphicData>
            </a:graphic>
          </wp:anchor>
        </w:drawing>
      </w:r>
    </w:p>
    <w:p w14:paraId="661491E8" w14:textId="77777777" w:rsidR="002F536C" w:rsidRDefault="002F536C" w:rsidP="002F536C"/>
    <w:p w14:paraId="3E2E7083" w14:textId="77777777" w:rsidR="002F536C" w:rsidRDefault="002F536C" w:rsidP="002F536C"/>
    <w:p w14:paraId="169F1567" w14:textId="77777777" w:rsidR="002F536C" w:rsidRDefault="002F536C" w:rsidP="002F536C"/>
    <w:p w14:paraId="7004D2A7" w14:textId="77777777" w:rsidR="002F536C" w:rsidRDefault="002F536C" w:rsidP="002F536C"/>
    <w:p w14:paraId="04124064" w14:textId="77777777" w:rsidR="002F536C" w:rsidRDefault="002F536C" w:rsidP="002F536C"/>
    <w:p w14:paraId="4B3CE936" w14:textId="77777777" w:rsidR="002F536C" w:rsidRDefault="002F536C" w:rsidP="002F536C"/>
    <w:p w14:paraId="7ACB8EE3" w14:textId="77777777" w:rsidR="002F536C" w:rsidRDefault="002F536C" w:rsidP="002F536C"/>
    <w:p w14:paraId="6E35853C" w14:textId="77777777" w:rsidR="002F536C" w:rsidRDefault="002F536C" w:rsidP="002F536C">
      <w:pPr>
        <w:spacing w:after="0" w:line="240" w:lineRule="auto"/>
        <w:jc w:val="center"/>
        <w:rPr>
          <w:sz w:val="20"/>
          <w:szCs w:val="20"/>
        </w:rPr>
      </w:pPr>
    </w:p>
    <w:p w14:paraId="164548DC" w14:textId="77777777" w:rsidR="002F536C" w:rsidRDefault="002F536C" w:rsidP="002F536C">
      <w:pPr>
        <w:spacing w:after="0" w:line="240" w:lineRule="auto"/>
        <w:jc w:val="center"/>
        <w:rPr>
          <w:sz w:val="20"/>
          <w:szCs w:val="20"/>
        </w:rPr>
      </w:pPr>
    </w:p>
    <w:p w14:paraId="7B08CF59" w14:textId="77777777" w:rsidR="002F536C" w:rsidRDefault="002F536C" w:rsidP="002F536C">
      <w:pPr>
        <w:spacing w:after="0" w:line="240" w:lineRule="auto"/>
        <w:jc w:val="center"/>
        <w:rPr>
          <w:sz w:val="20"/>
          <w:szCs w:val="20"/>
        </w:rPr>
      </w:pPr>
    </w:p>
    <w:p w14:paraId="1C0788B6" w14:textId="77777777" w:rsidR="002F536C" w:rsidRDefault="002F536C" w:rsidP="002F536C">
      <w:pPr>
        <w:spacing w:after="0" w:line="240" w:lineRule="auto"/>
        <w:jc w:val="center"/>
        <w:rPr>
          <w:sz w:val="20"/>
          <w:szCs w:val="20"/>
        </w:rPr>
      </w:pPr>
    </w:p>
    <w:p w14:paraId="68147FDD" w14:textId="77777777" w:rsidR="002F536C" w:rsidRDefault="002F536C" w:rsidP="002F536C">
      <w:pPr>
        <w:spacing w:after="0" w:line="240" w:lineRule="auto"/>
        <w:jc w:val="center"/>
        <w:rPr>
          <w:sz w:val="20"/>
          <w:szCs w:val="20"/>
        </w:rPr>
      </w:pPr>
    </w:p>
    <w:p w14:paraId="757A21A4" w14:textId="77777777" w:rsidR="002F536C" w:rsidRDefault="002F536C" w:rsidP="002F536C">
      <w:pPr>
        <w:spacing w:after="0" w:line="240" w:lineRule="auto"/>
        <w:jc w:val="center"/>
        <w:rPr>
          <w:sz w:val="20"/>
          <w:szCs w:val="20"/>
        </w:rPr>
      </w:pPr>
    </w:p>
    <w:p w14:paraId="6969810B" w14:textId="77777777" w:rsidR="002F536C" w:rsidRDefault="00B8198E" w:rsidP="00784692">
      <w:pPr>
        <w:pStyle w:val="Subtitle"/>
        <w:spacing w:after="120"/>
        <w:ind w:left="0"/>
        <w:jc w:val="center"/>
      </w:pPr>
      <w:r>
        <w:t>Figure 5</w:t>
      </w:r>
      <w:r w:rsidR="002F536C">
        <w:t>: Two women about to board the Sun City train at Pretoria Station</w:t>
      </w:r>
    </w:p>
    <w:p w14:paraId="0F887591" w14:textId="77777777" w:rsidR="002F536C" w:rsidRDefault="002F536C" w:rsidP="00784692">
      <w:pPr>
        <w:spacing w:after="120" w:line="240" w:lineRule="auto"/>
        <w:jc w:val="center"/>
        <w:rPr>
          <w:sz w:val="20"/>
          <w:szCs w:val="20"/>
        </w:rPr>
      </w:pPr>
      <w:r>
        <w:rPr>
          <w:sz w:val="20"/>
          <w:szCs w:val="20"/>
        </w:rPr>
        <w:t>[Source: Copyright Wessel Oosthu</w:t>
      </w:r>
      <w:r w:rsidR="006F3AD9">
        <w:rPr>
          <w:sz w:val="20"/>
          <w:szCs w:val="20"/>
        </w:rPr>
        <w:t>ise</w:t>
      </w:r>
      <w:r>
        <w:rPr>
          <w:sz w:val="20"/>
          <w:szCs w:val="20"/>
        </w:rPr>
        <w:t>n]</w:t>
      </w:r>
    </w:p>
    <w:p w14:paraId="0112E4BE" w14:textId="77777777" w:rsidR="002F536C" w:rsidRDefault="002F536C" w:rsidP="002F536C"/>
    <w:p w14:paraId="4CDDEED1" w14:textId="77777777" w:rsidR="002F536C" w:rsidRDefault="002F536C" w:rsidP="002F536C">
      <w:r>
        <w:t>Since its inception, the overwhelming majority of Sun City’s guests have been South Africans, accompanied by a smaller but steady flow of international tourists. According to employees at Sun City, many of the families that visit Sun City today have been loyal customers since it first opened.</w:t>
      </w:r>
      <w:r>
        <w:rPr>
          <w:rStyle w:val="FootnoteReference"/>
        </w:rPr>
        <w:footnoteReference w:id="219"/>
      </w:r>
      <w:r>
        <w:t xml:space="preserve"> The demographics of visitors changed after the end of apartheid, when black families began to afford the rates at Sun City and they have been regular patrons of the resort. The international tourist trade also picked up after 1994 as the </w:t>
      </w:r>
      <w:r>
        <w:lastRenderedPageBreak/>
        <w:t xml:space="preserve">fall of apartheid </w:t>
      </w:r>
      <w:r w:rsidR="00784692">
        <w:t>opened</w:t>
      </w:r>
      <w:r>
        <w:t xml:space="preserve"> the South African tourism market. When the casino market was extended to the rest of South Africa from 1996, Sun International saw a drop in the international tourist trade; this affected Sun City, but not as much as other former homeland casinos.</w:t>
      </w:r>
      <w:r>
        <w:rPr>
          <w:rStyle w:val="FootnoteReference"/>
        </w:rPr>
        <w:footnoteReference w:id="220"/>
      </w:r>
    </w:p>
    <w:p w14:paraId="791F9EB1" w14:textId="77777777" w:rsidR="002F536C" w:rsidRDefault="002F536C" w:rsidP="002F536C">
      <w:r>
        <w:t>Sun City promoted gambling as the racial equa</w:t>
      </w:r>
      <w:r w:rsidR="000C57FE">
        <w:t>lise</w:t>
      </w:r>
      <w:r>
        <w:t xml:space="preserve">r, where everyone, regardless of colour, would be subject to fortune. Kerzner provided a scarce product to an eager and wealthy client base. His profits hinged on the illegality of gambling in South Africa. However, Kerzner downplayed the relevance of gambling as the resort’s drawcard to the press. </w:t>
      </w:r>
    </w:p>
    <w:p w14:paraId="4D17DEA4" w14:textId="77777777" w:rsidR="002F536C" w:rsidRDefault="002F536C" w:rsidP="002F536C">
      <w:r>
        <w:t>Since the mid-</w:t>
      </w:r>
      <w:r w:rsidR="007E613D">
        <w:t>20th</w:t>
      </w:r>
      <w:r>
        <w:t xml:space="preserve"> century, casinos have offered a crucial stream of revenue for South African hotels and resorts. Rising costs in hotel construction often necessitated the addition of a casino. Gambling is marketed as a form of relaxation; one experiences great thrills, hours pass as do any problems one may have. The casino at the Sun City hotel was one of the largest in the world when it first opened its doors in 1979. It contained 48 gaming tables; 30 American roulette, 13 blackjack, 4 punto banco and 1 chemin de far. The casino’s popularity and overcrowding soon made it apparent that more tables were needed to cope with the influx of gamblers. The existing floor area did not allow for more tables to be added so a new addition was built and took the form of the Salon Priv</w:t>
      </w:r>
      <w:r>
        <w:rPr>
          <w:rFonts w:cs="Times New Roman"/>
        </w:rPr>
        <w:t>é in 1984</w:t>
      </w:r>
      <w:r>
        <w:t xml:space="preserve">. This private area catered for Sun City’s loyal customers and high rollers. Once the area was completed the number of tables increased to 68, with 36 roulette, 23 blackjack, 6 punto banco and 2 dice. In 1985, Sun City had a total of 747 slot machines with 284 of the machines in the main hotel’s casino and the remaining 463 held in the Entertainment Centre. </w:t>
      </w:r>
    </w:p>
    <w:p w14:paraId="27C51A9D" w14:textId="77777777" w:rsidR="002F536C" w:rsidRPr="0084630F" w:rsidRDefault="002F536C" w:rsidP="002F536C">
      <w:pPr>
        <w:rPr>
          <w:rFonts w:cs="Times New Roman"/>
          <w:szCs w:val="24"/>
        </w:rPr>
      </w:pPr>
      <w:r>
        <w:t>Publishing the names of big winners in magazines and newspapers throughout South Africa was used to advertise the casino and</w:t>
      </w:r>
      <w:r>
        <w:rPr>
          <w:rFonts w:cs="Times New Roman"/>
          <w:szCs w:val="24"/>
        </w:rPr>
        <w:t xml:space="preserve"> drew large crowds to the casino floor. On 20 February 1989 Richard Ferrell from Henley-on-Klip took R100 to the casino at Sun City to play on the famous Dream Machine. Just after midnight he won a R2 623 746 jackpot - tax free. Ferrell was the first Sun City slot machine millionaire. </w:t>
      </w:r>
      <w:r w:rsidR="0047182B">
        <w:rPr>
          <w:rFonts w:cs="Times New Roman"/>
          <w:szCs w:val="24"/>
        </w:rPr>
        <w:t xml:space="preserve">Quoted in a promotional magazine, Ferrell commented: </w:t>
      </w:r>
      <w:r>
        <w:rPr>
          <w:rFonts w:cs="Times New Roman"/>
          <w:szCs w:val="24"/>
        </w:rPr>
        <w:t>“I was absolutely stunned. It’s such a lot of money it’s going to change my life forever. In its way it’s such a stressful experience. I still can’t believe it’s really true.”</w:t>
      </w:r>
      <w:r>
        <w:rPr>
          <w:rStyle w:val="FootnoteReference"/>
          <w:rFonts w:cs="Times New Roman"/>
          <w:szCs w:val="24"/>
        </w:rPr>
        <w:footnoteReference w:id="221"/>
      </w:r>
      <w:r>
        <w:rPr>
          <w:rFonts w:cs="Times New Roman"/>
          <w:szCs w:val="24"/>
        </w:rPr>
        <w:t xml:space="preserve"> Jimmy Baird and his wife travelled to Sun City in 1983 as part of a South African road trip. Never having been much of gambler, Baird finally worked up the courage to walk into the </w:t>
      </w:r>
      <w:r>
        <w:rPr>
          <w:rFonts w:cs="Times New Roman"/>
          <w:szCs w:val="24"/>
        </w:rPr>
        <w:lastRenderedPageBreak/>
        <w:t>casino on their last night. He had no gambling knowledge and recalls how the teller laughed at him. He sat down at the roulette table and within ten minutes made approximately R1000. Within the next minute his stack had halved, he decided to call it quits and walked away with enough money to pay for his holiday.</w:t>
      </w:r>
      <w:r>
        <w:rPr>
          <w:rStyle w:val="FootnoteReference"/>
          <w:rFonts w:cs="Times New Roman"/>
          <w:szCs w:val="24"/>
        </w:rPr>
        <w:footnoteReference w:id="222"/>
      </w:r>
      <w:r>
        <w:rPr>
          <w:rFonts w:cs="Times New Roman"/>
          <w:szCs w:val="24"/>
        </w:rPr>
        <w:t xml:space="preserve"> Gambling was an attraction to </w:t>
      </w:r>
      <w:r w:rsidR="00784692">
        <w:rPr>
          <w:rFonts w:cs="Times New Roman"/>
          <w:szCs w:val="24"/>
        </w:rPr>
        <w:t>most</w:t>
      </w:r>
      <w:r>
        <w:rPr>
          <w:rFonts w:cs="Times New Roman"/>
          <w:szCs w:val="24"/>
        </w:rPr>
        <w:t xml:space="preserve"> Sun City tourists, with the resort offering a unique form of entertainment for the South African tourist as it</w:t>
      </w:r>
    </w:p>
    <w:p w14:paraId="4F9AB521" w14:textId="77777777" w:rsidR="002F536C" w:rsidRDefault="002F536C" w:rsidP="002F536C">
      <w:pPr>
        <w:pStyle w:val="Subtitle"/>
      </w:pPr>
      <w:r>
        <w:t>offered an added ingredient – the hint, in a rigid caste-bound society enforcing the Immorality Act, of illicit, weekend sex across the so-called race boundaries; escape from the Calvinistic Sunday, escape from the rigid conformity of Apartheid South Africa.</w:t>
      </w:r>
      <w:r>
        <w:rPr>
          <w:rStyle w:val="FootnoteReference"/>
        </w:rPr>
        <w:footnoteReference w:id="223"/>
      </w:r>
    </w:p>
    <w:p w14:paraId="7D238063" w14:textId="77777777" w:rsidR="002F536C" w:rsidRPr="00CD24C0" w:rsidRDefault="002F536C" w:rsidP="002F536C">
      <w:pPr>
        <w:pStyle w:val="Heading2"/>
        <w:numPr>
          <w:ilvl w:val="0"/>
          <w:numId w:val="0"/>
        </w:numPr>
        <w:ind w:left="578" w:hanging="578"/>
      </w:pPr>
      <w:bookmarkStart w:id="39" w:name="_Toc488481721"/>
      <w:r>
        <w:t>Sex Work and Revue Shows</w:t>
      </w:r>
      <w:bookmarkEnd w:id="39"/>
    </w:p>
    <w:p w14:paraId="56014828" w14:textId="77777777" w:rsidR="00F45430" w:rsidRDefault="002F536C" w:rsidP="002F536C">
      <w:r>
        <w:t xml:space="preserve">In 1950 South Africa introduced the </w:t>
      </w:r>
      <w:r w:rsidR="0047182B">
        <w:t>first Mixed Marriages Act whi</w:t>
      </w:r>
      <w:r>
        <w:t>ch prohibited sexual intercourse between different races – this was entirely unique to South Africa. Under the Immorality Act 23 of 1957, otherwise known as the Sexual Offences Act, prostitution, unlawful sexual intercourse and the creation and operation of brothels was prohibited in South Africa.</w:t>
      </w:r>
      <w:r>
        <w:rPr>
          <w:rStyle w:val="FootnoteReference"/>
        </w:rPr>
        <w:footnoteReference w:id="224"/>
      </w:r>
      <w:r>
        <w:t xml:space="preserve"> This ruli</w:t>
      </w:r>
      <w:r w:rsidR="00202C82">
        <w:t xml:space="preserve">ng followed the </w:t>
      </w:r>
      <w:r w:rsidR="00756A84">
        <w:t>NP</w:t>
      </w:r>
      <w:r w:rsidR="00202C82">
        <w:t xml:space="preserve"> government’s</w:t>
      </w:r>
      <w:r>
        <w:t xml:space="preserve"> ideology of promoting a morally pure population. It was not unusual, as sex work was prohibited in most countries. These stringent laws, however, did not a</w:t>
      </w:r>
      <w:r w:rsidR="004D0C71">
        <w:t>pply across the border</w:t>
      </w:r>
      <w:r>
        <w:t xml:space="preserve"> in Bophuthatswana.  While miscegenation, pornography and revue shows were legal, sex work was</w:t>
      </w:r>
      <w:r w:rsidR="0047182B">
        <w:t xml:space="preserve"> also illegal in the bantustans, t</w:t>
      </w:r>
      <w:r>
        <w:t>hese</w:t>
      </w:r>
      <w:r w:rsidR="0047182B">
        <w:t xml:space="preserve"> activities</w:t>
      </w:r>
      <w:r>
        <w:t xml:space="preserve"> provided a large entertainment attraction for Sun City’s tourists with prostitution being largely uncontrolled. As Saayman and Smalberger have noted, this type of market is notoriously difficult to research due to its transient and illegal nature.</w:t>
      </w:r>
      <w:r>
        <w:rPr>
          <w:rStyle w:val="FootnoteReference"/>
        </w:rPr>
        <w:footnoteReference w:id="225"/>
      </w:r>
      <w:r>
        <w:t xml:space="preserve"> Research participants for this study have been unwilling to discuss the topic, as have representatives of Sun International. However, travelling to Sun City in search of </w:t>
      </w:r>
      <w:r w:rsidR="005E6435">
        <w:t>prostitutes was</w:t>
      </w:r>
      <w:r>
        <w:t xml:space="preserve"> one of the notorious attractions for the white male South African population (as well as international tourists).</w:t>
      </w:r>
      <w:r w:rsidR="00F45430">
        <w:t xml:space="preserve"> However, stories regaled from this era may have been overstated, it did </w:t>
      </w:r>
      <w:r>
        <w:t>le</w:t>
      </w:r>
      <w:r w:rsidR="00F45430">
        <w:t>a</w:t>
      </w:r>
      <w:r>
        <w:t xml:space="preserve">d to a growth in prostitution in the area. </w:t>
      </w:r>
    </w:p>
    <w:p w14:paraId="0A39F97B" w14:textId="77777777" w:rsidR="002F536C" w:rsidRDefault="00DA45A5" w:rsidP="002F536C">
      <w:r>
        <w:t>Sannar stated that s</w:t>
      </w:r>
      <w:r w:rsidR="002F536C">
        <w:t xml:space="preserve">upporters of Sun City defend the resort by suggesting that the inter-racial mixing at Sun City led to changes in the attitudes of white South Africans and to eventual </w:t>
      </w:r>
      <w:r w:rsidR="002F536C">
        <w:lastRenderedPageBreak/>
        <w:t>change in the country.</w:t>
      </w:r>
      <w:r w:rsidR="002F536C">
        <w:rPr>
          <w:rStyle w:val="FootnoteReference"/>
        </w:rPr>
        <w:footnoteReference w:id="226"/>
      </w:r>
      <w:r w:rsidR="002F536C">
        <w:t xml:space="preserve"> However, this is a drastic oversimplification of the downfall of apartheid </w:t>
      </w:r>
      <w:r w:rsidR="002F536C" w:rsidRPr="00784692">
        <w:t xml:space="preserve">and </w:t>
      </w:r>
      <w:r w:rsidR="0047182B" w:rsidRPr="00784692">
        <w:t>insult</w:t>
      </w:r>
      <w:r w:rsidR="002F536C" w:rsidRPr="00784692">
        <w:t xml:space="preserve"> </w:t>
      </w:r>
      <w:r w:rsidR="002F536C">
        <w:t>to the struggle fought by the oppressed black population.</w:t>
      </w:r>
      <w:r w:rsidR="002F536C">
        <w:rPr>
          <w:rStyle w:val="FootnoteReference"/>
        </w:rPr>
        <w:footnoteReference w:id="227"/>
      </w:r>
      <w:r w:rsidR="004D0C71">
        <w:t xml:space="preserve"> “Casual integrated sex”</w:t>
      </w:r>
      <w:r w:rsidR="002F536C">
        <w:t>, as it was labelled, was a euphemism for prostitution and the sale of black female bodies.</w:t>
      </w:r>
      <w:r w:rsidR="002F536C">
        <w:rPr>
          <w:rStyle w:val="FootnoteReference"/>
        </w:rPr>
        <w:footnoteReference w:id="228"/>
      </w:r>
      <w:r w:rsidR="002F536C">
        <w:t xml:space="preserve"> </w:t>
      </w:r>
    </w:p>
    <w:p w14:paraId="6D249A14" w14:textId="77777777" w:rsidR="002F536C" w:rsidRDefault="002F536C" w:rsidP="002F536C">
      <w:r>
        <w:t xml:space="preserve">Sun City became an erotic </w:t>
      </w:r>
      <w:r w:rsidRPr="004B0D00">
        <w:t>Disneyland</w:t>
      </w:r>
      <w:r>
        <w:rPr>
          <w:i/>
        </w:rPr>
        <w:t xml:space="preserve"> </w:t>
      </w:r>
      <w:r>
        <w:t>for adults, with a variety of women in varying</w:t>
      </w:r>
      <w:r w:rsidR="00107822">
        <w:t xml:space="preserve"> degrees</w:t>
      </w:r>
      <w:r>
        <w:t xml:space="preserve"> of nudity on offer. Live casino entertainment was offered in the form of a dance group known as </w:t>
      </w:r>
      <w:r w:rsidRPr="00784692">
        <w:rPr>
          <w:i/>
        </w:rPr>
        <w:t>Legs 11</w:t>
      </w:r>
      <w:r>
        <w:rPr>
          <w:i/>
        </w:rPr>
        <w:t xml:space="preserve">. </w:t>
      </w:r>
      <w:r>
        <w:t xml:space="preserve">Three girls - Lisa, Antoinette and Jeanine - performed dance routines in skin tight costumes and often ventured into the audience. The description in Sun City’s </w:t>
      </w:r>
      <w:r>
        <w:rPr>
          <w:i/>
        </w:rPr>
        <w:t xml:space="preserve">Slot Gazette </w:t>
      </w:r>
      <w:r>
        <w:t>magazine</w:t>
      </w:r>
      <w:r>
        <w:rPr>
          <w:i/>
        </w:rPr>
        <w:t xml:space="preserve"> </w:t>
      </w:r>
      <w:r>
        <w:t>is vaguely reminiscent of a strip show.</w:t>
      </w:r>
      <w:r>
        <w:rPr>
          <w:rStyle w:val="FootnoteReference"/>
        </w:rPr>
        <w:footnoteReference w:id="229"/>
      </w:r>
      <w:r>
        <w:t xml:space="preserve"> The Extravaganza Theatre in the foyer of the Sun City hotel seated 630 people and in the 1980s the shows were compared to theatres of Las Vegas, Reno and Paris.</w:t>
      </w:r>
      <w:r>
        <w:rPr>
          <w:rStyle w:val="FootnoteReference"/>
        </w:rPr>
        <w:footnoteReference w:id="230"/>
      </w:r>
      <w:r>
        <w:t xml:space="preserve"> According to Sannar,</w:t>
      </w:r>
    </w:p>
    <w:p w14:paraId="3037EC86" w14:textId="77777777" w:rsidR="002F536C" w:rsidRPr="001851DD" w:rsidRDefault="002F536C" w:rsidP="002F536C">
      <w:pPr>
        <w:pStyle w:val="Subtitle"/>
        <w:rPr>
          <w:lang w:val="en-US"/>
        </w:rPr>
      </w:pPr>
      <w:r>
        <w:rPr>
          <w:lang w:val="en-US"/>
        </w:rPr>
        <w:t xml:space="preserve">The Extravaganzas celebrated an erotic and racial fluidity that taunted the relative conservatism of their audiences. Such challenges, flirts, and teases with a South African status quo titillated tourists, who gladly paid for such experiences. The spectacles, filled with innuendo and occasionally frank portrayals of lesbianism, polygamy, miscegenation, bestiality, and even interstellar robot sex, fostered an environment of eroticism and exoticism at Sun City. Simultaneously, they evidenced South Africa’s developing moral liberalism in contrast to the dogmatic restrictions on social and sexual behavior imposed by the </w:t>
      </w:r>
      <w:r w:rsidR="00756A84">
        <w:rPr>
          <w:lang w:val="en-US"/>
        </w:rPr>
        <w:t>NP</w:t>
      </w:r>
      <w:r>
        <w:rPr>
          <w:lang w:val="en-US"/>
        </w:rPr>
        <w:t xml:space="preserve"> government.</w:t>
      </w:r>
      <w:r>
        <w:rPr>
          <w:rStyle w:val="FootnoteReference"/>
          <w:lang w:val="en-US"/>
        </w:rPr>
        <w:footnoteReference w:id="231"/>
      </w:r>
    </w:p>
    <w:p w14:paraId="6C79A2E0" w14:textId="77777777" w:rsidR="002F536C" w:rsidRDefault="002F536C" w:rsidP="002F536C">
      <w:r>
        <w:t>The success of the Extravaganza Shows at Sun City rested on sex, shock and scope.  The performances on stage presented their audiences with an alternative to everyday life under apartheid, with public displays of racial integration in an environment where the sexual was not taboo. The significance of an interracial stage performance where black bodies were on display did not have immediate political or cultural bearing because such rea</w:t>
      </w:r>
      <w:r w:rsidR="006F3AD9">
        <w:t>lisa</w:t>
      </w:r>
      <w:r>
        <w:t>tions were not openly acknowledged by audience members. The promotional material marketed bla</w:t>
      </w:r>
      <w:r w:rsidR="004D0C71">
        <w:t>ck revue dancers as the exotic “other”</w:t>
      </w:r>
      <w:r w:rsidR="009D1A58">
        <w:t xml:space="preserve"> </w:t>
      </w:r>
      <w:r w:rsidR="00B8198E">
        <w:t>(refer to Figure 6</w:t>
      </w:r>
      <w:r w:rsidR="00784692">
        <w:t>).</w:t>
      </w:r>
      <w:r>
        <w:t xml:space="preserve"> </w:t>
      </w:r>
      <w:r>
        <w:rPr>
          <w:rStyle w:val="FootnoteReference"/>
        </w:rPr>
        <w:footnoteReference w:id="232"/>
      </w:r>
    </w:p>
    <w:p w14:paraId="116A4F2F" w14:textId="77777777" w:rsidR="002F536C" w:rsidRDefault="002F536C" w:rsidP="002F536C"/>
    <w:p w14:paraId="366C6F74" w14:textId="77777777" w:rsidR="002F536C" w:rsidRDefault="002F536C" w:rsidP="002F536C"/>
    <w:p w14:paraId="78FC8383" w14:textId="77777777" w:rsidR="002F536C" w:rsidRDefault="002F536C" w:rsidP="002F536C"/>
    <w:p w14:paraId="0A4E38A5" w14:textId="77777777" w:rsidR="002F536C" w:rsidRDefault="002F536C" w:rsidP="002F536C"/>
    <w:p w14:paraId="75DFD5C0" w14:textId="77777777" w:rsidR="002F536C" w:rsidRDefault="00784692" w:rsidP="002F536C">
      <w:r>
        <w:rPr>
          <w:noProof/>
          <w:lang w:val="en-ZA" w:eastAsia="en-ZA"/>
        </w:rPr>
        <w:drawing>
          <wp:anchor distT="0" distB="0" distL="114300" distR="114300" simplePos="0" relativeHeight="251660288" behindDoc="1" locked="0" layoutInCell="1" allowOverlap="1" wp14:anchorId="0F1D53A5" wp14:editId="731EA20D">
            <wp:simplePos x="0" y="0"/>
            <wp:positionH relativeFrom="margin">
              <wp:posOffset>1496060</wp:posOffset>
            </wp:positionH>
            <wp:positionV relativeFrom="paragraph">
              <wp:posOffset>11430</wp:posOffset>
            </wp:positionV>
            <wp:extent cx="1871980" cy="3159760"/>
            <wp:effectExtent l="0" t="0" r="0" b="2540"/>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871980" cy="3159760"/>
                    </a:xfrm>
                    <a:prstGeom prst="rect">
                      <a:avLst/>
                    </a:prstGeom>
                    <a:noFill/>
                    <a:ln>
                      <a:noFill/>
                    </a:ln>
                  </pic:spPr>
                </pic:pic>
              </a:graphicData>
            </a:graphic>
          </wp:anchor>
        </w:drawing>
      </w:r>
    </w:p>
    <w:p w14:paraId="27180F5A" w14:textId="77777777" w:rsidR="002F536C" w:rsidRDefault="002F536C" w:rsidP="002F536C"/>
    <w:p w14:paraId="6111B90C" w14:textId="77777777" w:rsidR="002F536C" w:rsidRDefault="002F536C" w:rsidP="002F536C"/>
    <w:p w14:paraId="7FF4FAE4" w14:textId="77777777" w:rsidR="002F536C" w:rsidRDefault="002F536C" w:rsidP="002F536C"/>
    <w:p w14:paraId="7449EE7E" w14:textId="77777777" w:rsidR="002F536C" w:rsidRDefault="002F536C" w:rsidP="002F536C"/>
    <w:p w14:paraId="534F46BE" w14:textId="77777777" w:rsidR="002F536C" w:rsidRDefault="002F536C" w:rsidP="002F536C">
      <w:pPr>
        <w:pStyle w:val="Subtitle"/>
        <w:spacing w:after="0"/>
        <w:jc w:val="center"/>
      </w:pPr>
    </w:p>
    <w:p w14:paraId="2359C150" w14:textId="77777777" w:rsidR="002F536C" w:rsidRDefault="002F536C" w:rsidP="002F536C">
      <w:pPr>
        <w:pStyle w:val="Subtitle"/>
        <w:spacing w:after="0"/>
        <w:jc w:val="center"/>
      </w:pPr>
    </w:p>
    <w:p w14:paraId="4559EF2E" w14:textId="77777777" w:rsidR="002F536C" w:rsidRDefault="002F536C" w:rsidP="002F536C">
      <w:pPr>
        <w:pStyle w:val="Subtitle"/>
        <w:spacing w:after="0"/>
        <w:jc w:val="center"/>
      </w:pPr>
    </w:p>
    <w:p w14:paraId="26399EBD" w14:textId="77777777" w:rsidR="002F536C" w:rsidRDefault="002F536C" w:rsidP="002F536C">
      <w:pPr>
        <w:pStyle w:val="Subtitle"/>
        <w:spacing w:after="0"/>
        <w:jc w:val="center"/>
      </w:pPr>
    </w:p>
    <w:p w14:paraId="0B8B8923" w14:textId="77777777" w:rsidR="002F536C" w:rsidRDefault="002F536C" w:rsidP="002F536C">
      <w:pPr>
        <w:pStyle w:val="Subtitle"/>
        <w:spacing w:after="0"/>
        <w:ind w:left="0"/>
        <w:jc w:val="center"/>
      </w:pPr>
    </w:p>
    <w:p w14:paraId="0318BA57" w14:textId="77777777" w:rsidR="002F536C" w:rsidRDefault="002F536C" w:rsidP="002F536C">
      <w:pPr>
        <w:pStyle w:val="Subtitle"/>
        <w:spacing w:after="0"/>
        <w:ind w:left="0"/>
        <w:jc w:val="center"/>
      </w:pPr>
    </w:p>
    <w:p w14:paraId="66B15F0A" w14:textId="77777777" w:rsidR="00784692" w:rsidRPr="00784692" w:rsidRDefault="00784692" w:rsidP="00784692"/>
    <w:p w14:paraId="3D97EEC2" w14:textId="77777777" w:rsidR="002F536C" w:rsidRDefault="002F536C" w:rsidP="002F536C">
      <w:pPr>
        <w:pStyle w:val="Subtitle"/>
        <w:spacing w:after="0"/>
        <w:ind w:left="0"/>
        <w:jc w:val="center"/>
      </w:pPr>
    </w:p>
    <w:p w14:paraId="08AF5714" w14:textId="77777777" w:rsidR="002F536C" w:rsidRDefault="00B8198E" w:rsidP="00784692">
      <w:pPr>
        <w:pStyle w:val="Subtitle"/>
        <w:spacing w:after="120"/>
        <w:ind w:left="0"/>
        <w:jc w:val="center"/>
      </w:pPr>
      <w:r>
        <w:t>Figure 6</w:t>
      </w:r>
      <w:r w:rsidR="002F536C">
        <w:t>: Revue dancer performing at Sun City 1982</w:t>
      </w:r>
    </w:p>
    <w:p w14:paraId="49AC627F" w14:textId="77777777" w:rsidR="002F536C" w:rsidRDefault="002F536C" w:rsidP="00784692">
      <w:pPr>
        <w:pStyle w:val="Subtitle"/>
        <w:spacing w:after="120"/>
        <w:jc w:val="center"/>
      </w:pPr>
      <w:r>
        <w:t>[Source: Extravaganza Show programme.]</w:t>
      </w:r>
    </w:p>
    <w:p w14:paraId="754B7FDE" w14:textId="77777777" w:rsidR="002F536C" w:rsidRPr="00F313D9" w:rsidRDefault="002F536C" w:rsidP="002F536C"/>
    <w:p w14:paraId="6C7570C4" w14:textId="77777777" w:rsidR="002F536C" w:rsidRDefault="002F536C" w:rsidP="002F536C">
      <w:r>
        <w:t xml:space="preserve">The above pictures </w:t>
      </w:r>
      <w:r w:rsidR="00784692">
        <w:t>demonstrate</w:t>
      </w:r>
      <w:r>
        <w:t xml:space="preserve"> the display of interracial, exotic mixing with feathers, glittery outfits and topless girls that was a consistent theme throughout all of Sun City’s Extravaganza performances from the first show in 1980 right through to the early 1990s.</w:t>
      </w:r>
      <w:r>
        <w:rPr>
          <w:rStyle w:val="FootnoteReference"/>
        </w:rPr>
        <w:footnoteReference w:id="233"/>
      </w:r>
      <w:r>
        <w:t xml:space="preserve"> According to Andre Kemp, a producer of the Sun City revue shows,</w:t>
      </w:r>
    </w:p>
    <w:p w14:paraId="7073F8A0" w14:textId="77777777" w:rsidR="002F536C" w:rsidRDefault="002F536C" w:rsidP="002F536C">
      <w:pPr>
        <w:pStyle w:val="Subtitle"/>
      </w:pPr>
      <w:r>
        <w:t>Like all other shows, Sun City Extravaganza’s [sic] [were] subject to the vagaries of public taste, but South African audiences have been consistent in their pleasures. South African men are not slavering perverts with beer bellies, bad attitudes and secret feather fetishes… It’s about the glamour, and the tits and feather business provides that.</w:t>
      </w:r>
      <w:r>
        <w:rPr>
          <w:rStyle w:val="FootnoteReference"/>
        </w:rPr>
        <w:footnoteReference w:id="234"/>
      </w:r>
    </w:p>
    <w:p w14:paraId="2C1601D8" w14:textId="77777777" w:rsidR="002F536C" w:rsidRPr="00125E07" w:rsidRDefault="00784692" w:rsidP="002F536C">
      <w:r>
        <w:t xml:space="preserve">However, </w:t>
      </w:r>
      <w:r w:rsidR="002F536C">
        <w:t>Nixon argues that the mixed race setting at Sun City was an attempt to distract global attention from the segregated world that existed outside the resort’s walls.</w:t>
      </w:r>
      <w:r w:rsidR="002F536C">
        <w:rPr>
          <w:rStyle w:val="FootnoteReference"/>
        </w:rPr>
        <w:footnoteReference w:id="235"/>
      </w:r>
      <w:r w:rsidR="002F536C">
        <w:t xml:space="preserve"> </w:t>
      </w:r>
    </w:p>
    <w:p w14:paraId="63518EB6" w14:textId="77777777" w:rsidR="00784692" w:rsidRDefault="00784692" w:rsidP="002F536C">
      <w:pPr>
        <w:pStyle w:val="Heading2"/>
        <w:numPr>
          <w:ilvl w:val="0"/>
          <w:numId w:val="0"/>
        </w:numPr>
      </w:pPr>
      <w:bookmarkStart w:id="40" w:name="_Toc459702970"/>
    </w:p>
    <w:p w14:paraId="4ADCD4C0" w14:textId="77777777" w:rsidR="00784692" w:rsidRDefault="00784692">
      <w:pPr>
        <w:spacing w:line="259" w:lineRule="auto"/>
        <w:jc w:val="left"/>
        <w:rPr>
          <w:rFonts w:eastAsiaTheme="majorEastAsia" w:cstheme="majorBidi"/>
          <w:b/>
          <w:bCs/>
          <w:smallCaps/>
          <w:color w:val="000000" w:themeColor="text1"/>
          <w:szCs w:val="28"/>
        </w:rPr>
      </w:pPr>
      <w:r>
        <w:br w:type="page"/>
      </w:r>
    </w:p>
    <w:p w14:paraId="14DAB487" w14:textId="77777777" w:rsidR="002F536C" w:rsidRDefault="002F536C" w:rsidP="002F536C">
      <w:pPr>
        <w:pStyle w:val="Heading2"/>
        <w:numPr>
          <w:ilvl w:val="0"/>
          <w:numId w:val="0"/>
        </w:numPr>
      </w:pPr>
      <w:bookmarkStart w:id="41" w:name="_Toc488481722"/>
      <w:r>
        <w:lastRenderedPageBreak/>
        <w:t>The Pilanesberg</w:t>
      </w:r>
      <w:bookmarkEnd w:id="40"/>
      <w:bookmarkEnd w:id="41"/>
    </w:p>
    <w:p w14:paraId="254C4C4D" w14:textId="77777777" w:rsidR="002F536C" w:rsidRDefault="002F536C" w:rsidP="002F536C">
      <w:pPr>
        <w:pStyle w:val="Subtitle"/>
      </w:pPr>
      <w:r>
        <w:t>A national game park would ease the Tswana into a place of respectability in the international community.</w:t>
      </w:r>
      <w:r>
        <w:rPr>
          <w:rStyle w:val="FootnoteReference"/>
        </w:rPr>
        <w:footnoteReference w:id="236"/>
      </w:r>
    </w:p>
    <w:p w14:paraId="7B17F4B8" w14:textId="77777777" w:rsidR="002F536C" w:rsidRPr="004562C4" w:rsidRDefault="002F536C" w:rsidP="002F536C">
      <w:pPr>
        <w:pStyle w:val="ListParagraph"/>
        <w:numPr>
          <w:ilvl w:val="0"/>
          <w:numId w:val="19"/>
        </w:numPr>
        <w:jc w:val="right"/>
        <w:rPr>
          <w:sz w:val="20"/>
          <w:szCs w:val="20"/>
        </w:rPr>
      </w:pPr>
      <w:r w:rsidRPr="004562C4">
        <w:rPr>
          <w:sz w:val="20"/>
          <w:szCs w:val="20"/>
        </w:rPr>
        <w:t>Report by University of Potchefstroom academic</w:t>
      </w:r>
      <w:r>
        <w:rPr>
          <w:sz w:val="20"/>
          <w:szCs w:val="20"/>
        </w:rPr>
        <w:t>s</w:t>
      </w:r>
      <w:r w:rsidRPr="004562C4">
        <w:rPr>
          <w:sz w:val="20"/>
          <w:szCs w:val="20"/>
        </w:rPr>
        <w:t xml:space="preserve"> in 1969</w:t>
      </w:r>
    </w:p>
    <w:p w14:paraId="6114335F" w14:textId="77777777" w:rsidR="002F536C" w:rsidRDefault="002F536C" w:rsidP="002F536C">
      <w:r>
        <w:t>In 1969 a team of apartheid social engineers at the University of Potchefstroom that were commissioned to establish ways of improving the economic feasibility of the proposed Bophuthatswana bantustan suggested the creation of a national park.</w:t>
      </w:r>
      <w:r>
        <w:rPr>
          <w:rStyle w:val="FootnoteReference"/>
        </w:rPr>
        <w:footnoteReference w:id="237"/>
      </w:r>
      <w:r>
        <w:t xml:space="preserve"> This suggestion was based on the premise that if the bantustans were financially independent, they would be able to sustain a larger</w:t>
      </w:r>
      <w:r w:rsidR="00AA0B14">
        <w:t xml:space="preserve"> number of their own nationals</w:t>
      </w:r>
      <w:r>
        <w:t xml:space="preserve"> outside of white South Africa, with the eventual aim of complete and permanent separation. The suggestion from Potchefstroom pertained to the Pilanesberg mountain range, and proposed that the crater at the centre of the mountains be shaped into a recreation resort and nature reserve that would serve as a tourist attraction. However, at the time, nothing materialised from this suggestion. </w:t>
      </w:r>
    </w:p>
    <w:p w14:paraId="5F03BF84" w14:textId="77777777" w:rsidR="002F536C" w:rsidRDefault="002F536C" w:rsidP="002F536C">
      <w:r>
        <w:t>Following the introduction of the Bantu Homelands Constitution Act, No. 21 of 1971, which allowed for bantustan independence, Mangope ordered a feasibility study in 1974.</w:t>
      </w:r>
      <w:r>
        <w:rPr>
          <w:rStyle w:val="FootnoteReference"/>
        </w:rPr>
        <w:footnoteReference w:id="238"/>
      </w:r>
      <w:r>
        <w:t xml:space="preserve"> The idea of a nature reserve in the Pilanesberg Mountains received a boost as Sol Kerzner, who had a close friendship with Lucas Mangope, decided to build a mega resort, with accompanying casino, in the Pilanesberg area. An interviewee who was involved in the development of Sun City stated that the friendship between Kerzner and Mangope meant that the Bophuthatswana government elite were extremely supportive of the casino development. However, this support also extended across the border into South Africa, as the </w:t>
      </w:r>
      <w:r w:rsidR="00756A84">
        <w:t>NP</w:t>
      </w:r>
      <w:r w:rsidR="00202C82">
        <w:t xml:space="preserve"> government</w:t>
      </w:r>
      <w:r>
        <w:t xml:space="preserve"> had lent financial support for the business venture despite their moral reproach of gambling (</w:t>
      </w:r>
      <w:r w:rsidR="009B5C43">
        <w:t>refer to C</w:t>
      </w:r>
      <w:r w:rsidR="006E44C2">
        <w:t>hapter</w:t>
      </w:r>
      <w:r w:rsidR="009B5C43">
        <w:t xml:space="preserve"> 1</w:t>
      </w:r>
      <w:r>
        <w:t xml:space="preserve">). </w:t>
      </w:r>
      <w:r>
        <w:rPr>
          <w:rStyle w:val="FootnoteReference"/>
        </w:rPr>
        <w:footnoteReference w:id="239"/>
      </w:r>
      <w:r>
        <w:t xml:space="preserve"> </w:t>
      </w:r>
    </w:p>
    <w:p w14:paraId="2DD71C65" w14:textId="77777777" w:rsidR="002F536C" w:rsidRDefault="002F536C" w:rsidP="002F536C">
      <w:pPr>
        <w:rPr>
          <w:i/>
        </w:rPr>
      </w:pPr>
      <w:r>
        <w:t>With Sun City attracting a large tourist base, the proposition of a game park adjacent to the resort would provide an extra attraction for tourists. Game reserves such as the Kruger National Park were too far given the stringent petrol and speed restrictions (</w:t>
      </w:r>
      <w:r w:rsidR="009B5C43">
        <w:t>refer to C</w:t>
      </w:r>
      <w:r w:rsidR="006E44C2">
        <w:t>hapter</w:t>
      </w:r>
      <w:r w:rsidR="009B5C43">
        <w:t xml:space="preserve"> 1</w:t>
      </w:r>
      <w:r>
        <w:t>).</w:t>
      </w:r>
      <w:r>
        <w:rPr>
          <w:rStyle w:val="FootnoteReference"/>
        </w:rPr>
        <w:footnoteReference w:id="240"/>
      </w:r>
      <w:r>
        <w:t xml:space="preserve"> The area was also a malaria free zone, which served as an added attraction. The two establishments were to develop a mutually beneficial relationship, each acting as a draw card </w:t>
      </w:r>
      <w:r>
        <w:lastRenderedPageBreak/>
        <w:t>for the other and creating a combination holiday destination. Together Sun City and the Pilanesberg National Park became known as ‘</w:t>
      </w:r>
      <w:r w:rsidRPr="00CB363F">
        <w:t>Africa’s Kingdom of Pleasure</w:t>
      </w:r>
      <w:r>
        <w:t>’</w:t>
      </w:r>
      <w:r w:rsidRPr="00744351">
        <w:rPr>
          <w:i/>
        </w:rPr>
        <w:t>.</w:t>
      </w:r>
      <w:r w:rsidRPr="00CB363F">
        <w:rPr>
          <w:rStyle w:val="FootnoteReference"/>
        </w:rPr>
        <w:footnoteReference w:id="241"/>
      </w:r>
    </w:p>
    <w:p w14:paraId="306928AE" w14:textId="77777777" w:rsidR="002F536C" w:rsidRPr="00744351" w:rsidRDefault="002F536C" w:rsidP="002F536C">
      <w:pPr>
        <w:rPr>
          <w:i/>
        </w:rPr>
      </w:pPr>
      <w:r>
        <w:t>In 1976, at the request of the South African Department of Bantu Affairs, a section of the Pilanesberg was set aside for the establishment of the game reserve, which would encompass 60, 000 ha of the Pilanesberg mountain range. In 1992, the Director of the Bophutha</w:t>
      </w:r>
      <w:r w:rsidR="000A67CB">
        <w:t>tswana nation</w:t>
      </w:r>
      <w:r>
        <w:t>al Parks Board, Roger Collinson, said that if they had not exploited the full tourism and economic potential of the homeland, it would have been foolish. The Parks Board saw itself</w:t>
      </w:r>
      <w:r w:rsidR="0047182B">
        <w:t xml:space="preserve"> </w:t>
      </w:r>
      <w:r>
        <w:t>as a major player in the economic development of the area, especially given the number of jobs it</w:t>
      </w:r>
      <w:r w:rsidR="0047182B">
        <w:t xml:space="preserve"> </w:t>
      </w:r>
      <w:r>
        <w:t>supplied, between approximately 500 and 600 in 1985.</w:t>
      </w:r>
      <w:r>
        <w:rPr>
          <w:rStyle w:val="FootnoteReference"/>
        </w:rPr>
        <w:footnoteReference w:id="242"/>
      </w:r>
      <w:r>
        <w:t xml:space="preserve"> Collinson urged that the establishment of such enterprises was a vital part of the bantustan’s economy and its growth. He cautioned against seeing the developments as an extravagant and unnecessary luxury.</w:t>
      </w:r>
      <w:r>
        <w:rPr>
          <w:rStyle w:val="FootnoteReference"/>
        </w:rPr>
        <w:footnoteReference w:id="243"/>
      </w:r>
    </w:p>
    <w:p w14:paraId="4D4A7AD2" w14:textId="77777777" w:rsidR="002F536C" w:rsidRDefault="002F536C" w:rsidP="002F536C">
      <w:r>
        <w:t>However, the land used for the development was not uninhabited at the time and was home to the communities of baKgatla-ba-Kgafela as well as farms such as Schaapkraal and Welgeval and sections of farms from the following communities: Legkraal, Koedoesfontein, Kruidfontein, Saulspoort, Rooderand and Doornpoort. Small groups of African farmworkers lived on these farms with the land totalling 8, 500 ha, while white farm</w:t>
      </w:r>
      <w:r w:rsidR="0047182B">
        <w:t>s</w:t>
      </w:r>
      <w:r>
        <w:t xml:space="preserve"> occupied land encompassing 46, 000 ha.</w:t>
      </w:r>
      <w:r>
        <w:rPr>
          <w:rStyle w:val="FootnoteReference"/>
        </w:rPr>
        <w:footnoteReference w:id="244"/>
      </w:r>
      <w:r>
        <w:t xml:space="preserve"> Forced removals ensued, with little empathy from officials who viewed the inhabitants of the bushveld as bankrupt farmers and unemployed villagers.</w:t>
      </w:r>
      <w:r>
        <w:rPr>
          <w:rStyle w:val="FootnoteReference"/>
        </w:rPr>
        <w:footnoteReference w:id="245"/>
      </w:r>
      <w:r>
        <w:t xml:space="preserve"> From 1979 a series of meetings were held between the baKgatla and their chief, Tidimane Pilane, the Pilanesberg National Park’s representatives and members of Mangope’s government. How voluntary these relocations were</w:t>
      </w:r>
      <w:r w:rsidR="00107822">
        <w:t>,</w:t>
      </w:r>
      <w:r>
        <w:t xml:space="preserve"> has been hotly debated, with reports circulating that in these meetings Bophuthatswana officials coerced the baKgatla into relocation.</w:t>
      </w:r>
      <w:r>
        <w:rPr>
          <w:rStyle w:val="FootnoteReference"/>
        </w:rPr>
        <w:footnoteReference w:id="246"/>
      </w:r>
      <w:r>
        <w:t xml:space="preserve"> The Keenan report, published in 1984, testified that Pilane and his followers had no choice but to surrender their land, approximately 9,000 ha, to the Pilanesberg National Park. Claims later surfaced that Mangope’s representatives blackmailed, threatened and </w:t>
      </w:r>
      <w:r w:rsidR="00FA6A91">
        <w:t>intimidated them</w:t>
      </w:r>
      <w:r>
        <w:t xml:space="preserve"> into accepting the deal.</w:t>
      </w:r>
      <w:r>
        <w:rPr>
          <w:rStyle w:val="FootnoteReference"/>
        </w:rPr>
        <w:footnoteReference w:id="247"/>
      </w:r>
      <w:r>
        <w:t xml:space="preserve">  The president attempted to compensate those displaced through land and monetary reparation. However, they felt the amount of R1, 472 </w:t>
      </w:r>
      <w:r>
        <w:lastRenderedPageBreak/>
        <w:t>per displaced family was not sufficient.</w:t>
      </w:r>
      <w:r>
        <w:rPr>
          <w:rStyle w:val="FootnoteReference"/>
        </w:rPr>
        <w:footnoteReference w:id="248"/>
      </w:r>
      <w:r>
        <w:t xml:space="preserve"> Compensation was given to 104 </w:t>
      </w:r>
      <w:r w:rsidRPr="00744351">
        <w:rPr>
          <w:i/>
        </w:rPr>
        <w:t xml:space="preserve">oorlamse </w:t>
      </w:r>
      <w:r>
        <w:t>families who resided on the Welgeval farm for over a century - they were given R230 000 for the demolition of their church, school and houses and an additional R153 000 for the land itself. This was considered inadequate by the displaced people.</w:t>
      </w:r>
      <w:r>
        <w:rPr>
          <w:rStyle w:val="FootnoteReference"/>
        </w:rPr>
        <w:footnoteReference w:id="249"/>
      </w:r>
      <w:r>
        <w:t xml:space="preserve"> </w:t>
      </w:r>
    </w:p>
    <w:p w14:paraId="3D569B70" w14:textId="77777777" w:rsidR="002F536C" w:rsidRDefault="002F536C" w:rsidP="002F536C">
      <w:r>
        <w:t>Pilane believed that Sun City held no benefit to the local communities or to his people as employment would go to outsiders (employment at Sun City did benefit individuals from outside of Bophuthatswana more). This view was not only held by him, but also by the neighbouring community of the Bakubung. Time proved Pilane correct, and the revenue the communities received from tourism was minimal, despite promises from Bophuthatswana and Pilanesberg National Park officials. No monetary compensation for the displacement of people was given to the community, despite assurances from Mangope and the Parks Board.</w:t>
      </w:r>
      <w:r>
        <w:rPr>
          <w:rStyle w:val="FootnoteReference"/>
        </w:rPr>
        <w:footnoteReference w:id="250"/>
      </w:r>
    </w:p>
    <w:p w14:paraId="3E95E6AA" w14:textId="77777777" w:rsidR="002F536C" w:rsidRDefault="002F536C" w:rsidP="002F536C">
      <w:r>
        <w:t>The addition of a national game park to Bophuthatswana’s list of tourist attractions earned the bantustan acclaim within environmentalist circles.</w:t>
      </w:r>
      <w:r>
        <w:rPr>
          <w:rStyle w:val="FootnoteReference"/>
        </w:rPr>
        <w:footnoteReference w:id="251"/>
      </w:r>
      <w:r>
        <w:t xml:space="preserve"> The Pilanesberg National Park filled the hopes of Mangope that “[Bophuthatswana may] emerge as the shining example of how wildlife management should be practiced in Africa”. </w:t>
      </w:r>
      <w:r>
        <w:rPr>
          <w:rStyle w:val="FootnoteReference"/>
        </w:rPr>
        <w:footnoteReference w:id="252"/>
      </w:r>
      <w:r>
        <w:t xml:space="preserve"> There was significant international exposure for the region. However, it would be incorrect to associate the Pilanesberg National Park solely with its successful ecological project, for its local legacy reflects a history of land dispossession and forced removals, as noted above.</w:t>
      </w:r>
      <w:r>
        <w:rPr>
          <w:rStyle w:val="FootnoteReference"/>
        </w:rPr>
        <w:footnoteReference w:id="253"/>
      </w:r>
      <w:r>
        <w:t xml:space="preserve"> At the same time, the creation of tourist businesses has resulted in many African communities </w:t>
      </w:r>
      <w:r w:rsidR="0037261F">
        <w:t>settling</w:t>
      </w:r>
      <w:r>
        <w:t xml:space="preserve"> in the area with the hope of finding employment from either Sun City or the national park. Following this policy, the baKgatla earn a 5% share of the daily gate profits. </w:t>
      </w:r>
    </w:p>
    <w:p w14:paraId="17BECC78" w14:textId="77777777" w:rsidR="002F536C" w:rsidRPr="00E011BF" w:rsidRDefault="002F536C" w:rsidP="002F536C">
      <w:r>
        <w:t>Sun City and the Pilanesberg National Park boosted development in the Pilanesberg area through the growth of infrastructure and influx of tourists</w:t>
      </w:r>
      <w:r w:rsidR="00107822">
        <w:t>.</w:t>
      </w:r>
      <w:r>
        <w:t xml:space="preserve"> The park was responsible for the paving of the road from The Bakgatla gate into Saulspoort, which serves many tourists. The renovation of the baKgatla Mphebatho Musuem in Moruleng in the 1990s was sponsored by the national park and Sun City.</w:t>
      </w:r>
      <w:r>
        <w:rPr>
          <w:rStyle w:val="FootnoteReference"/>
        </w:rPr>
        <w:footnoteReference w:id="254"/>
      </w:r>
      <w:r>
        <w:t xml:space="preserve"> However, the displacement of local communities and the </w:t>
      </w:r>
      <w:r>
        <w:lastRenderedPageBreak/>
        <w:t>continued prolonged fight for compensation has limited the benefits of the tourist developments. The park did not provide income for the communities as promised.</w:t>
      </w:r>
    </w:p>
    <w:p w14:paraId="0DB6E0BA" w14:textId="77777777" w:rsidR="002F536C" w:rsidRDefault="002F536C" w:rsidP="002F536C">
      <w:pPr>
        <w:pStyle w:val="Heading2"/>
        <w:numPr>
          <w:ilvl w:val="0"/>
          <w:numId w:val="0"/>
        </w:numPr>
        <w:ind w:left="578" w:hanging="578"/>
      </w:pPr>
      <w:bookmarkStart w:id="42" w:name="_Toc459702971"/>
      <w:bookmarkStart w:id="43" w:name="_Toc488481723"/>
      <w:r>
        <w:t>Conclusion</w:t>
      </w:r>
      <w:bookmarkEnd w:id="42"/>
      <w:bookmarkEnd w:id="43"/>
    </w:p>
    <w:p w14:paraId="3BD7FDD6" w14:textId="77777777" w:rsidR="00DA0DFD" w:rsidRDefault="002F536C" w:rsidP="002F536C">
      <w:r>
        <w:t xml:space="preserve">There were a host of attractions that brought tourists, both local and international, through the gates of Sun City during its first decade and a half of operation. There were a variety of </w:t>
      </w:r>
      <w:r w:rsidR="0037261F" w:rsidRPr="0037261F">
        <w:t>salacious plea</w:t>
      </w:r>
      <w:r w:rsidR="0037261F">
        <w:t xml:space="preserve">sures </w:t>
      </w:r>
      <w:r>
        <w:t xml:space="preserve">on offer, from the illicit sale of black bodies, on stage in revue shows and through prostitution, to gambling. Despite the racially integrated policies of Bophuthatswana and Sun City, </w:t>
      </w:r>
      <w:r w:rsidR="00DA0DFD">
        <w:t>most</w:t>
      </w:r>
      <w:r>
        <w:t xml:space="preserve"> Sun City’s visitors were white South Africans and the number of black guests was limited to the black elite and members of Mangope’s government. However, there is some evidence of day visitors from Bophuthatswana and </w:t>
      </w:r>
      <w:r w:rsidR="0037261F">
        <w:t xml:space="preserve">South Africa </w:t>
      </w:r>
      <w:r w:rsidR="00107822">
        <w:t>during the 1980</w:t>
      </w:r>
      <w:r>
        <w:t xml:space="preserve">s. </w:t>
      </w:r>
    </w:p>
    <w:p w14:paraId="6831D268" w14:textId="77777777" w:rsidR="002F536C" w:rsidRDefault="002F536C" w:rsidP="002F536C">
      <w:r>
        <w:t xml:space="preserve">The gambling facilities proved to be the biggest attraction at Sun City, with large crowds also drawn to the topless revue shows. Sun City, as a unique tourist venue, provided a space for white South Africans to engage in activities that both promoted their national identity and questioned its foundation. As one of the apartheid era’s most popular tourist venues, Sun City encouraged its South African patrons to negotiate their identity and experiment with racial integration. However, this was limited as </w:t>
      </w:r>
      <w:r w:rsidR="00DA0DFD">
        <w:t>most</w:t>
      </w:r>
      <w:r>
        <w:t xml:space="preserve"> tourists were white South Africans, who interacted primarily with black service industry personnel. Sun City projected an image of racial integration, but most</w:t>
      </w:r>
      <w:r w:rsidR="00DA0DFD">
        <w:t xml:space="preserve"> </w:t>
      </w:r>
      <w:r>
        <w:t xml:space="preserve">of this occurred through illegal interracial sex work. </w:t>
      </w:r>
      <w:r w:rsidR="00F850DB">
        <w:t xml:space="preserve">It is difficult to quantify the levels of illicit sexual contact, due to the nature of sex work. Further, the premise of Sun City as integrated space may have been a marketing gimmick employed by Southern Sun. </w:t>
      </w:r>
      <w:r>
        <w:t xml:space="preserve">The Pilanesberg National Park also provided another attraction to the area. Sun City and the Pilanesberg National Park formed a mutually beneficial relationship drawing tourists with the hopes of a combination holiday. Both sites had promised to provide large-scale employment and develop infrastructure for the area; however, the 1984 Keenan report showed that the former had not been realised. </w:t>
      </w:r>
    </w:p>
    <w:p w14:paraId="5A61CD8D" w14:textId="77777777" w:rsidR="002F536C" w:rsidRDefault="002F536C" w:rsidP="002F536C"/>
    <w:p w14:paraId="75177808" w14:textId="77777777" w:rsidR="002F536C" w:rsidRDefault="002F536C" w:rsidP="002F536C"/>
    <w:p w14:paraId="2064B4A2" w14:textId="77777777" w:rsidR="002F536C" w:rsidRDefault="002F536C" w:rsidP="002F536C"/>
    <w:p w14:paraId="527269B7" w14:textId="77777777" w:rsidR="002F536C" w:rsidRDefault="002F536C" w:rsidP="002F536C"/>
    <w:p w14:paraId="0A4E7A89" w14:textId="77777777" w:rsidR="002F536C" w:rsidRPr="000716F5" w:rsidRDefault="002F536C" w:rsidP="000C462B">
      <w:pPr>
        <w:pStyle w:val="Heading1"/>
        <w:numPr>
          <w:ilvl w:val="0"/>
          <w:numId w:val="0"/>
        </w:numPr>
        <w:jc w:val="center"/>
        <w:rPr>
          <w:i/>
        </w:rPr>
      </w:pPr>
      <w:bookmarkStart w:id="44" w:name="_Toc488481724"/>
      <w:r>
        <w:lastRenderedPageBreak/>
        <w:t xml:space="preserve">CHAPTER FOUR: </w:t>
      </w:r>
      <w:r>
        <w:rPr>
          <w:i/>
        </w:rPr>
        <w:t>Boycotting Sin City</w:t>
      </w:r>
      <w:bookmarkEnd w:id="44"/>
    </w:p>
    <w:p w14:paraId="7FBF8034" w14:textId="77777777" w:rsidR="002F536C" w:rsidRDefault="002F536C" w:rsidP="002F536C">
      <w:pPr>
        <w:pStyle w:val="Heading2"/>
        <w:numPr>
          <w:ilvl w:val="0"/>
          <w:numId w:val="0"/>
        </w:numPr>
        <w:ind w:left="578" w:hanging="578"/>
      </w:pPr>
      <w:bookmarkStart w:id="45" w:name="_Toc459702973"/>
      <w:bookmarkStart w:id="46" w:name="_Toc488481725"/>
      <w:bookmarkStart w:id="47" w:name="_Toc441506833"/>
      <w:r>
        <w:t>Introduction</w:t>
      </w:r>
      <w:bookmarkEnd w:id="45"/>
      <w:bookmarkEnd w:id="46"/>
    </w:p>
    <w:p w14:paraId="70A6520F" w14:textId="77777777" w:rsidR="002F536C" w:rsidRDefault="002F536C" w:rsidP="002F536C">
      <w:pPr>
        <w:pStyle w:val="Subtitle"/>
      </w:pPr>
      <w:r w:rsidRPr="006C0F59">
        <w:t>The [Million Dollar] golf tournament was aimed at acquainting more of the world with Sun City - not with its golfing facilities but with its gaming tables ‘and other attractions.’ It's an old gimmick of the casino operators: get the celebrities in for the publicity they generate</w:t>
      </w:r>
      <w:r w:rsidRPr="00D63745">
        <w:t>.</w:t>
      </w:r>
    </w:p>
    <w:p w14:paraId="37A6FD5D" w14:textId="77777777" w:rsidR="002F536C" w:rsidRDefault="002F536C" w:rsidP="002F536C">
      <w:pPr>
        <w:pStyle w:val="Subtitle"/>
        <w:jc w:val="right"/>
        <w:rPr>
          <w:lang w:val="en-US"/>
        </w:rPr>
      </w:pPr>
      <w:r>
        <w:rPr>
          <w:lang w:val="en-US"/>
        </w:rPr>
        <w:t xml:space="preserve"> ‘The Tempting Invitations of Sun City.’ </w:t>
      </w:r>
      <w:r>
        <w:rPr>
          <w:i/>
          <w:lang w:val="en-US"/>
        </w:rPr>
        <w:t xml:space="preserve">The Washington Post, </w:t>
      </w:r>
      <w:r>
        <w:rPr>
          <w:lang w:val="en-US"/>
        </w:rPr>
        <w:t>1983.</w:t>
      </w:r>
    </w:p>
    <w:p w14:paraId="1C52B2A0" w14:textId="77777777" w:rsidR="002F536C" w:rsidRDefault="00505A1B" w:rsidP="002F536C">
      <w:r>
        <w:t>South Africa</w:t>
      </w:r>
      <w:r w:rsidR="002F536C">
        <w:t xml:space="preserve"> had been subject to a sports boycott since 1963, when it was first banned from the Olympic Games. The boycott of South Africa extended to a cultural moratorium on artists and musicians, economic sanctions (which restricted South African economic growth after the 1960s) and an arms and oil embargo. Sun City provided white South Africans with an opportunity to escape the increasing isolation they felt from the international community.  E.S. Reddy, Director of the UN Centre Against Apartheid, stated that</w:t>
      </w:r>
    </w:p>
    <w:p w14:paraId="2B9B75CC" w14:textId="77777777" w:rsidR="002F536C" w:rsidRDefault="002F536C" w:rsidP="002F536C">
      <w:pPr>
        <w:pStyle w:val="Subtitle"/>
      </w:pPr>
      <w:r>
        <w:t>The issue of apartheid in sport is certainly not the most crucial - like the military and economic collaboration with the racist regime - but has a special significance.</w:t>
      </w:r>
      <w:r>
        <w:rPr>
          <w:rStyle w:val="FootnoteReference"/>
        </w:rPr>
        <w:footnoteReference w:id="255"/>
      </w:r>
    </w:p>
    <w:p w14:paraId="0602EC81" w14:textId="77777777" w:rsidR="002F536C" w:rsidRPr="00B82754" w:rsidRDefault="002F536C" w:rsidP="002F536C">
      <w:pPr>
        <w:rPr>
          <w:lang w:val="en-US"/>
        </w:rPr>
      </w:pPr>
      <w:r>
        <w:rPr>
          <w:lang w:val="en-US"/>
        </w:rPr>
        <w:t>T</w:t>
      </w:r>
      <w:r w:rsidR="00202C82">
        <w:rPr>
          <w:lang w:val="en-US"/>
        </w:rPr>
        <w:t>he South African and Afrikaner n</w:t>
      </w:r>
      <w:r>
        <w:rPr>
          <w:lang w:val="en-US"/>
        </w:rPr>
        <w:t>ationalist identities have historically been centered on the love of sports and sporting team</w:t>
      </w:r>
      <w:r w:rsidR="00FA40DD">
        <w:rPr>
          <w:lang w:val="en-US"/>
        </w:rPr>
        <w:t>s</w:t>
      </w:r>
      <w:r>
        <w:rPr>
          <w:lang w:val="en-US"/>
        </w:rPr>
        <w:t xml:space="preserve">. Nixon </w:t>
      </w:r>
      <w:r>
        <w:t>explains that the apartheid sporting isolation caused immense frustration. National rugby, cricket and soccer teams were denied national representation, where international sporting competitions serve as a means of national redefinition and pride.</w:t>
      </w:r>
      <w:r>
        <w:rPr>
          <w:rStyle w:val="FootnoteReference"/>
        </w:rPr>
        <w:footnoteReference w:id="256"/>
      </w:r>
      <w:r>
        <w:rPr>
          <w:lang w:val="en-US"/>
        </w:rPr>
        <w:t xml:space="preserve"> </w:t>
      </w:r>
      <w:r>
        <w:t xml:space="preserve">A major tourist drawcard for Bophuthatswana and </w:t>
      </w:r>
      <w:r w:rsidRPr="00214A42">
        <w:t>Sun</w:t>
      </w:r>
      <w:r>
        <w:t xml:space="preserve"> City, aside from gambling, was its entertainment and sporting attractions. From international music personalities to heavyweight boxing champions and the world’s best golfers, Kerzner managed to skirt around South Africa’s sanctions and sports, cultural and academic boycotts to bring global entertainment to the South African bushveld. President Lucas Mangope utilised the opportunity to promote the myth of the bantustan’s sovereignty and independence. </w:t>
      </w:r>
    </w:p>
    <w:p w14:paraId="3937B8BA" w14:textId="77777777" w:rsidR="002F536C" w:rsidRPr="00B82754" w:rsidRDefault="002F536C" w:rsidP="002F536C">
      <w:pPr>
        <w:tabs>
          <w:tab w:val="left" w:pos="2835"/>
        </w:tabs>
      </w:pPr>
      <w:r>
        <w:t xml:space="preserve">As international artists, such </w:t>
      </w:r>
      <w:r w:rsidR="00396630">
        <w:t xml:space="preserve">as </w:t>
      </w:r>
      <w:r>
        <w:t xml:space="preserve">Frank Sinatra, </w:t>
      </w:r>
      <w:r w:rsidR="006F3AD9">
        <w:t>Lisa</w:t>
      </w:r>
      <w:r>
        <w:t xml:space="preserve"> Minelli, Queen, and high stakes international sporting competitions took places at Sun City, the UN and international human rights organisations banded together in response. From the United Kingdom to the United States, it</w:t>
      </w:r>
      <w:r w:rsidR="00505A1B">
        <w:t xml:space="preserve"> had</w:t>
      </w:r>
      <w:r>
        <w:t xml:space="preserve"> become </w:t>
      </w:r>
      <w:r>
        <w:rPr>
          <w:i/>
        </w:rPr>
        <w:t xml:space="preserve">in vogue </w:t>
      </w:r>
      <w:r>
        <w:t xml:space="preserve">to be anti-apartheid during the 1980s. </w:t>
      </w:r>
    </w:p>
    <w:p w14:paraId="29B68353" w14:textId="77777777" w:rsidR="002F536C" w:rsidRDefault="002F536C" w:rsidP="002F536C">
      <w:r>
        <w:lastRenderedPageBreak/>
        <w:t xml:space="preserve">This chapter outlines the cultural and sporting boycotts South Africa faced in relation to Sun City. Firstly, its analyses the international responses to music events at Sun City and the </w:t>
      </w:r>
      <w:r w:rsidR="00FA40DD">
        <w:t>way</w:t>
      </w:r>
      <w:r>
        <w:t xml:space="preserve"> the cultural boycott was used to place pressure on the apartheid government and, Sun International. Secondly, it looks at the variety of sporting events hosted at Sun City and how this was used to promote both Sun City and Bophuthatswana. It analyses the condemnation of athletes</w:t>
      </w:r>
      <w:r w:rsidR="00505A1B">
        <w:t xml:space="preserve"> and artists</w:t>
      </w:r>
      <w:r>
        <w:t xml:space="preserve"> who chose to compete</w:t>
      </w:r>
      <w:r w:rsidR="00505A1B">
        <w:t xml:space="preserve"> and perform</w:t>
      </w:r>
      <w:r>
        <w:t xml:space="preserve"> at Sun City. This chapter relies heavily on oral sources and archival documents from the</w:t>
      </w:r>
      <w:r w:rsidRPr="00401855">
        <w:t xml:space="preserve"> African Activist Archive </w:t>
      </w:r>
      <w:r>
        <w:t xml:space="preserve">at Michigan State University’s archive. </w:t>
      </w:r>
    </w:p>
    <w:p w14:paraId="59D8D321" w14:textId="77777777" w:rsidR="002F536C" w:rsidRDefault="002F536C" w:rsidP="002F536C">
      <w:pPr>
        <w:pStyle w:val="Heading2"/>
        <w:numPr>
          <w:ilvl w:val="0"/>
          <w:numId w:val="0"/>
        </w:numPr>
        <w:ind w:left="578" w:hanging="578"/>
      </w:pPr>
      <w:bookmarkStart w:id="48" w:name="_Toc488481726"/>
      <w:bookmarkEnd w:id="47"/>
      <w:r>
        <w:t>Performing at the Superbowl</w:t>
      </w:r>
      <w:bookmarkEnd w:id="48"/>
    </w:p>
    <w:p w14:paraId="6E2879DE" w14:textId="77777777" w:rsidR="002F536C" w:rsidRDefault="002F536C" w:rsidP="002F536C">
      <w:r>
        <w:t>Research by Martha Evan</w:t>
      </w:r>
      <w:r w:rsidR="00505A1B">
        <w:t>s</w:t>
      </w:r>
      <w:r>
        <w:t xml:space="preserve"> </w:t>
      </w:r>
      <w:r w:rsidR="00505A1B">
        <w:t>illustrated</w:t>
      </w:r>
      <w:r>
        <w:t xml:space="preserve"> that protests and appeals for non-racialism in sport in South Africa </w:t>
      </w:r>
      <w:r w:rsidR="00FA40DD">
        <w:t>dates to</w:t>
      </w:r>
      <w:r>
        <w:t xml:space="preserve"> the 1950s, with the formation of organisations such as the Committee for International Recognition for Black Sportsmen in 1955 and the South African Sports Association (SASA) in 1958. Meanwhile, international pressure was mounting from sporting federations for South Africa to be excluded from international competitions. However, mass action bega</w:t>
      </w:r>
      <w:r w:rsidR="00505A1B">
        <w:t>n in 1963 when the South Africa</w:t>
      </w:r>
      <w:r>
        <w:t xml:space="preserve"> Non-Racial Olympic Committee (SAN-ROC) was formed in South Africa. While their activities were limited to the borders of South Africa, the British Anti-Apartheid Movement (AAM) began to lobby for the international exclusion of South Africa from sport. In 1964 South </w:t>
      </w:r>
      <w:r w:rsidRPr="003C4B06">
        <w:t>Africa w</w:t>
      </w:r>
      <w:r>
        <w:t>as</w:t>
      </w:r>
      <w:r w:rsidRPr="003C4B06">
        <w:t xml:space="preserve"> forced to withdra</w:t>
      </w:r>
      <w:r>
        <w:t>w from the Tokyo Olympics.</w:t>
      </w:r>
      <w:r>
        <w:rPr>
          <w:rStyle w:val="FootnoteReference"/>
        </w:rPr>
        <w:footnoteReference w:id="257"/>
      </w:r>
      <w:r>
        <w:t xml:space="preserve"> South Africa was admitted to the following Olympics held in Mexico, </w:t>
      </w:r>
      <w:r w:rsidR="00FA40DD">
        <w:t>even though</w:t>
      </w:r>
      <w:r>
        <w:t xml:space="preserve"> the team South African put forward was multiracial, fellow competing nations threatened to boycott over the Olympic committee’s decision to readmit South Africa into the competition. South Africa was still a racially divided country and the proposed multiracial team would have been chosen at segregated trials. South Africa was denied entry to the Olympic games in 1968.</w:t>
      </w:r>
      <w:r>
        <w:rPr>
          <w:rStyle w:val="FootnoteReference"/>
        </w:rPr>
        <w:footnoteReference w:id="258"/>
      </w:r>
      <w:r>
        <w:t xml:space="preserve"> </w:t>
      </w:r>
    </w:p>
    <w:p w14:paraId="21D83488" w14:textId="77777777" w:rsidR="002F536C" w:rsidRDefault="002F536C" w:rsidP="002F536C">
      <w:r>
        <w:t>In 1980 the United Nations passed resolution 25/206 which stated:</w:t>
      </w:r>
    </w:p>
    <w:p w14:paraId="7E641B0C" w14:textId="77777777" w:rsidR="002F536C" w:rsidRDefault="002F536C" w:rsidP="002F536C">
      <w:pPr>
        <w:pStyle w:val="Subtitle"/>
      </w:pPr>
      <w:r>
        <w:rPr>
          <w:shd w:val="clear" w:color="auto" w:fill="FFFFFF"/>
        </w:rPr>
        <w:t>The United Nations General Assembly requests all states to prevent all cultural, academic, sporting and other exchanges with South Africa. Appeals to writers, artists, musicians and other personalities to boycott South Africa. Urges all academic and cultural institutions to terminate all links with South</w:t>
      </w:r>
      <w:r>
        <w:rPr>
          <w:rStyle w:val="apple-converted-space"/>
          <w:rFonts w:ascii="Georgia" w:hAnsi="Georgia"/>
          <w:color w:val="333333"/>
          <w:sz w:val="27"/>
          <w:szCs w:val="27"/>
          <w:shd w:val="clear" w:color="auto" w:fill="FFFFFF"/>
        </w:rPr>
        <w:t> </w:t>
      </w:r>
      <w:hyperlink r:id="rId19" w:history="1">
        <w:r w:rsidRPr="008E3944">
          <w:t>Africa</w:t>
        </w:r>
      </w:hyperlink>
      <w:r w:rsidRPr="008E3944">
        <w:t>.</w:t>
      </w:r>
      <w:r>
        <w:rPr>
          <w:rStyle w:val="FootnoteReference"/>
        </w:rPr>
        <w:footnoteReference w:id="259"/>
      </w:r>
    </w:p>
    <w:p w14:paraId="616E8CCD" w14:textId="77777777" w:rsidR="002F536C" w:rsidRDefault="002F536C" w:rsidP="002F536C">
      <w:r>
        <w:lastRenderedPageBreak/>
        <w:t>This resolution include</w:t>
      </w:r>
      <w:r w:rsidR="00505A1B">
        <w:t>d</w:t>
      </w:r>
      <w:r>
        <w:t xml:space="preserve"> a cultural boycott and sought to keep a record of all artists and athletes who broke the boycott. The UN sanctioned boycott forced Kerzner to pay millions of dollars to attract international entertainers to Sun City. In July 1981, he paid Frank Sinatra $2 million for nine shows at Sun City, charging an average of $45 a seat. </w:t>
      </w:r>
      <w:r w:rsidR="00C51543">
        <w:t xml:space="preserve">Sinatra was the first international star to perform at Sun City. </w:t>
      </w:r>
      <w:r>
        <w:t>Multiple coaches and aeroplanes were filled daily and shuttled people over to Sun City as white South Africans were desperate to r</w:t>
      </w:r>
      <w:r w:rsidR="00AA0B14">
        <w:t>eceive a taste of life “outside”</w:t>
      </w:r>
      <w:r>
        <w:t xml:space="preserve"> of South Africa. </w:t>
      </w:r>
    </w:p>
    <w:p w14:paraId="691C6E9C" w14:textId="77777777" w:rsidR="002F536C" w:rsidRDefault="002F536C" w:rsidP="002F536C">
      <w:r>
        <w:t>The first UN register of artists that had performed in South Africa was published in 1983 and was designed to publicly shame performers who broke the boycott. The following year, in 1984, the United Kingdom had 127 names on the UN collaborators’ list and the United States followed with an additional 103 names. The artists included Elton John, Shirley Bassey, Cliff Richard and many more. Other artists elected to write an admission of misjudgement and a pledge not to return to South Africa and Sun City – this saw their names removed from the list. Celebrities who followed this route included Goldie Hawn and Tina Turner, amongst others.</w:t>
      </w:r>
      <w:r>
        <w:rPr>
          <w:rStyle w:val="FootnoteReference"/>
        </w:rPr>
        <w:footnoteReference w:id="260"/>
      </w:r>
      <w:r>
        <w:t xml:space="preserve"> </w:t>
      </w:r>
    </w:p>
    <w:p w14:paraId="02CC4439" w14:textId="77777777" w:rsidR="002F536C" w:rsidRDefault="002F536C" w:rsidP="002F536C">
      <w:r>
        <w:t>The Azanian People’s Organisation (AZAPO), a black consciousness aligned organisatio</w:t>
      </w:r>
      <w:r w:rsidR="00AA0B14">
        <w:t>n, was renowned for its strict “</w:t>
      </w:r>
      <w:r>
        <w:t>isolate South Africa</w:t>
      </w:r>
      <w:r w:rsidR="00AA0B14">
        <w:t>”</w:t>
      </w:r>
      <w:r>
        <w:t xml:space="preserve"> philosophy, which they applied to touring groups such as the British soccer team and Frank Sinatra. Khehla Mthembu, AZAPO’s president, said that it did not matter whether Sinatra’s concerts were in Bophuthatswana or in South Africa, and that all South Africans had to make sacrifices and forgo entertainment for a greater cause. He stated in 1981 that the UN and various organisations in the United States had been fighting against apartheid, but it was time that South Africans fought for their own cause. He urged South Africans to boycott Frank Sinatra’s concerts in July 1981.</w:t>
      </w:r>
      <w:r>
        <w:rPr>
          <w:rStyle w:val="FootnoteReference"/>
        </w:rPr>
        <w:footnoteReference w:id="261"/>
      </w:r>
    </w:p>
    <w:p w14:paraId="7161E13F" w14:textId="77777777" w:rsidR="002F536C" w:rsidRDefault="002F536C" w:rsidP="002F536C">
      <w:r>
        <w:t xml:space="preserve">The request for the boycott came from black South Africans </w:t>
      </w:r>
      <w:r w:rsidR="008841AB">
        <w:t>themselves, that</w:t>
      </w:r>
      <w:r>
        <w:t xml:space="preserve"> is those directly affected by apartheid. They did not want international artists to perform in South Africa, in the bantustans, in Sun City and be entertained </w:t>
      </w:r>
      <w:r w:rsidR="00FA6A91">
        <w:t>during</w:t>
      </w:r>
      <w:r>
        <w:t xml:space="preserve"> the oppression. This applied to their </w:t>
      </w:r>
      <w:r w:rsidR="00AA0B14">
        <w:t>oppressors too. It was seen as “entertaining apartheid”</w:t>
      </w:r>
      <w:r>
        <w:t>.</w:t>
      </w:r>
      <w:r>
        <w:rPr>
          <w:rStyle w:val="FootnoteReference"/>
        </w:rPr>
        <w:footnoteReference w:id="262"/>
      </w:r>
      <w:r>
        <w:t xml:space="preserve"> </w:t>
      </w:r>
    </w:p>
    <w:p w14:paraId="530B23FA" w14:textId="77777777" w:rsidR="00C51543" w:rsidRDefault="002F536C" w:rsidP="002F536C">
      <w:r>
        <w:lastRenderedPageBreak/>
        <w:t xml:space="preserve">Sinatra’s choice to perform in a space that the UN did not recognise as a sovereign nation harmed his reputation. Global reaction to the announcement of Sinatra’s appearance at Sun City was almost immediate. A press release by Sinatra’s team stated that his performance at Sun City would encourage other artists to travel to the bantustan. This was due to the perception that Bophuthatswana was located within South Africa, Sinatra hoped that his performance would educate other artists. Sinatra’s PR representative clearly delineated Bophuthatswana as a separate territory from South Africa. The lack of political awareness demonstrated by Sinatra and his agent angered many. Anti-apartheid groups felt that Sinatra’s visit to Bophuthatswana would encourage artists to venture across the homelands’ borders and perpetuate the illusion of bantustans as legitimate states. </w:t>
      </w:r>
    </w:p>
    <w:p w14:paraId="6D700290" w14:textId="77777777" w:rsidR="002F536C" w:rsidRDefault="002F536C" w:rsidP="002F536C">
      <w:r>
        <w:t>Through Sinatra, Mangope achieved what he hoped Sun City and the various events would achieve - Bophuthatswana received an endorsement from an internationally renowned figure. The interracial audience to which Sinatra’s press agent referred was often misleadingly organised by Sun City to give audiences the perception of an integrated audience.</w:t>
      </w:r>
      <w:r>
        <w:rPr>
          <w:rStyle w:val="FootnoteReference"/>
        </w:rPr>
        <w:footnoteReference w:id="263"/>
      </w:r>
      <w:r>
        <w:t xml:space="preserve"> </w:t>
      </w:r>
      <w:r w:rsidR="005D7B1E" w:rsidRPr="005D7B1E">
        <w:t xml:space="preserve"> While a small number of black attended out of their own choice</w:t>
      </w:r>
      <w:r w:rsidR="005D7B1E">
        <w:t>, i</w:t>
      </w:r>
      <w:r>
        <w:t>n reality, several tickets were provided to black people to attend concerts and increase the quotas, providing the correct image.</w:t>
      </w:r>
      <w:r>
        <w:rPr>
          <w:rStyle w:val="FootnoteReference"/>
        </w:rPr>
        <w:footnoteReference w:id="264"/>
      </w:r>
      <w:r>
        <w:t xml:space="preserve"> Liberal white South Africans travelling to Sun City could also assuage themselves that although they were supporting artists that defied the cultural boycott, they were doing so in an integrated environment. This tactic employed by Sinatra to stave off criticism for playing in the pseudo-state, was also used by many artists who claimed they were playing to a multiracial audience. </w:t>
      </w:r>
      <w:r w:rsidR="00FA6A91">
        <w:t>Most</w:t>
      </w:r>
      <w:r>
        <w:t xml:space="preserve"> of Bophuthatswana’s residents could not afford high-ticket prices</w:t>
      </w:r>
      <w:r>
        <w:rPr>
          <w:rStyle w:val="FootnoteReference"/>
        </w:rPr>
        <w:footnoteReference w:id="265"/>
      </w:r>
      <w:r>
        <w:t xml:space="preserve"> </w:t>
      </w:r>
    </w:p>
    <w:p w14:paraId="7D1F38DB" w14:textId="77777777" w:rsidR="002F536C" w:rsidRDefault="002F536C" w:rsidP="002F536C">
      <w:r>
        <w:t xml:space="preserve">Singer </w:t>
      </w:r>
      <w:r w:rsidR="006F3AD9">
        <w:t>Lisa</w:t>
      </w:r>
      <w:r>
        <w:t xml:space="preserve"> Minelli also attracted large audiences just fourteen months after Sinatra graced the Superbowl stage. Tickets retailed for approximately $45, but it was only part of the night’s expenses for many who also gambled at the resort’s casinos. The Friday night concert was sold out, with mostly white South Africans in attendance and less than 200 black people in the 6,000-seater auditorium. Southern Sun admitted to handing out a few cheap seats located at the </w:t>
      </w:r>
      <w:r w:rsidR="00C51543">
        <w:t>back</w:t>
      </w:r>
      <w:r>
        <w:t xml:space="preserve"> to black people. Minelli pleaded ignorance and a representative stated that </w:t>
      </w:r>
      <w:r>
        <w:lastRenderedPageBreak/>
        <w:t>she knew nothing about the South African tribal bantustans; Sun City was just a performance.</w:t>
      </w:r>
      <w:r>
        <w:rPr>
          <w:rStyle w:val="FootnoteReference"/>
        </w:rPr>
        <w:footnoteReference w:id="266"/>
      </w:r>
      <w:r>
        <w:t xml:space="preserve"> </w:t>
      </w:r>
    </w:p>
    <w:p w14:paraId="31D53527" w14:textId="77777777" w:rsidR="002F536C" w:rsidRDefault="002F536C" w:rsidP="002F536C">
      <w:r>
        <w:t>The rock band Queen travelled to Bophuthatswana in 1985 to play a series of shows to their die-hard fans. The band justified their trip to the homeland by claiming that they were apolitical and they would travel wherever their fans wanted them. Their shows at Sun City landed them on the UN list of blacklisted artists until apartheid ended nearly a decade later. The British Musicians’ Union fined the band and Queen were seen by many as pariahs.</w:t>
      </w:r>
      <w:r>
        <w:rPr>
          <w:rStyle w:val="FootnoteReference"/>
        </w:rPr>
        <w:footnoteReference w:id="267"/>
      </w:r>
      <w:r>
        <w:t xml:space="preserve"> </w:t>
      </w:r>
    </w:p>
    <w:p w14:paraId="5B64DBED" w14:textId="77777777" w:rsidR="002F536C" w:rsidRDefault="002F536C" w:rsidP="002F536C">
      <w:r>
        <w:t>Black artists such as Tina Turner, The O’Jays, Curtis Mayfield, and Kool and the Gang ignored the boycott and travelled to Bophuthatswana to perform at Sun City. The era in which Sun City began to offer black artists a chance to perform was a pivotal time period of protest against the United States government, given the Re</w:t>
      </w:r>
      <w:r w:rsidR="00396630">
        <w:t>a</w:t>
      </w:r>
      <w:r>
        <w:t xml:space="preserve">gan’s administration soft stance on apartheid. The end of the 1970s was a period in which black musicians </w:t>
      </w:r>
      <w:r w:rsidR="00FA6A91">
        <w:t>could</w:t>
      </w:r>
      <w:r>
        <w:t xml:space="preserve"> charge far higher prices and were making more money than ever before. In contrast to South Africa’s political and cultural isolation, Sol Kerzner’s offers were lucrative for a few nights’ performances in what was being promoted as a racially integrated and independent state. Many artists were ignorant of South African politics and the complexities of bantustan policies. Tina Turner, for example, deeply regretted her decision to perform at Sun City and la</w:t>
      </w:r>
      <w:r w:rsidR="00AA0B14">
        <w:t>ter admitted her naivety about African</w:t>
      </w:r>
      <w:r>
        <w:t xml:space="preserve"> politics.</w:t>
      </w:r>
      <w:r>
        <w:rPr>
          <w:rStyle w:val="FootnoteReference"/>
        </w:rPr>
        <w:footnoteReference w:id="268"/>
      </w:r>
    </w:p>
    <w:p w14:paraId="47560D3B" w14:textId="77777777" w:rsidR="002F536C" w:rsidRDefault="002F536C" w:rsidP="002F536C">
      <w:r>
        <w:t>There was immense pressure on African American artists to make a moral choice and support their brethren.  A number of black artists, including Roberta Flack, Gladys Knight, Joe Williams and the Jackson Five, turned down lucrative offers to perform at the Sun City Superbowl.</w:t>
      </w:r>
      <w:r>
        <w:rPr>
          <w:rStyle w:val="FootnoteReference"/>
        </w:rPr>
        <w:footnoteReference w:id="269"/>
      </w:r>
    </w:p>
    <w:p w14:paraId="4B466D1F" w14:textId="77777777" w:rsidR="002F536C" w:rsidRDefault="002F536C" w:rsidP="002F536C">
      <w:r>
        <w:t xml:space="preserve">In New York, the Patrice Lumumba Coalition (PLC, a segment of the Liberation Support Committee) organised protests against artists who had performed at Sun City. This African-American organisation, which took its name from the assassinated first Prime Minister of the Democratic Republic of the Congo, actively supported a cohort of a liberation movements such as the ANC (South Africa), SWAPO (Namibia), MPLA (Angola), FRELIMO </w:t>
      </w:r>
      <w:r>
        <w:lastRenderedPageBreak/>
        <w:t>(Mozambique) and ZANU (Zimbabwe).</w:t>
      </w:r>
      <w:r>
        <w:rPr>
          <w:rStyle w:val="FootnoteReference"/>
        </w:rPr>
        <w:footnoteReference w:id="270"/>
      </w:r>
      <w:r>
        <w:t xml:space="preserve"> The PLC took a strong stand on black artists and athletes among whom they felt that they </w:t>
      </w:r>
      <w:r w:rsidR="00FA6A91">
        <w:t>could</w:t>
      </w:r>
      <w:r>
        <w:t xml:space="preserve"> make an impact. The PLC felt that images depicted on television and newspapers, popular trends and superstars </w:t>
      </w:r>
      <w:r w:rsidR="00FA6A91">
        <w:t>can</w:t>
      </w:r>
      <w:r>
        <w:t xml:space="preserve"> influence public opinion and that black artists had a responsibility to fully expose apartheid.</w:t>
      </w:r>
      <w:r>
        <w:rPr>
          <w:rStyle w:val="FootnoteReference"/>
        </w:rPr>
        <w:footnoteReference w:id="271"/>
      </w:r>
      <w:r>
        <w:t xml:space="preserve"> It was these black artists that earned the most publicity, especially when they broke UN sanctions and were labelled </w:t>
      </w:r>
      <w:r w:rsidR="00AA0B14">
        <w:t>“</w:t>
      </w:r>
      <w:r>
        <w:t>collaborators</w:t>
      </w:r>
      <w:r w:rsidR="00AA0B14">
        <w:t>”</w:t>
      </w:r>
      <w:r>
        <w:t xml:space="preserve"> with the apartheid state and shamed for their lack of solidarity with their black brothers and sisters.</w:t>
      </w:r>
      <w:r>
        <w:rPr>
          <w:rStyle w:val="FootnoteReference"/>
        </w:rPr>
        <w:footnoteReference w:id="272"/>
      </w:r>
      <w:r>
        <w:t xml:space="preserve"> </w:t>
      </w:r>
    </w:p>
    <w:p w14:paraId="67D50C2F" w14:textId="77777777" w:rsidR="00C51543" w:rsidRDefault="002F536C" w:rsidP="002F536C">
      <w:pPr>
        <w:rPr>
          <w:rStyle w:val="SubtitleChar"/>
        </w:rPr>
      </w:pPr>
      <w:r>
        <w:t xml:space="preserve">Research by Freeman on black artists and Sun City focused on the formation of the </w:t>
      </w:r>
      <w:r w:rsidRPr="00323820">
        <w:t>Artists and Athletes Against Apartheid</w:t>
      </w:r>
      <w:r>
        <w:t>. The organisation was founded in September 1983 by African-American attorney Randall Robinson, and two other influential African American celebrities, Harry Belafonte</w:t>
      </w:r>
      <w:r w:rsidR="00C51543">
        <w:t>,</w:t>
      </w:r>
      <w:r>
        <w:t xml:space="preserve"> and tennis pro</w:t>
      </w:r>
      <w:r w:rsidR="00C51543">
        <w:t>,</w:t>
      </w:r>
      <w:r>
        <w:t xml:space="preserve"> Arthur Ashe</w:t>
      </w:r>
      <w:r w:rsidR="00C51543">
        <w:t>,</w:t>
      </w:r>
      <w:r>
        <w:t xml:space="preserve"> largely aimed at boycotting Sun City. This organisation made a significant statement about touring black sportsmen and artists to Sun City. Belafonte was especially outspoken and urged people of colour not go to South Africa; </w:t>
      </w:r>
    </w:p>
    <w:p w14:paraId="734163AD" w14:textId="77777777" w:rsidR="00C51543" w:rsidRDefault="00C51543" w:rsidP="00C51543">
      <w:pPr>
        <w:pStyle w:val="Subtitle"/>
      </w:pPr>
      <w:r>
        <w:rPr>
          <w:rStyle w:val="SubtitleChar"/>
        </w:rPr>
        <w:t>I</w:t>
      </w:r>
      <w:r w:rsidR="002F536C" w:rsidRPr="00C51543">
        <w:rPr>
          <w:rStyle w:val="SubtitleChar"/>
        </w:rPr>
        <w:t>f you go to Johannesburg or Sun City and play to audiences, extracting inordinate amounts of money for your services and leaving little behind, but your presence,</w:t>
      </w:r>
      <w:r>
        <w:rPr>
          <w:rStyle w:val="SubtitleChar"/>
        </w:rPr>
        <w:t xml:space="preserve"> you are encouraging apartheid.</w:t>
      </w:r>
      <w:r w:rsidR="002F536C" w:rsidRPr="00C51543">
        <w:rPr>
          <w:rStyle w:val="SubtitleChar"/>
          <w:vertAlign w:val="superscript"/>
        </w:rPr>
        <w:footnoteReference w:id="273"/>
      </w:r>
      <w:r w:rsidR="002F536C" w:rsidRPr="00C51543">
        <w:rPr>
          <w:vertAlign w:val="superscript"/>
        </w:rPr>
        <w:t xml:space="preserve"> </w:t>
      </w:r>
    </w:p>
    <w:p w14:paraId="2E99E6AD" w14:textId="77777777" w:rsidR="002F536C" w:rsidRDefault="002F536C" w:rsidP="002F536C">
      <w:r>
        <w:t>The group argued that the money artists earned in Sun City upheld apartheid as it institutionalised white control over black populations.</w:t>
      </w:r>
      <w:r>
        <w:rPr>
          <w:rStyle w:val="FootnoteReference"/>
        </w:rPr>
        <w:footnoteReference w:id="274"/>
      </w:r>
      <w:r>
        <w:t xml:space="preserve"> </w:t>
      </w:r>
    </w:p>
    <w:p w14:paraId="61333404" w14:textId="77777777" w:rsidR="002F536C" w:rsidRDefault="002F536C" w:rsidP="002F536C">
      <w:pPr>
        <w:pStyle w:val="Heading2"/>
        <w:numPr>
          <w:ilvl w:val="0"/>
          <w:numId w:val="0"/>
        </w:numPr>
        <w:ind w:left="578" w:hanging="578"/>
      </w:pPr>
      <w:bookmarkStart w:id="49" w:name="_Toc488481727"/>
      <w:r>
        <w:t xml:space="preserve">Protest Music: </w:t>
      </w:r>
      <w:r w:rsidR="008841AB">
        <w:t>‘</w:t>
      </w:r>
      <w:r w:rsidRPr="00C51543">
        <w:t>Sun City</w:t>
      </w:r>
      <w:r w:rsidR="008841AB">
        <w:t>’</w:t>
      </w:r>
      <w:bookmarkEnd w:id="49"/>
    </w:p>
    <w:p w14:paraId="045F6E00" w14:textId="77777777" w:rsidR="002F536C" w:rsidRPr="00492DDD" w:rsidRDefault="00492DDD" w:rsidP="002F536C">
      <w:pPr>
        <w:rPr>
          <w:rFonts w:cs="Times New Roman"/>
        </w:rPr>
      </w:pPr>
      <w:r>
        <w:rPr>
          <w:rFonts w:cs="Times New Roman"/>
        </w:rPr>
        <w:t>The era of</w:t>
      </w:r>
      <w:r w:rsidRPr="00776282">
        <w:rPr>
          <w:rFonts w:cs="Times New Roman"/>
        </w:rPr>
        <w:t xml:space="preserve"> anti-establishment music and movements, </w:t>
      </w:r>
      <w:r>
        <w:rPr>
          <w:rFonts w:cs="Times New Roman"/>
        </w:rPr>
        <w:t>such</w:t>
      </w:r>
      <w:r w:rsidRPr="00776282">
        <w:rPr>
          <w:rFonts w:cs="Times New Roman"/>
        </w:rPr>
        <w:t xml:space="preserve"> as Band Aid and ‘We are the World’</w:t>
      </w:r>
      <w:r>
        <w:rPr>
          <w:rFonts w:cs="Times New Roman"/>
        </w:rPr>
        <w:t xml:space="preserve">, </w:t>
      </w:r>
      <w:r w:rsidRPr="00776282">
        <w:rPr>
          <w:rFonts w:cs="Times New Roman"/>
        </w:rPr>
        <w:t>focused musical and media attention on war, poverty and famine</w:t>
      </w:r>
      <w:r>
        <w:rPr>
          <w:rFonts w:cs="Times New Roman"/>
        </w:rPr>
        <w:t xml:space="preserve">. In the same mould, </w:t>
      </w:r>
      <w:r w:rsidRPr="00776282">
        <w:rPr>
          <w:rFonts w:cs="Times New Roman"/>
        </w:rPr>
        <w:t>apartheid also took centre stage</w:t>
      </w:r>
      <w:r>
        <w:rPr>
          <w:rFonts w:cs="Times New Roman"/>
        </w:rPr>
        <w:t xml:space="preserve"> in the ‘Sun City’ protest song, which </w:t>
      </w:r>
      <w:r w:rsidRPr="00776282">
        <w:rPr>
          <w:rFonts w:cs="Times New Roman"/>
        </w:rPr>
        <w:t>called for political action instead of charitable donations.</w:t>
      </w:r>
      <w:r w:rsidRPr="00776282">
        <w:rPr>
          <w:rStyle w:val="FootnoteReference"/>
          <w:rFonts w:cs="Times New Roman"/>
        </w:rPr>
        <w:footnoteReference w:id="275"/>
      </w:r>
      <w:r>
        <w:rPr>
          <w:rFonts w:cs="Times New Roman"/>
        </w:rPr>
        <w:t xml:space="preserve"> </w:t>
      </w:r>
      <w:r w:rsidR="002F536C">
        <w:t>Many musicians attacked apartheid through their music. Stevie Wonder wrote and sang ‘</w:t>
      </w:r>
      <w:r w:rsidR="002F536C" w:rsidRPr="00323820">
        <w:t>It’s Wrong</w:t>
      </w:r>
      <w:r w:rsidR="002F536C">
        <w:t>’</w:t>
      </w:r>
      <w:r w:rsidR="002F536C">
        <w:rPr>
          <w:i/>
        </w:rPr>
        <w:t xml:space="preserve">, </w:t>
      </w:r>
      <w:r w:rsidR="002F536C">
        <w:t>Peter Gabriel released a powerful song on Steve Biko and Jerry Dammers and the Special AKA produced the protest song ‘</w:t>
      </w:r>
      <w:r w:rsidR="002F536C" w:rsidRPr="00323820">
        <w:t>(Free) Nelson Mandela</w:t>
      </w:r>
      <w:r w:rsidR="002F536C">
        <w:t>’</w:t>
      </w:r>
      <w:r w:rsidR="002F536C">
        <w:rPr>
          <w:i/>
        </w:rPr>
        <w:t xml:space="preserve">. </w:t>
      </w:r>
      <w:r w:rsidR="002F536C">
        <w:t xml:space="preserve">A cohort of international musicians came together and declared that </w:t>
      </w:r>
      <w:r w:rsidR="002F536C">
        <w:lastRenderedPageBreak/>
        <w:t>millions of dollars would not sway their conscience to play in Sun City.</w:t>
      </w:r>
      <w:r w:rsidR="002F536C">
        <w:rPr>
          <w:rStyle w:val="FootnoteReference"/>
        </w:rPr>
        <w:footnoteReference w:id="276"/>
      </w:r>
      <w:r w:rsidR="002F536C">
        <w:t xml:space="preserve"> </w:t>
      </w:r>
      <w:r>
        <w:t>‘</w:t>
      </w:r>
      <w:r w:rsidR="002F536C" w:rsidRPr="00492DDD">
        <w:t>Sun City</w:t>
      </w:r>
      <w:r>
        <w:t>’</w:t>
      </w:r>
      <w:r w:rsidR="002F536C">
        <w:rPr>
          <w:i/>
        </w:rPr>
        <w:t xml:space="preserve">, </w:t>
      </w:r>
      <w:r w:rsidR="002F536C">
        <w:t xml:space="preserve">the song, received a lot of media coverage in the United States.  </w:t>
      </w:r>
    </w:p>
    <w:p w14:paraId="5C0BA2BB" w14:textId="77777777" w:rsidR="002F536C" w:rsidRDefault="002F536C" w:rsidP="002F536C">
      <w:r>
        <w:t xml:space="preserve">At the time when Frank Sinatra, </w:t>
      </w:r>
      <w:r w:rsidR="00492DDD">
        <w:t>Liza Minelli,</w:t>
      </w:r>
      <w:r>
        <w:t xml:space="preserve"> and other musicians accepted Kerzner’s lucrative offers to perform at Sun City - and thereby p</w:t>
      </w:r>
      <w:r w:rsidR="00492DDD">
        <w:t>romote Bophuthatswana’s image -</w:t>
      </w:r>
      <w:r>
        <w:t xml:space="preserve"> the cultural boycott reached a boiling point. By 1985, anti-apartheid resistance in the West was at its highest and two musical projects were released in quick succession to promote awareness of the anti-apartheid boycotts. This was only achievable in the MTV age where music was quickly and easily disseminated to millions of viewers.</w:t>
      </w:r>
      <w:r>
        <w:rPr>
          <w:rStyle w:val="FootnoteReference"/>
        </w:rPr>
        <w:footnoteReference w:id="277"/>
      </w:r>
    </w:p>
    <w:p w14:paraId="456ECAA2" w14:textId="77777777" w:rsidR="002F536C" w:rsidRDefault="002F536C" w:rsidP="002F536C">
      <w:r>
        <w:t>The first of these projects was the 1985 song ‘</w:t>
      </w:r>
      <w:r w:rsidRPr="00323820">
        <w:t>Sun City</w:t>
      </w:r>
      <w:r>
        <w:t>’</w:t>
      </w:r>
      <w:r>
        <w:rPr>
          <w:i/>
        </w:rPr>
        <w:t xml:space="preserve"> </w:t>
      </w:r>
      <w:r>
        <w:t>which</w:t>
      </w:r>
      <w:r>
        <w:rPr>
          <w:i/>
        </w:rPr>
        <w:t xml:space="preserve"> </w:t>
      </w:r>
      <w:r>
        <w:t>was created by a group of musicians, led by E-Street band member Steven van Zandt, who called themselves Artists United Against Apartheid. They produced the song to highlight the importance of boycotting South Africa and the bantustans and declared that they would not play at Sun City.</w:t>
      </w:r>
      <w:r>
        <w:rPr>
          <w:rStyle w:val="FootnoteReference"/>
        </w:rPr>
        <w:footnoteReference w:id="278"/>
      </w:r>
      <w:r>
        <w:t xml:space="preserve"> </w:t>
      </w:r>
    </w:p>
    <w:p w14:paraId="46607581" w14:textId="77777777" w:rsidR="002F536C" w:rsidRPr="000224C2" w:rsidRDefault="002F536C" w:rsidP="002F536C">
      <w:pPr>
        <w:pStyle w:val="NoSpacing"/>
        <w:ind w:left="360" w:right="360"/>
        <w:rPr>
          <w:rFonts w:cs="Times New Roman"/>
        </w:rPr>
      </w:pPr>
      <w:r w:rsidRPr="000224C2">
        <w:t xml:space="preserve">We’re here to talk about South Africa, we don’t like what’s going on </w:t>
      </w:r>
      <w:r>
        <w:rPr>
          <w:rFonts w:cs="Times New Roman"/>
        </w:rPr>
        <w:t xml:space="preserve">(Melle Mel &amp; Duke </w:t>
      </w:r>
      <w:r w:rsidRPr="000224C2">
        <w:rPr>
          <w:rFonts w:cs="Times New Roman"/>
        </w:rPr>
        <w:t>Bootee)</w:t>
      </w:r>
    </w:p>
    <w:p w14:paraId="7D88A8BB" w14:textId="77777777" w:rsidR="002F536C" w:rsidRPr="000224C2" w:rsidRDefault="002F536C" w:rsidP="002F536C">
      <w:pPr>
        <w:pStyle w:val="NoSpacing"/>
        <w:ind w:left="360" w:right="360"/>
        <w:rPr>
          <w:rFonts w:cs="Times New Roman"/>
        </w:rPr>
      </w:pPr>
      <w:r w:rsidRPr="000224C2">
        <w:t xml:space="preserve">It’s time for some justice, it’s time for the truth </w:t>
      </w:r>
      <w:r w:rsidRPr="000224C2">
        <w:rPr>
          <w:rFonts w:cs="Times New Roman"/>
        </w:rPr>
        <w:t>(Afrika Bambaataa &amp; Kurtis Blow)</w:t>
      </w:r>
    </w:p>
    <w:p w14:paraId="7EBE0A16" w14:textId="77777777" w:rsidR="002F536C" w:rsidRPr="000224C2" w:rsidRDefault="002F536C" w:rsidP="002F536C">
      <w:pPr>
        <w:pStyle w:val="NoSpacing"/>
        <w:ind w:left="360" w:right="360"/>
        <w:rPr>
          <w:rFonts w:cs="Times New Roman"/>
        </w:rPr>
      </w:pPr>
      <w:r w:rsidRPr="000224C2">
        <w:t>We’ve rea</w:t>
      </w:r>
      <w:r w:rsidR="000C57FE">
        <w:t>lise</w:t>
      </w:r>
      <w:r w:rsidRPr="000224C2">
        <w:t xml:space="preserve">d there’s only one thing we can do </w:t>
      </w:r>
      <w:r w:rsidRPr="000224C2">
        <w:rPr>
          <w:rFonts w:cs="Times New Roman"/>
        </w:rPr>
        <w:t>(Big Youth &amp; all rappers)</w:t>
      </w:r>
    </w:p>
    <w:p w14:paraId="5B95ED72" w14:textId="77777777" w:rsidR="002F536C" w:rsidRPr="000224C2" w:rsidRDefault="002F536C" w:rsidP="002F536C">
      <w:pPr>
        <w:pStyle w:val="NoSpacing"/>
        <w:ind w:left="360" w:right="360"/>
      </w:pPr>
      <w:r w:rsidRPr="000224C2">
        <w:t>I ain’t gonna play Sun City</w:t>
      </w:r>
    </w:p>
    <w:p w14:paraId="21C30735" w14:textId="77777777" w:rsidR="002F536C" w:rsidRPr="000224C2" w:rsidRDefault="002F536C" w:rsidP="002F536C">
      <w:pPr>
        <w:pStyle w:val="NoSpacing"/>
        <w:ind w:left="360" w:right="360"/>
        <w:rPr>
          <w:rFonts w:cs="Times New Roman"/>
        </w:rPr>
      </w:pPr>
      <w:r w:rsidRPr="000224C2">
        <w:t xml:space="preserve">Relocation to phony homelands </w:t>
      </w:r>
      <w:r w:rsidRPr="000224C2">
        <w:rPr>
          <w:rFonts w:cs="Times New Roman"/>
        </w:rPr>
        <w:t>(David Ruffin)</w:t>
      </w:r>
    </w:p>
    <w:p w14:paraId="51F83918" w14:textId="77777777" w:rsidR="002F536C" w:rsidRPr="000224C2" w:rsidRDefault="002F536C" w:rsidP="002F536C">
      <w:pPr>
        <w:pStyle w:val="NoSpacing"/>
        <w:ind w:left="360" w:right="360"/>
        <w:rPr>
          <w:rFonts w:cs="Times New Roman"/>
        </w:rPr>
      </w:pPr>
      <w:r w:rsidRPr="000224C2">
        <w:t xml:space="preserve">Separation of families I can’t understand </w:t>
      </w:r>
      <w:r w:rsidRPr="000224C2">
        <w:rPr>
          <w:rFonts w:cs="Times New Roman"/>
        </w:rPr>
        <w:t>(Pat Benatar)</w:t>
      </w:r>
    </w:p>
    <w:p w14:paraId="3AB33A71" w14:textId="77777777" w:rsidR="002F536C" w:rsidRPr="000224C2" w:rsidRDefault="002F536C" w:rsidP="002F536C">
      <w:pPr>
        <w:pStyle w:val="NoSpacing"/>
        <w:ind w:left="360" w:right="360"/>
        <w:rPr>
          <w:rFonts w:cs="Times New Roman"/>
        </w:rPr>
      </w:pPr>
      <w:r w:rsidRPr="000224C2">
        <w:t xml:space="preserve">23 million can’t vote because they’re black </w:t>
      </w:r>
      <w:r w:rsidRPr="000224C2">
        <w:rPr>
          <w:rFonts w:cs="Times New Roman"/>
        </w:rPr>
        <w:t>(Eddie Kendricks)</w:t>
      </w:r>
    </w:p>
    <w:p w14:paraId="08D5CA09" w14:textId="77777777" w:rsidR="002F536C" w:rsidRPr="000224C2" w:rsidRDefault="002F536C" w:rsidP="002F536C">
      <w:pPr>
        <w:pStyle w:val="NoSpacing"/>
        <w:ind w:left="360" w:right="360"/>
        <w:rPr>
          <w:rFonts w:cs="Times New Roman"/>
        </w:rPr>
      </w:pPr>
      <w:r w:rsidRPr="000224C2">
        <w:t xml:space="preserve">We’re stabbing our brothers and sisters in the back </w:t>
      </w:r>
      <w:r w:rsidRPr="000224C2">
        <w:rPr>
          <w:rFonts w:cs="Times New Roman"/>
        </w:rPr>
        <w:t>(Bruce Springsteen)</w:t>
      </w:r>
    </w:p>
    <w:p w14:paraId="0CB46B9A" w14:textId="77777777" w:rsidR="002F536C" w:rsidRPr="000224C2" w:rsidRDefault="002F536C" w:rsidP="002F536C">
      <w:pPr>
        <w:pStyle w:val="NoSpacing"/>
        <w:ind w:left="360" w:right="360"/>
      </w:pPr>
      <w:r w:rsidRPr="000224C2">
        <w:t>I ain’t gonna play Sun City</w:t>
      </w:r>
    </w:p>
    <w:p w14:paraId="0090AC7F" w14:textId="77777777" w:rsidR="002F536C" w:rsidRPr="000224C2" w:rsidRDefault="002F536C" w:rsidP="002F536C">
      <w:pPr>
        <w:pStyle w:val="NoSpacing"/>
        <w:ind w:left="360" w:right="360"/>
        <w:rPr>
          <w:rFonts w:cs="Times New Roman"/>
        </w:rPr>
      </w:pPr>
      <w:r w:rsidRPr="000224C2">
        <w:t xml:space="preserve">Our government tells us we’re doing all we can </w:t>
      </w:r>
      <w:r w:rsidRPr="000224C2">
        <w:rPr>
          <w:rFonts w:cs="Times New Roman"/>
        </w:rPr>
        <w:t>(George Clinton)</w:t>
      </w:r>
    </w:p>
    <w:p w14:paraId="4936246E" w14:textId="77777777" w:rsidR="002F536C" w:rsidRPr="000224C2" w:rsidRDefault="002F536C" w:rsidP="002F536C">
      <w:pPr>
        <w:pStyle w:val="NoSpacing"/>
        <w:ind w:left="360" w:right="360"/>
        <w:rPr>
          <w:rFonts w:cs="Times New Roman"/>
        </w:rPr>
      </w:pPr>
      <w:r w:rsidRPr="000224C2">
        <w:t xml:space="preserve">Constructive engagement is Ronald Reagan’s plan </w:t>
      </w:r>
      <w:r w:rsidRPr="000224C2">
        <w:rPr>
          <w:rFonts w:cs="Times New Roman"/>
        </w:rPr>
        <w:t>(Joey Ramone)</w:t>
      </w:r>
    </w:p>
    <w:p w14:paraId="3D2074D1" w14:textId="77777777" w:rsidR="002F536C" w:rsidRPr="000224C2" w:rsidRDefault="002F536C" w:rsidP="002F536C">
      <w:pPr>
        <w:pStyle w:val="NoSpacing"/>
        <w:ind w:left="360" w:right="360"/>
        <w:rPr>
          <w:rFonts w:cs="Times New Roman"/>
        </w:rPr>
      </w:pPr>
      <w:r w:rsidRPr="000224C2">
        <w:t xml:space="preserve">Meanwhile people are dying and giving up hope </w:t>
      </w:r>
      <w:r w:rsidRPr="000224C2">
        <w:rPr>
          <w:rFonts w:cs="Times New Roman"/>
        </w:rPr>
        <w:t>(Jimmy Cliff &amp; Daryl Hall)</w:t>
      </w:r>
    </w:p>
    <w:p w14:paraId="212E479A" w14:textId="77777777" w:rsidR="002F536C" w:rsidRPr="000224C2" w:rsidRDefault="002F536C" w:rsidP="002F536C">
      <w:pPr>
        <w:pStyle w:val="NoSpacing"/>
        <w:ind w:left="360" w:right="360"/>
        <w:rPr>
          <w:rFonts w:cs="Times New Roman"/>
        </w:rPr>
      </w:pPr>
      <w:r w:rsidRPr="000224C2">
        <w:t xml:space="preserve">This quiet diplomacy ain’t nothing but a joke </w:t>
      </w:r>
      <w:r w:rsidRPr="000224C2">
        <w:rPr>
          <w:rFonts w:cs="Times New Roman"/>
        </w:rPr>
        <w:t>(Darlene Love)</w:t>
      </w:r>
    </w:p>
    <w:p w14:paraId="077D91FA" w14:textId="77777777" w:rsidR="002F536C" w:rsidRPr="000224C2" w:rsidRDefault="002F536C" w:rsidP="002F536C">
      <w:pPr>
        <w:pStyle w:val="NoSpacing"/>
        <w:ind w:left="360" w:right="360"/>
      </w:pPr>
      <w:r w:rsidRPr="000224C2">
        <w:t>I ain’t gonna play Sun City</w:t>
      </w:r>
    </w:p>
    <w:p w14:paraId="7755CBAE" w14:textId="77777777" w:rsidR="002F536C" w:rsidRPr="000224C2" w:rsidRDefault="002F536C" w:rsidP="002F536C">
      <w:pPr>
        <w:pStyle w:val="NoSpacing"/>
        <w:ind w:left="360" w:right="360"/>
        <w:rPr>
          <w:rFonts w:cs="Times New Roman"/>
        </w:rPr>
      </w:pPr>
      <w:r w:rsidRPr="000224C2">
        <w:t xml:space="preserve">It’s time to accept our responsibility </w:t>
      </w:r>
      <w:r w:rsidRPr="000224C2">
        <w:rPr>
          <w:rFonts w:cs="Times New Roman"/>
        </w:rPr>
        <w:t>(Bonnie Raitt)</w:t>
      </w:r>
    </w:p>
    <w:p w14:paraId="3173C454" w14:textId="77777777" w:rsidR="002F536C" w:rsidRPr="000224C2" w:rsidRDefault="002F536C" w:rsidP="002F536C">
      <w:pPr>
        <w:pStyle w:val="NoSpacing"/>
        <w:ind w:left="360" w:right="360"/>
        <w:rPr>
          <w:rFonts w:cs="Times New Roman"/>
        </w:rPr>
      </w:pPr>
      <w:r w:rsidRPr="000224C2">
        <w:t xml:space="preserve">Freedom is a privilege, nobody rides for free </w:t>
      </w:r>
      <w:r w:rsidRPr="000224C2">
        <w:rPr>
          <w:rFonts w:cs="Times New Roman"/>
        </w:rPr>
        <w:t>(Ruben Blades &amp; John Oates)</w:t>
      </w:r>
    </w:p>
    <w:p w14:paraId="413F9691" w14:textId="77777777" w:rsidR="002F536C" w:rsidRPr="000224C2" w:rsidRDefault="002F536C" w:rsidP="002F536C">
      <w:pPr>
        <w:pStyle w:val="NoSpacing"/>
        <w:ind w:left="360" w:right="360"/>
        <w:rPr>
          <w:rFonts w:cs="Times New Roman"/>
        </w:rPr>
      </w:pPr>
      <w:r w:rsidRPr="000224C2">
        <w:t xml:space="preserve">Look around the world baby it can’t be denied </w:t>
      </w:r>
      <w:r w:rsidRPr="000224C2">
        <w:rPr>
          <w:rFonts w:cs="Times New Roman"/>
        </w:rPr>
        <w:t>(Lou Reed)</w:t>
      </w:r>
    </w:p>
    <w:p w14:paraId="3F802087" w14:textId="77777777" w:rsidR="002F536C" w:rsidRPr="000224C2" w:rsidRDefault="002F536C" w:rsidP="002F536C">
      <w:pPr>
        <w:pStyle w:val="NoSpacing"/>
        <w:ind w:left="360" w:right="360"/>
        <w:rPr>
          <w:rFonts w:cs="Times New Roman"/>
        </w:rPr>
      </w:pPr>
      <w:r w:rsidRPr="000224C2">
        <w:t xml:space="preserve">Why are we always on the wrong side </w:t>
      </w:r>
      <w:r w:rsidRPr="000224C2">
        <w:rPr>
          <w:rFonts w:cs="Times New Roman"/>
        </w:rPr>
        <w:t>(Bobby Womack)</w:t>
      </w:r>
    </w:p>
    <w:p w14:paraId="316CAB71" w14:textId="77777777" w:rsidR="002F536C" w:rsidRPr="000224C2" w:rsidRDefault="002F536C" w:rsidP="002F536C">
      <w:pPr>
        <w:pStyle w:val="NoSpacing"/>
        <w:ind w:left="360" w:right="360"/>
      </w:pPr>
      <w:r w:rsidRPr="000224C2">
        <w:t>I ain’t gonna play Sun City</w:t>
      </w:r>
    </w:p>
    <w:p w14:paraId="30F9E412" w14:textId="77777777" w:rsidR="002F536C" w:rsidRPr="000224C2" w:rsidRDefault="002F536C" w:rsidP="002F536C">
      <w:pPr>
        <w:pStyle w:val="NoSpacing"/>
        <w:ind w:left="360" w:right="360"/>
        <w:rPr>
          <w:rFonts w:cs="Times New Roman"/>
        </w:rPr>
      </w:pPr>
      <w:r w:rsidRPr="000224C2">
        <w:t xml:space="preserve">Bophuthatswana is far away </w:t>
      </w:r>
      <w:r w:rsidRPr="000224C2">
        <w:rPr>
          <w:rFonts w:cs="Times New Roman"/>
        </w:rPr>
        <w:t>(Run-DMC)</w:t>
      </w:r>
    </w:p>
    <w:p w14:paraId="7DAF4E18" w14:textId="77777777" w:rsidR="002F536C" w:rsidRPr="000224C2" w:rsidRDefault="002F536C" w:rsidP="002F536C">
      <w:pPr>
        <w:pStyle w:val="NoSpacing"/>
        <w:ind w:left="360" w:right="360"/>
        <w:rPr>
          <w:rFonts w:cs="Times New Roman"/>
        </w:rPr>
      </w:pPr>
      <w:r w:rsidRPr="000224C2">
        <w:t xml:space="preserve">But we know it’s in South Africa no matter what they say </w:t>
      </w:r>
      <w:r w:rsidRPr="000224C2">
        <w:rPr>
          <w:rFonts w:cs="Times New Roman"/>
        </w:rPr>
        <w:t>(Kurtis Blow &amp; Africa Bambaataa)</w:t>
      </w:r>
    </w:p>
    <w:p w14:paraId="4953DA77" w14:textId="77777777" w:rsidR="002F536C" w:rsidRPr="000224C2" w:rsidRDefault="002F536C" w:rsidP="002F536C">
      <w:pPr>
        <w:pStyle w:val="NoSpacing"/>
        <w:ind w:left="360" w:right="360"/>
        <w:rPr>
          <w:rFonts w:cs="Times New Roman"/>
        </w:rPr>
      </w:pPr>
      <w:r w:rsidRPr="000224C2">
        <w:t xml:space="preserve">You can’t buy me, I don’t care what you pay </w:t>
      </w:r>
      <w:r w:rsidRPr="000224C2">
        <w:rPr>
          <w:rFonts w:cs="Times New Roman"/>
        </w:rPr>
        <w:t>(Duke Bootee, Melle Mel &amp; Afrika Bambaataa)</w:t>
      </w:r>
    </w:p>
    <w:p w14:paraId="30F0E8DD" w14:textId="77777777" w:rsidR="002F536C" w:rsidRPr="000224C2" w:rsidRDefault="002F536C" w:rsidP="002F536C">
      <w:pPr>
        <w:pStyle w:val="NoSpacing"/>
        <w:ind w:left="360" w:right="360"/>
        <w:rPr>
          <w:rFonts w:cs="Times New Roman"/>
        </w:rPr>
      </w:pPr>
      <w:r w:rsidRPr="000224C2">
        <w:t xml:space="preserve">Don’t ask me Sun City because I ain’t gonna play </w:t>
      </w:r>
      <w:r w:rsidRPr="000224C2">
        <w:rPr>
          <w:rFonts w:cs="Times New Roman"/>
        </w:rPr>
        <w:t>(Linton Kwesi Johnson &amp; all rappers)</w:t>
      </w:r>
    </w:p>
    <w:p w14:paraId="252233C3" w14:textId="77777777" w:rsidR="002F536C" w:rsidRPr="000224C2" w:rsidRDefault="002F536C" w:rsidP="002F536C">
      <w:pPr>
        <w:pStyle w:val="NoSpacing"/>
        <w:ind w:left="360" w:right="360"/>
        <w:rPr>
          <w:rFonts w:cs="Times New Roman"/>
        </w:rPr>
      </w:pPr>
      <w:r w:rsidRPr="000224C2">
        <w:t xml:space="preserve">Relocation to phony homelands </w:t>
      </w:r>
      <w:r w:rsidRPr="000224C2">
        <w:rPr>
          <w:rFonts w:cs="Times New Roman"/>
        </w:rPr>
        <w:t>(Jackson Browne &amp; Bob Dylan)</w:t>
      </w:r>
    </w:p>
    <w:p w14:paraId="2C2892A3" w14:textId="77777777" w:rsidR="002F536C" w:rsidRPr="000224C2" w:rsidRDefault="002F536C" w:rsidP="002F536C">
      <w:pPr>
        <w:pStyle w:val="NoSpacing"/>
        <w:ind w:left="360" w:right="360"/>
        <w:rPr>
          <w:rFonts w:cs="Times New Roman"/>
        </w:rPr>
      </w:pPr>
      <w:r w:rsidRPr="000224C2">
        <w:t xml:space="preserve">Separation of families I can’t understand </w:t>
      </w:r>
      <w:r w:rsidRPr="000224C2">
        <w:rPr>
          <w:rFonts w:cs="Times New Roman"/>
        </w:rPr>
        <w:t>(Peter Garrett)</w:t>
      </w:r>
    </w:p>
    <w:p w14:paraId="2B8E460A" w14:textId="77777777" w:rsidR="002F536C" w:rsidRPr="000224C2" w:rsidRDefault="002F536C" w:rsidP="002F536C">
      <w:pPr>
        <w:pStyle w:val="NoSpacing"/>
        <w:ind w:left="360" w:right="360"/>
        <w:rPr>
          <w:rFonts w:cs="Times New Roman"/>
        </w:rPr>
      </w:pPr>
      <w:r w:rsidRPr="000224C2">
        <w:t xml:space="preserve">23 million can’t vote because they’re black </w:t>
      </w:r>
      <w:r w:rsidRPr="000224C2">
        <w:rPr>
          <w:rFonts w:cs="Times New Roman"/>
        </w:rPr>
        <w:t>(Nona Hendryx &amp; Kashif)</w:t>
      </w:r>
    </w:p>
    <w:p w14:paraId="0C21CAC6" w14:textId="77777777" w:rsidR="002F536C" w:rsidRDefault="002F536C" w:rsidP="002F536C">
      <w:pPr>
        <w:pStyle w:val="NoSpacing"/>
        <w:ind w:left="360" w:right="360"/>
        <w:rPr>
          <w:rFonts w:cs="Times New Roman"/>
        </w:rPr>
      </w:pPr>
      <w:r w:rsidRPr="000224C2">
        <w:t xml:space="preserve">We’re stabbing our brothers and sisters in the back </w:t>
      </w:r>
      <w:r w:rsidRPr="000224C2">
        <w:rPr>
          <w:rFonts w:cs="Times New Roman"/>
        </w:rPr>
        <w:t>(Bono)</w:t>
      </w:r>
      <w:r w:rsidRPr="000224C2">
        <w:rPr>
          <w:rStyle w:val="FootnoteReference"/>
          <w:rFonts w:cs="Times New Roman"/>
          <w:i/>
          <w:color w:val="000000"/>
          <w:szCs w:val="20"/>
          <w:shd w:val="clear" w:color="auto" w:fill="FFFFFF"/>
        </w:rPr>
        <w:footnoteReference w:id="279"/>
      </w:r>
    </w:p>
    <w:p w14:paraId="076CB8F1" w14:textId="77777777" w:rsidR="002F536C" w:rsidRDefault="002F536C" w:rsidP="002F536C">
      <w:pPr>
        <w:pStyle w:val="NoSpacing"/>
        <w:ind w:left="360" w:right="360"/>
        <w:rPr>
          <w:rFonts w:cs="Times New Roman"/>
        </w:rPr>
      </w:pPr>
    </w:p>
    <w:p w14:paraId="70FFB310" w14:textId="77777777" w:rsidR="002F536C" w:rsidRDefault="002F536C" w:rsidP="002F536C">
      <w:r>
        <w:t xml:space="preserve">According to an article in </w:t>
      </w:r>
      <w:r>
        <w:rPr>
          <w:i/>
        </w:rPr>
        <w:t xml:space="preserve">Time Magazine, </w:t>
      </w:r>
      <w:r>
        <w:t>the song brought hard rock and facts together with a little bit of rap and human, emotional connection.</w:t>
      </w:r>
      <w:r>
        <w:rPr>
          <w:rStyle w:val="FootnoteReference"/>
        </w:rPr>
        <w:footnoteReference w:id="280"/>
      </w:r>
      <w:r>
        <w:t xml:space="preserve"> The lyrics not only declared that the artists were not going to perform at Sun City with “I ain’t gonna play Sun City”, but the song also took a stand against the bantustan system through reference to “phony homelands”.</w:t>
      </w:r>
      <w:r>
        <w:rPr>
          <w:rStyle w:val="FootnoteReference"/>
        </w:rPr>
        <w:footnoteReference w:id="281"/>
      </w:r>
      <w:r>
        <w:t xml:space="preserve"> Van Zandt came up with the concept for the single whilst sitting in a cinema listening to Peter Gabriel’s song ‘</w:t>
      </w:r>
      <w:r w:rsidRPr="00323820">
        <w:t>Biko</w:t>
      </w:r>
      <w:r>
        <w:t>’</w:t>
      </w:r>
      <w:r>
        <w:rPr>
          <w:i/>
        </w:rPr>
        <w:t xml:space="preserve">, </w:t>
      </w:r>
      <w:r>
        <w:t xml:space="preserve">which eulogises the deceased activist Steve Biko. He was </w:t>
      </w:r>
      <w:r w:rsidR="009C6C37">
        <w:t>appalled</w:t>
      </w:r>
      <w:r>
        <w:t xml:space="preserve"> by apartheid and began to write an anthem based on the resort Sun City. Although Kerzner and his executives regularly attempted to downplay the realities of the apartheid regime in the media, </w:t>
      </w:r>
      <w:r w:rsidR="009C6C37">
        <w:t>“</w:t>
      </w:r>
      <w:r>
        <w:t>Sun City</w:t>
      </w:r>
      <w:r w:rsidR="009C6C37">
        <w:t>”</w:t>
      </w:r>
      <w:r>
        <w:t xml:space="preserve"> had become a signifier of the abundance and lavish lifestyles that the white population enjoyed at the expense of their fellow black South Africans.</w:t>
      </w:r>
      <w:r>
        <w:rPr>
          <w:rStyle w:val="FootnoteReference"/>
        </w:rPr>
        <w:footnoteReference w:id="282"/>
      </w:r>
      <w:r>
        <w:t xml:space="preserve"> The song was released as a joint </w:t>
      </w:r>
      <w:r w:rsidRPr="0095424B">
        <w:t>anthem with more than fifty musicians contributing to the song,</w:t>
      </w:r>
      <w:r>
        <w:t xml:space="preserve"> including</w:t>
      </w:r>
      <w:r w:rsidRPr="0095424B">
        <w:t xml:space="preserve"> Bruce Springsteen, Jackson Browne, Gil Scott-Heron, Grandmaster Melle Mel, Bonnie Raitt, Lou Reed, David Ruffin, Run-D.M.C., Ringo Starr, Pete Townshend</w:t>
      </w:r>
      <w:r>
        <w:t>, Keith Richards, Bob Dylan,</w:t>
      </w:r>
      <w:r w:rsidRPr="0095424B">
        <w:t xml:space="preserve"> Bobby Womack</w:t>
      </w:r>
      <w:r>
        <w:t xml:space="preserve"> and members of U2. </w:t>
      </w:r>
      <w:r w:rsidR="00492DDD">
        <w:t xml:space="preserve">Bono, frontman of the band </w:t>
      </w:r>
      <w:r>
        <w:t xml:space="preserve">U2, </w:t>
      </w:r>
      <w:r w:rsidR="00492DDD">
        <w:t>was</w:t>
      </w:r>
      <w:r>
        <w:t xml:space="preserve"> asked about </w:t>
      </w:r>
      <w:r w:rsidR="00492DDD">
        <w:t>his motivations behind the song and</w:t>
      </w:r>
      <w:r>
        <w:t xml:space="preserve"> </w:t>
      </w:r>
      <w:r w:rsidR="00492DDD">
        <w:t>responded</w:t>
      </w:r>
      <w:r>
        <w:t xml:space="preserve"> that it was not propaganda, or about the left or the right. To him it did not matter about sides, it was common sense and apolitical.</w:t>
      </w:r>
      <w:r>
        <w:rPr>
          <w:rStyle w:val="FootnoteReference"/>
        </w:rPr>
        <w:footnoteReference w:id="283"/>
      </w:r>
      <w:r>
        <w:t xml:space="preserve"> Freeman argues that the song made a strong, level headed case to its American audience for boycotting the entertainment resort.</w:t>
      </w:r>
      <w:r>
        <w:rPr>
          <w:rStyle w:val="FootnoteReference"/>
        </w:rPr>
        <w:footnoteReference w:id="284"/>
      </w:r>
    </w:p>
    <w:p w14:paraId="1C8571E3" w14:textId="77777777" w:rsidR="002F536C" w:rsidRDefault="002F536C" w:rsidP="002F536C">
      <w:r>
        <w:t xml:space="preserve">Despite a </w:t>
      </w:r>
      <w:r w:rsidR="008A6C6F">
        <w:t>star-studded</w:t>
      </w:r>
      <w:r>
        <w:t xml:space="preserve"> line up, the song never became a radio hit. Some attributed this to the reluctance of station managers to play a song with a strong political message. However, this did not stop </w:t>
      </w:r>
      <w:r w:rsidR="008841AB">
        <w:t>‘</w:t>
      </w:r>
      <w:r w:rsidRPr="00323820">
        <w:t>Sun City</w:t>
      </w:r>
      <w:r w:rsidR="008841AB">
        <w:t>’</w:t>
      </w:r>
      <w:r>
        <w:rPr>
          <w:i/>
        </w:rPr>
        <w:t xml:space="preserve"> </w:t>
      </w:r>
      <w:r>
        <w:t>from reaching the public domain.</w:t>
      </w:r>
      <w:r>
        <w:rPr>
          <w:rStyle w:val="FootnoteReference"/>
        </w:rPr>
        <w:footnoteReference w:id="285"/>
      </w:r>
      <w:r>
        <w:t xml:space="preserve"> This was largely achieved thanks to a music video, a mini-documentary style video filled with stark images of the realities of life under apartheid, through which the anti-apartheid message was disseminated. It featured the performers alongside crosscuts of South African unrest and images of leaders like Nelson Mandela and Neil Aggett, contrasted with the opulence of Sun City. Footage of the 1960s civil rights struggles in the United States also featured in the video and further drive home the </w:t>
      </w:r>
      <w:r>
        <w:lastRenderedPageBreak/>
        <w:t xml:space="preserve">reality of apartheid for American viewers. The video was widely broadcast by MTV and other cable networks and helped raise awareness of the illegitimacy of the bantustan states. </w:t>
      </w:r>
    </w:p>
    <w:p w14:paraId="466EDBB8" w14:textId="77777777" w:rsidR="002F536C" w:rsidRDefault="002F536C" w:rsidP="002F536C">
      <w:r>
        <w:t>The ‘</w:t>
      </w:r>
      <w:r w:rsidRPr="00323820">
        <w:t>Sun City</w:t>
      </w:r>
      <w:r>
        <w:t>’</w:t>
      </w:r>
      <w:r>
        <w:rPr>
          <w:i/>
        </w:rPr>
        <w:t xml:space="preserve"> </w:t>
      </w:r>
      <w:r>
        <w:t>single was sold on an album that was accompanied by four songs and features which included speeches by Nelson Mandela and Desmond Tutu. The royalties from the sale of the Sun City album, totalling more than $500,000, were donated to the Africa Fund, which was administered by the American Committee on Africa. The proceeds from the Africa Fund went to political prisoners in South Africa and to anti-apartheid groups.</w:t>
      </w:r>
      <w:r>
        <w:rPr>
          <w:rStyle w:val="FootnoteReference"/>
        </w:rPr>
        <w:footnoteReference w:id="286"/>
      </w:r>
      <w:r>
        <w:t xml:space="preserve"> It did “pack an effective political punch” in convincing artists not to perform at the Sun City resort and dented Bophuthatswana’s image in the international media.</w:t>
      </w:r>
      <w:r>
        <w:rPr>
          <w:rStyle w:val="FootnoteReference"/>
        </w:rPr>
        <w:footnoteReference w:id="287"/>
      </w:r>
      <w:r>
        <w:t xml:space="preserve"> Many artists that played at Sun City used the excuse that they were unaware of the political situation and did not know that Bophuthatswana was not an independent state. </w:t>
      </w:r>
      <w:r w:rsidR="00492DDD">
        <w:t>However,</w:t>
      </w:r>
      <w:r>
        <w:t xml:space="preserve"> after the release of Van Zandt’s political single, this kind of naivety was no longer an acceptable excuse.</w:t>
      </w:r>
      <w:r>
        <w:rPr>
          <w:rStyle w:val="FootnoteReference"/>
        </w:rPr>
        <w:footnoteReference w:id="288"/>
      </w:r>
      <w:r>
        <w:t xml:space="preserve">  </w:t>
      </w:r>
    </w:p>
    <w:p w14:paraId="25EFFBE9" w14:textId="77777777" w:rsidR="002F536C" w:rsidRDefault="002F536C" w:rsidP="002F536C">
      <w:r w:rsidRPr="005132B7">
        <w:t>There is a juxtaposition between the use of the resort Sun City by Bophuthatswana officials to sanction the homeland’s existence and the song ‘Sun City’</w:t>
      </w:r>
      <w:r w:rsidRPr="005132B7">
        <w:rPr>
          <w:i/>
        </w:rPr>
        <w:t xml:space="preserve"> </w:t>
      </w:r>
      <w:r w:rsidRPr="005132B7">
        <w:t xml:space="preserve">which aims to deny the area sovereignty. When measuring the single in terms of its propensity to garner political and civil activism, </w:t>
      </w:r>
      <w:r w:rsidR="00492DDD">
        <w:t>‘</w:t>
      </w:r>
      <w:r w:rsidRPr="005132B7">
        <w:t>Sun City</w:t>
      </w:r>
      <w:r w:rsidR="00492DDD">
        <w:t>’</w:t>
      </w:r>
      <w:r w:rsidRPr="005132B7">
        <w:rPr>
          <w:i/>
        </w:rPr>
        <w:t xml:space="preserve"> </w:t>
      </w:r>
      <w:r w:rsidRPr="005132B7">
        <w:t>was a success. It sparked anti-apartheid movements in the U.S. and in Britain, and germinated several associated organisations that target</w:t>
      </w:r>
      <w:r>
        <w:t>ed</w:t>
      </w:r>
      <w:r w:rsidRPr="005132B7">
        <w:t xml:space="preserve"> South Africa’s </w:t>
      </w:r>
      <w:r>
        <w:t xml:space="preserve">apartheid </w:t>
      </w:r>
      <w:r w:rsidRPr="005132B7">
        <w:t>ideology.</w:t>
      </w:r>
      <w:r w:rsidRPr="005132B7">
        <w:rPr>
          <w:rStyle w:val="FootnoteReference"/>
        </w:rPr>
        <w:footnoteReference w:id="289"/>
      </w:r>
      <w:r w:rsidRPr="005132B7">
        <w:t xml:space="preserve"> It took Sun City off the performance circuit and sent a clear message about the success of the anti-apartheid campaign.</w:t>
      </w:r>
      <w:r w:rsidRPr="005132B7">
        <w:rPr>
          <w:rStyle w:val="FootnoteReference"/>
        </w:rPr>
        <w:footnoteReference w:id="290"/>
      </w:r>
      <w:r w:rsidRPr="005132B7">
        <w:t xml:space="preserve"> </w:t>
      </w:r>
    </w:p>
    <w:p w14:paraId="029FD9DD" w14:textId="77777777" w:rsidR="002F536C" w:rsidRDefault="002F536C" w:rsidP="002F536C">
      <w:pPr>
        <w:pStyle w:val="Heading2"/>
        <w:numPr>
          <w:ilvl w:val="0"/>
          <w:numId w:val="0"/>
        </w:numPr>
        <w:ind w:left="578" w:hanging="578"/>
      </w:pPr>
      <w:bookmarkStart w:id="50" w:name="_Toc441506835"/>
      <w:bookmarkStart w:id="51" w:name="_Toc459702975"/>
      <w:bookmarkStart w:id="52" w:name="_Toc488481728"/>
      <w:r>
        <w:t>Legitimising the State</w:t>
      </w:r>
      <w:bookmarkEnd w:id="50"/>
      <w:bookmarkEnd w:id="51"/>
      <w:r w:rsidR="007E45C8">
        <w:t xml:space="preserve"> through Sport</w:t>
      </w:r>
      <w:bookmarkEnd w:id="52"/>
    </w:p>
    <w:p w14:paraId="497599F3" w14:textId="77777777" w:rsidR="002F536C" w:rsidRPr="00DE526F" w:rsidRDefault="002F536C" w:rsidP="002F536C">
      <w:pPr>
        <w:rPr>
          <w:shd w:val="clear" w:color="auto" w:fill="FFFFFF"/>
        </w:rPr>
      </w:pPr>
      <w:r>
        <w:t>In 1970, a survey found that white South Africans felt that the lack of international sports was one of the three worst consequences of apartheid.</w:t>
      </w:r>
      <w:r>
        <w:rPr>
          <w:rStyle w:val="FootnoteReference"/>
        </w:rPr>
        <w:footnoteReference w:id="291"/>
      </w:r>
      <w:r>
        <w:t xml:space="preserve"> </w:t>
      </w:r>
      <w:r w:rsidR="008A6C6F">
        <w:t>(</w:t>
      </w:r>
      <w:r>
        <w:t>Had black South Africans been included in the poll, the statistics would have looked very different.</w:t>
      </w:r>
      <w:r w:rsidR="008A6C6F">
        <w:t>)</w:t>
      </w:r>
      <w:r>
        <w:t xml:space="preserve"> The arrival of television in 1976 was a joyous occasion for South Africans, but it was a bitter-sweet event as they realised the realities of their own absence from international sports events as a result of the sports boycott.</w:t>
      </w:r>
      <w:r>
        <w:rPr>
          <w:rStyle w:val="FootnoteReference"/>
        </w:rPr>
        <w:footnoteReference w:id="292"/>
      </w:r>
      <w:r>
        <w:t xml:space="preserve"> However, the boycott did not stop all sportspeople from travelling to South Africa </w:t>
      </w:r>
      <w:r>
        <w:lastRenderedPageBreak/>
        <w:t>and the rare athlete visiting was treated as royalty, with a spread in the newspapers, no matter how marginal their talent.</w:t>
      </w:r>
      <w:r>
        <w:rPr>
          <w:rStyle w:val="FootnoteReference"/>
        </w:rPr>
        <w:footnoteReference w:id="293"/>
      </w:r>
      <w:r>
        <w:t xml:space="preserve"> Many athletes were tempted through huge sums of money to take part in exhibition matches at Sun City. The international exposure Sun City gained through such events was another way through which Mangope sought to achieve international recognition for his pseudo state. </w:t>
      </w:r>
    </w:p>
    <w:p w14:paraId="3F9FCEA1" w14:textId="77777777" w:rsidR="002F536C" w:rsidRDefault="002F536C" w:rsidP="002F536C">
      <w:r>
        <w:t>Bophuthatswana first welcomed sportsmen and fans to the World Boxing Championships on 26 August 1978</w:t>
      </w:r>
      <w:r w:rsidR="007E45C8">
        <w:t>,</w:t>
      </w:r>
      <w:r>
        <w:t xml:space="preserve"> when Colombian boxer Antonio Cervantes successfully defended his Junior Welterweight Title against South African Norman Sekgapane.</w:t>
      </w:r>
      <w:r>
        <w:rPr>
          <w:rStyle w:val="FootnoteReference"/>
        </w:rPr>
        <w:footnoteReference w:id="294"/>
      </w:r>
      <w:r>
        <w:t xml:space="preserve"> From then on, Bophuthatswana, with the help of Sun City, quickly earned an international reputation as a venue for premier boxing events. Boxing events became an opportunity to showcase Bophuthatswana internationally to seek validation for the bantustan from other countries which had been reluctant to recognise it as a sovereign nation. A letter from the president’s office dated 1984 stated that at a recent world boxing match held in Mmabatho Mangope </w:t>
      </w:r>
      <w:r w:rsidR="00FA6A91">
        <w:t>could</w:t>
      </w:r>
      <w:r>
        <w:t xml:space="preserve"> showcase the “freedom, goodwill, peace and stability” he was establishing in Bophuthatswana.</w:t>
      </w:r>
      <w:r>
        <w:rPr>
          <w:rStyle w:val="FootnoteReference"/>
        </w:rPr>
        <w:footnoteReference w:id="295"/>
      </w:r>
    </w:p>
    <w:p w14:paraId="70C6CEAD" w14:textId="77777777" w:rsidR="002F536C" w:rsidRDefault="002F536C" w:rsidP="002F536C">
      <w:r>
        <w:t>In 1980 South African boxer, Kallie Knoetze, fought against heavyweight American boxer Mike Weaver for the world title at Sun City. Coetzee won in the 13</w:t>
      </w:r>
      <w:r w:rsidRPr="004104A4">
        <w:rPr>
          <w:vertAlign w:val="superscript"/>
        </w:rPr>
        <w:t>th</w:t>
      </w:r>
      <w:r>
        <w:t xml:space="preserve"> round after a gruelling and exciting contest.</w:t>
      </w:r>
      <w:r>
        <w:rPr>
          <w:rStyle w:val="FootnoteReference"/>
        </w:rPr>
        <w:footnoteReference w:id="296"/>
      </w:r>
      <w:r>
        <w:t xml:space="preserve"> After his appearance in the Sun City ring, Weaver was publicly called out for his callous ignorance of the sports boycott. His name was one of the first to be placed on the UN list of athletes that had defied sanctions against South Africa.</w:t>
      </w:r>
      <w:r>
        <w:rPr>
          <w:rStyle w:val="FootnoteReference"/>
        </w:rPr>
        <w:footnoteReference w:id="297"/>
      </w:r>
      <w:r>
        <w:t xml:space="preserve"> In Coetzee’s first title defence, which took place at Sun City in December 1984, he fought </w:t>
      </w:r>
      <w:r w:rsidR="007E45C8">
        <w:t xml:space="preserve">Greg Page, an </w:t>
      </w:r>
      <w:r>
        <w:t>African-American boxer</w:t>
      </w:r>
      <w:r w:rsidR="007E45C8">
        <w:t>,</w:t>
      </w:r>
      <w:r>
        <w:t xml:space="preserve"> and lost in a controversial 8</w:t>
      </w:r>
      <w:r w:rsidRPr="00464FD4">
        <w:rPr>
          <w:vertAlign w:val="superscript"/>
        </w:rPr>
        <w:t>th</w:t>
      </w:r>
      <w:r>
        <w:t xml:space="preserve"> round extra </w:t>
      </w:r>
      <w:r w:rsidR="007E45C8">
        <w:t xml:space="preserve">time where he was knocked out (refer to Figure </w:t>
      </w:r>
      <w:r w:rsidR="00B8198E">
        <w:t>7</w:t>
      </w:r>
      <w:r w:rsidR="007E45C8">
        <w:t xml:space="preserve">). </w:t>
      </w:r>
      <w:r>
        <w:t xml:space="preserve">However, Coetzee earned an $800, 000 paycheck for the </w:t>
      </w:r>
      <w:r>
        <w:lastRenderedPageBreak/>
        <w:t xml:space="preserve">fight. Boxing proved to be a popular sport that attracted the attention of an international audience with the big pay </w:t>
      </w:r>
      <w:r w:rsidR="007E45C8">
        <w:t xml:space="preserve">days </w:t>
      </w:r>
      <w:r>
        <w:t>and even bigger name</w:t>
      </w:r>
      <w:r w:rsidR="00362B7F">
        <w:t>s fighting in the Sun City ring</w:t>
      </w:r>
      <w:r>
        <w:t>.</w:t>
      </w:r>
      <w:r>
        <w:rPr>
          <w:rStyle w:val="FootnoteReference"/>
        </w:rPr>
        <w:footnoteReference w:id="298"/>
      </w:r>
      <w:r>
        <w:t xml:space="preserve"> </w:t>
      </w:r>
    </w:p>
    <w:p w14:paraId="15F3BB09" w14:textId="77777777" w:rsidR="002F536C" w:rsidRDefault="007E45C8" w:rsidP="002F536C">
      <w:r w:rsidRPr="004104A4">
        <w:rPr>
          <w:noProof/>
          <w:lang w:val="en-ZA" w:eastAsia="en-ZA"/>
        </w:rPr>
        <w:drawing>
          <wp:anchor distT="0" distB="0" distL="114300" distR="114300" simplePos="0" relativeHeight="251665408" behindDoc="1" locked="0" layoutInCell="1" allowOverlap="1" wp14:anchorId="793BC701" wp14:editId="054E5BFD">
            <wp:simplePos x="0" y="0"/>
            <wp:positionH relativeFrom="margin">
              <wp:posOffset>429393</wp:posOffset>
            </wp:positionH>
            <wp:positionV relativeFrom="paragraph">
              <wp:posOffset>4473</wp:posOffset>
            </wp:positionV>
            <wp:extent cx="4862195" cy="3239770"/>
            <wp:effectExtent l="0" t="0" r="0" b="0"/>
            <wp:wrapTight wrapText="bothSides">
              <wp:wrapPolygon edited="0">
                <wp:start x="0" y="0"/>
                <wp:lineTo x="0" y="21465"/>
                <wp:lineTo x="21496" y="21465"/>
                <wp:lineTo x="21496" y="0"/>
                <wp:lineTo x="0" y="0"/>
              </wp:wrapPolygon>
            </wp:wrapTight>
            <wp:docPr id="9" name="Picture 9" descr="C:\Users\Nicola van der Merwe\Documents\Masters\Photos\unnamed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icola van der Merwe\Documents\Masters\Photos\unnamed (1).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862195" cy="3239770"/>
                    </a:xfrm>
                    <a:prstGeom prst="rect">
                      <a:avLst/>
                    </a:prstGeom>
                    <a:noFill/>
                    <a:ln>
                      <a:noFill/>
                    </a:ln>
                  </pic:spPr>
                </pic:pic>
              </a:graphicData>
            </a:graphic>
          </wp:anchor>
        </w:drawing>
      </w:r>
    </w:p>
    <w:p w14:paraId="425B093C" w14:textId="77777777" w:rsidR="002F536C" w:rsidRDefault="002F536C" w:rsidP="002F536C"/>
    <w:p w14:paraId="397E08C8" w14:textId="77777777" w:rsidR="002F536C" w:rsidRDefault="002F536C" w:rsidP="002F536C"/>
    <w:p w14:paraId="3323AD29" w14:textId="77777777" w:rsidR="002F536C" w:rsidRDefault="002F536C" w:rsidP="002F536C"/>
    <w:p w14:paraId="7AB6C2D3" w14:textId="77777777" w:rsidR="002F536C" w:rsidRDefault="002F536C" w:rsidP="002F536C"/>
    <w:p w14:paraId="505D1D0D" w14:textId="77777777" w:rsidR="002F536C" w:rsidRDefault="002F536C" w:rsidP="002F536C"/>
    <w:p w14:paraId="1F305411" w14:textId="77777777" w:rsidR="002F536C" w:rsidRDefault="002F536C" w:rsidP="002F536C"/>
    <w:p w14:paraId="1C15C993" w14:textId="77777777" w:rsidR="002F536C" w:rsidRDefault="002F536C" w:rsidP="002F536C"/>
    <w:p w14:paraId="0AE2C520" w14:textId="77777777" w:rsidR="002F536C" w:rsidRDefault="002F536C" w:rsidP="002F536C">
      <w:pPr>
        <w:spacing w:after="240" w:line="240" w:lineRule="auto"/>
        <w:jc w:val="center"/>
        <w:rPr>
          <w:sz w:val="20"/>
          <w:szCs w:val="20"/>
        </w:rPr>
      </w:pPr>
    </w:p>
    <w:p w14:paraId="38B1235C" w14:textId="77777777" w:rsidR="002F536C" w:rsidRDefault="002F536C" w:rsidP="002F536C">
      <w:pPr>
        <w:spacing w:after="240" w:line="240" w:lineRule="auto"/>
        <w:jc w:val="center"/>
        <w:rPr>
          <w:sz w:val="20"/>
          <w:szCs w:val="20"/>
        </w:rPr>
      </w:pPr>
    </w:p>
    <w:p w14:paraId="7EA645E0" w14:textId="77777777" w:rsidR="002F536C" w:rsidRDefault="00B8198E" w:rsidP="002F536C">
      <w:pPr>
        <w:spacing w:after="120" w:line="240" w:lineRule="auto"/>
        <w:jc w:val="center"/>
        <w:rPr>
          <w:sz w:val="20"/>
          <w:szCs w:val="20"/>
        </w:rPr>
      </w:pPr>
      <w:r>
        <w:rPr>
          <w:sz w:val="20"/>
          <w:szCs w:val="20"/>
        </w:rPr>
        <w:t>Figure 7</w:t>
      </w:r>
      <w:r w:rsidR="002F536C">
        <w:rPr>
          <w:sz w:val="20"/>
          <w:szCs w:val="20"/>
        </w:rPr>
        <w:t>: Gerrie Coetzee knocked out by Greg Page in the 8</w:t>
      </w:r>
      <w:r w:rsidR="002F536C" w:rsidRPr="0095693D">
        <w:rPr>
          <w:sz w:val="20"/>
          <w:szCs w:val="20"/>
          <w:vertAlign w:val="superscript"/>
        </w:rPr>
        <w:t>th</w:t>
      </w:r>
      <w:r w:rsidR="002F536C">
        <w:rPr>
          <w:sz w:val="20"/>
          <w:szCs w:val="20"/>
        </w:rPr>
        <w:t xml:space="preserve"> round of the WPA Heavyweight World Championship at Sun City in 1984</w:t>
      </w:r>
    </w:p>
    <w:p w14:paraId="4BD3B130" w14:textId="77777777" w:rsidR="002F536C" w:rsidRDefault="002F536C" w:rsidP="002F536C">
      <w:pPr>
        <w:spacing w:after="120" w:line="240" w:lineRule="auto"/>
        <w:jc w:val="center"/>
        <w:rPr>
          <w:sz w:val="20"/>
          <w:szCs w:val="20"/>
        </w:rPr>
      </w:pPr>
      <w:r>
        <w:rPr>
          <w:sz w:val="20"/>
          <w:szCs w:val="20"/>
        </w:rPr>
        <w:t>[Source: Wessel Oosthu</w:t>
      </w:r>
      <w:r w:rsidR="006F3AD9">
        <w:rPr>
          <w:sz w:val="20"/>
          <w:szCs w:val="20"/>
        </w:rPr>
        <w:t>ise</w:t>
      </w:r>
      <w:r>
        <w:rPr>
          <w:sz w:val="20"/>
          <w:szCs w:val="20"/>
        </w:rPr>
        <w:t>n]</w:t>
      </w:r>
    </w:p>
    <w:p w14:paraId="1341605F" w14:textId="77777777" w:rsidR="002F536C" w:rsidRPr="004104A4" w:rsidRDefault="002F536C" w:rsidP="002F536C">
      <w:pPr>
        <w:spacing w:after="120" w:line="240" w:lineRule="auto"/>
        <w:jc w:val="center"/>
        <w:rPr>
          <w:sz w:val="20"/>
          <w:szCs w:val="20"/>
        </w:rPr>
      </w:pPr>
    </w:p>
    <w:p w14:paraId="4E1ADF7F" w14:textId="77777777" w:rsidR="002F536C" w:rsidRDefault="002F536C" w:rsidP="002F536C">
      <w:r>
        <w:t>However, boxing was not the only sport that put Bophuthatswana on the global map. Sun City is home to two Gary Player-designed 18-hole golf courses</w:t>
      </w:r>
      <w:r w:rsidR="00362B7F">
        <w:t xml:space="preserve"> and</w:t>
      </w:r>
      <w:r>
        <w:t xml:space="preserve"> the </w:t>
      </w:r>
      <w:r w:rsidR="00362B7F">
        <w:t>Nedbank</w:t>
      </w:r>
      <w:r>
        <w:t xml:space="preserve"> Golf Challenge. The current orga</w:t>
      </w:r>
      <w:r w:rsidR="000C57FE">
        <w:t>nise</w:t>
      </w:r>
      <w:r>
        <w:t>r of the Nedbank Golf Challenge, Simphiwe Buthelezi, said that the event has now become a staple of the Sun City calendar and is a sporting institution in South Africa. He continued to say that Sol Kerzner, a sports fan of not just boxing, originally arranged the Million Dollar, as the tournament is colloquially known, to overcome South Africa’s sporting isolation by bringing the world’s top golfers to Bophuthatswana. It was the only opportunity South African golfing fans had to see the likes of Johnny Miller and Raymond Floyd play live. With a $1 million pr</w:t>
      </w:r>
      <w:r w:rsidR="006F3AD9">
        <w:t>i</w:t>
      </w:r>
      <w:r w:rsidR="00396630">
        <w:t>z</w:t>
      </w:r>
      <w:r w:rsidR="006F3AD9">
        <w:t>e</w:t>
      </w:r>
      <w:r>
        <w:t xml:space="preserve"> pool, it had the largest pr</w:t>
      </w:r>
      <w:r w:rsidR="006F3AD9">
        <w:t>i</w:t>
      </w:r>
      <w:r w:rsidR="00396630">
        <w:t>z</w:t>
      </w:r>
      <w:r w:rsidR="006F3AD9">
        <w:t>e</w:t>
      </w:r>
      <w:r>
        <w:t xml:space="preserve"> money of any tournament in the world.</w:t>
      </w:r>
      <w:r>
        <w:rPr>
          <w:rStyle w:val="FootnoteReference"/>
        </w:rPr>
        <w:footnoteReference w:id="299"/>
      </w:r>
      <w:r>
        <w:t xml:space="preserve"> </w:t>
      </w:r>
    </w:p>
    <w:p w14:paraId="77FCF3CF" w14:textId="77777777" w:rsidR="002F536C" w:rsidRDefault="002F536C" w:rsidP="002F536C">
      <w:r>
        <w:lastRenderedPageBreak/>
        <w:t>In 1987, Welsh golfer Ian Woosman took home the trophy for the Million Dollar Challenge and was highly criticised in the international media for breaking the sports boycott. In a post tournament interview, he said that everyone dreams of being a millionaire and that he had done it. Money proved more alluring than political correctness. A reporter from a newspaper in the United States attacked Woosman for his seemingly detached remark and stated that in South Africa black people dreamt of being able to vote and not being imprisoned for their political beliefs.</w:t>
      </w:r>
      <w:r>
        <w:rPr>
          <w:rStyle w:val="FootnoteReference"/>
        </w:rPr>
        <w:footnoteReference w:id="300"/>
      </w:r>
      <w:r>
        <w:t xml:space="preserve"> He sought to make an effective and stark contrast between the two worlds of the professional golfer breaking the international sports boycott for a big pay and the politically disenfranchised average black South African. However, Woosman was far from being the only golfer who could not resist the temptation of Sun City. Before the end of apartheid, the Million Dollar provided Bophuthatswana with an opportunity to perform on the world stage with high profile golfers ignoring sports boycott</w:t>
      </w:r>
      <w:r w:rsidR="00362B7F">
        <w:t xml:space="preserve">. </w:t>
      </w:r>
      <w:r>
        <w:t>Buthelezi said in his interview that Bophuthatswana could not have hoped for better publicity.</w:t>
      </w:r>
      <w:r>
        <w:rPr>
          <w:rStyle w:val="FootnoteReference"/>
        </w:rPr>
        <w:footnoteReference w:id="301"/>
      </w:r>
      <w:r>
        <w:t xml:space="preserve"> </w:t>
      </w:r>
    </w:p>
    <w:p w14:paraId="3E2242E3" w14:textId="77777777" w:rsidR="002F536C" w:rsidRDefault="002F536C" w:rsidP="002F536C">
      <w:r>
        <w:t xml:space="preserve">Golfer Lanny Wadkins won $150, 000 for his </w:t>
      </w:r>
      <w:r w:rsidR="00362B7F">
        <w:t>second-place</w:t>
      </w:r>
      <w:r>
        <w:t xml:space="preserve"> finish at Sun City. Criticised by Artists United Against Apartheid, he defended his actions in these terms: “there’s no apartheid [at Sun City]. There were black people at the next table in the restaurants and black people in the gambling casino and on the tennis courts.”</w:t>
      </w:r>
      <w:r>
        <w:rPr>
          <w:rStyle w:val="FootnoteReference"/>
        </w:rPr>
        <w:footnoteReference w:id="302"/>
      </w:r>
      <w:r>
        <w:t xml:space="preserve"> However, Wadkins was criticised by journalists for having never ventured outside of Sun City and thus failed to grasp how the </w:t>
      </w:r>
      <w:r w:rsidR="00FA6A91">
        <w:t>clear majority</w:t>
      </w:r>
      <w:r>
        <w:t xml:space="preserve"> of black South Africans lived. Instead he chose to focus on the minority that could afford the luxuries of Sun City. </w:t>
      </w:r>
    </w:p>
    <w:p w14:paraId="436CCD84" w14:textId="77777777" w:rsidR="002F536C" w:rsidRPr="008951AF" w:rsidRDefault="002F536C" w:rsidP="002F536C">
      <w:r>
        <w:t>Lee Elder, the first black player to be admitted into the Master’s tournament in 1975, one of the four major golfing tournaments, criticised Wadkins for his involvement in the Sun City Million Dollar.</w:t>
      </w:r>
      <w:r>
        <w:rPr>
          <w:rStyle w:val="FootnoteReference"/>
        </w:rPr>
        <w:footnoteReference w:id="303"/>
      </w:r>
      <w:r>
        <w:t xml:space="preserve"> The Professional Golfers’ Association of America (PGA) was largely blamed for not stepping in and regulating their players. All others sports were controlled and their players prohibited from playing at Sun City. However, the Million Dollar Challenge would employ underhand tactics and only announce the players participating in the tournament at the last minute. This limited the extent to which the PGA could intervene and inform their players about the sports boycott and their moral responsibilities.</w:t>
      </w:r>
      <w:r>
        <w:rPr>
          <w:rStyle w:val="FootnoteReference"/>
        </w:rPr>
        <w:footnoteReference w:id="304"/>
      </w:r>
      <w:r>
        <w:t xml:space="preserve">  </w:t>
      </w:r>
    </w:p>
    <w:p w14:paraId="40150CA2" w14:textId="77777777" w:rsidR="002F536C" w:rsidRDefault="002F536C" w:rsidP="002F536C">
      <w:r>
        <w:lastRenderedPageBreak/>
        <w:t>By the 1980s South African sports was more isolated than ever. The Springboks had nowhere to play and the only sportsmen entering South Africa where those dubbed ‘rebels’ who accepted blood money from the likes of Kerzner. While Kerzner managed to lure some big boxing names and create an impressive golfing tournament with a huge pr</w:t>
      </w:r>
      <w:r w:rsidR="006F3AD9">
        <w:t>i</w:t>
      </w:r>
      <w:r w:rsidR="00396630">
        <w:t>z</w:t>
      </w:r>
      <w:r w:rsidR="006F3AD9">
        <w:t>e</w:t>
      </w:r>
      <w:r>
        <w:t xml:space="preserve"> pool, he failed to break into mainstream sport. He could not sway the conscience of the top players from the West Indies, Sri Lanka, New Zealand, Australia and England in sports such as cricket and rugby. Those Caribbean sportsmen who were bribed into performing felt such a stigma that some even emigrated.</w:t>
      </w:r>
      <w:r>
        <w:rPr>
          <w:rStyle w:val="FootnoteReference"/>
        </w:rPr>
        <w:footnoteReference w:id="305"/>
      </w:r>
      <w:r>
        <w:t xml:space="preserve"> Evans</w:t>
      </w:r>
      <w:r w:rsidR="00362B7F">
        <w:t xml:space="preserve"> </w:t>
      </w:r>
      <w:r>
        <w:t>said in her interview that the attempt by Kerzner to appease South Africans’ need for international sporting participation and to feel included was somewhat successful. The ability to see international sporting legends compete at Sun City was a way to control South Africans’ feeling of isolation, whilst Kerzner directly profited from the boycotts. He could secure a monopoly on white South African’s entertainment and access to the international world.</w:t>
      </w:r>
      <w:r>
        <w:rPr>
          <w:rStyle w:val="FootnoteReference"/>
        </w:rPr>
        <w:footnoteReference w:id="306"/>
      </w:r>
    </w:p>
    <w:p w14:paraId="029267DD" w14:textId="77777777" w:rsidR="002F536C" w:rsidRDefault="002F536C" w:rsidP="002F536C">
      <w:r>
        <w:t>By 1985, the cultural and sporting boycott had reached  its peak, with virtually no artists touring to Sun City.</w:t>
      </w:r>
      <w:r>
        <w:rPr>
          <w:rStyle w:val="FootnoteReference"/>
        </w:rPr>
        <w:footnoteReference w:id="307"/>
      </w:r>
      <w:r>
        <w:t xml:space="preserve"> A close friend and business partner of Kerzner’s said in an interview  that “Mr Kerzner could pay anyone he wanted to perform at Sun City.”</w:t>
      </w:r>
      <w:r>
        <w:rPr>
          <w:rStyle w:val="FootnoteReference"/>
        </w:rPr>
        <w:footnoteReference w:id="308"/>
      </w:r>
      <w:r>
        <w:t xml:space="preserve"> The man, who wished to remain anonymous, felt that money spoke louder than politics.</w:t>
      </w:r>
      <w:r>
        <w:rPr>
          <w:rStyle w:val="FootnoteReference"/>
        </w:rPr>
        <w:footnoteReference w:id="309"/>
      </w:r>
      <w:r>
        <w:t xml:space="preserve"> However, despite the large sums of money that Kerzner could offer artists and sportsmen, the boycott was successful. Herliane Portenschaleger said that Kerzner continued to place pressure on his public relations team. He was eternal</w:t>
      </w:r>
      <w:r w:rsidR="00362B7F">
        <w:t xml:space="preserve">ly hungry for the limelight, </w:t>
      </w:r>
      <w:r>
        <w:t>publicity</w:t>
      </w:r>
      <w:r w:rsidR="00362B7F">
        <w:t xml:space="preserve"> and</w:t>
      </w:r>
      <w:r>
        <w:t xml:space="preserve"> the next big event to bring the world’s attention to Sun City. It was not only the celebrities and performers who needed to be invited and enticed to Bophuthatswana but the media as well.</w:t>
      </w:r>
      <w:r>
        <w:rPr>
          <w:rStyle w:val="FootnoteReference"/>
        </w:rPr>
        <w:footnoteReference w:id="310"/>
      </w:r>
      <w:r>
        <w:t xml:space="preserve"> However, as the UN boycott list grew and the boycott began to gain traction, it became more and more difficult for Kerzner to entice musicians to play within the famed walls of the Sun City Superbowl. </w:t>
      </w:r>
    </w:p>
    <w:p w14:paraId="45A747ED" w14:textId="77777777" w:rsidR="00362B7F" w:rsidRDefault="00362B7F" w:rsidP="002F536C">
      <w:pPr>
        <w:pStyle w:val="Heading2"/>
        <w:numPr>
          <w:ilvl w:val="0"/>
          <w:numId w:val="0"/>
        </w:numPr>
        <w:ind w:left="578" w:hanging="578"/>
      </w:pPr>
    </w:p>
    <w:p w14:paraId="3D7F233F" w14:textId="77777777" w:rsidR="002F536C" w:rsidRDefault="002F536C" w:rsidP="002F536C">
      <w:pPr>
        <w:pStyle w:val="Heading2"/>
        <w:numPr>
          <w:ilvl w:val="0"/>
          <w:numId w:val="0"/>
        </w:numPr>
        <w:ind w:left="578" w:hanging="578"/>
      </w:pPr>
      <w:bookmarkStart w:id="53" w:name="_Toc488481729"/>
      <w:r>
        <w:t>Conclusion</w:t>
      </w:r>
      <w:bookmarkEnd w:id="53"/>
    </w:p>
    <w:p w14:paraId="5177F1B1" w14:textId="77777777" w:rsidR="002F536C" w:rsidRPr="0018489B" w:rsidRDefault="002F536C" w:rsidP="002F536C">
      <w:r>
        <w:t>The sporting and cultural boycotts were felt throughout South Africa. By taking advantage of Bophuthatswana’s nominal independence, Sun City attempted to circumnavigate international isolation imposed by the boycotts. In terms of its ability to garner political and civil activism against itself, Sun City was a success. The cultural and sporting boycotts, which the liberation movement asked the world to observe, were supported by many international human rights organisations as well as artists and athletes. Artists Against Apartheid, for example, mobilised huge support and awareness against apartheid and educated artists and athletes about Sun City through their song, ‘</w:t>
      </w:r>
      <w:r w:rsidRPr="00143BD0">
        <w:t>Sun City</w:t>
      </w:r>
      <w:r>
        <w:t>’</w:t>
      </w:r>
      <w:r>
        <w:rPr>
          <w:i/>
        </w:rPr>
        <w:t xml:space="preserve">. </w:t>
      </w:r>
      <w:r>
        <w:t>Whilst Kerzner lured athletes and artists to Sun City, the international press and the United Nations turned them into pariahs upon their return.</w:t>
      </w:r>
    </w:p>
    <w:p w14:paraId="017FE9EC" w14:textId="77777777" w:rsidR="002F536C" w:rsidRDefault="002F536C" w:rsidP="002F536C"/>
    <w:p w14:paraId="233DB550" w14:textId="77777777" w:rsidR="002F536C" w:rsidRDefault="002F536C" w:rsidP="002F536C"/>
    <w:p w14:paraId="116188D8" w14:textId="77777777" w:rsidR="002F536C" w:rsidRDefault="002F536C" w:rsidP="002F536C"/>
    <w:p w14:paraId="65CB9015" w14:textId="77777777" w:rsidR="002F536C" w:rsidRDefault="002F536C" w:rsidP="002F536C"/>
    <w:p w14:paraId="4D63745F" w14:textId="77777777" w:rsidR="002F536C" w:rsidRDefault="002F536C" w:rsidP="002F536C"/>
    <w:p w14:paraId="7B743088" w14:textId="77777777" w:rsidR="002F536C" w:rsidRDefault="002F536C" w:rsidP="002F536C"/>
    <w:p w14:paraId="3376D14F" w14:textId="77777777" w:rsidR="002F536C" w:rsidRDefault="002F536C" w:rsidP="002F536C"/>
    <w:p w14:paraId="70489FEF" w14:textId="77777777" w:rsidR="002F536C" w:rsidRDefault="002F536C" w:rsidP="002F536C"/>
    <w:p w14:paraId="2D2C84AB" w14:textId="77777777" w:rsidR="002F536C" w:rsidRDefault="002F536C" w:rsidP="002F536C"/>
    <w:p w14:paraId="1FEA5CE1" w14:textId="77777777" w:rsidR="002F536C" w:rsidRDefault="002F536C" w:rsidP="002F536C"/>
    <w:p w14:paraId="7CF9E586" w14:textId="77777777" w:rsidR="002F536C" w:rsidRDefault="002F536C" w:rsidP="002F536C"/>
    <w:p w14:paraId="19E731F4" w14:textId="77777777" w:rsidR="002F536C" w:rsidRDefault="002F536C" w:rsidP="002F536C"/>
    <w:p w14:paraId="5574233F" w14:textId="77777777" w:rsidR="002F536C" w:rsidRDefault="002F536C" w:rsidP="002F536C"/>
    <w:p w14:paraId="63791E46" w14:textId="77777777" w:rsidR="002F536C" w:rsidRDefault="002F536C" w:rsidP="002F536C"/>
    <w:p w14:paraId="388B3CF8" w14:textId="77777777" w:rsidR="002F536C" w:rsidRDefault="002F536C" w:rsidP="002F536C"/>
    <w:p w14:paraId="50AED241" w14:textId="77777777" w:rsidR="002F536C" w:rsidRDefault="002F536C" w:rsidP="002F536C">
      <w:pPr>
        <w:pStyle w:val="Heading1"/>
        <w:numPr>
          <w:ilvl w:val="0"/>
          <w:numId w:val="0"/>
        </w:numPr>
        <w:ind w:left="432" w:hanging="432"/>
        <w:jc w:val="center"/>
      </w:pPr>
      <w:bookmarkStart w:id="54" w:name="_Toc488481730"/>
      <w:bookmarkStart w:id="55" w:name="_Toc459702976"/>
      <w:r>
        <w:lastRenderedPageBreak/>
        <w:t xml:space="preserve">CHAPTER FIVE: </w:t>
      </w:r>
      <w:r w:rsidR="00EA4779">
        <w:t>A Transition</w:t>
      </w:r>
      <w:r>
        <w:t xml:space="preserve"> Period</w:t>
      </w:r>
      <w:r w:rsidR="0029052C">
        <w:t xml:space="preserve"> -</w:t>
      </w:r>
      <w:r w:rsidR="00EA4779">
        <w:t xml:space="preserve"> 1990 onwards</w:t>
      </w:r>
      <w:bookmarkEnd w:id="54"/>
    </w:p>
    <w:p w14:paraId="5DC4F17C" w14:textId="77777777" w:rsidR="002F536C" w:rsidRDefault="002F536C" w:rsidP="002F536C">
      <w:pPr>
        <w:pStyle w:val="Heading2"/>
        <w:numPr>
          <w:ilvl w:val="0"/>
          <w:numId w:val="0"/>
        </w:numPr>
        <w:ind w:left="578" w:hanging="578"/>
      </w:pPr>
      <w:bookmarkStart w:id="56" w:name="_Toc488481731"/>
      <w:r>
        <w:t>Introduction</w:t>
      </w:r>
      <w:bookmarkEnd w:id="56"/>
    </w:p>
    <w:p w14:paraId="67711522" w14:textId="77777777" w:rsidR="002F536C" w:rsidRDefault="002F536C" w:rsidP="002F536C">
      <w:r>
        <w:t xml:space="preserve">Following the release of Nelson Mandela from prison on 11 February 1990 and the announcement of the unbanning of political organisations such as the ANC, South Africa entered a transition period with the end goal of becoming a democratic nation. This was not a simple process; it was time filled with violence and political turmoil. International pressure was placed on the country to ensure that the end goal was reached, and with the as little violence as possible. As the homeland system and Bophuthatswana crumbled, the world of gambling in South Africa changed. </w:t>
      </w:r>
      <w:r w:rsidR="00362B7F">
        <w:t xml:space="preserve">President </w:t>
      </w:r>
      <w:r>
        <w:t xml:space="preserve">Lucas Mangope was ousted from power on 12 March 1994 and Bophuthatswana was set to be reincorporated into the body of South Africa. Interim gambling laws were instituted in 1993, until a </w:t>
      </w:r>
      <w:r w:rsidR="00362B7F">
        <w:t xml:space="preserve">new </w:t>
      </w:r>
      <w:r>
        <w:t>gambling act could be drafted and finalised. The transition period from 1990-1994 was an uncertain</w:t>
      </w:r>
      <w:r w:rsidR="00EA4779">
        <w:t xml:space="preserve"> one for Sun International and </w:t>
      </w:r>
      <w:r>
        <w:t xml:space="preserve">Sol Kerzner, as his monopoly rested on the continuation of gambling. </w:t>
      </w:r>
      <w:r w:rsidR="00362B7F">
        <w:t>Additionally, the period proved to be</w:t>
      </w:r>
      <w:r w:rsidR="00EA4779" w:rsidRPr="00362B7F">
        <w:t xml:space="preserve"> an uncertain time for the homeland of Bophuthatswana.</w:t>
      </w:r>
      <w:r w:rsidR="00EA4779" w:rsidRPr="00EA4779">
        <w:rPr>
          <w:color w:val="FF0000"/>
        </w:rPr>
        <w:t xml:space="preserve"> </w:t>
      </w:r>
    </w:p>
    <w:p w14:paraId="7844B98D" w14:textId="77777777" w:rsidR="002F536C" w:rsidRPr="00554751" w:rsidRDefault="002F536C" w:rsidP="002F536C">
      <w:r>
        <w:t xml:space="preserve">During this </w:t>
      </w:r>
      <w:r w:rsidR="00362B7F">
        <w:t>period</w:t>
      </w:r>
      <w:r>
        <w:t xml:space="preserve">, Kerzner hosted the Miss World competition at Sun City, which bought international focus onto the country. South Africa </w:t>
      </w:r>
      <w:r w:rsidR="0029052C">
        <w:t xml:space="preserve">had </w:t>
      </w:r>
      <w:r>
        <w:t>experienced a complex and turbulent history with beauty pageants since the mid-20</w:t>
      </w:r>
      <w:r w:rsidRPr="00554751">
        <w:rPr>
          <w:vertAlign w:val="superscript"/>
        </w:rPr>
        <w:t>th</w:t>
      </w:r>
      <w:r>
        <w:t xml:space="preserve"> century, where South Africa</w:t>
      </w:r>
      <w:r w:rsidR="0029052C">
        <w:t xml:space="preserve"> was bann</w:t>
      </w:r>
      <w:r>
        <w:t xml:space="preserve">ed was entering </w:t>
      </w:r>
      <w:r w:rsidR="0029052C">
        <w:t xml:space="preserve">the </w:t>
      </w:r>
      <w:r>
        <w:t>competitions</w:t>
      </w:r>
      <w:r w:rsidR="0029052C">
        <w:t>,</w:t>
      </w:r>
      <w:r>
        <w:t xml:space="preserve"> such as Miss World</w:t>
      </w:r>
      <w:r w:rsidR="0029052C">
        <w:t>,</w:t>
      </w:r>
      <w:r>
        <w:t xml:space="preserve"> due to the apartheid policies. </w:t>
      </w:r>
    </w:p>
    <w:p w14:paraId="7F8F4E41" w14:textId="77777777" w:rsidR="002F536C" w:rsidRDefault="002F536C" w:rsidP="002F536C">
      <w:r>
        <w:t>This chapter seeks to analyse the history of the Miss South Africa and Miss World competition in relation to Sun City. It will determine, how during South Africa’s transition period, the beauty pageants helped alter public perception towards Sun</w:t>
      </w:r>
      <w:r w:rsidR="0029052C">
        <w:t xml:space="preserve"> City</w:t>
      </w:r>
      <w:r>
        <w:t>. Secondly, it contextua</w:t>
      </w:r>
      <w:r w:rsidR="000C57FE">
        <w:t>lise</w:t>
      </w:r>
      <w:r>
        <w:t xml:space="preserve">s this thesis within the broader context of the 1990-1994 transitory period. </w:t>
      </w:r>
      <w:r w:rsidR="0029052C">
        <w:t>Additionally, t</w:t>
      </w:r>
      <w:r>
        <w:t xml:space="preserve">he collapse of the homeland policy, reincorporation of bantustan, Kerzner’s bribery charges and the institution of new gambling policy will be discussed. </w:t>
      </w:r>
    </w:p>
    <w:p w14:paraId="37BA1384" w14:textId="77777777" w:rsidR="002F536C" w:rsidRPr="00C30D98" w:rsidRDefault="002F536C" w:rsidP="00EA4779">
      <w:pPr>
        <w:pStyle w:val="Heading2"/>
        <w:numPr>
          <w:ilvl w:val="0"/>
          <w:numId w:val="0"/>
        </w:numPr>
        <w:ind w:left="578" w:hanging="578"/>
      </w:pPr>
      <w:bookmarkStart w:id="57" w:name="_Toc488481732"/>
      <w:bookmarkEnd w:id="55"/>
      <w:r>
        <w:t>Political context: 1990-1994</w:t>
      </w:r>
      <w:bookmarkEnd w:id="57"/>
    </w:p>
    <w:p w14:paraId="788B8B30" w14:textId="77777777" w:rsidR="002F536C" w:rsidRDefault="002F536C" w:rsidP="002F536C">
      <w:r>
        <w:t xml:space="preserve">In early 1990, F.W. de Klerk announced the release of </w:t>
      </w:r>
      <w:r w:rsidR="0029052C">
        <w:t xml:space="preserve">Nelson Mandela from prison, however, </w:t>
      </w:r>
      <w:r>
        <w:t>this would not secure the end of the apartheid and the advent of a democratic government.</w:t>
      </w:r>
      <w:r w:rsidR="0029052C">
        <w:t xml:space="preserve"> Instead a long path would be followed before democratic elections were held. </w:t>
      </w:r>
      <w:r>
        <w:t xml:space="preserve"> Through a series of negotiations, such as Convention for a Democratic South Africa (CODESA) I and II, the transitory process of South Africa began. The</w:t>
      </w:r>
      <w:r w:rsidR="00AA0B14">
        <w:t>se negotiations often involved “talks about talks”</w:t>
      </w:r>
      <w:r>
        <w:t xml:space="preserve"> and routinely broke down. This period, from 1990-1994, was </w:t>
      </w:r>
      <w:r>
        <w:lastRenderedPageBreak/>
        <w:t>marked by an escalation of violence in South Africa and its homeland territory. The violence whi</w:t>
      </w:r>
      <w:r w:rsidR="00AA0B14">
        <w:t>ch became known as “Third Force”</w:t>
      </w:r>
      <w:r>
        <w:t xml:space="preserve"> and was a struggle between the ANC and supporters of KwaZulu leader, Mangosuthu Buthelezi. Buthelezi had launched a political party, the Inkatha Freedom Party (IFP) in July 1990</w:t>
      </w:r>
      <w:r w:rsidR="0029052C">
        <w:t>,</w:t>
      </w:r>
      <w:r>
        <w:t xml:space="preserve"> in</w:t>
      </w:r>
      <w:r w:rsidR="00EA4779">
        <w:t xml:space="preserve"> to</w:t>
      </w:r>
      <w:r>
        <w:t xml:space="preserve"> response Mandela’s</w:t>
      </w:r>
      <w:r w:rsidR="0029052C">
        <w:t xml:space="preserve"> signing of the Pretoria Minute.</w:t>
      </w:r>
      <w:r w:rsidR="0029052C">
        <w:rPr>
          <w:rStyle w:val="FootnoteReference"/>
        </w:rPr>
        <w:footnoteReference w:id="311"/>
      </w:r>
      <w:r w:rsidR="0029052C">
        <w:t xml:space="preserve"> </w:t>
      </w:r>
      <w:r>
        <w:t xml:space="preserve">This allowed for the unilateral suspension of the armed struggle and simultaneously triggered Third Force violence between the ANC and the IFP for control of democratic South Africa. Bophuthatswana never fully engaged in the negotiation settlements following the release of Nelson Mandela from prison; the bantustan also refused to sign the National Peace Accord in 1991 and did not attend the first CODESA talks. Rather, Mangope tried to delay the reincorporation of the bantustans into South Africa as he fought to maintain power. This was in direct contrast to the desires of the people of </w:t>
      </w:r>
      <w:r w:rsidR="00FA6A91">
        <w:t>Bophuthatswana</w:t>
      </w:r>
      <w:r>
        <w:t xml:space="preserve">, who favoured reincorporation into South Africa. </w:t>
      </w:r>
    </w:p>
    <w:p w14:paraId="1C67A148" w14:textId="77777777" w:rsidR="002F536C" w:rsidRPr="00C30D98" w:rsidRDefault="002F536C" w:rsidP="002F536C">
      <w:r>
        <w:t>Academics argue that that despite the unbanning of the ANC in South Africa in 1990, Mangope controlled the activities of the political organisation within Bophuthatswana, forcing them operate in an informal and clandestine manner. During the period 1990-1994, ANC operatives in Bophuthatswana were harassed and detained. Mangope had adopted a hard-line approach to negotiations with the ANC and reincorporation into South Africa, popular resistance to Mangope grew stronger as he fought to keep his political capital. In 1990, a year-long state of emergency was imposed on Bophuthatswana to curtail political uprising. What followed was a period of onerous repression which culminated in a c</w:t>
      </w:r>
      <w:r w:rsidRPr="00822F7D">
        <w:t>oup d'état</w:t>
      </w:r>
      <w:r>
        <w:t xml:space="preserve"> against the Bophuthatswana government on 12 March 1994, where Mangope was ousted from power in favour of reincorporation with the imminent democratic South Africa. South Africa was due to hold </w:t>
      </w:r>
      <w:r w:rsidR="0067011F">
        <w:t>its</w:t>
      </w:r>
      <w:r>
        <w:t xml:space="preserve"> first free and fair democratic elections the next month.</w:t>
      </w:r>
      <w:r>
        <w:rPr>
          <w:rStyle w:val="FootnoteReference"/>
        </w:rPr>
        <w:footnoteReference w:id="312"/>
      </w:r>
      <w:r>
        <w:t xml:space="preserve">  </w:t>
      </w:r>
    </w:p>
    <w:p w14:paraId="4EA30FE9" w14:textId="77777777" w:rsidR="002F536C" w:rsidRPr="00C30D98" w:rsidRDefault="00B75EF6" w:rsidP="00EA4779">
      <w:pPr>
        <w:pStyle w:val="Heading2"/>
        <w:numPr>
          <w:ilvl w:val="0"/>
          <w:numId w:val="0"/>
        </w:numPr>
        <w:ind w:left="578" w:hanging="578"/>
      </w:pPr>
      <w:bookmarkStart w:id="58" w:name="_Toc488481733"/>
      <w:r>
        <w:t>Sun City and Beauty P</w:t>
      </w:r>
      <w:r w:rsidR="00EA4779">
        <w:t>ageants</w:t>
      </w:r>
      <w:bookmarkEnd w:id="58"/>
      <w:r w:rsidR="00EA4779">
        <w:t xml:space="preserve"> </w:t>
      </w:r>
    </w:p>
    <w:p w14:paraId="60A645CB" w14:textId="77777777" w:rsidR="002F536C" w:rsidRDefault="002F536C" w:rsidP="002F536C">
      <w:r>
        <w:t>Sun City and Sun International have become synonymous with the Miss South Africa beauty pageant competitions. From the early 1990s, the Superbowl hosted numerous Miss World, Miss South Africa and Miss South Africa Teen pageants.</w:t>
      </w:r>
      <w:r>
        <w:rPr>
          <w:rStyle w:val="FootnoteReference"/>
        </w:rPr>
        <w:footnoteReference w:id="313"/>
      </w:r>
      <w:r>
        <w:t xml:space="preserve"> Mark West, producer of over three dozen national beauty competitions as well as several Miss World pageants at Sun City, expressed in his interview that beauty pageants reflect the political era in which they take </w:t>
      </w:r>
      <w:r>
        <w:lastRenderedPageBreak/>
        <w:t>place.  A national beauty queen reflects a country’s relationship with cultural and religious mores, including their views on race.</w:t>
      </w:r>
      <w:r>
        <w:rPr>
          <w:rStyle w:val="FootnoteReference"/>
        </w:rPr>
        <w:footnoteReference w:id="314"/>
      </w:r>
      <w:r>
        <w:t xml:space="preserve"> Global beauty pageants, on the other hand, are an expression of prevailing political ideologies with regards to which countries can compete. South Africa’s involvement in Miss World pageant as well as Miss Universe competition revealed the world’s discomfor</w:t>
      </w:r>
      <w:r w:rsidR="0067011F">
        <w:t>t with South Africa’s apartheid, while the selection of the national beauty queen during the transition period provided a glimpse into the county’s racial ideology.</w:t>
      </w:r>
      <w:r>
        <w:rPr>
          <w:rStyle w:val="FootnoteReference"/>
        </w:rPr>
        <w:footnoteReference w:id="315"/>
      </w:r>
      <w:r>
        <w:t xml:space="preserve"> </w:t>
      </w:r>
    </w:p>
    <w:p w14:paraId="65D06904" w14:textId="77777777" w:rsidR="002F536C" w:rsidRDefault="002F536C" w:rsidP="002F536C">
      <w:r>
        <w:t>In her book on South African media and the end of apartheid, academic, Martha Evans, gives a detailed account of the Miss South Africa pageants trajectory to inclusivity.  The Miss World competition was started in 1951, with South Africa’s first entrance in 1956 and a first win two years later. During the years from 1970 to 1976, the pageant was under major pressure to allow black contestants to compete, South Africa sent two representatives to the Miss World competition - one white and one black. The white represen</w:t>
      </w:r>
      <w:r w:rsidR="00AA0B14">
        <w:t>tatives wore a sash which said “South Africa”</w:t>
      </w:r>
      <w:r>
        <w:t>, while</w:t>
      </w:r>
      <w:r w:rsidR="00AA0B14">
        <w:t xml:space="preserve"> the black entrant’s sash said “Africa South”</w:t>
      </w:r>
      <w:r>
        <w:t>. This move saw increased protest over the global beauty pageant. Feminist groups labelled t</w:t>
      </w:r>
      <w:r w:rsidR="00AA0B14">
        <w:t>he competition a “cattle market”</w:t>
      </w:r>
      <w:r>
        <w:t>, whilst anti-apartheid activists argued that the admittance of two South Africa competitors was an imbedded approval of apartheid policy. Through the admittance of two South African representatives, the pageant directors had hoped to quell protest but this only heightened international outrage and publicised apartheid further. However, in 1976 South Africa’s entry of two contestants found nine countries withdrawing from the competition and the following year ten more opted to withdraw.</w:t>
      </w:r>
      <w:r>
        <w:rPr>
          <w:rStyle w:val="FootnoteReference"/>
        </w:rPr>
        <w:footnoteReference w:id="316"/>
      </w:r>
      <w:r>
        <w:t xml:space="preserve"> In 1978 South Africa was finally banned from the beauty contest. </w:t>
      </w:r>
    </w:p>
    <w:p w14:paraId="0759AA5B" w14:textId="77777777" w:rsidR="002F536C" w:rsidRDefault="002F536C" w:rsidP="002F536C">
      <w:r>
        <w:t>The hosting of the Miss World competition was timed perfectly with the launch of Kerzner’s new Palace of the Lost City, which was completed in 1992. This was the perfect opportunity to showcase the R725 million hotel to a new international market.</w:t>
      </w:r>
      <w:r>
        <w:rPr>
          <w:rStyle w:val="FootnoteReference"/>
        </w:rPr>
        <w:footnoteReference w:id="317"/>
      </w:r>
      <w:r>
        <w:t xml:space="preserve"> Herliane Portschenlager </w:t>
      </w:r>
      <w:r w:rsidR="00EA4779">
        <w:t>suggested in her interview</w:t>
      </w:r>
      <w:r>
        <w:t xml:space="preserve"> that Kerzner was uncertain what the future held for Bophuthatswana and therefore for Sun City, the hosting of Miss World competition was an attempt to remain relevant.</w:t>
      </w:r>
      <w:r>
        <w:rPr>
          <w:rStyle w:val="FootnoteReference"/>
        </w:rPr>
        <w:footnoteReference w:id="318"/>
      </w:r>
      <w:r>
        <w:t xml:space="preserve"> The 1988 </w:t>
      </w:r>
      <w:r w:rsidRPr="00B80D26">
        <w:t>coup d'état</w:t>
      </w:r>
      <w:r>
        <w:t xml:space="preserve"> in Bophuthatswana </w:t>
      </w:r>
      <w:r w:rsidRPr="00C30D98">
        <w:t xml:space="preserve">where an attempt was made to oust president Lucas Mangope by the leader of Bophuthatswana’s </w:t>
      </w:r>
      <w:r>
        <w:t xml:space="preserve">People’s </w:t>
      </w:r>
      <w:r>
        <w:lastRenderedPageBreak/>
        <w:t>Progressive Party</w:t>
      </w:r>
      <w:r w:rsidRPr="00C30D98">
        <w:t>, Rocky Malebna-Metsing</w:t>
      </w:r>
      <w:r w:rsidR="00EA4779">
        <w:t xml:space="preserve"> had paved the way</w:t>
      </w:r>
      <w:r w:rsidR="0067011F">
        <w:t xml:space="preserve"> for political unrest</w:t>
      </w:r>
      <w:r w:rsidRPr="00C30D98">
        <w:t xml:space="preserve">. The Bophuthatswana military was released to disband the rebels </w:t>
      </w:r>
      <w:r>
        <w:t>and failed. This forced</w:t>
      </w:r>
      <w:r w:rsidRPr="00C30D98">
        <w:t xml:space="preserve"> the South African </w:t>
      </w:r>
      <w:r w:rsidR="00EA4779">
        <w:t>army</w:t>
      </w:r>
      <w:r w:rsidRPr="00C30D98">
        <w:t xml:space="preserve"> to intervene, revealing the fallacy of bantustan independence.</w:t>
      </w:r>
      <w:r w:rsidR="00EA4779">
        <w:rPr>
          <w:rStyle w:val="Hyperlink"/>
        </w:rPr>
        <w:t xml:space="preserve"> </w:t>
      </w:r>
      <w:r>
        <w:t xml:space="preserve">Mangope was unwilling to relinquish control of Bophuthatswana and wanted the territory to remain independent from South Africa, even as the country teetered towards democracy. Evans has </w:t>
      </w:r>
      <w:r w:rsidR="00EA4779">
        <w:t>thus</w:t>
      </w:r>
      <w:r>
        <w:t xml:space="preserve"> labelled t</w:t>
      </w:r>
      <w:r w:rsidRPr="00B80D26">
        <w:t>he</w:t>
      </w:r>
      <w:r>
        <w:t xml:space="preserve"> decision to host the international beauty competition in Bophuthatswana’s premier resort was as politically insensitive.</w:t>
      </w:r>
      <w:r>
        <w:rPr>
          <w:rStyle w:val="FootnoteReference"/>
        </w:rPr>
        <w:footnoteReference w:id="319"/>
      </w:r>
    </w:p>
    <w:p w14:paraId="15E907C1" w14:textId="77777777" w:rsidR="002F536C" w:rsidRDefault="002F536C" w:rsidP="002F536C">
      <w:r>
        <w:t xml:space="preserve">In 1991, Miss World was the first competitive body to allow South Africa back into the competition. Diana Tilden-Davis was the first Miss South Africa to compete at the Miss World competition, held in the United States, following the ban in 1978. She was a tall, blonde woman from a wealthy family and her sister had been crowned Miss South Africa three years previously. Whilst her crowning in South Africa did not create much stir, it was hardly representative of the democratic changes taking place in the country. Nelson Mandela had been released six months earlier and the CODESA talks were underway. However, when she placed third at the Miss World competition, the world displayed their disapproval over her admittance into the competition in the first place. Questions were raised over her cultural </w:t>
      </w:r>
      <w:r w:rsidR="00F756D6">
        <w:t>representativeness</w:t>
      </w:r>
      <w:r>
        <w:t xml:space="preserve"> given South Africa’s racial history.</w:t>
      </w:r>
      <w:r>
        <w:rPr>
          <w:rStyle w:val="FootnoteReference"/>
        </w:rPr>
        <w:footnoteReference w:id="320"/>
      </w:r>
      <w:r>
        <w:t xml:space="preserve"> </w:t>
      </w:r>
    </w:p>
    <w:p w14:paraId="27DB2E6A" w14:textId="77777777" w:rsidR="002F536C" w:rsidRPr="002E6991" w:rsidRDefault="002F536C" w:rsidP="002F536C">
      <w:r w:rsidRPr="00C30D98">
        <w:t>During South Africa’s political transition, the 1991 Miss World finalists were sponsored a trip to South Africa by an opposition</w:t>
      </w:r>
      <w:r>
        <w:t xml:space="preserve"> hotel</w:t>
      </w:r>
      <w:r w:rsidRPr="00C30D98">
        <w:t xml:space="preserve"> group to Sun International.</w:t>
      </w:r>
      <w:r>
        <w:t xml:space="preserve"> Kerzner saw an opportunity and decided to bring the entire pageant to Sun City as part of a long-term marketing strategy to out-market his opposition.</w:t>
      </w:r>
      <w:r>
        <w:rPr>
          <w:rStyle w:val="FootnoteReference"/>
        </w:rPr>
        <w:footnoteReference w:id="321"/>
      </w:r>
      <w:r>
        <w:t xml:space="preserve"> In 1992 the Miss World franchise signed a three-year contract with Sun International to host Miss World at Sun City. This was an interesting decision on the part of the </w:t>
      </w:r>
      <w:r w:rsidRPr="00EA4779">
        <w:t>Morely’s</w:t>
      </w:r>
      <w:r>
        <w:t xml:space="preserve"> – South Africa was in its transitory phase and the reincorporation of the bantustans into South Africa was still hanging in the balance.</w:t>
      </w:r>
      <w:r w:rsidR="00EA4779">
        <w:rPr>
          <w:rStyle w:val="FootnoteReference"/>
        </w:rPr>
        <w:footnoteReference w:id="322"/>
      </w:r>
      <w:r>
        <w:t xml:space="preserve"> The </w:t>
      </w:r>
      <w:r w:rsidR="00756A84">
        <w:t>NP</w:t>
      </w:r>
      <w:r w:rsidR="00202C82">
        <w:t xml:space="preserve"> government</w:t>
      </w:r>
      <w:r>
        <w:t xml:space="preserve"> and Mangope still maintained power over their respective territories, whilst the notion of homeland policy still faced internal and international rebuke.  The hosting of the Miss World pageant at Sun City attracted the attention of millions of viewers and shone the spotlight squarely on Bophuthatswana as Mangope fought to keep his political capital.</w:t>
      </w:r>
      <w:r>
        <w:rPr>
          <w:rStyle w:val="FootnoteReference"/>
        </w:rPr>
        <w:footnoteReference w:id="323"/>
      </w:r>
      <w:r>
        <w:t xml:space="preserve"> The contract was mutually beneficial to both the Morley’s and Kerzner, which </w:t>
      </w:r>
      <w:r>
        <w:lastRenderedPageBreak/>
        <w:t>journalist Zoe Heller dubbed ‘the shared empathy of pariahs’.</w:t>
      </w:r>
      <w:r>
        <w:rPr>
          <w:rStyle w:val="FootnoteReference"/>
        </w:rPr>
        <w:footnoteReference w:id="324"/>
      </w:r>
      <w:r>
        <w:t xml:space="preserve"> </w:t>
      </w:r>
      <w:r w:rsidRPr="00E156C8">
        <w:t>It was hoped that Sun City’s location in Africa and Kerzner’s reputation for hosting successful and extravagant events would revive Miss World’s diminishing fame. Pageants hosted in previous years had lost money and the lavish and notorious Sun City presented many possibilities for the Morley’s to rejuvenate their brand</w:t>
      </w:r>
      <w:r>
        <w:t xml:space="preserve"> in an exotic setting. For Kerzner, on the other hand, three years of Miss World competitions would secure international marketing for Sun City, which he needed in the uncertain and tumultuous early 1990s in South Africa. West said that the budget was virtually unlimited and that the Sun International group poured a lot of capital into the successful hosting of the event.</w:t>
      </w:r>
      <w:r>
        <w:rPr>
          <w:rStyle w:val="FootnoteReference"/>
        </w:rPr>
        <w:footnoteReference w:id="325"/>
      </w:r>
      <w:r>
        <w:t xml:space="preserve"> </w:t>
      </w:r>
    </w:p>
    <w:p w14:paraId="1E904DEF" w14:textId="77777777" w:rsidR="002F536C" w:rsidRDefault="002F536C" w:rsidP="002F536C">
      <w:r>
        <w:t xml:space="preserve">On 12 and 19 September 1992, the adjudicators for Miss Bophuthatswana went to Phokeng, Taung and Mmabatho in search of 12 contestants to compete in the final at the Mmabatho Convention Centre on 12 October. It was advertised in </w:t>
      </w:r>
      <w:r>
        <w:rPr>
          <w:i/>
        </w:rPr>
        <w:t xml:space="preserve">The Mail </w:t>
      </w:r>
      <w:r>
        <w:t xml:space="preserve">that the winner would travel widely overseas, attend a variety of social functions during her reign and fundraise for charity as well as “promote Bophuthatswana.” </w:t>
      </w:r>
      <w:r>
        <w:rPr>
          <w:rStyle w:val="FootnoteReference"/>
        </w:rPr>
        <w:footnoteReference w:id="326"/>
      </w:r>
      <w:r>
        <w:t xml:space="preserve"> Miss Bophuthatswana wou</w:t>
      </w:r>
      <w:r w:rsidRPr="0085747D">
        <w:t>ld have an occasion to compete for the title of Miss World</w:t>
      </w:r>
      <w:r>
        <w:t>, providing the bantustan with</w:t>
      </w:r>
      <w:r w:rsidRPr="0085747D">
        <w:t xml:space="preserve"> an opportunity to receive global recognition as an independent territory.</w:t>
      </w:r>
      <w:r w:rsidRPr="0085747D">
        <w:rPr>
          <w:rStyle w:val="FootnoteReference"/>
        </w:rPr>
        <w:footnoteReference w:id="327"/>
      </w:r>
      <w:r w:rsidRPr="0085747D">
        <w:t xml:space="preserve">  However, Miss Bophuthatswana</w:t>
      </w:r>
      <w:r>
        <w:t xml:space="preserve"> was in the end excluded from the Miss World competition held at the Palace of the Lost City in 1992. Per the Bophuthatswana publication </w:t>
      </w:r>
      <w:r>
        <w:rPr>
          <w:i/>
        </w:rPr>
        <w:t xml:space="preserve">The Mail, </w:t>
      </w:r>
      <w:r>
        <w:t>the local residents felt that if Malebo Raditladi, Miss Bophuthatswana 1992, was excluded from the competition then tourists should be banned from entering the bantustan. Raditladi’s exclusion reflected the bantustan’s lack of international recognition.  Bophuthatswana residents queried why the competition could be held in the territory if it wasn’t recognised as a country.</w:t>
      </w:r>
      <w:r>
        <w:rPr>
          <w:rStyle w:val="FootnoteReference"/>
        </w:rPr>
        <w:footnoteReference w:id="328"/>
      </w:r>
      <w:r>
        <w:t xml:space="preserve"> </w:t>
      </w:r>
    </w:p>
    <w:p w14:paraId="210A90DC" w14:textId="77777777" w:rsidR="00EA4779" w:rsidRDefault="002F536C" w:rsidP="002F536C">
      <w:r>
        <w:t>The controversy around Miss World was exacerbated by a labour dispute between the</w:t>
      </w:r>
      <w:r w:rsidRPr="00FC1B0B">
        <w:t> Congress of South African Trade Unions</w:t>
      </w:r>
      <w:r>
        <w:t xml:space="preserve"> (COSATU) and Sun International, the Miss World franchise partner. COSATU demanded that Sun International recognise the South African Commercial, Caterers and Allied Workers’ Union in Bophuthatswana. Previously, Sun International had not recognised the union because Bophuthatswana prohibited the operation of trade unions within the homeland. However, following the release of Mandela </w:t>
      </w:r>
      <w:r>
        <w:lastRenderedPageBreak/>
        <w:t xml:space="preserve">from prison and the imminent changes in South Africa, COSATU was exerting pressure onto Sun International. </w:t>
      </w:r>
    </w:p>
    <w:p w14:paraId="2D6402E4" w14:textId="77777777" w:rsidR="00EA4779" w:rsidRDefault="002F536C" w:rsidP="002F536C">
      <w:r>
        <w:t>The labour dispute attracted media attention and COSATU soon rea</w:t>
      </w:r>
      <w:r w:rsidR="000C57FE">
        <w:t>lise</w:t>
      </w:r>
      <w:r>
        <w:t>d the potential for international media coverage and threatened to disrupt the 1992 Miss World pageant. In conjunction with this, the ANC planned a protest march from the Free State town of Botshabelo to the Bophuthatswana town of Thaba’Nchu. They used the international event to gather support and media coverage to demand the release of political prisoners in Bophuthatswana, the cancellation of the Miss World competition and to demand unrestricted political activity. Despite the unbanning of political parties in South Africa in 1991, political activities were still heavily restricted within Bophuthatswana. Mangope fought to maintain a tight grip on the bantustan.  Fearing a repeat of the events in Bisho of 7 September 1992, where 28 people were killed, the South African government declared the march illegal and riot police were installed at the border.</w:t>
      </w:r>
      <w:r>
        <w:rPr>
          <w:rStyle w:val="FootnoteReference"/>
        </w:rPr>
        <w:footnoteReference w:id="329"/>
      </w:r>
      <w:r>
        <w:t xml:space="preserve"> </w:t>
      </w:r>
    </w:p>
    <w:p w14:paraId="70CFBCCB" w14:textId="77777777" w:rsidR="002F536C" w:rsidRDefault="002F536C" w:rsidP="002F536C">
      <w:r>
        <w:t>In the end the Miss World competition went ahead with little disruption thanks to strict security measures and the closed environment imposed by Sun City.</w:t>
      </w:r>
      <w:r>
        <w:rPr>
          <w:rStyle w:val="FootnoteReference"/>
        </w:rPr>
        <w:footnoteReference w:id="330"/>
      </w:r>
      <w:r>
        <w:t xml:space="preserve"> While Mangope was in power, ANC political activities were remained illegal, even after the political party was unbanned in South Africa in 1991. According to a deported political analyst from Unibo, the ANC “never focused itself squarely on applying pressure on the Bophuthatswana regime”, this was despite clandestine activities in the bantustan. This explains why high profile sporting events and Miss World beauty competitions continued to be hosted at Sun City during 1990-1994, it was alleged that this was due to the focus of the ANC was on political negotiations with the </w:t>
      </w:r>
      <w:r w:rsidR="00756A84">
        <w:t>NP</w:t>
      </w:r>
      <w:r>
        <w:t xml:space="preserve"> government and the broader context of South Africa. In conjunction, the </w:t>
      </w:r>
      <w:r w:rsidR="00756A84">
        <w:t>NP</w:t>
      </w:r>
      <w:r w:rsidR="00202C82">
        <w:t xml:space="preserve"> government</w:t>
      </w:r>
      <w:r>
        <w:t xml:space="preserve"> saw Mangope as an ally against the ANC and therefore did not attempt to control his actions too aggressively.</w:t>
      </w:r>
      <w:r>
        <w:rPr>
          <w:rStyle w:val="FootnoteReference"/>
        </w:rPr>
        <w:footnoteReference w:id="331"/>
      </w:r>
    </w:p>
    <w:p w14:paraId="6C8A9B06" w14:textId="77777777" w:rsidR="002F536C" w:rsidRDefault="002F536C" w:rsidP="002F536C">
      <w:r>
        <w:t>In 1992, the Miss South Africa franchise crowned their first black woman, Amy Kleinhans. This was perceived as a positive move by the Miss South Africa judges, although a politically motivated one: with Bophuthatswana to host the Miss World competition, it was deemed necessary to have a black South African representative.</w:t>
      </w:r>
      <w:r>
        <w:rPr>
          <w:rStyle w:val="FootnoteReference"/>
        </w:rPr>
        <w:footnoteReference w:id="332"/>
      </w:r>
      <w:r>
        <w:t xml:space="preserve"> Lisa King, who was second runner up in 1992, recalls the pageant occurred in a very heated political context. The girls spent months before the pageant “studying politics” to ensure they were prepared for the question </w:t>
      </w:r>
      <w:r>
        <w:lastRenderedPageBreak/>
        <w:t>round of the pageant given the political climate the competition was hosted in.</w:t>
      </w:r>
      <w:r>
        <w:rPr>
          <w:rStyle w:val="FootnoteReference"/>
        </w:rPr>
        <w:footnoteReference w:id="333"/>
      </w:r>
      <w:r>
        <w:t xml:space="preserve"> The emphasis of the 1992 pageant was South Africa moving towards democracy and promoting the new South African nation.</w:t>
      </w:r>
      <w:r>
        <w:rPr>
          <w:rStyle w:val="FootnoteReference"/>
        </w:rPr>
        <w:footnoteReference w:id="334"/>
      </w:r>
      <w:r>
        <w:t xml:space="preserve"> Kleinhans recalled in her interview that the ANC was not supportive of the pageant. However, when she was crowned everyone was elated; she said that “it was almost proof of South Africa’s transition to the world.” The day following her win, she received a call from Mandela congratulating her and urging her to continue her work as a role model to young South Africans.</w:t>
      </w:r>
      <w:r>
        <w:rPr>
          <w:rStyle w:val="FootnoteReference"/>
        </w:rPr>
        <w:footnoteReference w:id="335"/>
      </w:r>
      <w:r>
        <w:t xml:space="preserve"> </w:t>
      </w:r>
    </w:p>
    <w:p w14:paraId="1C6A28F2" w14:textId="77777777" w:rsidR="002F536C" w:rsidRDefault="002F536C" w:rsidP="002F536C">
      <w:r>
        <w:t>Following Kleinhans’ crow</w:t>
      </w:r>
      <w:r w:rsidR="00EA4779">
        <w:t>n</w:t>
      </w:r>
      <w:r>
        <w:t>ing at Sun City, she and her mother drove back to Cape Town without stopping overnight because, as Coloureds, they were refused entry and not allowed to stay at any hotels. Kleinhans recalls that it was as if “there was no room at the inn”.</w:t>
      </w:r>
      <w:r>
        <w:rPr>
          <w:rStyle w:val="FootnoteReference"/>
        </w:rPr>
        <w:footnoteReference w:id="336"/>
      </w:r>
      <w:r>
        <w:t xml:space="preserve"> For members of the Miss World community, it was shocking to see how little South Africa had really changed.</w:t>
      </w:r>
      <w:r>
        <w:rPr>
          <w:rStyle w:val="FootnoteReference"/>
        </w:rPr>
        <w:footnoteReference w:id="337"/>
      </w:r>
      <w:r>
        <w:t xml:space="preserve"> However, a few weeks later Pik Botha, the South African Minister of Foreign Affairs, called Kleinhans regarding a political matter. Egypt was in the midst of an anti-apartheid action and was preventing </w:t>
      </w:r>
      <w:r w:rsidRPr="00143BD0">
        <w:t>South African Airways’</w:t>
      </w:r>
      <w:r>
        <w:t xml:space="preserve"> planes from landing in Cairo. Botha asked Kleinhans to fly to </w:t>
      </w:r>
      <w:r w:rsidR="00F52C79">
        <w:t>Egypt</w:t>
      </w:r>
      <w:r>
        <w:t xml:space="preserve"> to talk to Hosni Mubarak, Egypt’s military and political leader, about his boycott of airspace.</w:t>
      </w:r>
      <w:r>
        <w:rPr>
          <w:rStyle w:val="FootnoteReference"/>
        </w:rPr>
        <w:footnoteReference w:id="338"/>
      </w:r>
      <w:r>
        <w:t xml:space="preserve"> Weeks earlier Kleinhans’ skin colour was a major factor that had prevented her from sleeping at a hotel in the Free State, but now her darker skin was of value to the </w:t>
      </w:r>
      <w:r w:rsidR="00756A84">
        <w:t>NP</w:t>
      </w:r>
      <w:r>
        <w:t>.</w:t>
      </w:r>
      <w:r>
        <w:rPr>
          <w:rStyle w:val="FootnoteReference"/>
        </w:rPr>
        <w:footnoteReference w:id="339"/>
      </w:r>
      <w:r>
        <w:t xml:space="preserve"> Kleinhans spent a day with Pik Botha learning about the Foreign Affairs department in South Africa before she was sent off to Egypt. Amy Kleinhans remembers the experience as one of inclusivity and as evidence that the </w:t>
      </w:r>
      <w:r w:rsidR="00756A84">
        <w:t>NP</w:t>
      </w:r>
      <w:r w:rsidR="00202C82">
        <w:t xml:space="preserve"> </w:t>
      </w:r>
      <w:r>
        <w:t>had come to accept the changes that were taking place in the country.</w:t>
      </w:r>
      <w:r>
        <w:rPr>
          <w:rStyle w:val="FootnoteReference"/>
        </w:rPr>
        <w:footnoteReference w:id="340"/>
      </w:r>
    </w:p>
    <w:p w14:paraId="2FB197D1" w14:textId="77777777" w:rsidR="002F536C" w:rsidRPr="00E0283F" w:rsidRDefault="002F536C" w:rsidP="002F536C">
      <w:pPr>
        <w:rPr>
          <w:highlight w:val="yellow"/>
        </w:rPr>
      </w:pPr>
      <w:r>
        <w:t xml:space="preserve">King </w:t>
      </w:r>
      <w:r w:rsidRPr="002D528B">
        <w:t>said that she</w:t>
      </w:r>
      <w:r>
        <w:t xml:space="preserve"> worked at a lot of functions, judged competitions</w:t>
      </w:r>
      <w:r w:rsidR="00396630">
        <w:t>,</w:t>
      </w:r>
      <w:r>
        <w:t xml:space="preserve"> and modelled in excess that year. While Kleinhans was occupied with charity and diplomatic work, the Afrikaner and conservative communities steered </w:t>
      </w:r>
      <w:r w:rsidR="00396630">
        <w:t xml:space="preserve">work </w:t>
      </w:r>
      <w:r>
        <w:t xml:space="preserve">towards King. </w:t>
      </w:r>
      <w:r w:rsidR="00396630">
        <w:t>She stated that p</w:t>
      </w:r>
      <w:r>
        <w:t>erhaps it was too early for them to accept a Coloured Miss South Africa.</w:t>
      </w:r>
      <w:r>
        <w:rPr>
          <w:rStyle w:val="FootnoteReference"/>
        </w:rPr>
        <w:footnoteReference w:id="341"/>
      </w:r>
      <w:r>
        <w:t xml:space="preserve"> </w:t>
      </w:r>
    </w:p>
    <w:p w14:paraId="4B1A06D7" w14:textId="77777777" w:rsidR="002F536C" w:rsidRDefault="002F536C" w:rsidP="002F536C"/>
    <w:p w14:paraId="40853EBF" w14:textId="77777777" w:rsidR="002F536C" w:rsidRDefault="00F756D6" w:rsidP="002F536C">
      <w:r>
        <w:rPr>
          <w:noProof/>
          <w:lang w:val="en-ZA" w:eastAsia="en-ZA"/>
        </w:rPr>
        <w:lastRenderedPageBreak/>
        <w:drawing>
          <wp:anchor distT="0" distB="0" distL="114300" distR="114300" simplePos="0" relativeHeight="251678720" behindDoc="1" locked="0" layoutInCell="1" allowOverlap="1" wp14:anchorId="2A2BBEAC" wp14:editId="6B3E8414">
            <wp:simplePos x="0" y="0"/>
            <wp:positionH relativeFrom="column">
              <wp:posOffset>1552353</wp:posOffset>
            </wp:positionH>
            <wp:positionV relativeFrom="page">
              <wp:posOffset>574158</wp:posOffset>
            </wp:positionV>
            <wp:extent cx="2617470" cy="3488055"/>
            <wp:effectExtent l="0" t="0" r="0" b="0"/>
            <wp:wrapNone/>
            <wp:docPr id="7" name="Picture 7" descr="https://postapartheidlyptic.files.wordpress.com/2012/12/amy-kleinha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postapartheidlyptic.files.wordpress.com/2012/12/amy-kleinhans.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617470" cy="3488055"/>
                    </a:xfrm>
                    <a:prstGeom prst="rect">
                      <a:avLst/>
                    </a:prstGeom>
                    <a:noFill/>
                    <a:ln>
                      <a:noFill/>
                    </a:ln>
                  </pic:spPr>
                </pic:pic>
              </a:graphicData>
            </a:graphic>
          </wp:anchor>
        </w:drawing>
      </w:r>
    </w:p>
    <w:p w14:paraId="52C4FAA7" w14:textId="77777777" w:rsidR="002F536C" w:rsidRDefault="002F536C" w:rsidP="002F536C"/>
    <w:p w14:paraId="69D0CDA1" w14:textId="77777777" w:rsidR="002F536C" w:rsidRDefault="002F536C" w:rsidP="002F536C"/>
    <w:p w14:paraId="0A6D8816" w14:textId="77777777" w:rsidR="002F536C" w:rsidRDefault="002F536C" w:rsidP="002F536C"/>
    <w:p w14:paraId="270A6B5E" w14:textId="77777777" w:rsidR="002F536C" w:rsidRDefault="002F536C" w:rsidP="002F536C"/>
    <w:p w14:paraId="55C5B18A" w14:textId="77777777" w:rsidR="002F536C" w:rsidRDefault="002F536C" w:rsidP="002F536C"/>
    <w:p w14:paraId="1C38E469" w14:textId="77777777" w:rsidR="002F536C" w:rsidRDefault="002F536C" w:rsidP="002F536C"/>
    <w:p w14:paraId="4D9F4B7D" w14:textId="77777777" w:rsidR="002F536C" w:rsidRDefault="002F536C" w:rsidP="002F536C">
      <w:pPr>
        <w:pStyle w:val="Subtitle"/>
        <w:spacing w:after="0"/>
        <w:ind w:left="0"/>
        <w:rPr>
          <w:color w:val="auto"/>
          <w:spacing w:val="0"/>
          <w:sz w:val="24"/>
        </w:rPr>
      </w:pPr>
    </w:p>
    <w:p w14:paraId="731FCEDA" w14:textId="77777777" w:rsidR="002F536C" w:rsidRDefault="002F536C" w:rsidP="002F536C">
      <w:pPr>
        <w:pStyle w:val="Subtitle"/>
        <w:spacing w:after="0"/>
        <w:ind w:left="0"/>
        <w:rPr>
          <w:color w:val="auto"/>
          <w:spacing w:val="0"/>
          <w:sz w:val="24"/>
        </w:rPr>
      </w:pPr>
    </w:p>
    <w:p w14:paraId="264F763C" w14:textId="77777777" w:rsidR="002F536C" w:rsidRDefault="002F536C" w:rsidP="002F536C">
      <w:pPr>
        <w:pStyle w:val="Subtitle"/>
        <w:spacing w:after="0"/>
        <w:ind w:left="0"/>
        <w:rPr>
          <w:color w:val="auto"/>
          <w:spacing w:val="0"/>
          <w:sz w:val="24"/>
        </w:rPr>
      </w:pPr>
    </w:p>
    <w:p w14:paraId="5177AB25" w14:textId="77777777" w:rsidR="002F536C" w:rsidRDefault="002F536C" w:rsidP="002F536C">
      <w:pPr>
        <w:pStyle w:val="Subtitle"/>
        <w:spacing w:after="0"/>
        <w:ind w:left="0"/>
        <w:rPr>
          <w:color w:val="auto"/>
          <w:spacing w:val="0"/>
          <w:sz w:val="24"/>
        </w:rPr>
      </w:pPr>
    </w:p>
    <w:p w14:paraId="76ED91FD" w14:textId="77777777" w:rsidR="002F536C" w:rsidRDefault="00B8198E" w:rsidP="00F52C79">
      <w:pPr>
        <w:pStyle w:val="Subtitle"/>
        <w:spacing w:after="120"/>
        <w:ind w:left="0"/>
        <w:jc w:val="center"/>
      </w:pPr>
      <w:r>
        <w:t>Figure 8</w:t>
      </w:r>
      <w:r w:rsidR="002F536C" w:rsidRPr="002E6991">
        <w:t xml:space="preserve">: </w:t>
      </w:r>
      <w:r w:rsidR="002F536C">
        <w:t>Amy Kleinhans at Miss World 1992 Sun City</w:t>
      </w:r>
    </w:p>
    <w:p w14:paraId="1306982A" w14:textId="77777777" w:rsidR="002F536C" w:rsidRDefault="002F536C" w:rsidP="00F52C79">
      <w:pPr>
        <w:pStyle w:val="Subtitle"/>
        <w:spacing w:after="120"/>
        <w:jc w:val="center"/>
      </w:pPr>
      <w:r>
        <w:t>[Source: Amy Kleinhans-Curds via Newsclip Media Monitoring]</w:t>
      </w:r>
    </w:p>
    <w:p w14:paraId="7F084378" w14:textId="77777777" w:rsidR="00F52C79" w:rsidRPr="00F52C79" w:rsidRDefault="00F52C79" w:rsidP="00F52C79">
      <w:pPr>
        <w:spacing w:line="240" w:lineRule="auto"/>
      </w:pPr>
    </w:p>
    <w:p w14:paraId="7B1145FB" w14:textId="77777777" w:rsidR="002F536C" w:rsidRDefault="002F536C" w:rsidP="002F536C">
      <w:r>
        <w:t>Amy Kleinhans went on to represent South Africa at the Miss World competition at Sun City in 1992</w:t>
      </w:r>
      <w:r w:rsidR="00F52C79">
        <w:t xml:space="preserve"> (refer to Figure </w:t>
      </w:r>
      <w:r w:rsidR="00B8198E">
        <w:t>8</w:t>
      </w:r>
      <w:r w:rsidR="00F52C79">
        <w:t>)</w:t>
      </w:r>
      <w:r>
        <w:t>. Controversially, she chose not to compete under the South African flag. South Africa was in transition and a new flag had not yet been chosen. All the Miss World contestants had arrived with their flags, which were to be placed around the stage in the Superbowl after a national pride parade.</w:t>
      </w:r>
      <w:r>
        <w:rPr>
          <w:rStyle w:val="FootnoteReference"/>
        </w:rPr>
        <w:footnoteReference w:id="342"/>
      </w:r>
      <w:r>
        <w:t xml:space="preserve"> In a meeting with Kerzner, pageant producers and organisers, Kleinha</w:t>
      </w:r>
      <w:r w:rsidR="00F52C79">
        <w:t>n</w:t>
      </w:r>
      <w:r>
        <w:t xml:space="preserve">s had voiced her concerns and </w:t>
      </w:r>
      <w:r w:rsidRPr="002D528B">
        <w:t>state</w:t>
      </w:r>
      <w:r>
        <w:t xml:space="preserve">d that she would not carry the racist symbol of the old South African flag, with its ardent Afrikaner nationalist heritage. She recalled that “like a flash, Sol Kerzner suggested [they] use the Sun International flag, as the true marketing genius that he is.” </w:t>
      </w:r>
      <w:r>
        <w:rPr>
          <w:rStyle w:val="FootnoteReference"/>
        </w:rPr>
        <w:footnoteReference w:id="343"/>
      </w:r>
      <w:r>
        <w:t xml:space="preserve"> The </w:t>
      </w:r>
      <w:r w:rsidRPr="00B87B8E">
        <w:rPr>
          <w:i/>
        </w:rPr>
        <w:t>oranje-blanje-blou</w:t>
      </w:r>
      <w:r>
        <w:t>,</w:t>
      </w:r>
      <w:r w:rsidR="00170C43">
        <w:t xml:space="preserve"> </w:t>
      </w:r>
      <w:r>
        <w:t>(</w:t>
      </w:r>
      <w:r w:rsidR="00B8198E">
        <w:t>refer to Figure 9</w:t>
      </w:r>
      <w:r>
        <w:t>) as the apartheid South African flag was colloquially known, was discarded by Kleinhans in favour of the Miss World and Sun International flags, in which she claimed an apolitical stance.</w:t>
      </w:r>
      <w:r>
        <w:rPr>
          <w:rStyle w:val="FootnoteReference"/>
        </w:rPr>
        <w:footnoteReference w:id="344"/>
      </w:r>
      <w:r>
        <w:t xml:space="preserve"> Her decision drew attention to the country’s transitory state and led to an increased debate about the suitability of the nation’s flag.</w:t>
      </w:r>
      <w:r>
        <w:rPr>
          <w:rStyle w:val="FootnoteReference"/>
        </w:rPr>
        <w:footnoteReference w:id="345"/>
      </w:r>
    </w:p>
    <w:p w14:paraId="60B6A3E5" w14:textId="77777777" w:rsidR="002F536C" w:rsidRDefault="002F536C" w:rsidP="002F536C"/>
    <w:p w14:paraId="59BA6FD1" w14:textId="77777777" w:rsidR="002F536C" w:rsidRDefault="002F536C" w:rsidP="002F536C">
      <w:pPr>
        <w:pStyle w:val="Subtitle"/>
        <w:ind w:left="0"/>
        <w:jc w:val="center"/>
      </w:pPr>
    </w:p>
    <w:p w14:paraId="606086C8" w14:textId="77777777" w:rsidR="002F536C" w:rsidRDefault="00F756D6" w:rsidP="002F536C">
      <w:pPr>
        <w:pStyle w:val="Subtitle"/>
        <w:ind w:left="0"/>
        <w:jc w:val="center"/>
      </w:pPr>
      <w:r>
        <w:rPr>
          <w:noProof/>
          <w:lang w:val="en-ZA" w:eastAsia="en-ZA"/>
        </w:rPr>
        <w:lastRenderedPageBreak/>
        <w:drawing>
          <wp:anchor distT="0" distB="0" distL="114300" distR="114300" simplePos="0" relativeHeight="251672576" behindDoc="1" locked="0" layoutInCell="1" allowOverlap="1" wp14:anchorId="585DEAED" wp14:editId="260A6316">
            <wp:simplePos x="0" y="0"/>
            <wp:positionH relativeFrom="column">
              <wp:posOffset>1552353</wp:posOffset>
            </wp:positionH>
            <wp:positionV relativeFrom="page">
              <wp:posOffset>786809</wp:posOffset>
            </wp:positionV>
            <wp:extent cx="2619375" cy="1743075"/>
            <wp:effectExtent l="0" t="0" r="0" b="0"/>
            <wp:wrapNone/>
            <wp:docPr id="11" name="Picture 11" descr="C:\Users\1082426\Downloads\downlo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082426\Downloads\download.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619375" cy="1743075"/>
                    </a:xfrm>
                    <a:prstGeom prst="rect">
                      <a:avLst/>
                    </a:prstGeom>
                    <a:noFill/>
                    <a:ln>
                      <a:noFill/>
                    </a:ln>
                  </pic:spPr>
                </pic:pic>
              </a:graphicData>
            </a:graphic>
          </wp:anchor>
        </w:drawing>
      </w:r>
    </w:p>
    <w:p w14:paraId="721F8909" w14:textId="77777777" w:rsidR="002F536C" w:rsidRDefault="002F536C" w:rsidP="002F536C">
      <w:pPr>
        <w:pStyle w:val="Subtitle"/>
        <w:ind w:left="0"/>
        <w:jc w:val="center"/>
      </w:pPr>
    </w:p>
    <w:p w14:paraId="3ED90B11" w14:textId="77777777" w:rsidR="002F536C" w:rsidRDefault="002F536C" w:rsidP="002F536C">
      <w:pPr>
        <w:pStyle w:val="Subtitle"/>
        <w:ind w:left="0"/>
        <w:jc w:val="center"/>
      </w:pPr>
    </w:p>
    <w:p w14:paraId="278A5B20" w14:textId="77777777" w:rsidR="002F536C" w:rsidRDefault="002F536C" w:rsidP="002F536C">
      <w:pPr>
        <w:pStyle w:val="Subtitle"/>
        <w:ind w:left="0"/>
        <w:jc w:val="center"/>
      </w:pPr>
    </w:p>
    <w:p w14:paraId="01D6AD33" w14:textId="77777777" w:rsidR="002F536C" w:rsidRDefault="002F536C" w:rsidP="002F536C">
      <w:pPr>
        <w:pStyle w:val="Subtitle"/>
        <w:ind w:left="0"/>
        <w:jc w:val="center"/>
      </w:pPr>
    </w:p>
    <w:p w14:paraId="23BF3773" w14:textId="77777777" w:rsidR="002F536C" w:rsidRDefault="002F536C" w:rsidP="002F536C">
      <w:pPr>
        <w:pStyle w:val="Subtitle"/>
        <w:ind w:left="0"/>
        <w:jc w:val="center"/>
      </w:pPr>
    </w:p>
    <w:p w14:paraId="79BEF9EA" w14:textId="77777777" w:rsidR="002F536C" w:rsidRDefault="00B8198E" w:rsidP="002F536C">
      <w:pPr>
        <w:pStyle w:val="Subtitle"/>
        <w:ind w:left="0"/>
        <w:jc w:val="center"/>
      </w:pPr>
      <w:r>
        <w:t>Figure 9</w:t>
      </w:r>
      <w:r w:rsidR="002F536C">
        <w:t>: Old South African flag</w:t>
      </w:r>
    </w:p>
    <w:p w14:paraId="2E866D43" w14:textId="77777777" w:rsidR="002F536C" w:rsidRDefault="002F536C" w:rsidP="002F536C">
      <w:r>
        <w:t>The celebrities that attended the Miss World pageants did so without international criticism and included Donald and Ivana Trump, Jerry Hall, Joan Collins, Grace Jones, Sidney Sheldon and Billy Dee Williams. Within a week of the launch of the Palace of the Lost City, Sun City played host to the Elton John’s performance in the Valley of the Waves, Jean Michelle Jarre performed a light spectacle and it all culminated with the Miss World pageant. It was an unusual week for white South Africans, as the restraints of the boycotts and isolations began to loosen. West specified that the extraordinary budgets allowed Sun City to put on a real spectacle for their guests and international audiences. However, he continued to say that the violence and protest was kept far away from Sun City and the Miss World contestants and guests.</w:t>
      </w:r>
      <w:r>
        <w:rPr>
          <w:rStyle w:val="FootnoteReference"/>
        </w:rPr>
        <w:footnoteReference w:id="346"/>
      </w:r>
    </w:p>
    <w:p w14:paraId="761A6280" w14:textId="77777777" w:rsidR="002F536C" w:rsidRDefault="002F536C" w:rsidP="002F536C">
      <w:pPr>
        <w:rPr>
          <w:shd w:val="clear" w:color="auto" w:fill="FFFFFF"/>
        </w:rPr>
      </w:pPr>
      <w:r>
        <w:t>In 1993, the ANC began to look more favourably towards the Miss World pageant. Evans suggests that this was due to the publicity the competition had garnered for the emerging democracy, whilst West suggests that the crowning of the</w:t>
      </w:r>
      <w:r>
        <w:rPr>
          <w:shd w:val="clear" w:color="auto" w:fill="FFFFFF"/>
        </w:rPr>
        <w:t xml:space="preserve"> first black Miss South Africa, Jacqui Mofokeng</w:t>
      </w:r>
      <w:r w:rsidR="00396630">
        <w:rPr>
          <w:shd w:val="clear" w:color="auto" w:fill="FFFFFF"/>
        </w:rPr>
        <w:t>,</w:t>
      </w:r>
      <w:r>
        <w:rPr>
          <w:shd w:val="clear" w:color="auto" w:fill="FFFFFF"/>
        </w:rPr>
        <w:t xml:space="preserve"> </w:t>
      </w:r>
      <w:r>
        <w:t>had much to do with it.</w:t>
      </w:r>
      <w:r>
        <w:rPr>
          <w:rStyle w:val="FootnoteReference"/>
        </w:rPr>
        <w:footnoteReference w:id="347"/>
      </w:r>
      <w:r>
        <w:t xml:space="preserve"> Sun City’s hosting of the event within South African borders forced the ANC to acknowledge it. </w:t>
      </w:r>
      <w:r>
        <w:rPr>
          <w:shd w:val="clear" w:color="auto" w:fill="FFFFFF"/>
        </w:rPr>
        <w:t>West said that Jacqui Mofokeng’s reign brought a sense of elation to transitioning South Africa, but it was not felt by all. She dealt with an abundance of criticism from white South Africans, who phoned into radio call stations to insult her. Her win was perceived as a token to pacify racial quotas and for her to be a symbol of change in South Africa.</w:t>
      </w:r>
      <w:r>
        <w:rPr>
          <w:rStyle w:val="FootnoteReference"/>
          <w:shd w:val="clear" w:color="auto" w:fill="FFFFFF"/>
        </w:rPr>
        <w:footnoteReference w:id="348"/>
      </w:r>
      <w:r w:rsidR="00F52C79">
        <w:rPr>
          <w:shd w:val="clear" w:color="auto" w:fill="FFFFFF"/>
        </w:rPr>
        <w:t xml:space="preserve"> However, her win did create</w:t>
      </w:r>
      <w:r>
        <w:rPr>
          <w:shd w:val="clear" w:color="auto" w:fill="FFFFFF"/>
        </w:rPr>
        <w:t xml:space="preserve"> a closer relationship between the ANC and the Miss World franchise. The contest was once again held in the conflict-plagued Bophuthatswana, where Mangope was fighting to maintain control of a territory that wanted to be reincorporated into South Africa with the democratic election scheduled for April 1994. However, Sun City stood out from this as an oasis with guests </w:t>
      </w:r>
      <w:r>
        <w:rPr>
          <w:shd w:val="clear" w:color="auto" w:fill="FFFFFF"/>
        </w:rPr>
        <w:lastRenderedPageBreak/>
        <w:t>shielded from protest and political upheaval. This time the ANC endorsed the competition and Mandela posed with Mofokeng in photos, defending her honour and claiming her as an ambassador for South Africa.</w:t>
      </w:r>
      <w:r>
        <w:rPr>
          <w:rStyle w:val="FootnoteReference"/>
          <w:shd w:val="clear" w:color="auto" w:fill="FFFFFF"/>
        </w:rPr>
        <w:footnoteReference w:id="349"/>
      </w:r>
      <w:r>
        <w:rPr>
          <w:shd w:val="clear" w:color="auto" w:fill="FFFFFF"/>
        </w:rPr>
        <w:t xml:space="preserve"> During the transition period, the ANC progressively associated itself with world media events, which heightened their own standing and approval. The Miss World competition was an unmissable marketing opportunity for them and one they could not disregard. </w:t>
      </w:r>
      <w:r>
        <w:rPr>
          <w:rStyle w:val="FootnoteReference"/>
          <w:shd w:val="clear" w:color="auto" w:fill="FFFFFF"/>
        </w:rPr>
        <w:footnoteReference w:id="350"/>
      </w:r>
      <w:r>
        <w:rPr>
          <w:shd w:val="clear" w:color="auto" w:fill="FFFFFF"/>
        </w:rPr>
        <w:t xml:space="preserve"> </w:t>
      </w:r>
    </w:p>
    <w:p w14:paraId="6D41CD6C" w14:textId="77777777" w:rsidR="002F536C" w:rsidRDefault="002F536C" w:rsidP="002F536C">
      <w:pPr>
        <w:rPr>
          <w:shd w:val="clear" w:color="auto" w:fill="FFFFFF"/>
        </w:rPr>
      </w:pPr>
      <w:r>
        <w:rPr>
          <w:shd w:val="clear" w:color="auto" w:fill="FFFFFF"/>
        </w:rPr>
        <w:t>The following year, Basetsana Kumalo became the face of t</w:t>
      </w:r>
      <w:r w:rsidR="00F52C79">
        <w:rPr>
          <w:shd w:val="clear" w:color="auto" w:fill="FFFFFF"/>
        </w:rPr>
        <w:t xml:space="preserve">he new South African democracy and </w:t>
      </w:r>
      <w:r>
        <w:rPr>
          <w:shd w:val="clear" w:color="auto" w:fill="FFFFFF"/>
        </w:rPr>
        <w:t>West described her as “Madiba’s girl”.</w:t>
      </w:r>
      <w:r>
        <w:rPr>
          <w:rStyle w:val="FootnoteReference"/>
          <w:shd w:val="clear" w:color="auto" w:fill="FFFFFF"/>
        </w:rPr>
        <w:footnoteReference w:id="351"/>
      </w:r>
      <w:r>
        <w:rPr>
          <w:shd w:val="clear" w:color="auto" w:fill="FFFFFF"/>
        </w:rPr>
        <w:t xml:space="preserve"> By 1994, the Morley’s venture into Africa had been successful and the Miss World franchise had reaped the benefits from South Afri</w:t>
      </w:r>
      <w:r w:rsidR="00AA0B14">
        <w:rPr>
          <w:shd w:val="clear" w:color="auto" w:fill="FFFFFF"/>
        </w:rPr>
        <w:t>ca’s new found reputation as a “</w:t>
      </w:r>
      <w:r>
        <w:rPr>
          <w:shd w:val="clear" w:color="auto" w:fill="FFFFFF"/>
        </w:rPr>
        <w:t>rainbow mirac</w:t>
      </w:r>
      <w:r w:rsidR="00AA0B14">
        <w:rPr>
          <w:shd w:val="clear" w:color="auto" w:fill="FFFFFF"/>
        </w:rPr>
        <w:t>le nation”</w:t>
      </w:r>
      <w:r>
        <w:rPr>
          <w:shd w:val="clear" w:color="auto" w:fill="FFFFFF"/>
        </w:rPr>
        <w:t xml:space="preserve"> along with the extraordinary publicity garnered from Nelson Mandela’s inauguration. Bophuthatswana was no more and had become part of the North-West province of the newly formed South Africa. In 1994 and 1995, the Miss World contestants were bussed to the Union Buildings in Pretoria to meet Mandela. He personally welcomed the Miss World contestants and this marked the beginning a new relationship with the contest. For the remainder of his life Mandela sent congratulatory messages to every Miss World finalist.</w:t>
      </w:r>
      <w:r>
        <w:rPr>
          <w:rStyle w:val="FootnoteReference"/>
          <w:shd w:val="clear" w:color="auto" w:fill="FFFFFF"/>
        </w:rPr>
        <w:footnoteReference w:id="352"/>
      </w:r>
      <w:r>
        <w:rPr>
          <w:shd w:val="clear" w:color="auto" w:fill="FFFFFF"/>
        </w:rPr>
        <w:t xml:space="preserve"> </w:t>
      </w:r>
    </w:p>
    <w:p w14:paraId="10728B11" w14:textId="77777777" w:rsidR="002F536C" w:rsidRDefault="002F536C" w:rsidP="002F536C">
      <w:r>
        <w:t>Evans directly compares the choice to host Miss World at Sun City with the decision to host the 1995 Rugby World Cup. Despite criticism that is often lashed out at a nation’s decision to host such a beauty competition, it is an important event for national pride and unity. The Miss World competition was an opportunity for South Africa to gain international approval after being shunned and isolated for decades. Mandela’s involvement in these events was particularly important to gain national approval, particularly among white South Africans. However, Evans denotes that the choice to host Miss World was premature and peculiar given Sun City’s location in Bophuthatswana and the political instability in the region. She surmised that the average international audience member would not have understood the complexities of the homeland system and would have equated Bophuthatswana with South Africa. The choice of Sun City was a joint commercial decision between various parties (Sun International and the Morley’s) to gain international promotion. Evans alleged that;</w:t>
      </w:r>
    </w:p>
    <w:p w14:paraId="154DD522" w14:textId="77777777" w:rsidR="002F536C" w:rsidRDefault="002F536C" w:rsidP="002F536C">
      <w:pPr>
        <w:spacing w:line="240" w:lineRule="auto"/>
        <w:ind w:left="360" w:right="360"/>
      </w:pPr>
      <w:r w:rsidRPr="00FA3758">
        <w:rPr>
          <w:rStyle w:val="SubtitleChar"/>
        </w:rPr>
        <w:lastRenderedPageBreak/>
        <w:t>Mandela was a master of delivering the right message to the right audience and he knew that in order to appeal to the Western audience as well the white South Africans, he had to support reintegration into world pop culture and sporting events.</w:t>
      </w:r>
      <w:r>
        <w:rPr>
          <w:rStyle w:val="FootnoteReference"/>
        </w:rPr>
        <w:footnoteReference w:id="353"/>
      </w:r>
      <w:r>
        <w:t xml:space="preserve"> </w:t>
      </w:r>
    </w:p>
    <w:p w14:paraId="65F6378A" w14:textId="77777777" w:rsidR="002F536C" w:rsidRPr="003F7947" w:rsidRDefault="002F536C" w:rsidP="002F536C">
      <w:pPr>
        <w:rPr>
          <w:lang w:val="en-US"/>
        </w:rPr>
      </w:pPr>
      <w:r>
        <w:t xml:space="preserve">Mandela achieved such global popularity that he could act unilaterally, sometimes his actions went so far as to conflict with those of the ANC, particularly around the cultural and sporting boycotts. Kleinhans credits Nelson Mandela with bringing South Africans together through entertainment and sports – separate from politics – and the hosting of Miss World competitions at Sun City was integral to this process. She </w:t>
      </w:r>
      <w:r w:rsidRPr="003F7947">
        <w:t>illustrated</w:t>
      </w:r>
      <w:r>
        <w:t xml:space="preserve"> that the pageants were an opportunity for South Africans, young and old of every colour, to unite behind their beauty queen. It was especially important that it was hosted at Sun City, as the home ground advantage played into South Africans’ national pride in a similar way to the 1995 Rugby World Cup, albeit on a much smaller scale.</w:t>
      </w:r>
      <w:r>
        <w:rPr>
          <w:rStyle w:val="FootnoteReference"/>
        </w:rPr>
        <w:footnoteReference w:id="354"/>
      </w:r>
      <w:r>
        <w:t xml:space="preserve"> </w:t>
      </w:r>
      <w:r>
        <w:rPr>
          <w:shd w:val="clear" w:color="auto" w:fill="FFFFFF"/>
        </w:rPr>
        <w:t>By 1995, former pariah of the world, South Africa, had become the centre of the beauty world’s attention. The Miss World franchise helped market the new South Africa to the rest of the world, with a black beauty queen as the centre piece. West suggests that the Miss South African pageant eased the white South African public into a democratic, racially equal setting. In 1991, Diana Tilden-Davis, a white blonde haired girl was crowned. The following year, Amy Kleinhans, a Coloured girl, won the pageant and this was followed by two successive black winners.</w:t>
      </w:r>
      <w:r>
        <w:rPr>
          <w:rStyle w:val="FootnoteReference"/>
          <w:shd w:val="clear" w:color="auto" w:fill="FFFFFF"/>
        </w:rPr>
        <w:footnoteReference w:id="355"/>
      </w:r>
    </w:p>
    <w:p w14:paraId="31BDA032" w14:textId="77777777" w:rsidR="002F536C" w:rsidRDefault="002F536C" w:rsidP="002F536C">
      <w:bookmarkStart w:id="59" w:name="_Toc441506837"/>
      <w:r>
        <w:t>Kleinhans has become a prominent businesswoman and philanthropist in South Africa. She speaks very positively about Sun City and commends the resort, and Sol Kerzner, for their contribution to South Africa’s cultural and sporting scene through events such as the Million Dollar Golf and Miss World. However, Kleinhans appears to ignore that Kerzner achieved success and wealth through the homeland system. When asked how, as a woman of colour, she felt competing in Bophuthatswana at Sun City in the early 1990s, Kleinhans said she had no issue with Sun City, further she stated that she never supported the homeland system and does not believe that her competing at Sun City in 1991 and 1992 meant she endorsed the bantustans. She expressed the sentiment that Kerzner created “an oasis out of nothing” –a tourist destination that has provided thousands of people with employment and training with a percentage of the profits channelled into community upliftment.</w:t>
      </w:r>
      <w:r>
        <w:rPr>
          <w:rStyle w:val="FootnoteReference"/>
        </w:rPr>
        <w:footnoteReference w:id="356"/>
      </w:r>
      <w:r>
        <w:t xml:space="preserve"> </w:t>
      </w:r>
    </w:p>
    <w:p w14:paraId="52B769B1" w14:textId="77777777" w:rsidR="002F536C" w:rsidRDefault="00170C43" w:rsidP="002F536C">
      <w:pPr>
        <w:pStyle w:val="Heading2"/>
        <w:numPr>
          <w:ilvl w:val="0"/>
          <w:numId w:val="0"/>
        </w:numPr>
        <w:ind w:left="578" w:hanging="578"/>
      </w:pPr>
      <w:bookmarkStart w:id="60" w:name="_Toc488481734"/>
      <w:r>
        <w:lastRenderedPageBreak/>
        <w:t>Sun International</w:t>
      </w:r>
      <w:r w:rsidR="001C54BB">
        <w:t xml:space="preserve"> -</w:t>
      </w:r>
      <w:r w:rsidR="002F536C">
        <w:t xml:space="preserve"> Post 1994</w:t>
      </w:r>
      <w:bookmarkEnd w:id="60"/>
    </w:p>
    <w:p w14:paraId="615E88BC" w14:textId="77777777" w:rsidR="002F536C" w:rsidRPr="00C07011" w:rsidRDefault="002F536C" w:rsidP="002F536C">
      <w:r>
        <w:t xml:space="preserve">Prior to 1994, Sun International held a massive monopoly on the southern African hotel and casino market, with Sun City </w:t>
      </w:r>
      <w:r w:rsidR="00AE5D5C">
        <w:t xml:space="preserve">at </w:t>
      </w:r>
      <w:r>
        <w:t xml:space="preserve">the epicentre of that monopoly. However, </w:t>
      </w:r>
      <w:r w:rsidR="00AE5D5C">
        <w:t xml:space="preserve">that </w:t>
      </w:r>
      <w:r>
        <w:t>was to dramatically change as the new ANC run government elected to distribute 40 new casino licences throughout South Africa in 1995, some of which Sun International would bid for and win.</w:t>
      </w:r>
      <w:r>
        <w:rPr>
          <w:rStyle w:val="FootnoteReference"/>
        </w:rPr>
        <w:footnoteReference w:id="357"/>
      </w:r>
    </w:p>
    <w:p w14:paraId="02B0818C" w14:textId="77777777" w:rsidR="00170C43" w:rsidRDefault="002F536C" w:rsidP="002F536C">
      <w:bookmarkStart w:id="61" w:name="_Toc459702982"/>
      <w:bookmarkStart w:id="62" w:name="_Toc459702977"/>
      <w:r>
        <w:t>As apartheid ended and negotiations were underway, the incorporation of the bantustans into South Africa was an overwhelming task presenting many challenges. Amongst the issues were discrepancies between the Gambling Act of 1965 and the gambling laws of the bantustans</w:t>
      </w:r>
      <w:r w:rsidR="00AE5D5C">
        <w:t>,</w:t>
      </w:r>
      <w:r>
        <w:t xml:space="preserve"> which posed significant legal challenges. There were legal ambiguities in the temporary gambling laws which allowed for slot machines and poker tables in bars and gambling dens to appear in the suburban areas of South Africa, as well as charities to organise bingo nights and lotteries. South Africans appeared to be in a gambling frenzy. The Wiehahn Commission estimated in 1995 that there were between 2 000 and 4 000 illegal casinos and </w:t>
      </w:r>
      <w:r w:rsidR="00AE5D5C">
        <w:t>150 000</w:t>
      </w:r>
      <w:r>
        <w:t xml:space="preserve"> illicit slot machines across South Africa.</w:t>
      </w:r>
      <w:r>
        <w:rPr>
          <w:rStyle w:val="FootnoteReference"/>
        </w:rPr>
        <w:footnoteReference w:id="358"/>
      </w:r>
      <w:r>
        <w:t xml:space="preserve"> </w:t>
      </w:r>
    </w:p>
    <w:p w14:paraId="486684E4" w14:textId="77777777" w:rsidR="002F536C" w:rsidRDefault="002F536C" w:rsidP="002F536C">
      <w:r>
        <w:t>There was mounting pressure from religious organisations, gambling entrepreneurs</w:t>
      </w:r>
      <w:r w:rsidR="00AE5D5C">
        <w:t>,</w:t>
      </w:r>
      <w:r>
        <w:t xml:space="preserve"> and politicians on the government to render a cohesive national gambling strategy.</w:t>
      </w:r>
      <w:r>
        <w:rPr>
          <w:rStyle w:val="FootnoteReference"/>
        </w:rPr>
        <w:footnoteReference w:id="359"/>
      </w:r>
      <w:r>
        <w:t xml:space="preserve"> Two committees were appointed to investigate and make recommendations regarding a national gambling industry. The 1992 Howard Commission and the 1995 Wiehahn Commission found that the </w:t>
      </w:r>
      <w:r w:rsidR="00756A84">
        <w:t>NP</w:t>
      </w:r>
      <w:r w:rsidR="00202C82">
        <w:t xml:space="preserve"> government</w:t>
      </w:r>
      <w:r>
        <w:t xml:space="preserve"> instituted</w:t>
      </w:r>
      <w:r w:rsidR="00AE5D5C">
        <w:t xml:space="preserve"> </w:t>
      </w:r>
      <w:r>
        <w:t>1965 Gambling Act was no longer relevant and did not reflect the moral proclivity of South Africans.</w:t>
      </w:r>
      <w:r>
        <w:rPr>
          <w:rStyle w:val="FootnoteReference"/>
        </w:rPr>
        <w:footnoteReference w:id="360"/>
      </w:r>
      <w:r>
        <w:t xml:space="preserve"> It was suggested that the government legalise gambling and institute a national lottery to create 100 000 jobs by 1997, as well as stimulate related industries, economic growth</w:t>
      </w:r>
      <w:r w:rsidR="00AE5D5C">
        <w:t>,</w:t>
      </w:r>
      <w:r>
        <w:t xml:space="preserve"> and human capital. It was also noted that through taxation the government would generate revenue.</w:t>
      </w:r>
      <w:r>
        <w:rPr>
          <w:rStyle w:val="FootnoteReference"/>
        </w:rPr>
        <w:footnoteReference w:id="361"/>
      </w:r>
      <w:r>
        <w:t xml:space="preserve"> The negative outcomes identified by the commission included the possibility that personal savings accounts and </w:t>
      </w:r>
      <w:r>
        <w:lastRenderedPageBreak/>
        <w:t>consumer spending would decrease should individuals choose to spend their surplus money on gambling.</w:t>
      </w:r>
      <w:r>
        <w:rPr>
          <w:rStyle w:val="FootnoteReference"/>
        </w:rPr>
        <w:footnoteReference w:id="362"/>
      </w:r>
      <w:r>
        <w:t xml:space="preserve"> </w:t>
      </w:r>
    </w:p>
    <w:p w14:paraId="2004FF0A" w14:textId="77777777" w:rsidR="002F536C" w:rsidRDefault="002F536C" w:rsidP="002F536C">
      <w:r>
        <w:t xml:space="preserve">The 1993 </w:t>
      </w:r>
      <w:r w:rsidRPr="00C344B4">
        <w:t>Lotteries and Gambling Board Ac</w:t>
      </w:r>
      <w:r>
        <w:t>t proposal was drawn up as an interim policy, but it lay for several months with Justice Department before a decision was reached and the act was only passed in late January 1994.</w:t>
      </w:r>
      <w:r>
        <w:rPr>
          <w:rStyle w:val="FootnoteReference"/>
        </w:rPr>
        <w:footnoteReference w:id="363"/>
      </w:r>
      <w:r>
        <w:t xml:space="preserve"> The act provided for the establishment of a board to oversee the implementation of lotteries and gambling activities in South Africa. It prescribed that any person or entity that was legally operating gambling or lottery facilities in the bantustan areas had fourteen days to register their activities with the Lotteries and Gambling Board to continue their business operation. They would be granted temporary immunity until a decision had been made on gambling licences and casinos had been given the opportunity to bid for licences.</w:t>
      </w:r>
      <w:r>
        <w:rPr>
          <w:rStyle w:val="FootnoteReference"/>
        </w:rPr>
        <w:footnoteReference w:id="364"/>
      </w:r>
      <w:r>
        <w:t xml:space="preserve"> </w:t>
      </w:r>
    </w:p>
    <w:p w14:paraId="7AB8F5CD" w14:textId="77777777" w:rsidR="002F536C" w:rsidRDefault="002F536C" w:rsidP="002F536C">
      <w:r>
        <w:t xml:space="preserve">Grant Kaplan, gambling law expert, said in 1994 that the South African state was not ready to regulate gambling and expressed the belief that provincial bodies were naïve about the gambling industry; more information needed to be gained to legislate the industry. Warning against the problem of foreign investors, he specified that there was a host of international companies waiting to invest in the South African gambling industry and with South Africa in a delicate </w:t>
      </w:r>
      <w:r w:rsidR="0041602A" w:rsidRPr="0041602A">
        <w:t>fluid</w:t>
      </w:r>
      <w:r w:rsidR="0041602A">
        <w:t xml:space="preserve"> </w:t>
      </w:r>
      <w:r>
        <w:t>situation and territories such as Bophuthatswana in political upheaval, there was the potential for the “financial rape of the country and [in 1994] there was no protection against this”.</w:t>
      </w:r>
      <w:r>
        <w:rPr>
          <w:rStyle w:val="FootnoteReference"/>
        </w:rPr>
        <w:footnoteReference w:id="365"/>
      </w:r>
      <w:r>
        <w:t xml:space="preserve"> </w:t>
      </w:r>
      <w:r w:rsidRPr="0082105F">
        <w:rPr>
          <w:i/>
        </w:rPr>
        <w:t>Finance Week</w:t>
      </w:r>
      <w:r>
        <w:t xml:space="preserve"> agreed with Kaplan and criticised gambling operators for “holding a gun to the head of government”. The publication stated that gambling investors were using community development projects as a way to convince government to grant gambling licences. Government and gambling investors were accused of littering cities with casinos and gambling halls. The </w:t>
      </w:r>
      <w:r w:rsidR="00AE5D5C">
        <w:t xml:space="preserve">previous </w:t>
      </w:r>
      <w:r>
        <w:t>Eastern Transvaal Premier, Matthew Phosa, accused Kaplan of being overzealous in his criticism of the South African gambling industry as government were fully aware of potential pitfalls as detailed in the Howard report. Phosa said that competition for new casino licences was stiff and Sun International would have to prove its worth if Kerzner wanted to maintain the monopoly he was accustomed</w:t>
      </w:r>
      <w:r w:rsidR="00170C43">
        <w:t xml:space="preserve"> to. He continued to state that</w:t>
      </w:r>
    </w:p>
    <w:p w14:paraId="24BAAB24" w14:textId="77777777" w:rsidR="002F536C" w:rsidRPr="00331135" w:rsidRDefault="002F536C" w:rsidP="002F536C">
      <w:pPr>
        <w:pStyle w:val="Subtitle"/>
        <w:rPr>
          <w:shd w:val="clear" w:color="auto" w:fill="FFFFFF"/>
        </w:rPr>
      </w:pPr>
      <w:r>
        <w:rPr>
          <w:shd w:val="clear" w:color="auto" w:fill="FFFFFF"/>
        </w:rPr>
        <w:lastRenderedPageBreak/>
        <w:t xml:space="preserve">In bidding for licences, people should be able to offer investment that generates </w:t>
      </w:r>
      <w:r w:rsidRPr="00331135">
        <w:rPr>
          <w:shd w:val="clear" w:color="auto" w:fill="FFFFFF"/>
        </w:rPr>
        <w:t>revenue which can be taxed by the state. The development should attract tourism and have a beneficial effect on the community.</w:t>
      </w:r>
      <w:r w:rsidRPr="00331135">
        <w:rPr>
          <w:rStyle w:val="FootnoteReference"/>
          <w:shd w:val="clear" w:color="auto" w:fill="FFFFFF"/>
        </w:rPr>
        <w:footnoteReference w:id="366"/>
      </w:r>
    </w:p>
    <w:p w14:paraId="28444CAF" w14:textId="77777777" w:rsidR="00170C43" w:rsidRPr="00331135" w:rsidRDefault="002F536C" w:rsidP="002F536C">
      <w:r w:rsidRPr="00331135">
        <w:t>The 1996 National Gambling Act legalised gambling and implemented a gambling board that was to be overseen by a minister of parliament. The Lotteries and Gambling Act of 1993 was repealed and the 1996 act mandated that no single gambling company may operate more than 16 licences in South Africa, or more than two licences per province. The new act aimed to break previous gambling monopolies.</w:t>
      </w:r>
      <w:r w:rsidRPr="00331135">
        <w:rPr>
          <w:rStyle w:val="FootnoteReference"/>
        </w:rPr>
        <w:footnoteReference w:id="367"/>
      </w:r>
      <w:r w:rsidRPr="00331135">
        <w:t xml:space="preserve"> Sun International was awarded a casino licence for Sun City but was forced to reposition its assets; disposing of some, restructuring others and forcing Sun International to compete with other companies for casino licences. Successful restructuring resulted in the movement of Sun International from the periphery of South Africa’s landscape to the urban centres with new casino constructions such as Carnival City and Monte Casino</w:t>
      </w:r>
      <w:r w:rsidR="00170C43" w:rsidRPr="00331135">
        <w:t>.</w:t>
      </w:r>
      <w:r w:rsidRPr="00331135">
        <w:rPr>
          <w:rStyle w:val="FootnoteReference"/>
        </w:rPr>
        <w:footnoteReference w:id="368"/>
      </w:r>
      <w:r w:rsidRPr="00331135">
        <w:t xml:space="preserve"> </w:t>
      </w:r>
    </w:p>
    <w:p w14:paraId="5F3EAFC9" w14:textId="77777777" w:rsidR="002F536C" w:rsidRPr="00331135" w:rsidRDefault="002F536C" w:rsidP="002F536C">
      <w:r w:rsidRPr="00331135">
        <w:t xml:space="preserve">However, Sun City </w:t>
      </w:r>
      <w:r w:rsidR="00170C43" w:rsidRPr="00331135">
        <w:t>had to</w:t>
      </w:r>
      <w:r w:rsidRPr="00331135">
        <w:t xml:space="preserve"> alter its target market, which up until this point had largely been gamblers, and initiate a fresh strategy that would not erode </w:t>
      </w:r>
      <w:r w:rsidR="00331135" w:rsidRPr="00331135">
        <w:t xml:space="preserve">its </w:t>
      </w:r>
      <w:r w:rsidRPr="00331135">
        <w:t>domination of the resort industry. There is a marketing strategy which states it is more efficient to elicit higher spending from an existent base of repeat customers than it is to generate a new base of clientele. With this strategy in mind, Sun International began exploring avenues by which to extract higher revenues from already loyal customers, without relying on gambling and their position within Bophuthatswana.</w:t>
      </w:r>
      <w:r w:rsidRPr="00331135">
        <w:rPr>
          <w:rStyle w:val="FootnoteReference"/>
        </w:rPr>
        <w:footnoteReference w:id="369"/>
      </w:r>
      <w:r w:rsidRPr="00331135">
        <w:t xml:space="preserve"> Sun International instituted large-scale operational restructuring </w:t>
      </w:r>
      <w:r w:rsidR="00AA0B14" w:rsidRPr="00331135">
        <w:t>in the 1990s which they termed “</w:t>
      </w:r>
      <w:r w:rsidRPr="00331135">
        <w:t>business process re-engineerin</w:t>
      </w:r>
      <w:r w:rsidR="00AA0B14" w:rsidRPr="00331135">
        <w:t>g”</w:t>
      </w:r>
      <w:r w:rsidRPr="00331135">
        <w:t xml:space="preserve">. The company investigated </w:t>
      </w:r>
      <w:r w:rsidR="00331135" w:rsidRPr="00331135">
        <w:t xml:space="preserve">its </w:t>
      </w:r>
      <w:r w:rsidRPr="00331135">
        <w:t>operations which resulted in the reduction of direct employment of staff and the outsourcing of employees. Employee numbers dropped from 12 000 in 1994, to 8 800 in 1999. This was largely achieved through the outsourcing of employees</w:t>
      </w:r>
      <w:r w:rsidR="00331135" w:rsidRPr="00331135">
        <w:t xml:space="preserve">, including </w:t>
      </w:r>
      <w:r w:rsidRPr="00331135">
        <w:t>security to a large security company in the 1990s after a decade and a half of in house training and employment for security personnel.</w:t>
      </w:r>
      <w:r w:rsidRPr="00331135">
        <w:rPr>
          <w:rStyle w:val="FootnoteReference"/>
        </w:rPr>
        <w:footnoteReference w:id="370"/>
      </w:r>
      <w:r w:rsidRPr="00331135">
        <w:t xml:space="preserve"> </w:t>
      </w:r>
    </w:p>
    <w:p w14:paraId="02EAA689" w14:textId="77777777" w:rsidR="002F536C" w:rsidRPr="003A42F2" w:rsidRDefault="002F536C" w:rsidP="002F536C">
      <w:r w:rsidRPr="00331135">
        <w:t xml:space="preserve">Given the delay in instituting a unified gambling legislation, the new nine provinces of South Africa went about creating their own legalisation to control the gambling craze that had set up camp in each jurisdiction. However, this only further complicated the plight of the National Gambling Board (NGB) in establishing a set legal charter on gambling. The NGB </w:t>
      </w:r>
      <w:r w:rsidRPr="00331135">
        <w:lastRenderedPageBreak/>
        <w:t>was first established as the Lotteries and Gambling Board in 1996 and was renamed in 1998.</w:t>
      </w:r>
      <w:r w:rsidRPr="00331135">
        <w:rPr>
          <w:rStyle w:val="FootnoteReference"/>
        </w:rPr>
        <w:footnoteReference w:id="371"/>
      </w:r>
      <w:r w:rsidRPr="00331135">
        <w:t xml:space="preserve"> Research by Chipkin and Meny-Gibert demonstrate</w:t>
      </w:r>
      <w:r w:rsidR="00170C43" w:rsidRPr="00331135">
        <w:t>d</w:t>
      </w:r>
      <w:r w:rsidRPr="00331135">
        <w:t xml:space="preserve"> the difficulties in creating new provinces and in setting up government and provincial administrations based on democratic principles during this time. The newly democratic South African state inherited poorly trained bantustan government officials into public sector positions and corruption ran rampant. </w:t>
      </w:r>
      <w:r w:rsidRPr="00331135">
        <w:rPr>
          <w:rStyle w:val="FootnoteReference"/>
          <w:rFonts w:cs="Times New Roman"/>
        </w:rPr>
        <w:footnoteReference w:id="372"/>
      </w:r>
    </w:p>
    <w:bookmarkEnd w:id="61"/>
    <w:p w14:paraId="7F039A8D" w14:textId="77777777" w:rsidR="002F536C" w:rsidRDefault="0041602A" w:rsidP="002F536C">
      <w:pPr>
        <w:rPr>
          <w:lang w:val="en-US"/>
        </w:rPr>
      </w:pPr>
      <w:r w:rsidRPr="0041602A">
        <w:t>The dawning of democracy also threw a spotli</w:t>
      </w:r>
      <w:r>
        <w:t>ght on the role of Sol Kerzner.</w:t>
      </w:r>
      <w:r w:rsidRPr="0041602A">
        <w:t xml:space="preserve"> </w:t>
      </w:r>
      <w:r w:rsidR="002F536C">
        <w:t>In 1988 rumours surfaced of Kerzner bribing his way into the homelands. Sun International and Kerzner vehemently denied allegations of bribery and forced one newspaper to withdraw their allegations and apologise. The following year, Kerzner openly admitted to bribing Transkeian leaders, the Matatimza brothers, in front of the Harms Commission, which was tasked with investigating corruption in the Transkei homeland in 1989. He admitted to a payment of R2 million to secure casino rights in the T</w:t>
      </w:r>
      <w:r w:rsidR="00FA6A91">
        <w:t>ranskei. The companies that Ker</w:t>
      </w:r>
      <w:r w:rsidR="002F536C">
        <w:t>z</w:t>
      </w:r>
      <w:r w:rsidR="00FA6A91">
        <w:t>n</w:t>
      </w:r>
      <w:r w:rsidR="002F536C">
        <w:t>er served as a member of the board stated they would support him, whilst the Johannesburg Stock Exchange (JSE) indicated that no charges would be pursued against the hotel magnate. Kerzner argued that fraud and corruption had become so rampant in the bantustans that his actions were norma</w:t>
      </w:r>
      <w:r w:rsidR="000C57FE">
        <w:t>lise</w:t>
      </w:r>
      <w:r w:rsidR="002F536C">
        <w:t xml:space="preserve">d in the context of the homelands’ political climate.  </w:t>
      </w:r>
      <w:r w:rsidR="002F536C">
        <w:rPr>
          <w:i/>
        </w:rPr>
        <w:t xml:space="preserve">The Mail and Guardian </w:t>
      </w:r>
      <w:r w:rsidR="002F536C">
        <w:t>published an art</w:t>
      </w:r>
      <w:r w:rsidR="00AA0B14">
        <w:t>icle in 1989 with the headline “</w:t>
      </w:r>
      <w:r w:rsidR="002F536C" w:rsidRPr="00CF7CBD">
        <w:t>A lesson from Sol: it's OK if it's over the Kei</w:t>
      </w:r>
      <w:r w:rsidR="00AA0B14">
        <w:t>”</w:t>
      </w:r>
      <w:r w:rsidR="002F536C">
        <w:t>. The article argued that any actions in the bantustans, even illegal ones, were perceived to reasonable by political leaders and business entrepreneurs.</w:t>
      </w:r>
      <w:r w:rsidR="002F536C">
        <w:rPr>
          <w:rStyle w:val="FootnoteReference"/>
        </w:rPr>
        <w:footnoteReference w:id="373"/>
      </w:r>
    </w:p>
    <w:p w14:paraId="484D09B0" w14:textId="77777777" w:rsidR="002F536C" w:rsidRDefault="002F536C" w:rsidP="002F536C">
      <w:pPr>
        <w:rPr>
          <w:rStyle w:val="apple-converted-space"/>
          <w:rFonts w:ascii="Arial" w:hAnsi="Arial" w:cs="Arial"/>
          <w:color w:val="000000"/>
          <w:sz w:val="27"/>
          <w:szCs w:val="27"/>
          <w:shd w:val="clear" w:color="auto" w:fill="FFFFFF"/>
        </w:rPr>
      </w:pPr>
      <w:r>
        <w:rPr>
          <w:lang w:val="en-US"/>
        </w:rPr>
        <w:t xml:space="preserve">Kerzner argued in his defense, stating that making a payment to a </w:t>
      </w:r>
      <w:r>
        <w:rPr>
          <w:shd w:val="clear" w:color="auto" w:fill="FFFFFF"/>
        </w:rPr>
        <w:t xml:space="preserve">"foreign official" was not illegal and that in terms of South </w:t>
      </w:r>
      <w:r w:rsidR="006F3AD9">
        <w:rPr>
          <w:shd w:val="clear" w:color="auto" w:fill="FFFFFF"/>
        </w:rPr>
        <w:t>African law it was not policy “</w:t>
      </w:r>
      <w:r>
        <w:rPr>
          <w:shd w:val="clear" w:color="auto" w:fill="FFFFFF"/>
        </w:rPr>
        <w:t>to regulate the affairs of a foreign state”.</w:t>
      </w:r>
      <w:r>
        <w:rPr>
          <w:rStyle w:val="FootnoteReference"/>
          <w:shd w:val="clear" w:color="auto" w:fill="FFFFFF"/>
        </w:rPr>
        <w:footnoteReference w:id="374"/>
      </w:r>
      <w:r>
        <w:rPr>
          <w:rStyle w:val="apple-converted-space"/>
          <w:rFonts w:ascii="Arial" w:hAnsi="Arial" w:cs="Arial"/>
          <w:color w:val="000000"/>
          <w:sz w:val="27"/>
          <w:szCs w:val="27"/>
          <w:shd w:val="clear" w:color="auto" w:fill="FFFFFF"/>
        </w:rPr>
        <w:t xml:space="preserve"> </w:t>
      </w:r>
      <w:r w:rsidRPr="006A0C3F">
        <w:t xml:space="preserve">In 1989 Kerzner still </w:t>
      </w:r>
      <w:r>
        <w:t xml:space="preserve">believed in apartheid South Africa’s </w:t>
      </w:r>
      <w:r w:rsidRPr="006A0C3F">
        <w:t>bantustan policy,</w:t>
      </w:r>
      <w:r>
        <w:t xml:space="preserve"> and</w:t>
      </w:r>
      <w:r w:rsidRPr="006A0C3F">
        <w:t xml:space="preserve"> his</w:t>
      </w:r>
      <w:r w:rsidRPr="005D3A78">
        <w:t xml:space="preserve"> defence argued that Bophuthatswana and other homelands were foreign nations</w:t>
      </w:r>
      <w:r>
        <w:t xml:space="preserve"> over which</w:t>
      </w:r>
      <w:r w:rsidRPr="005D3A78">
        <w:t xml:space="preserve"> South Africa had no jurisdiction.</w:t>
      </w:r>
      <w:r>
        <w:t xml:space="preserve"> He commented that corruption and bribery were the order of business in the</w:t>
      </w:r>
      <w:r w:rsidRPr="007D15CE">
        <w:t xml:space="preserve"> homelands, </w:t>
      </w:r>
      <w:r>
        <w:t xml:space="preserve">and that </w:t>
      </w:r>
      <w:r w:rsidRPr="007D15CE">
        <w:t>he just adjusted to the customs. However, at the time, Transkei authorities h</w:t>
      </w:r>
      <w:r w:rsidR="001C54BB">
        <w:t>oped to indict him on charges of</w:t>
      </w:r>
      <w:r w:rsidRPr="007D15CE">
        <w:t xml:space="preserve"> corruption, </w:t>
      </w:r>
      <w:r>
        <w:t xml:space="preserve">a </w:t>
      </w:r>
      <w:r w:rsidRPr="007D15CE">
        <w:t>territory that had extradition policies with South Africa.</w:t>
      </w:r>
      <w:r w:rsidRPr="00BD66CD">
        <w:rPr>
          <w:vertAlign w:val="superscript"/>
        </w:rPr>
        <w:footnoteReference w:id="375"/>
      </w:r>
      <w:r w:rsidRPr="007D15CE">
        <w:t xml:space="preserve"> </w:t>
      </w:r>
      <w:r>
        <w:t>Despite</w:t>
      </w:r>
      <w:r w:rsidRPr="007D15CE">
        <w:t xml:space="preserve"> numerous attempts by the Transkei </w:t>
      </w:r>
      <w:r w:rsidRPr="007D15CE">
        <w:lastRenderedPageBreak/>
        <w:t xml:space="preserve">authorities, Kerzner was never extradited. </w:t>
      </w:r>
      <w:r>
        <w:t xml:space="preserve">The </w:t>
      </w:r>
      <w:r w:rsidRPr="006D10C9">
        <w:rPr>
          <w:i/>
        </w:rPr>
        <w:t>Mail and Guardian</w:t>
      </w:r>
      <w:r>
        <w:t xml:space="preserve"> argued that h</w:t>
      </w:r>
      <w:r w:rsidRPr="007D15CE">
        <w:t>e a</w:t>
      </w:r>
      <w:r w:rsidR="001C54BB">
        <w:t>ppeared untouchable. In 1994</w:t>
      </w:r>
      <w:r w:rsidRPr="007D15CE">
        <w:t xml:space="preserve"> Nelson Mandela dismissed claims that a deal had been reached to help Kerzner avoid indictment.</w:t>
      </w:r>
      <w:r w:rsidRPr="00D953BA">
        <w:rPr>
          <w:vertAlign w:val="superscript"/>
        </w:rPr>
        <w:footnoteReference w:id="376"/>
      </w:r>
      <w:r w:rsidRPr="007D15CE">
        <w:t xml:space="preserve"> Mantazima </w:t>
      </w:r>
      <w:r>
        <w:t>became</w:t>
      </w:r>
      <w:r w:rsidRPr="007D15CE">
        <w:t xml:space="preserve"> a state witness in the prosecution against Kerzner and in his testimony proved to be </w:t>
      </w:r>
      <w:r w:rsidR="00AA0B14">
        <w:t>an “irredeemable and fickle witness”</w:t>
      </w:r>
      <w:r>
        <w:t xml:space="preserve">. </w:t>
      </w:r>
      <w:r w:rsidRPr="007D15CE">
        <w:t xml:space="preserve"> It was because of Mantazima himself that Kerzner was never prosecuted.</w:t>
      </w:r>
      <w:r>
        <w:rPr>
          <w:rStyle w:val="FootnoteReference"/>
        </w:rPr>
        <w:footnoteReference w:id="377"/>
      </w:r>
    </w:p>
    <w:p w14:paraId="4E797616" w14:textId="77777777" w:rsidR="002F536C" w:rsidRDefault="002F536C" w:rsidP="002F536C">
      <w:pPr>
        <w:rPr>
          <w:rStyle w:val="apple-converted-space"/>
          <w:rFonts w:ascii="Arial" w:hAnsi="Arial" w:cs="Arial"/>
          <w:color w:val="000000"/>
          <w:sz w:val="27"/>
          <w:szCs w:val="27"/>
          <w:shd w:val="clear" w:color="auto" w:fill="FFFFFF"/>
        </w:rPr>
      </w:pPr>
      <w:r>
        <w:t xml:space="preserve">Meanwhile, in 2006 </w:t>
      </w:r>
      <w:r w:rsidRPr="00E6719D">
        <w:t xml:space="preserve">documentation </w:t>
      </w:r>
      <w:r>
        <w:t xml:space="preserve">from Bophuthatswana </w:t>
      </w:r>
      <w:r w:rsidRPr="00E6719D">
        <w:t xml:space="preserve">was obtained which supported claims that Kerzner used his wealth to secure a business deal with Lucas Mangope. </w:t>
      </w:r>
      <w:r>
        <w:t>In a document dated 1987,</w:t>
      </w:r>
      <w:r w:rsidRPr="00E6719D">
        <w:t xml:space="preserve"> Mangope requested Kerzner subsid</w:t>
      </w:r>
      <w:r w:rsidR="006F3AD9">
        <w:t>ise</w:t>
      </w:r>
      <w:r w:rsidRPr="00E6719D">
        <w:t xml:space="preserve"> the salary increase for the Bophuthatswana finance minister, Leslie Young.</w:t>
      </w:r>
      <w:r>
        <w:t xml:space="preserve"> An</w:t>
      </w:r>
      <w:r w:rsidRPr="00E6719D">
        <w:t xml:space="preserve"> amount</w:t>
      </w:r>
      <w:r>
        <w:t xml:space="preserve"> </w:t>
      </w:r>
      <w:r w:rsidRPr="00E6719D">
        <w:t>of R20 000 l</w:t>
      </w:r>
      <w:r>
        <w:t>inked</w:t>
      </w:r>
      <w:r w:rsidRPr="00E6719D">
        <w:t xml:space="preserve"> Kerzner to Mangope </w:t>
      </w:r>
      <w:r w:rsidRPr="00D953BA">
        <w:rPr>
          <w:rFonts w:cs="Times New Roman"/>
          <w:szCs w:val="24"/>
        </w:rPr>
        <w:t>financially</w:t>
      </w:r>
      <w:r>
        <w:rPr>
          <w:rFonts w:cs="Times New Roman"/>
          <w:szCs w:val="24"/>
        </w:rPr>
        <w:t>.</w:t>
      </w:r>
      <w:r w:rsidRPr="00D953BA">
        <w:rPr>
          <w:rStyle w:val="FootnoteReference"/>
          <w:rFonts w:cs="Times New Roman"/>
          <w:color w:val="000000"/>
          <w:szCs w:val="24"/>
          <w:shd w:val="clear" w:color="auto" w:fill="FFFFFF"/>
        </w:rPr>
        <w:footnoteReference w:id="378"/>
      </w:r>
      <w:r w:rsidRPr="00D953BA">
        <w:rPr>
          <w:rStyle w:val="apple-converted-space"/>
          <w:rFonts w:cs="Times New Roman"/>
          <w:color w:val="000000"/>
          <w:szCs w:val="24"/>
          <w:shd w:val="clear" w:color="auto" w:fill="FFFFFF"/>
        </w:rPr>
        <w:t xml:space="preserve"> </w:t>
      </w:r>
      <w:r w:rsidRPr="007D15CE">
        <w:t>The Deputy chairperson of Sun International responded to Mangope in writing</w:t>
      </w:r>
      <w:r>
        <w:t>:</w:t>
      </w:r>
    </w:p>
    <w:p w14:paraId="24B3F8F8" w14:textId="77777777" w:rsidR="002F536C" w:rsidRDefault="002F536C" w:rsidP="002F536C">
      <w:pPr>
        <w:pStyle w:val="Subtitle"/>
      </w:pPr>
      <w:r>
        <w:t>We would certainly be prepared to contribute to the augmentation of Mr. Young’s salary…Upon receipt of the amount required each year and the desired manner of payments we will make the necessary arrangements.</w:t>
      </w:r>
      <w:r>
        <w:rPr>
          <w:rStyle w:val="FootnoteReference"/>
        </w:rPr>
        <w:footnoteReference w:id="379"/>
      </w:r>
    </w:p>
    <w:p w14:paraId="276306CE" w14:textId="77777777" w:rsidR="002F536C" w:rsidRDefault="001C54BB" w:rsidP="002F536C">
      <w:r>
        <w:t>Academic</w:t>
      </w:r>
      <w:r w:rsidR="002F536C">
        <w:t xml:space="preserve">, Jon Hyslop </w:t>
      </w:r>
      <w:r w:rsidR="00170C43">
        <w:t>examined</w:t>
      </w:r>
      <w:r w:rsidR="002F536C">
        <w:t xml:space="preserve"> the history of corruption in South Africa and argued that: </w:t>
      </w:r>
    </w:p>
    <w:p w14:paraId="1D08D5F8" w14:textId="77777777" w:rsidR="002F536C" w:rsidRPr="00A832DC" w:rsidRDefault="002F536C" w:rsidP="002F536C">
      <w:pPr>
        <w:spacing w:line="240" w:lineRule="auto"/>
        <w:ind w:left="360" w:right="360"/>
        <w:rPr>
          <w:rStyle w:val="SubtitleChar"/>
        </w:rPr>
      </w:pPr>
      <w:r w:rsidRPr="00A832DC">
        <w:rPr>
          <w:rStyle w:val="SubtitleChar"/>
        </w:rPr>
        <w:t>Homeland government became a by-word for corruption and incompetence. Official extortion in relation to everything from the issuing of trading permits upwards was rife. Homeland leaders presided over massive patronage networks.</w:t>
      </w:r>
      <w:r>
        <w:rPr>
          <w:rStyle w:val="FootnoteReference"/>
          <w:color w:val="000000" w:themeColor="text1"/>
          <w:spacing w:val="10"/>
          <w:sz w:val="20"/>
        </w:rPr>
        <w:footnoteReference w:id="380"/>
      </w:r>
    </w:p>
    <w:p w14:paraId="7705495B" w14:textId="77777777" w:rsidR="002F536C" w:rsidRPr="00773444" w:rsidRDefault="002F536C" w:rsidP="002F536C">
      <w:r>
        <w:t xml:space="preserve">As South Africa moved towards democracy, Kerzner continued to play the government elite. Kerzner and Sun International had always employed people who were politically acceptable to the government and sympathetic to their plight. In 1994, Phillipa Garson reported for the </w:t>
      </w:r>
      <w:r w:rsidRPr="00D953BA">
        <w:rPr>
          <w:i/>
        </w:rPr>
        <w:t>Mail and Guardian</w:t>
      </w:r>
      <w:r>
        <w:t xml:space="preserve"> that Kerzner had “wasted no time in acquainting himself wit</w:t>
      </w:r>
      <w:r w:rsidR="00756A84">
        <w:t>h Eastern Transvaal premier Mat</w:t>
      </w:r>
      <w:r>
        <w:t>hew</w:t>
      </w:r>
      <w:r w:rsidR="00756A84">
        <w:t>s</w:t>
      </w:r>
      <w:r>
        <w:t xml:space="preserve"> Phosa.” This, she wrote, was in pursuit of a R400 million casino wonderland situated between Witbank and Middelburg. The aim was to turn the Mpumalanga </w:t>
      </w:r>
      <w:r w:rsidR="00756A84">
        <w:t>province</w:t>
      </w:r>
      <w:r>
        <w:t xml:space="preserve"> into a one stop gambling metropole for Panorama Route and Kruger National Park holiday-makers. Development plans by Kerzner continued to include a casino in Hazyview right on the Kruger National Park’s boundary and a casino in Midrand close to the urban areas of Pretoria and Johannesburg.</w:t>
      </w:r>
      <w:r>
        <w:rPr>
          <w:rStyle w:val="FootnoteReference"/>
        </w:rPr>
        <w:footnoteReference w:id="381"/>
      </w:r>
      <w:r>
        <w:t xml:space="preserve"> Kerzner’s tactics were once again employed in 1995 when prominent Eastern Cape ANC members were appointed as directors of Sun </w:t>
      </w:r>
      <w:r>
        <w:lastRenderedPageBreak/>
        <w:t>International’s executive board. The same occurred in KwaZulu-Natal, where the new gambling consortium, Africa Sun International, was closely linked to the provincial government. The individuals included Mangosutho Buthelezi’s son, Zuzi, prominent anti-apartheid activist and ANC leader, Walter Sisulu, and a former aide to F.W. de Klerk.</w:t>
      </w:r>
      <w:r>
        <w:rPr>
          <w:rStyle w:val="FootnoteReference"/>
        </w:rPr>
        <w:footnoteReference w:id="382"/>
      </w:r>
      <w:r>
        <w:t xml:space="preserve"> </w:t>
      </w:r>
    </w:p>
    <w:p w14:paraId="20DC2617" w14:textId="77777777" w:rsidR="002F536C" w:rsidRPr="00554751" w:rsidRDefault="002F536C" w:rsidP="002F536C">
      <w:pPr>
        <w:pStyle w:val="Heading2"/>
        <w:numPr>
          <w:ilvl w:val="0"/>
          <w:numId w:val="0"/>
        </w:numPr>
        <w:ind w:left="578" w:hanging="578"/>
      </w:pPr>
      <w:bookmarkStart w:id="63" w:name="_Toc488481735"/>
      <w:r>
        <w:t>Conclusion</w:t>
      </w:r>
      <w:bookmarkEnd w:id="59"/>
      <w:bookmarkEnd w:id="62"/>
      <w:bookmarkEnd w:id="63"/>
    </w:p>
    <w:p w14:paraId="38AE07EA" w14:textId="77777777" w:rsidR="002F536C" w:rsidRDefault="002F536C" w:rsidP="002F536C">
      <w:pPr>
        <w:rPr>
          <w:rFonts w:eastAsiaTheme="majorEastAsia"/>
        </w:rPr>
      </w:pPr>
      <w:r>
        <w:rPr>
          <w:rFonts w:eastAsiaTheme="majorEastAsia"/>
        </w:rPr>
        <w:t>By the end of 1995, Sun International had once again secured a monopoly on the gambling industry in Southern Africa. This was achieved through the expansion of his hotel group, bribery, corruption and the hosting of several events at Sun City.</w:t>
      </w:r>
    </w:p>
    <w:p w14:paraId="07726165" w14:textId="77777777" w:rsidR="002F536C" w:rsidRDefault="002F536C" w:rsidP="002F536C">
      <w:pPr>
        <w:rPr>
          <w:rFonts w:eastAsiaTheme="majorEastAsia"/>
        </w:rPr>
      </w:pPr>
      <w:r>
        <w:rPr>
          <w:rFonts w:eastAsiaTheme="majorEastAsia"/>
        </w:rPr>
        <w:t>The joint venture between Sun International and Miss World secured a new era for Sun City. The tumultuous history between South Africa and international beauty pageants was over as South Africa had a unique opportunity to garner positive international media coverage through the hosting of the pageant at Sun City. While unions such as COSATU used the international pageant to further their political agenda</w:t>
      </w:r>
      <w:r w:rsidR="00756A84">
        <w:rPr>
          <w:rFonts w:eastAsiaTheme="majorEastAsia"/>
        </w:rPr>
        <w:t xml:space="preserve"> during the transition years</w:t>
      </w:r>
      <w:r>
        <w:rPr>
          <w:rFonts w:eastAsiaTheme="majorEastAsia"/>
        </w:rPr>
        <w:t>, the ANC did not embrace the Miss World pageant’s presence in a South African homeland. After the crowning of South African beauty queens of colour, the ANC and Nelson Mandela began to use the pageant to their advantage, hoping to secure the support of white South Africans.</w:t>
      </w:r>
      <w:r w:rsidRPr="00100C6A">
        <w:t xml:space="preserve"> </w:t>
      </w:r>
      <w:r>
        <w:t xml:space="preserve">The transition period from 1990-1994 was an uncertain </w:t>
      </w:r>
      <w:r w:rsidR="00396630">
        <w:t xml:space="preserve">time </w:t>
      </w:r>
      <w:r>
        <w:t>for Sun International and Sol Kerzner, as his monopoly rested on the continuation of gambling and new gambling licences became available within the South African borders.</w:t>
      </w:r>
      <w:r>
        <w:rPr>
          <w:rFonts w:eastAsiaTheme="majorEastAsia"/>
        </w:rPr>
        <w:t xml:space="preserve"> </w:t>
      </w:r>
    </w:p>
    <w:p w14:paraId="4A0F1ACF" w14:textId="77777777" w:rsidR="00F756D6" w:rsidRDefault="002F536C" w:rsidP="00F756D6">
      <w:pPr>
        <w:rPr>
          <w:rFonts w:eastAsiaTheme="majorEastAsia"/>
        </w:rPr>
      </w:pPr>
      <w:r>
        <w:t xml:space="preserve">The ousting of Lucas Mangope on 12 March 1994 </w:t>
      </w:r>
      <w:r w:rsidR="0041602A" w:rsidRPr="0041602A">
        <w:t>allowed Bophuthatswana</w:t>
      </w:r>
      <w:r w:rsidR="0041602A" w:rsidRPr="0041602A" w:rsidDel="0041602A">
        <w:t xml:space="preserve"> </w:t>
      </w:r>
      <w:r>
        <w:t xml:space="preserve">to be reincorporated into the body of South Africa. Interim gambling laws were instituted in 1993, until a gambling act could be drafted and finalised. </w:t>
      </w:r>
      <w:r>
        <w:rPr>
          <w:rFonts w:eastAsiaTheme="majorEastAsia"/>
        </w:rPr>
        <w:t xml:space="preserve"> There was much critique against government and gambling operators regarding the expansion and legalisation of gambling after 1994. Mandela was accused of colluding with Kerzer to allow the hotel magnate to escape charges of bribery in the Transkei</w:t>
      </w:r>
      <w:r w:rsidR="00756A84">
        <w:rPr>
          <w:rFonts w:eastAsiaTheme="majorEastAsia"/>
        </w:rPr>
        <w:t xml:space="preserve"> as </w:t>
      </w:r>
      <w:r>
        <w:rPr>
          <w:rFonts w:eastAsiaTheme="majorEastAsia"/>
        </w:rPr>
        <w:t xml:space="preserve">it emerged that Kerzner had bribed his way </w:t>
      </w:r>
      <w:r w:rsidR="00756A84">
        <w:rPr>
          <w:rFonts w:eastAsiaTheme="majorEastAsia"/>
        </w:rPr>
        <w:t>in</w:t>
      </w:r>
      <w:r>
        <w:rPr>
          <w:rFonts w:eastAsiaTheme="majorEastAsia"/>
        </w:rPr>
        <w:t xml:space="preserve">to several homelands. However, Kerzner and Sun International flourished </w:t>
      </w:r>
      <w:r w:rsidR="00756A84">
        <w:rPr>
          <w:rFonts w:eastAsiaTheme="majorEastAsia"/>
        </w:rPr>
        <w:t>expanded after</w:t>
      </w:r>
      <w:r>
        <w:rPr>
          <w:rFonts w:eastAsiaTheme="majorEastAsia"/>
        </w:rPr>
        <w:t xml:space="preserve"> 1994, with </w:t>
      </w:r>
      <w:r w:rsidR="00756A84">
        <w:rPr>
          <w:rFonts w:eastAsiaTheme="majorEastAsia"/>
        </w:rPr>
        <w:t>events such as</w:t>
      </w:r>
      <w:r>
        <w:rPr>
          <w:rFonts w:eastAsiaTheme="majorEastAsia"/>
        </w:rPr>
        <w:t xml:space="preserve"> the hosting of Miss World. The ANC and Kerzner developed a mutually beneficial relationship where Kerzner provided jobs to South Africans and generated positive media coverage for the country. In return, the Miss World competition ensured that Kerzner and Sun International remained relevant in the new democracy and Sun City was no longer a global outcast.</w:t>
      </w:r>
      <w:bookmarkStart w:id="64" w:name="_Toc459702985"/>
    </w:p>
    <w:p w14:paraId="40845D1A" w14:textId="77777777" w:rsidR="002F536C" w:rsidRPr="00F756D6" w:rsidRDefault="002F536C" w:rsidP="00F756D6">
      <w:pPr>
        <w:pStyle w:val="Heading1"/>
        <w:numPr>
          <w:ilvl w:val="0"/>
          <w:numId w:val="0"/>
        </w:numPr>
        <w:ind w:left="432" w:hanging="432"/>
        <w:jc w:val="center"/>
      </w:pPr>
      <w:bookmarkStart w:id="65" w:name="_Toc488481736"/>
      <w:r>
        <w:lastRenderedPageBreak/>
        <w:t>CONCLUSION</w:t>
      </w:r>
      <w:bookmarkEnd w:id="64"/>
      <w:bookmarkEnd w:id="65"/>
    </w:p>
    <w:p w14:paraId="30F4897C" w14:textId="77777777" w:rsidR="002F536C" w:rsidRDefault="002F536C" w:rsidP="002F536C"/>
    <w:p w14:paraId="304B2820" w14:textId="77777777" w:rsidR="002F536C" w:rsidRDefault="002F536C" w:rsidP="002F536C">
      <w:r>
        <w:t xml:space="preserve">In 1971, the </w:t>
      </w:r>
      <w:r w:rsidR="00756A84">
        <w:t>NP</w:t>
      </w:r>
      <w:r w:rsidR="00202C82">
        <w:t xml:space="preserve"> government</w:t>
      </w:r>
      <w:r>
        <w:t xml:space="preserve"> cemented </w:t>
      </w:r>
      <w:r w:rsidR="00756A84">
        <w:t xml:space="preserve">its </w:t>
      </w:r>
      <w:r>
        <w:t xml:space="preserve">homeland policy through the implementation of the Bantu Homelands Constitution Act. This allowed South Africa </w:t>
      </w:r>
      <w:r w:rsidR="003E525D">
        <w:t xml:space="preserve">to </w:t>
      </w:r>
      <w:r>
        <w:t xml:space="preserve">grant independence to the Transkei in </w:t>
      </w:r>
      <w:r w:rsidR="003E525D">
        <w:t>1976 and Bophuthatswana in 1977.</w:t>
      </w:r>
      <w:r>
        <w:t xml:space="preserve"> </w:t>
      </w:r>
      <w:r w:rsidR="003E525D">
        <w:t>S</w:t>
      </w:r>
      <w:r>
        <w:t>oon after Venda and Ciskei received self-rule in 1979 and 1981</w:t>
      </w:r>
      <w:r w:rsidR="003E525D">
        <w:t>,</w:t>
      </w:r>
      <w:r>
        <w:t xml:space="preserve"> respectively. This paved the way for a host of casino resorts to be built by casino mogul Sol Kerzner. Owner of the Southern Sun hotel group, Kerzner ventured into the homelands to expand his hotel monopoly. His concept of casino resorts was built in response to the </w:t>
      </w:r>
      <w:r w:rsidR="00756A84">
        <w:t>NP</w:t>
      </w:r>
      <w:r w:rsidR="00202C82">
        <w:t xml:space="preserve"> government’s</w:t>
      </w:r>
      <w:r>
        <w:t xml:space="preserve"> policies of restriction such as the 1965 Gambling Act, which prohibited gambling</w:t>
      </w:r>
      <w:r w:rsidR="003E525D">
        <w:t xml:space="preserve"> and casinos. </w:t>
      </w:r>
      <w:r>
        <w:t xml:space="preserve">Kerzner’s casino resort in Bophuthatswana, Sun City, was colloquially known as </w:t>
      </w:r>
      <w:r>
        <w:rPr>
          <w:i/>
        </w:rPr>
        <w:t xml:space="preserve">Sin City </w:t>
      </w:r>
      <w:r>
        <w:t xml:space="preserve">due to a variety of activities such as gambling, topless cabaret shows and prostitution. </w:t>
      </w:r>
    </w:p>
    <w:p w14:paraId="4E4F1171" w14:textId="77777777" w:rsidR="002F536C" w:rsidRDefault="002F536C" w:rsidP="002F536C">
      <w:r>
        <w:t>This thesis h</w:t>
      </w:r>
      <w:r w:rsidR="00756A84">
        <w:t>as shown that to build Sun City</w:t>
      </w:r>
      <w:r>
        <w:t xml:space="preserve"> Kerzner needed to gain the support of Bophuthatswana’s president, Lucas Mangope. In 1976, Southern Sun approached the Bophuthatswana government with the </w:t>
      </w:r>
      <w:r w:rsidR="003E525D">
        <w:t>proposal</w:t>
      </w:r>
      <w:r>
        <w:t xml:space="preserve"> of a casino resort, in line with Mangope’s ethno-nationalist project. Southern Sun (forerunner to Sun International) argued that a tourist industry would promote the new </w:t>
      </w:r>
      <w:r w:rsidR="000A67CB">
        <w:t>“Tswana nation”</w:t>
      </w:r>
      <w:r>
        <w:t xml:space="preserve">– which Bophuthatswana theoretically embodied - to the international community. </w:t>
      </w:r>
    </w:p>
    <w:p w14:paraId="4A5CF045" w14:textId="77777777" w:rsidR="002F536C" w:rsidRDefault="003E525D" w:rsidP="002F536C">
      <w:r>
        <w:t>T</w:t>
      </w:r>
      <w:r w:rsidR="002F536C">
        <w:t>he mega-resort in the Bophuthatswana bushveld of the Pilanesberg was a star studded and opulent multi-million-dollar resort built. The attractions at Sun City lured white South Africans, especially from the Transvaal, to take advantage of the bantustans open policies. White and black could mingle openly, gambling was encouraged, pornography accepted and the sports and cultural boycotts ignored. Kerzner attempted to recreate the mythology and heritage of Africa within the Bophuthatswana bushveld, but instead achieved the opulence of Las Vegas with an architectural eclectic medley.</w:t>
      </w:r>
    </w:p>
    <w:p w14:paraId="6A7A6732" w14:textId="77777777" w:rsidR="002F536C" w:rsidRPr="00690AF3" w:rsidRDefault="002F536C" w:rsidP="002F536C">
      <w:r>
        <w:t>Further</w:t>
      </w:r>
      <w:r w:rsidR="003E525D">
        <w:t>,</w:t>
      </w:r>
      <w:r>
        <w:t xml:space="preserve"> the thesis argued that, through Sun City, Kerzner hoped to expand his chain of hotels while Mangope aimed to market his territory as a sovereign nation. Bophuthatswana became a tourist destination in the 1980s as Kerzner cemented his hold on the South African tourist industry with the addition and expansion of facilities available at Sun City. The casino resort fed into the ideals of </w:t>
      </w:r>
      <w:r w:rsidR="00A4464C">
        <w:t>Mangope’s</w:t>
      </w:r>
      <w:r>
        <w:t xml:space="preserve"> ethno-nationalist project, as he hoped to promote Bophuthatswana, gain legitimacy and international acceptance for Bophuthatswana through </w:t>
      </w:r>
      <w:r>
        <w:lastRenderedPageBreak/>
        <w:t>the casino resort.  This was only partially achieved. In the beginning Kerzner lured international artists and sporting stars to Sun City to generate positive media coverage and promote the resort internationally, attempting to circumnavigate the imposed sanctions. However, by the mid-1980</w:t>
      </w:r>
      <w:r w:rsidR="002C70DB">
        <w:t>s, international commendation of</w:t>
      </w:r>
      <w:r>
        <w:t xml:space="preserve"> Kerzner, Bophut</w:t>
      </w:r>
      <w:r w:rsidR="002C70DB">
        <w:t>hatswana and Sun City had grown.</w:t>
      </w:r>
      <w:r>
        <w:t xml:space="preserve"> </w:t>
      </w:r>
      <w:r w:rsidR="002C70DB">
        <w:t>The UN had</w:t>
      </w:r>
      <w:r>
        <w:t xml:space="preserve"> implemented a black list to record those who transgressed the sanctions and the song </w:t>
      </w:r>
      <w:r w:rsidR="00756A84">
        <w:t>‘S</w:t>
      </w:r>
      <w:r w:rsidRPr="00756A84">
        <w:t>un City</w:t>
      </w:r>
      <w:r w:rsidR="00756A84">
        <w:t>’</w:t>
      </w:r>
      <w:r>
        <w:rPr>
          <w:i/>
        </w:rPr>
        <w:t xml:space="preserve"> </w:t>
      </w:r>
      <w:r>
        <w:t xml:space="preserve">further promoted the boycott of </w:t>
      </w:r>
      <w:r w:rsidR="002C70DB">
        <w:t>the resort</w:t>
      </w:r>
      <w:r>
        <w:t>,</w:t>
      </w:r>
      <w:r w:rsidR="002C70DB">
        <w:t xml:space="preserve"> educating the</w:t>
      </w:r>
      <w:r>
        <w:t xml:space="preserve"> global audience </w:t>
      </w:r>
      <w:r w:rsidR="002C70DB">
        <w:t>about</w:t>
      </w:r>
      <w:r>
        <w:t xml:space="preserve"> the </w:t>
      </w:r>
      <w:r w:rsidR="002C70DB">
        <w:t xml:space="preserve">racial </w:t>
      </w:r>
      <w:r>
        <w:t xml:space="preserve">crimes in South Africa. Kerzner’s attempt to promote Bophuthatswana had failed. </w:t>
      </w:r>
    </w:p>
    <w:p w14:paraId="74D5EB16" w14:textId="77777777" w:rsidR="002F536C" w:rsidRDefault="002F536C" w:rsidP="002F536C">
      <w:r>
        <w:t xml:space="preserve">Evidence has shown that Sun City was funded by three sources. The </w:t>
      </w:r>
      <w:r w:rsidR="002C70DB">
        <w:t xml:space="preserve">governments of </w:t>
      </w:r>
      <w:r>
        <w:t xml:space="preserve">Bophuthatswana and </w:t>
      </w:r>
      <w:r w:rsidR="002C70DB">
        <w:t>South Africa</w:t>
      </w:r>
      <w:r>
        <w:t xml:space="preserve"> provided a large portion of the funding, whilst private South African business such as </w:t>
      </w:r>
      <w:r w:rsidR="00756A84">
        <w:t>SAB</w:t>
      </w:r>
      <w:r>
        <w:t xml:space="preserve"> provided the rest. In other words, Kerzner could secure the support of the three major factions of apartheid capital </w:t>
      </w:r>
      <w:r w:rsidR="002C70DB">
        <w:t>to build his flagship resort</w:t>
      </w:r>
      <w:r>
        <w:t xml:space="preserve">. Sun City was jointly owned by Southern Sun and the </w:t>
      </w:r>
      <w:r w:rsidR="00756A84">
        <w:t>BND</w:t>
      </w:r>
      <w:r>
        <w:t>C</w:t>
      </w:r>
      <w:r w:rsidR="00756A84">
        <w:t>.</w:t>
      </w:r>
      <w:r>
        <w:t xml:space="preserve"> The funding from the </w:t>
      </w:r>
      <w:r w:rsidR="00756A84">
        <w:t>NP</w:t>
      </w:r>
      <w:r>
        <w:t xml:space="preserve"> government was largely spent on improving infrastructure surrounding the resorts such as roads, electricity, water supply and telecommunications. Southern Sun promoted Sun City as the provider of employment and improved infrastructure. However, the area surrounding the resort remains largely impoverished to this day – despite claims that Sun</w:t>
      </w:r>
      <w:r w:rsidR="002C70DB">
        <w:t xml:space="preserve"> City would generate employment. The local residents would not see any benefit from the millions of Rands poured into the area.</w:t>
      </w:r>
    </w:p>
    <w:p w14:paraId="4DA8A9D8" w14:textId="77777777" w:rsidR="002F536C" w:rsidRDefault="002F536C" w:rsidP="002F536C">
      <w:r>
        <w:t xml:space="preserve">Since its inception, Sun City has provided employment for thousands of individuals with a policy to employ persons from surrounding communities first. The casino resort claimed to help ease the unemployment rates in areas such as Ledig, Mogwase and Chaneng. However, this thesis has proved that many of the positions reserved for employees from surrounding communities were restricted to the service industry and were contract based work. Archival records indicate that majority of employees at Sun City were classified as Bophuthatswana </w:t>
      </w:r>
      <w:r w:rsidR="00E86F93">
        <w:t>citizens</w:t>
      </w:r>
      <w:r>
        <w:t>, but only one was employed in a management position. Most of the management positions were held by individuals from South Africa or abroad</w:t>
      </w:r>
      <w:r w:rsidR="00756A84">
        <w:t xml:space="preserve"> and </w:t>
      </w:r>
      <w:r>
        <w:t xml:space="preserve">white and Indian workers received higher salaries than Bophuthatswana workers employed in the same position. Interviews with Sun City employees revealed that residents of the surrounding towns are grateful for the tourism industry that Sun City has provided as well as the extensive training and experience the resort provides. However, many view the resort as a stepping stone towards better employment elsewhere. Moreover, labour disputes and have plagued Sun City since the 1980s, despite inclusivity statements from its managing directors. Sun City </w:t>
      </w:r>
      <w:r>
        <w:lastRenderedPageBreak/>
        <w:t xml:space="preserve">maintained the appearance of an integrated work space, but the complaints and allegations surrounding employment demonstrate that workers did not feel satisfied with the working conditions. The unequal pay scheme demonstrates </w:t>
      </w:r>
      <w:r w:rsidR="006E3B58">
        <w:t>that apartheid labour policies were functioning within the bantustans.</w:t>
      </w:r>
      <w:r>
        <w:t xml:space="preserve"> Many individuals, whilst appreciative of work experience and training, sought and continue to seek employment opportunities elsewhere. Thus, Sun City was not the employment centre of Bophuthatswana as promised and advertised by Kerzner.</w:t>
      </w:r>
    </w:p>
    <w:p w14:paraId="5A88B13D" w14:textId="77777777" w:rsidR="002F536C" w:rsidRDefault="002F536C" w:rsidP="002F536C">
      <w:r>
        <w:t xml:space="preserve">As South Africa moved towards democratic elections, Lucas Mangope fought to maintain control of his pseudo-state. With mounting support for the ANC and increasing internal discontent, he was finally ousted from power on 12 March 1994. After the election of the ANC to power in 1994, Kerzner quickly distanced himself from Mangope to fit in with the new democratic order. He bought the rights to host the Miss World pageant and following the wide publicity the </w:t>
      </w:r>
      <w:r w:rsidR="00A4464C">
        <w:t>pageants</w:t>
      </w:r>
      <w:r>
        <w:t xml:space="preserve"> garnered for the newly democratic South Africa, the international community no longer rebuked Sun City, with celebrities travelling to watch the pageant live. Sun City was no longer in exile, but a member of the emerging South African democracy.</w:t>
      </w:r>
    </w:p>
    <w:p w14:paraId="49044EF8" w14:textId="77777777" w:rsidR="006E3B58" w:rsidRDefault="002F536C" w:rsidP="002F536C">
      <w:r>
        <w:t xml:space="preserve">The changes in power, both in Bophuthatswana and South Africa, left a gap in the regulations surrounding gambling. The bantustans were set to be reincorporated into the body of South Africa. Gambling was legal in those areas, but not in South Africa. A temporary act was drawn up which loosely regulated gambling in 1993. This was repealed and replaced by the Gambling Act in 1996, which made provision for the issuing of casino licences. Kerzner was forced to restructure his hotels and casinos, with the Fish River Sun losing its casino licence and forced Sun City to retrench a large portion of its staff. </w:t>
      </w:r>
    </w:p>
    <w:p w14:paraId="455669D1" w14:textId="77777777" w:rsidR="002F536C" w:rsidRDefault="002F536C" w:rsidP="002F536C">
      <w:r>
        <w:t>Sol Kerzner faced charges of bribery and corruption in 1996 as he was accused of bribing his way into the homelands during the late 1970s. H</w:t>
      </w:r>
      <w:r w:rsidR="006E3B58">
        <w:t>owever, h</w:t>
      </w:r>
      <w:r>
        <w:t xml:space="preserve">e was never indicted. Soon thereafter he divested his stock in his South African companies and emigrated to the United Kingdom. Kerzner succeeded in his plans, whilst, Mangope failed. The hotel tycoon went on to secure a working relationship with Nelson Mandela as well as casino licences in the new South Africa. Sun City stands an iconic South African venue despite the tumultuous history, bribery and staff exploitation. </w:t>
      </w:r>
    </w:p>
    <w:p w14:paraId="1F265C15" w14:textId="77777777" w:rsidR="002F536C" w:rsidRDefault="002F536C" w:rsidP="002F536C"/>
    <w:p w14:paraId="5E5D26D1" w14:textId="03F1F815" w:rsidR="00FF6FCC" w:rsidRPr="00504F6A" w:rsidRDefault="00FF6FCC" w:rsidP="00504F6A">
      <w:pPr>
        <w:spacing w:line="259" w:lineRule="auto"/>
        <w:jc w:val="left"/>
        <w:rPr>
          <w:rFonts w:eastAsiaTheme="majorEastAsia"/>
        </w:rPr>
      </w:pPr>
    </w:p>
    <w:sectPr w:rsidR="00FF6FCC" w:rsidRPr="00504F6A" w:rsidSect="00DF6463">
      <w:type w:val="continuous"/>
      <w:pgSz w:w="11906" w:h="16838"/>
      <w:pgMar w:top="1440" w:right="1440" w:bottom="1440" w:left="1440" w:header="708" w:footer="708" w:gutter="0"/>
      <w:cols w:space="708"/>
      <w:titlePg/>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10BAFB8C"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4637347" w14:textId="77777777" w:rsidR="00FF13AC" w:rsidRDefault="00FF13AC" w:rsidP="009F6317">
      <w:pPr>
        <w:spacing w:after="0" w:line="240" w:lineRule="auto"/>
      </w:pPr>
      <w:r>
        <w:separator/>
      </w:r>
    </w:p>
  </w:endnote>
  <w:endnote w:type="continuationSeparator" w:id="0">
    <w:p w14:paraId="7A37CC85" w14:textId="77777777" w:rsidR="00FF13AC" w:rsidRDefault="00FF13AC" w:rsidP="009F63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Segoe UI">
    <w:altName w:val="Arial"/>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89995707"/>
      <w:docPartObj>
        <w:docPartGallery w:val="Page Numbers (Bottom of Page)"/>
        <w:docPartUnique/>
      </w:docPartObj>
    </w:sdtPr>
    <w:sdtEndPr>
      <w:rPr>
        <w:noProof/>
      </w:rPr>
    </w:sdtEndPr>
    <w:sdtContent>
      <w:p w14:paraId="53A5EEE2" w14:textId="284A2366" w:rsidR="005E6435" w:rsidRDefault="005E6435">
        <w:pPr>
          <w:pStyle w:val="Footer"/>
          <w:jc w:val="right"/>
        </w:pPr>
        <w:r>
          <w:fldChar w:fldCharType="begin"/>
        </w:r>
        <w:r>
          <w:instrText xml:space="preserve"> PAGE   \* MERGEFORMAT </w:instrText>
        </w:r>
        <w:r>
          <w:fldChar w:fldCharType="separate"/>
        </w:r>
        <w:r w:rsidR="002C219D">
          <w:rPr>
            <w:noProof/>
          </w:rPr>
          <w:t>8</w:t>
        </w:r>
        <w:r>
          <w:rPr>
            <w:noProof/>
          </w:rPr>
          <w:fldChar w:fldCharType="end"/>
        </w:r>
      </w:p>
    </w:sdtContent>
  </w:sdt>
  <w:p w14:paraId="1FCA2A45" w14:textId="77777777" w:rsidR="005E6435" w:rsidRDefault="005E643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F920581" w14:textId="77777777" w:rsidR="00FF13AC" w:rsidRDefault="00FF13AC" w:rsidP="009F6317">
      <w:pPr>
        <w:spacing w:after="0" w:line="240" w:lineRule="auto"/>
      </w:pPr>
      <w:r>
        <w:separator/>
      </w:r>
    </w:p>
  </w:footnote>
  <w:footnote w:type="continuationSeparator" w:id="0">
    <w:p w14:paraId="414AF3CF" w14:textId="77777777" w:rsidR="00FF13AC" w:rsidRDefault="00FF13AC" w:rsidP="009F6317">
      <w:pPr>
        <w:spacing w:after="0" w:line="240" w:lineRule="auto"/>
      </w:pPr>
      <w:r>
        <w:continuationSeparator/>
      </w:r>
    </w:p>
  </w:footnote>
  <w:footnote w:id="1">
    <w:p w14:paraId="710C0F5E" w14:textId="77777777" w:rsidR="005E6435" w:rsidRDefault="005E6435" w:rsidP="00415272">
      <w:pPr>
        <w:pStyle w:val="NoSpacing"/>
      </w:pPr>
      <w:r>
        <w:rPr>
          <w:rStyle w:val="FootnoteReference"/>
        </w:rPr>
        <w:footnoteRef/>
      </w:r>
      <w:r>
        <w:t xml:space="preserve"> J. Nauright: </w:t>
      </w:r>
      <w:r w:rsidRPr="00C1231B">
        <w:rPr>
          <w:i/>
        </w:rPr>
        <w:t>Sports around the World: History, Culture and Practice</w:t>
      </w:r>
      <w:r>
        <w:t xml:space="preserve">. </w:t>
      </w:r>
      <w:r w:rsidRPr="00E40A00">
        <w:t>ABC-CLIO,</w:t>
      </w:r>
      <w:r>
        <w:t xml:space="preserve"> Santa Barbara, 2012, p. 159. </w:t>
      </w:r>
    </w:p>
  </w:footnote>
  <w:footnote w:id="2">
    <w:p w14:paraId="76B68E71" w14:textId="77777777" w:rsidR="005E6435" w:rsidRPr="00E77763" w:rsidRDefault="005E6435" w:rsidP="00415272">
      <w:pPr>
        <w:pStyle w:val="FootnoteText"/>
        <w:jc w:val="left"/>
        <w:rPr>
          <w:lang w:val="en-US"/>
        </w:rPr>
      </w:pPr>
      <w:r>
        <w:rPr>
          <w:rStyle w:val="FootnoteReference"/>
        </w:rPr>
        <w:footnoteRef/>
      </w:r>
      <w:r>
        <w:t xml:space="preserve"> V. Bickford-Smith: ‘Leisure and Social Identity in Cape Town, British Cape Colony, 1838-1910.’ </w:t>
      </w:r>
      <w:r w:rsidRPr="00E77763">
        <w:rPr>
          <w:i/>
        </w:rPr>
        <w:t>Kronos</w:t>
      </w:r>
      <w:r>
        <w:t>, (1998/1999), pp. 103-128.</w:t>
      </w:r>
    </w:p>
  </w:footnote>
  <w:footnote w:id="3">
    <w:p w14:paraId="54838AA6" w14:textId="77777777" w:rsidR="005E6435" w:rsidRPr="00E77763" w:rsidRDefault="005E6435" w:rsidP="00415272">
      <w:pPr>
        <w:pStyle w:val="FootnoteText"/>
        <w:jc w:val="left"/>
        <w:rPr>
          <w:lang w:val="en-US"/>
        </w:rPr>
      </w:pPr>
      <w:r>
        <w:rPr>
          <w:rStyle w:val="FootnoteReference"/>
        </w:rPr>
        <w:footnoteRef/>
      </w:r>
      <w:r>
        <w:t xml:space="preserve"> A. Grundlingh: ‘“Gone to the Dogs”: The Cultural Politics of Gambling – The Rise and Fall of British Greyhound Racing on the Witwatersrand, 1932-1949.’ </w:t>
      </w:r>
      <w:r w:rsidRPr="00E77763">
        <w:rPr>
          <w:i/>
        </w:rPr>
        <w:t>South African Historical Journal</w:t>
      </w:r>
      <w:r>
        <w:t>, (2009, 48:1), pp. 174-189.</w:t>
      </w:r>
    </w:p>
  </w:footnote>
  <w:footnote w:id="4">
    <w:p w14:paraId="556AD70C" w14:textId="77777777" w:rsidR="005E6435" w:rsidRPr="006F3AD9" w:rsidRDefault="005E6435">
      <w:pPr>
        <w:pStyle w:val="FootnoteText"/>
        <w:rPr>
          <w:lang w:val="en-US"/>
        </w:rPr>
      </w:pPr>
      <w:r>
        <w:rPr>
          <w:rStyle w:val="FootnoteReference"/>
        </w:rPr>
        <w:footnoteRef/>
      </w:r>
      <w:r>
        <w:t xml:space="preserve"> A</w:t>
      </w:r>
      <w:r>
        <w:rPr>
          <w:lang w:val="en-US"/>
        </w:rPr>
        <w:t xml:space="preserve"> note about terminology throughout this dissertation: the terms bantustans and/or homelands are used without capitalisation and without inverted commas. This is done in line with the South African Historical Journal Special Issue, for the terms are now officially recognised, in common practice, to already further entrench a critique of the racial homeland projects.</w:t>
      </w:r>
    </w:p>
  </w:footnote>
  <w:footnote w:id="5">
    <w:p w14:paraId="7EC8D1E7" w14:textId="77777777" w:rsidR="005E6435" w:rsidRDefault="005E6435" w:rsidP="00415272">
      <w:pPr>
        <w:pStyle w:val="NoSpacing"/>
      </w:pPr>
      <w:r>
        <w:rPr>
          <w:rStyle w:val="FootnoteReference"/>
        </w:rPr>
        <w:footnoteRef/>
      </w:r>
      <w:r>
        <w:t xml:space="preserve"> </w:t>
      </w:r>
      <w:r w:rsidRPr="00202C82">
        <w:t xml:space="preserve">Quoted in O’Malley: ‘Chronology of Apartheid Legislation’ [Online] </w:t>
      </w:r>
      <w:hyperlink r:id="rId1" w:history="1">
        <w:r w:rsidRPr="00202C82">
          <w:t>https://www.nelsonmandela.org/omalley/index.php/site/q/03lv02167/04lv02264/05lv02335/06lv02357/07lv02359/08lv02371.htm (9</w:t>
        </w:r>
      </w:hyperlink>
      <w:r w:rsidRPr="00202C82">
        <w:t xml:space="preserve"> February 2015)</w:t>
      </w:r>
    </w:p>
  </w:footnote>
  <w:footnote w:id="6">
    <w:p w14:paraId="7929965B" w14:textId="77777777" w:rsidR="005E6435" w:rsidRPr="00E77763" w:rsidRDefault="005E6435" w:rsidP="00415272">
      <w:pPr>
        <w:pStyle w:val="FootnoteText"/>
        <w:jc w:val="left"/>
        <w:rPr>
          <w:lang w:val="en-US"/>
        </w:rPr>
      </w:pPr>
      <w:r>
        <w:rPr>
          <w:rStyle w:val="FootnoteReference"/>
        </w:rPr>
        <w:footnoteRef/>
      </w:r>
      <w:r>
        <w:t xml:space="preserve"> M. Van Vuuren, B. Standish, A. Boting, B. Swing, L. Powell &amp; K. Larsons: ‘The Socio-Economic Impact of Legalised Gambling in the Eastern Cape.’ </w:t>
      </w:r>
      <w:r w:rsidRPr="00BB61A0">
        <w:rPr>
          <w:i/>
        </w:rPr>
        <w:t>Eastern Cape Gambling and Betting Board</w:t>
      </w:r>
      <w:r>
        <w:t>, 2009, pp. 15-23.</w:t>
      </w:r>
    </w:p>
  </w:footnote>
  <w:footnote w:id="7">
    <w:p w14:paraId="4B7A229C" w14:textId="77777777" w:rsidR="005E6435" w:rsidRDefault="005E6435" w:rsidP="00B52142">
      <w:pPr>
        <w:pStyle w:val="NoSpacing"/>
      </w:pPr>
      <w:r>
        <w:rPr>
          <w:rStyle w:val="FootnoteReference"/>
        </w:rPr>
        <w:footnoteRef/>
      </w:r>
      <w:r>
        <w:t xml:space="preserve"> R.C.H. Shell: ‘From Diaspora to Diorama: African Slave Trade Routes and Southern Africa – Behind Rangton’s door: A Balinese wood-carver slave at Stellenbosch 1673-1720.’ [Online] </w:t>
      </w:r>
      <w:hyperlink r:id="rId2" w:history="1">
        <w:r w:rsidRPr="00C459A7">
          <w:rPr>
            <w:rStyle w:val="Hyperlink"/>
          </w:rPr>
          <w:t xml:space="preserve">http://batavia.polresearch.org/slavery/rangton.pdf </w:t>
        </w:r>
        <w:r w:rsidRPr="00E2285B">
          <w:rPr>
            <w:rStyle w:val="Hyperlink"/>
            <w:color w:val="auto"/>
            <w:u w:val="none"/>
          </w:rPr>
          <w:t>(5</w:t>
        </w:r>
      </w:hyperlink>
      <w:r>
        <w:t xml:space="preserve"> February 2015), pp. 5-21. </w:t>
      </w:r>
    </w:p>
  </w:footnote>
  <w:footnote w:id="8">
    <w:p w14:paraId="278E96C3" w14:textId="77777777" w:rsidR="005E6435" w:rsidRPr="00AA2744" w:rsidRDefault="005E6435" w:rsidP="00B52142">
      <w:pPr>
        <w:pStyle w:val="NoSpacing"/>
      </w:pPr>
      <w:r>
        <w:rPr>
          <w:rStyle w:val="FootnoteReference"/>
        </w:rPr>
        <w:footnoteRef/>
      </w:r>
      <w:r>
        <w:t xml:space="preserve"> Quoted in R. Ross: </w:t>
      </w:r>
      <w:r>
        <w:rPr>
          <w:i/>
        </w:rPr>
        <w:t xml:space="preserve">Status and Respectability in the Cape Colony 1750-1870: A Tragedy of Manners. </w:t>
      </w:r>
      <w:r>
        <w:t>Cambridge University Press, United Kingdom, 1999, p. 133.</w:t>
      </w:r>
    </w:p>
  </w:footnote>
  <w:footnote w:id="9">
    <w:p w14:paraId="243A7362" w14:textId="77777777" w:rsidR="005E6435" w:rsidRDefault="005E6435" w:rsidP="00B52142">
      <w:pPr>
        <w:pStyle w:val="NoSpacing"/>
      </w:pPr>
      <w:r>
        <w:rPr>
          <w:rStyle w:val="FootnoteReference"/>
        </w:rPr>
        <w:footnoteRef/>
      </w:r>
      <w:r>
        <w:t xml:space="preserve"> Bickford-Smith: ‘Leisure and Social Identity in Cape Town, British Cape Colony’, p. 108.</w:t>
      </w:r>
    </w:p>
  </w:footnote>
  <w:footnote w:id="10">
    <w:p w14:paraId="71694772" w14:textId="77777777" w:rsidR="005E6435" w:rsidRDefault="005E6435" w:rsidP="00B52142">
      <w:pPr>
        <w:pStyle w:val="NoSpacing"/>
      </w:pPr>
      <w:r>
        <w:rPr>
          <w:rStyle w:val="FootnoteReference"/>
        </w:rPr>
        <w:footnoteRef/>
      </w:r>
      <w:r>
        <w:t xml:space="preserve"> </w:t>
      </w:r>
      <w:r>
        <w:rPr>
          <w:i/>
        </w:rPr>
        <w:t xml:space="preserve">Ibid, </w:t>
      </w:r>
      <w:r>
        <w:t>pp. 117-121.</w:t>
      </w:r>
    </w:p>
  </w:footnote>
  <w:footnote w:id="11">
    <w:p w14:paraId="6EE6E03D" w14:textId="77777777" w:rsidR="005E6435" w:rsidRDefault="005E6435" w:rsidP="00E2285B">
      <w:pPr>
        <w:pStyle w:val="NoSpacing"/>
      </w:pPr>
      <w:r>
        <w:rPr>
          <w:rStyle w:val="FootnoteReference"/>
        </w:rPr>
        <w:footnoteRef/>
      </w:r>
      <w:r>
        <w:t xml:space="preserve"> Grundlingh: ‘“Gone to the dog”: The Cultural Politics of Gambling’, pp. 174-179. </w:t>
      </w:r>
    </w:p>
  </w:footnote>
  <w:footnote w:id="12">
    <w:p w14:paraId="2A357FDE" w14:textId="77777777" w:rsidR="005E6435" w:rsidRDefault="005E6435" w:rsidP="00E2285B">
      <w:pPr>
        <w:pStyle w:val="FootnoteText"/>
        <w:jc w:val="left"/>
      </w:pPr>
      <w:r>
        <w:rPr>
          <w:rStyle w:val="FootnoteReference"/>
        </w:rPr>
        <w:footnoteRef/>
      </w:r>
      <w:r>
        <w:t xml:space="preserve"> </w:t>
      </w:r>
      <w:r>
        <w:rPr>
          <w:i/>
        </w:rPr>
        <w:t>Ibid</w:t>
      </w:r>
      <w:r>
        <w:t>, p. 182.</w:t>
      </w:r>
    </w:p>
  </w:footnote>
  <w:footnote w:id="13">
    <w:p w14:paraId="61773D4A" w14:textId="77777777" w:rsidR="005E6435" w:rsidRDefault="005E6435" w:rsidP="00E2285B">
      <w:pPr>
        <w:pStyle w:val="NoSpacing"/>
      </w:pPr>
      <w:r>
        <w:rPr>
          <w:rStyle w:val="FootnoteReference"/>
        </w:rPr>
        <w:footnoteRef/>
      </w:r>
      <w:r>
        <w:t xml:space="preserve"> </w:t>
      </w:r>
      <w:r>
        <w:rPr>
          <w:i/>
        </w:rPr>
        <w:t>Ibid</w:t>
      </w:r>
      <w:r>
        <w:t xml:space="preserve">, p. 188. </w:t>
      </w:r>
    </w:p>
  </w:footnote>
  <w:footnote w:id="14">
    <w:p w14:paraId="36773153" w14:textId="77777777" w:rsidR="005E6435" w:rsidRDefault="005E6435" w:rsidP="00E2285B">
      <w:pPr>
        <w:pStyle w:val="FootnoteText"/>
        <w:jc w:val="left"/>
      </w:pPr>
      <w:r>
        <w:rPr>
          <w:rStyle w:val="FootnoteReference"/>
        </w:rPr>
        <w:footnoteRef/>
      </w:r>
      <w:r>
        <w:t xml:space="preserve"> Y.P. Park: ‘Sojourners to Settlers: Early Constructions of Chinese Identity in South Africa, 1879-1949.’ </w:t>
      </w:r>
      <w:r>
        <w:rPr>
          <w:i/>
        </w:rPr>
        <w:t xml:space="preserve">African Studies, </w:t>
      </w:r>
      <w:r>
        <w:t xml:space="preserve">(2011, 65;2), pp. 203-226. </w:t>
      </w:r>
    </w:p>
  </w:footnote>
  <w:footnote w:id="15">
    <w:p w14:paraId="15AC1725" w14:textId="77777777" w:rsidR="005E6435" w:rsidRDefault="005E6435" w:rsidP="00415272">
      <w:pPr>
        <w:pStyle w:val="FootnoteText"/>
        <w:jc w:val="left"/>
      </w:pPr>
      <w:r>
        <w:rPr>
          <w:rStyle w:val="FootnoteReference"/>
        </w:rPr>
        <w:footnoteRef/>
      </w:r>
      <w:r>
        <w:t xml:space="preserve"> C. Walker: ‘Critical Reflections on South Africa’s 1913 Native Land Act and its Legacies: Introduction.’ </w:t>
      </w:r>
      <w:r>
        <w:rPr>
          <w:i/>
        </w:rPr>
        <w:t xml:space="preserve">Journal of Southern African Studies, </w:t>
      </w:r>
      <w:r>
        <w:t>(2014, 40:4), p. 655.</w:t>
      </w:r>
    </w:p>
  </w:footnote>
  <w:footnote w:id="16">
    <w:p w14:paraId="06009FB1" w14:textId="77777777" w:rsidR="005E6435" w:rsidRDefault="005E6435" w:rsidP="00415272">
      <w:pPr>
        <w:pStyle w:val="FootnoteText"/>
        <w:jc w:val="left"/>
      </w:pPr>
      <w:r>
        <w:rPr>
          <w:rStyle w:val="FootnoteReference"/>
        </w:rPr>
        <w:footnoteRef/>
      </w:r>
      <w:r>
        <w:t xml:space="preserve"> S.T. Plaatjie: ‘Native Life in South Africa, Before and Since the European War and the Boer Rebellion.’ [Online] </w:t>
      </w:r>
      <w:hyperlink r:id="rId3" w:history="1">
        <w:r w:rsidRPr="008F2A33">
          <w:rPr>
            <w:rStyle w:val="Hyperlink"/>
          </w:rPr>
          <w:t>http://www.sahistory.org.za/sites/default/files/Native%20Life%20in%20South%20Africa_0.pdf</w:t>
        </w:r>
      </w:hyperlink>
      <w:r>
        <w:t xml:space="preserve"> (9 February 2015). </w:t>
      </w:r>
    </w:p>
  </w:footnote>
  <w:footnote w:id="17">
    <w:p w14:paraId="60FAF415" w14:textId="77777777" w:rsidR="005E6435" w:rsidRPr="009E191F" w:rsidRDefault="005E6435" w:rsidP="00415272">
      <w:pPr>
        <w:pStyle w:val="FootnoteText"/>
        <w:jc w:val="left"/>
        <w:rPr>
          <w:lang w:val="en-US"/>
        </w:rPr>
      </w:pPr>
      <w:r>
        <w:rPr>
          <w:rStyle w:val="FootnoteReference"/>
        </w:rPr>
        <w:footnoteRef/>
      </w:r>
      <w:r>
        <w:t xml:space="preserve"> Southern African Legal Information Institute: ‘Land Acts.’ [Online] </w:t>
      </w:r>
      <w:hyperlink r:id="rId4" w:history="1">
        <w:r w:rsidRPr="003B44CD">
          <w:rPr>
            <w:rStyle w:val="Hyperlink"/>
          </w:rPr>
          <w:t xml:space="preserve">http://www.saflii.org/za/cases/ZACC/2000/2.pdf </w:t>
        </w:r>
        <w:r w:rsidRPr="00E2285B">
          <w:rPr>
            <w:rStyle w:val="Hyperlink"/>
            <w:color w:val="auto"/>
            <w:u w:val="none"/>
          </w:rPr>
          <w:t>(20</w:t>
        </w:r>
      </w:hyperlink>
      <w:r>
        <w:t xml:space="preserve"> September 2015). </w:t>
      </w:r>
    </w:p>
  </w:footnote>
  <w:footnote w:id="18">
    <w:p w14:paraId="1672BEF8" w14:textId="77777777" w:rsidR="005E6435" w:rsidRDefault="005E6435" w:rsidP="00415272">
      <w:pPr>
        <w:pStyle w:val="FootnoteText"/>
        <w:jc w:val="left"/>
      </w:pPr>
      <w:r>
        <w:rPr>
          <w:rStyle w:val="FootnoteReference"/>
        </w:rPr>
        <w:footnoteRef/>
      </w:r>
      <w:r>
        <w:t xml:space="preserve"> J.J. Sallaz: </w:t>
      </w:r>
      <w:r>
        <w:rPr>
          <w:i/>
        </w:rPr>
        <w:t>The Labour of Luck: Casino Capitalism in the United States and South Africa.</w:t>
      </w:r>
      <w:r>
        <w:t xml:space="preserve"> University of California Press, Berkley, 2009, p. 135.</w:t>
      </w:r>
    </w:p>
  </w:footnote>
  <w:footnote w:id="19">
    <w:p w14:paraId="4B14F4CD" w14:textId="77777777" w:rsidR="005E6435" w:rsidRPr="00070561" w:rsidRDefault="005E6435" w:rsidP="00415272">
      <w:pPr>
        <w:pStyle w:val="NoSpacing"/>
      </w:pPr>
      <w:r>
        <w:rPr>
          <w:rStyle w:val="FootnoteReference"/>
        </w:rPr>
        <w:footnoteRef/>
      </w:r>
      <w:r>
        <w:t xml:space="preserve"> </w:t>
      </w:r>
      <w:r w:rsidRPr="002C60EB">
        <w:t xml:space="preserve">National Archives </w:t>
      </w:r>
      <w:r>
        <w:t xml:space="preserve">of </w:t>
      </w:r>
      <w:r w:rsidRPr="002C60EB">
        <w:t>So</w:t>
      </w:r>
      <w:r>
        <w:t>uth Africa</w:t>
      </w:r>
      <w:r w:rsidRPr="002C60EB">
        <w:t>, BTS, 8931, 165/362 (</w:t>
      </w:r>
      <w:r>
        <w:t>1)</w:t>
      </w:r>
      <w:r w:rsidRPr="002C60EB">
        <w:t>: ‘Bantu Authorities Act and Regula</w:t>
      </w:r>
      <w:r>
        <w:t>tions for Tribal Authorities.’ 1951.</w:t>
      </w:r>
    </w:p>
  </w:footnote>
  <w:footnote w:id="20">
    <w:p w14:paraId="7E004BF6" w14:textId="77777777" w:rsidR="005E6435" w:rsidRPr="0054085A" w:rsidRDefault="005E6435" w:rsidP="00415272">
      <w:pPr>
        <w:pStyle w:val="FootnoteText"/>
        <w:jc w:val="left"/>
        <w:rPr>
          <w:lang w:val="en-US"/>
        </w:rPr>
      </w:pPr>
      <w:r>
        <w:rPr>
          <w:rStyle w:val="FootnoteReference"/>
        </w:rPr>
        <w:footnoteRef/>
      </w:r>
      <w:r>
        <w:t xml:space="preserve"> T.R.H. Davenport: </w:t>
      </w:r>
      <w:r>
        <w:rPr>
          <w:i/>
        </w:rPr>
        <w:t xml:space="preserve">South Africa: A Modern History. </w:t>
      </w:r>
      <w:r>
        <w:t xml:space="preserve">University of Toronto Press, Toronto, 1987, p. 383.  </w:t>
      </w:r>
    </w:p>
  </w:footnote>
  <w:footnote w:id="21">
    <w:p w14:paraId="6C6F275B" w14:textId="77777777" w:rsidR="005E6435" w:rsidRPr="005A516C" w:rsidRDefault="005E6435">
      <w:pPr>
        <w:pStyle w:val="FootnoteText"/>
        <w:rPr>
          <w:lang w:val="en-US"/>
        </w:rPr>
      </w:pPr>
      <w:r>
        <w:rPr>
          <w:rStyle w:val="FootnoteReference"/>
        </w:rPr>
        <w:footnoteRef/>
      </w:r>
      <w:r>
        <w:t xml:space="preserve"> Union of South Africa: ‘Promotion of Bantu Self-Governing Act, Act No. 46 of 1959.’ </w:t>
      </w:r>
      <w:r w:rsidRPr="00BB61A0">
        <w:rPr>
          <w:i/>
        </w:rPr>
        <w:t>DISA, Legislation and Race Relations</w:t>
      </w:r>
      <w:r>
        <w:t xml:space="preserve">, pp. 1-10.  </w:t>
      </w:r>
    </w:p>
  </w:footnote>
  <w:footnote w:id="22">
    <w:p w14:paraId="7F45CC29" w14:textId="77777777" w:rsidR="005E6435" w:rsidRPr="00DF2F01" w:rsidRDefault="005E6435">
      <w:pPr>
        <w:pStyle w:val="FootnoteText"/>
        <w:rPr>
          <w:lang w:val="en-US"/>
        </w:rPr>
      </w:pPr>
      <w:r>
        <w:rPr>
          <w:rStyle w:val="FootnoteReference"/>
        </w:rPr>
        <w:footnoteRef/>
      </w:r>
      <w:r>
        <w:t xml:space="preserve"> Sallaz: </w:t>
      </w:r>
      <w:r>
        <w:rPr>
          <w:i/>
        </w:rPr>
        <w:t xml:space="preserve">The Labour of Luck, </w:t>
      </w:r>
      <w:r>
        <w:t>p. 137.</w:t>
      </w:r>
    </w:p>
  </w:footnote>
  <w:footnote w:id="23">
    <w:p w14:paraId="33B635B5" w14:textId="77777777" w:rsidR="005E6435" w:rsidRPr="007D582E" w:rsidRDefault="005E6435">
      <w:pPr>
        <w:pStyle w:val="FootnoteText"/>
        <w:rPr>
          <w:lang w:val="en-US"/>
        </w:rPr>
      </w:pPr>
      <w:r>
        <w:rPr>
          <w:rStyle w:val="FootnoteReference"/>
        </w:rPr>
        <w:footnoteRef/>
      </w:r>
      <w:r>
        <w:t xml:space="preserve"> </w:t>
      </w:r>
      <w:r w:rsidRPr="007D582E">
        <w:t>R</w:t>
      </w:r>
      <w:r>
        <w:t xml:space="preserve">. </w:t>
      </w:r>
      <w:r w:rsidRPr="007D582E">
        <w:t xml:space="preserve">Southall: </w:t>
      </w:r>
      <w:r w:rsidRPr="007D582E">
        <w:rPr>
          <w:i/>
        </w:rPr>
        <w:t>South Africa's Transkei: the political economy of an "independent" Bantustan</w:t>
      </w:r>
      <w:r w:rsidRPr="007D582E">
        <w:t>. Monthly Review Press, t</w:t>
      </w:r>
      <w:r>
        <w:t xml:space="preserve">he University of Michigan, 1983, p. 2. </w:t>
      </w:r>
    </w:p>
  </w:footnote>
  <w:footnote w:id="24">
    <w:p w14:paraId="7037417C" w14:textId="77777777" w:rsidR="005E6435" w:rsidRPr="00A54F0E" w:rsidRDefault="005E6435">
      <w:pPr>
        <w:pStyle w:val="FootnoteText"/>
        <w:rPr>
          <w:lang w:val="en-US"/>
        </w:rPr>
      </w:pPr>
      <w:r>
        <w:rPr>
          <w:rStyle w:val="FootnoteReference"/>
        </w:rPr>
        <w:footnoteRef/>
      </w:r>
      <w:r>
        <w:t xml:space="preserve"> </w:t>
      </w:r>
      <w:r>
        <w:rPr>
          <w:lang w:val="en-US"/>
        </w:rPr>
        <w:t xml:space="preserve">The word independence has been placed in single inverted commas to signal that the independence granted came with limitations as the bantustans were largely controlled by the NP government. </w:t>
      </w:r>
    </w:p>
  </w:footnote>
  <w:footnote w:id="25">
    <w:p w14:paraId="12D81EFF" w14:textId="77777777" w:rsidR="005E6435" w:rsidRPr="001E600F" w:rsidRDefault="005E6435" w:rsidP="007C2563">
      <w:pPr>
        <w:pStyle w:val="NoSpacing"/>
      </w:pPr>
      <w:r>
        <w:rPr>
          <w:rStyle w:val="FootnoteReference"/>
        </w:rPr>
        <w:footnoteRef/>
      </w:r>
      <w:r>
        <w:t xml:space="preserve"> L. </w:t>
      </w:r>
      <w:r>
        <w:rPr>
          <w:lang w:val="en-US"/>
        </w:rPr>
        <w:t xml:space="preserve">Evans: ‘South Africa’s Bantustans and the Dynamics of “Decolonization”: Reflections on Writing Histories of the Homelands.’ </w:t>
      </w:r>
      <w:r>
        <w:rPr>
          <w:i/>
          <w:lang w:val="en-US"/>
        </w:rPr>
        <w:t xml:space="preserve">South African Historical Journal, </w:t>
      </w:r>
      <w:r>
        <w:rPr>
          <w:lang w:val="en-US"/>
        </w:rPr>
        <w:t>(2012, 64:1), p. 21-24.</w:t>
      </w:r>
    </w:p>
  </w:footnote>
  <w:footnote w:id="26">
    <w:p w14:paraId="0829D450" w14:textId="77777777" w:rsidR="005E6435" w:rsidRPr="00F660E3" w:rsidRDefault="005E6435" w:rsidP="003E2FD6">
      <w:pPr>
        <w:pStyle w:val="FootnoteText"/>
        <w:jc w:val="left"/>
      </w:pPr>
      <w:r>
        <w:rPr>
          <w:rStyle w:val="FootnoteReference"/>
        </w:rPr>
        <w:footnoteRef/>
      </w:r>
      <w:r>
        <w:t xml:space="preserve"> Quoted in Staff reporter: ‘South Africa: The Birth of Bophuthatswana.’ </w:t>
      </w:r>
      <w:r>
        <w:rPr>
          <w:i/>
        </w:rPr>
        <w:t xml:space="preserve">Time Magazine, </w:t>
      </w:r>
      <w:r>
        <w:t>19 December 1977.</w:t>
      </w:r>
      <w:r>
        <w:rPr>
          <w:i/>
        </w:rPr>
        <w:t xml:space="preserve">  </w:t>
      </w:r>
    </w:p>
  </w:footnote>
  <w:footnote w:id="27">
    <w:p w14:paraId="47C2B2F7" w14:textId="77777777" w:rsidR="005E6435" w:rsidRPr="005A68F2" w:rsidRDefault="005E6435">
      <w:pPr>
        <w:pStyle w:val="FootnoteText"/>
        <w:rPr>
          <w:lang w:val="en-US"/>
        </w:rPr>
      </w:pPr>
      <w:r>
        <w:rPr>
          <w:rStyle w:val="FootnoteReference"/>
        </w:rPr>
        <w:footnoteRef/>
      </w:r>
      <w:r>
        <w:t xml:space="preserve"> H. Wolpe</w:t>
      </w:r>
      <w:r w:rsidRPr="005A68F2">
        <w:t xml:space="preserve">: ‘Capitalism and cheap Labour-Power in South Africa: From Segregation to Apartheid’. </w:t>
      </w:r>
      <w:r w:rsidRPr="005A68F2">
        <w:rPr>
          <w:i/>
        </w:rPr>
        <w:t>Economy and Society</w:t>
      </w:r>
      <w:r w:rsidRPr="005A68F2">
        <w:t>, (1972, 1:4), pp. 425-456</w:t>
      </w:r>
    </w:p>
  </w:footnote>
  <w:footnote w:id="28">
    <w:p w14:paraId="13588686" w14:textId="77777777" w:rsidR="005E6435" w:rsidRPr="00807E09" w:rsidRDefault="005E6435" w:rsidP="00DF2F01">
      <w:pPr>
        <w:pStyle w:val="FootnoteText"/>
      </w:pPr>
      <w:r>
        <w:rPr>
          <w:rStyle w:val="FootnoteReference"/>
        </w:rPr>
        <w:footnoteRef/>
      </w:r>
      <w:r>
        <w:t xml:space="preserve"> D.J. Timothy: </w:t>
      </w:r>
      <w:r>
        <w:rPr>
          <w:i/>
        </w:rPr>
        <w:t xml:space="preserve">Tourism and Political Boundaries. </w:t>
      </w:r>
      <w:r>
        <w:t>Routledge, New York, 2002, pp.122-124.</w:t>
      </w:r>
    </w:p>
  </w:footnote>
  <w:footnote w:id="29">
    <w:p w14:paraId="462D7F85" w14:textId="77777777" w:rsidR="005E6435" w:rsidRDefault="005E6435" w:rsidP="003E2FD6">
      <w:pPr>
        <w:pStyle w:val="FootnoteText"/>
        <w:jc w:val="left"/>
      </w:pPr>
      <w:r>
        <w:rPr>
          <w:rStyle w:val="FootnoteReference"/>
        </w:rPr>
        <w:footnoteRef/>
      </w:r>
      <w:r>
        <w:t xml:space="preserve"> Staff reporter: ‘South Africa: The Birth of Bophuthatswana.’</w:t>
      </w:r>
      <w:r>
        <w:rPr>
          <w:i/>
        </w:rPr>
        <w:t xml:space="preserve">. </w:t>
      </w:r>
    </w:p>
  </w:footnote>
  <w:footnote w:id="30">
    <w:p w14:paraId="5A81FE09" w14:textId="77777777" w:rsidR="005E6435" w:rsidRPr="004411B3" w:rsidRDefault="005E6435">
      <w:pPr>
        <w:pStyle w:val="FootnoteText"/>
        <w:rPr>
          <w:lang w:val="en-US"/>
        </w:rPr>
      </w:pPr>
      <w:r>
        <w:rPr>
          <w:rStyle w:val="FootnoteReference"/>
        </w:rPr>
        <w:footnoteRef/>
      </w:r>
      <w:r>
        <w:t xml:space="preserve"> </w:t>
      </w:r>
      <w:r>
        <w:rPr>
          <w:lang w:val="en-US"/>
        </w:rPr>
        <w:t>Evans: ‘South Africa’s Bantustans and the Dynamics of “Decolonization”’, pp. 9-21.</w:t>
      </w:r>
    </w:p>
  </w:footnote>
  <w:footnote w:id="31">
    <w:p w14:paraId="47FB8E9D" w14:textId="77777777" w:rsidR="005E6435" w:rsidRPr="002C7C45" w:rsidRDefault="005E6435" w:rsidP="00490EC3">
      <w:pPr>
        <w:pStyle w:val="FootnoteText"/>
        <w:jc w:val="left"/>
      </w:pPr>
      <w:r>
        <w:rPr>
          <w:rStyle w:val="FootnoteReference"/>
        </w:rPr>
        <w:footnoteRef/>
      </w:r>
      <w:r>
        <w:t xml:space="preserve"> </w:t>
      </w:r>
      <w:r>
        <w:rPr>
          <w:lang w:val="en-US"/>
        </w:rPr>
        <w:t>Evans: ‘South Africa’s Bantustans and the Dynamics of “Decolonization”’</w:t>
      </w:r>
      <w:r>
        <w:rPr>
          <w:i/>
        </w:rPr>
        <w:t xml:space="preserve">, </w:t>
      </w:r>
      <w:r>
        <w:t>p. 233.</w:t>
      </w:r>
    </w:p>
  </w:footnote>
  <w:footnote w:id="32">
    <w:p w14:paraId="189AF3BB" w14:textId="77777777" w:rsidR="005E6435" w:rsidRDefault="005E6435" w:rsidP="00415272">
      <w:pPr>
        <w:pStyle w:val="FootnoteText"/>
        <w:jc w:val="left"/>
      </w:pPr>
      <w:r>
        <w:rPr>
          <w:rStyle w:val="FootnoteReference"/>
        </w:rPr>
        <w:footnoteRef/>
      </w:r>
      <w:r>
        <w:t xml:space="preserve"> L. Korf: </w:t>
      </w:r>
      <w:r>
        <w:rPr>
          <w:i/>
        </w:rPr>
        <w:t xml:space="preserve">D.F. Malan: An Intellectual Biography, 1874-1915. </w:t>
      </w:r>
      <w:r>
        <w:t>MA Thesis, University of Johannesburg, June 2005, pp. 1-29</w:t>
      </w:r>
    </w:p>
  </w:footnote>
  <w:footnote w:id="33">
    <w:p w14:paraId="0B85067B" w14:textId="77777777" w:rsidR="005E6435" w:rsidRPr="00E41606" w:rsidRDefault="005E6435" w:rsidP="00826ABC">
      <w:pPr>
        <w:pStyle w:val="FootnoteText"/>
      </w:pPr>
      <w:r>
        <w:rPr>
          <w:rStyle w:val="FootnoteReference"/>
        </w:rPr>
        <w:footnoteRef/>
      </w:r>
      <w:r>
        <w:t xml:space="preserve"> Sallaz: </w:t>
      </w:r>
      <w:r>
        <w:rPr>
          <w:i/>
        </w:rPr>
        <w:t>The Labour of Luck</w:t>
      </w:r>
      <w:r>
        <w:t xml:space="preserve">, p. 134. </w:t>
      </w:r>
    </w:p>
  </w:footnote>
  <w:footnote w:id="34">
    <w:p w14:paraId="09566358" w14:textId="77777777" w:rsidR="005E6435" w:rsidRPr="003A7210" w:rsidRDefault="005E6435">
      <w:pPr>
        <w:pStyle w:val="FootnoteText"/>
        <w:rPr>
          <w:lang w:val="en-US"/>
        </w:rPr>
      </w:pPr>
      <w:r>
        <w:rPr>
          <w:rStyle w:val="FootnoteReference"/>
        </w:rPr>
        <w:footnoteRef/>
      </w:r>
      <w:r>
        <w:t xml:space="preserve"> </w:t>
      </w:r>
      <w:r>
        <w:rPr>
          <w:lang w:val="en-US"/>
        </w:rPr>
        <w:t xml:space="preserve">Trade unions were banned in Bophuthatswana. </w:t>
      </w:r>
    </w:p>
  </w:footnote>
  <w:footnote w:id="35">
    <w:p w14:paraId="522DE575" w14:textId="77777777" w:rsidR="005E6435" w:rsidRPr="00034A3A" w:rsidRDefault="005E6435" w:rsidP="00826ABC">
      <w:pPr>
        <w:pStyle w:val="NoSpacing"/>
      </w:pPr>
      <w:r>
        <w:rPr>
          <w:rStyle w:val="FootnoteReference"/>
        </w:rPr>
        <w:footnoteRef/>
      </w:r>
      <w:r>
        <w:t xml:space="preserve"> B. Keller: ‘Resort (Not Too African) for Rich Tourists.’ </w:t>
      </w:r>
      <w:r>
        <w:rPr>
          <w:i/>
        </w:rPr>
        <w:t>The New York Times</w:t>
      </w:r>
      <w:r w:rsidRPr="00034A3A">
        <w:rPr>
          <w:szCs w:val="20"/>
          <w:lang w:val="en-US"/>
        </w:rPr>
        <w:t>, 3 December 1992.</w:t>
      </w:r>
      <w:r>
        <w:rPr>
          <w:i/>
        </w:rPr>
        <w:t xml:space="preserve"> </w:t>
      </w:r>
      <w:r>
        <w:t xml:space="preserve">[Online] </w:t>
      </w:r>
      <w:hyperlink r:id="rId5" w:history="1">
        <w:r w:rsidRPr="00A77294">
          <w:rPr>
            <w:rStyle w:val="Hyperlink"/>
          </w:rPr>
          <w:t xml:space="preserve">http://www.nytimes.com/1992/12/03/world/resort-not-too-african-for-rich-tourists.html </w:t>
        </w:r>
        <w:r w:rsidRPr="00034A3A">
          <w:rPr>
            <w:szCs w:val="20"/>
            <w:lang w:val="en-US"/>
          </w:rPr>
          <w:t>(25</w:t>
        </w:r>
      </w:hyperlink>
      <w:r>
        <w:t xml:space="preserve"> February 2015). </w:t>
      </w:r>
    </w:p>
  </w:footnote>
  <w:footnote w:id="36">
    <w:p w14:paraId="45C8A613" w14:textId="77777777" w:rsidR="005E6435" w:rsidRDefault="005E6435" w:rsidP="00693B29">
      <w:pPr>
        <w:pStyle w:val="FootnoteText"/>
      </w:pPr>
      <w:r>
        <w:rPr>
          <w:rStyle w:val="FootnoteReference"/>
        </w:rPr>
        <w:footnoteRef/>
      </w:r>
      <w:r>
        <w:t xml:space="preserve"> </w:t>
      </w:r>
      <w:r>
        <w:rPr>
          <w:i/>
        </w:rPr>
        <w:t>Ibid,</w:t>
      </w:r>
      <w:r>
        <w:t xml:space="preserve"> 137.</w:t>
      </w:r>
    </w:p>
  </w:footnote>
  <w:footnote w:id="37">
    <w:p w14:paraId="3D98084F" w14:textId="77777777" w:rsidR="005E6435" w:rsidRPr="003A7210" w:rsidRDefault="005E6435">
      <w:pPr>
        <w:pStyle w:val="FootnoteText"/>
        <w:rPr>
          <w:lang w:val="en-US"/>
        </w:rPr>
      </w:pPr>
      <w:r>
        <w:rPr>
          <w:rStyle w:val="FootnoteReference"/>
        </w:rPr>
        <w:footnoteRef/>
      </w:r>
      <w:r>
        <w:t xml:space="preserve"> Sallaz: </w:t>
      </w:r>
      <w:r>
        <w:rPr>
          <w:i/>
        </w:rPr>
        <w:t>The Labour of Luck</w:t>
      </w:r>
      <w:r>
        <w:t>, p. 144.</w:t>
      </w:r>
    </w:p>
  </w:footnote>
  <w:footnote w:id="38">
    <w:p w14:paraId="0C839DA3" w14:textId="77777777" w:rsidR="005E6435" w:rsidRDefault="005E6435" w:rsidP="00415272">
      <w:pPr>
        <w:pStyle w:val="FootnoteText"/>
        <w:jc w:val="left"/>
      </w:pPr>
      <w:r>
        <w:rPr>
          <w:rStyle w:val="FootnoteReference"/>
        </w:rPr>
        <w:footnoteRef/>
      </w:r>
      <w:r>
        <w:t xml:space="preserve"> J.J. Sallaz: </w:t>
      </w:r>
      <w:r w:rsidRPr="009C1495">
        <w:rPr>
          <w:i/>
        </w:rPr>
        <w:t xml:space="preserve">Gambling with Development: Casino Capitalism in South Africa and on Indian Lands in </w:t>
      </w:r>
      <w:r w:rsidRPr="00586D3A">
        <w:rPr>
          <w:i/>
        </w:rPr>
        <w:t xml:space="preserve">California. </w:t>
      </w:r>
      <w:hyperlink r:id="rId6" w:history="1">
        <w:r w:rsidRPr="00586D3A">
          <w:rPr>
            <w:rStyle w:val="Hyperlink"/>
          </w:rPr>
          <w:t>http://www.irle.berkeley.edu/culture/conference/sallaz.pdf</w:t>
        </w:r>
        <w:r w:rsidRPr="00586D3A">
          <w:rPr>
            <w:rStyle w:val="Hyperlink"/>
            <w:color w:val="auto"/>
          </w:rPr>
          <w:t xml:space="preserve"> (3</w:t>
        </w:r>
      </w:hyperlink>
      <w:r>
        <w:t xml:space="preserve"> August 2014), pp. 12-16. </w:t>
      </w:r>
    </w:p>
  </w:footnote>
  <w:footnote w:id="39">
    <w:p w14:paraId="30432F03" w14:textId="77777777" w:rsidR="005E6435" w:rsidRPr="00586D3A" w:rsidRDefault="005E6435" w:rsidP="00415272">
      <w:pPr>
        <w:pStyle w:val="FootnoteText"/>
        <w:jc w:val="left"/>
        <w:rPr>
          <w:i/>
        </w:rPr>
      </w:pPr>
      <w:r>
        <w:rPr>
          <w:rStyle w:val="FootnoteReference"/>
        </w:rPr>
        <w:footnoteRef/>
      </w:r>
      <w:r>
        <w:t xml:space="preserve"> </w:t>
      </w:r>
      <w:r w:rsidRPr="00586D3A">
        <w:t>S</w:t>
      </w:r>
      <w:r>
        <w:t>allaz</w:t>
      </w:r>
      <w:r w:rsidRPr="00586D3A">
        <w:t>:</w:t>
      </w:r>
      <w:r>
        <w:t xml:space="preserve"> </w:t>
      </w:r>
      <w:r w:rsidRPr="00586D3A">
        <w:rPr>
          <w:i/>
        </w:rPr>
        <w:t>The Labour of Luck</w:t>
      </w:r>
      <w:r>
        <w:rPr>
          <w:i/>
        </w:rPr>
        <w:t xml:space="preserve">, </w:t>
      </w:r>
      <w:r>
        <w:t>pp. 65-72.</w:t>
      </w:r>
    </w:p>
  </w:footnote>
  <w:footnote w:id="40">
    <w:p w14:paraId="1C6F53CB" w14:textId="77777777" w:rsidR="005E6435" w:rsidRPr="00C7587E" w:rsidRDefault="005E6435" w:rsidP="00415272">
      <w:pPr>
        <w:pStyle w:val="FootnoteText"/>
        <w:jc w:val="left"/>
        <w:rPr>
          <w:lang w:val="en-US"/>
        </w:rPr>
      </w:pPr>
      <w:r>
        <w:rPr>
          <w:rStyle w:val="FootnoteReference"/>
        </w:rPr>
        <w:footnoteRef/>
      </w:r>
      <w:r>
        <w:t xml:space="preserve"> T.T. Sannar. ‘Playing Sun City: The Politics of Entertainment at a South African Mega-Resort.’ PhD thesis, University of California, Santa Barbara, 2011.</w:t>
      </w:r>
    </w:p>
  </w:footnote>
  <w:footnote w:id="41">
    <w:p w14:paraId="75EE5415" w14:textId="77777777" w:rsidR="005E6435" w:rsidRPr="00DF4277" w:rsidRDefault="005E6435" w:rsidP="00415272">
      <w:pPr>
        <w:pStyle w:val="FootnoteText"/>
        <w:jc w:val="left"/>
        <w:rPr>
          <w:lang w:val="en-US"/>
        </w:rPr>
      </w:pPr>
      <w:r>
        <w:rPr>
          <w:rStyle w:val="FootnoteReference"/>
        </w:rPr>
        <w:footnoteRef/>
      </w:r>
      <w:r>
        <w:t xml:space="preserve"> J.R. Freeman: ‘Sun City and the Sounds of Liberation: Cultural Resistance for Social Justice in Apartheid South Africa.’ MA thesis, University of California, Los Angeles, 2014, pp. 19-20.</w:t>
      </w:r>
    </w:p>
  </w:footnote>
  <w:footnote w:id="42">
    <w:p w14:paraId="531C9274" w14:textId="77777777" w:rsidR="005E6435" w:rsidRDefault="005E6435" w:rsidP="00A201C2">
      <w:pPr>
        <w:pStyle w:val="NoSpacing"/>
      </w:pPr>
      <w:r>
        <w:rPr>
          <w:rStyle w:val="FootnoteReference"/>
        </w:rPr>
        <w:footnoteRef/>
      </w:r>
      <w:r>
        <w:t xml:space="preserve"> S. Ally &amp; A. Lissoni: ‘Let’s talk about Bantustans.’ </w:t>
      </w:r>
      <w:r>
        <w:rPr>
          <w:i/>
        </w:rPr>
        <w:t xml:space="preserve">South African Historical Journal, </w:t>
      </w:r>
      <w:r>
        <w:t xml:space="preserve">(2012, 64:1), pp. 1-4. </w:t>
      </w:r>
    </w:p>
  </w:footnote>
  <w:footnote w:id="43">
    <w:p w14:paraId="0A2B4A7B" w14:textId="77777777" w:rsidR="005E6435" w:rsidRPr="00C16453" w:rsidRDefault="005E6435" w:rsidP="00A201C2">
      <w:pPr>
        <w:pStyle w:val="FootnoteText"/>
        <w:jc w:val="left"/>
        <w:rPr>
          <w:lang w:val="en-US"/>
        </w:rPr>
      </w:pPr>
      <w:r>
        <w:rPr>
          <w:rStyle w:val="FootnoteReference"/>
        </w:rPr>
        <w:footnoteRef/>
      </w:r>
      <w:r>
        <w:t xml:space="preserve"> A. Manson</w:t>
      </w:r>
      <w:r w:rsidRPr="004A310E">
        <w:t xml:space="preserve"> &amp; </w:t>
      </w:r>
      <w:r>
        <w:t xml:space="preserve">B. </w:t>
      </w:r>
      <w:r w:rsidRPr="004A310E">
        <w:t>Mbenga</w:t>
      </w:r>
      <w:r>
        <w:t>:</w:t>
      </w:r>
      <w:r w:rsidRPr="004A310E">
        <w:t xml:space="preserve"> ‘Bophuthatswana and the North-West Province: From Pan-Tswanaism to Mine</w:t>
      </w:r>
      <w:r>
        <w:t>ral-Based Ethnic Assertiveness.’</w:t>
      </w:r>
      <w:r w:rsidRPr="004A310E">
        <w:t xml:space="preserve"> </w:t>
      </w:r>
      <w:r w:rsidRPr="004A310E">
        <w:rPr>
          <w:i/>
        </w:rPr>
        <w:t xml:space="preserve">South African Historical Journal, </w:t>
      </w:r>
      <w:r>
        <w:t xml:space="preserve">(2012, 64:1), pp. 96-116; A. Manson &amp; B.K. Mbenga: </w:t>
      </w:r>
      <w:r w:rsidRPr="001D0CC5">
        <w:rPr>
          <w:i/>
        </w:rPr>
        <w:t>Land, Chiefs, Mining: South Africa’s North West province since 1840</w:t>
      </w:r>
      <w:r>
        <w:t xml:space="preserve">. Wits University Press, Johannesburg, 2014, p. 164; A. Manson, B. Mbenga &amp; A. Lissoni: </w:t>
      </w:r>
      <w:r>
        <w:rPr>
          <w:i/>
        </w:rPr>
        <w:t xml:space="preserve">Khongolose: A Short History of the ANC in the North-West Province from 1909. </w:t>
      </w:r>
      <w:r>
        <w:t xml:space="preserve">UNISA Press, Pretoria, 2016, pp. 79-88 et al. </w:t>
      </w:r>
    </w:p>
  </w:footnote>
  <w:footnote w:id="44">
    <w:p w14:paraId="39D4F819" w14:textId="77777777" w:rsidR="005E6435" w:rsidRPr="00DB2AA1" w:rsidRDefault="005E6435" w:rsidP="00A201C2">
      <w:pPr>
        <w:pStyle w:val="FootnoteText"/>
        <w:jc w:val="left"/>
        <w:rPr>
          <w:lang w:val="en-US"/>
        </w:rPr>
      </w:pPr>
      <w:r>
        <w:rPr>
          <w:rStyle w:val="FootnoteReference"/>
        </w:rPr>
        <w:footnoteRef/>
      </w:r>
      <w:r>
        <w:t xml:space="preserve"> South African Historical </w:t>
      </w:r>
      <w:r w:rsidRPr="00DB2AA1">
        <w:t>Journal</w:t>
      </w:r>
      <w:r>
        <w:t xml:space="preserve"> special </w:t>
      </w:r>
      <w:r w:rsidRPr="00DB2AA1">
        <w:t>i</w:t>
      </w:r>
      <w:r w:rsidRPr="009F5F5C">
        <w:t>ssue</w:t>
      </w:r>
      <w:r>
        <w:t>, volume number</w:t>
      </w:r>
      <w:r w:rsidRPr="00757572">
        <w:t xml:space="preserve"> 64, issue 1, 2012</w:t>
      </w:r>
    </w:p>
  </w:footnote>
  <w:footnote w:id="45">
    <w:p w14:paraId="3A3E9F63" w14:textId="77777777" w:rsidR="005E6435" w:rsidRPr="00182441" w:rsidRDefault="005E6435" w:rsidP="00A201C2">
      <w:pPr>
        <w:pStyle w:val="FootnoteText"/>
        <w:jc w:val="left"/>
        <w:rPr>
          <w:lang w:val="en-US"/>
        </w:rPr>
      </w:pPr>
      <w:r>
        <w:rPr>
          <w:rStyle w:val="FootnoteReference"/>
        </w:rPr>
        <w:footnoteRef/>
      </w:r>
      <w:r>
        <w:t xml:space="preserve"> Ally &amp; Lissoni: ‘Let’s talk about Bantustans’, pp. 1-4.</w:t>
      </w:r>
    </w:p>
  </w:footnote>
  <w:footnote w:id="46">
    <w:p w14:paraId="0F757DAC" w14:textId="77777777" w:rsidR="005E6435" w:rsidRPr="00D4070D" w:rsidRDefault="005E6435" w:rsidP="00A201C2">
      <w:pPr>
        <w:pStyle w:val="FootnoteText"/>
        <w:jc w:val="left"/>
        <w:rPr>
          <w:lang w:val="en-US"/>
        </w:rPr>
      </w:pPr>
      <w:r>
        <w:rPr>
          <w:rStyle w:val="FootnoteReference"/>
        </w:rPr>
        <w:footnoteRef/>
      </w:r>
      <w:r>
        <w:t xml:space="preserve"> C.M. Chipkin: </w:t>
      </w:r>
      <w:r w:rsidRPr="00D4070D">
        <w:rPr>
          <w:i/>
        </w:rPr>
        <w:t>Johannesburg Transition – Architecture and Society from 1950</w:t>
      </w:r>
      <w:r>
        <w:t xml:space="preserve">. STE Publishers, Johannesburg, 2008. </w:t>
      </w:r>
    </w:p>
  </w:footnote>
  <w:footnote w:id="47">
    <w:p w14:paraId="2962E7C2" w14:textId="77777777" w:rsidR="005E6435" w:rsidRDefault="005E6435" w:rsidP="00CD4878">
      <w:pPr>
        <w:pStyle w:val="FootnoteText"/>
      </w:pPr>
      <w:r>
        <w:rPr>
          <w:rStyle w:val="FootnoteReference"/>
        </w:rPr>
        <w:footnoteRef/>
      </w:r>
      <w:r>
        <w:t xml:space="preserve"> C.M. Chipkin: </w:t>
      </w:r>
      <w:r w:rsidRPr="00034A3A">
        <w:rPr>
          <w:i/>
        </w:rPr>
        <w:t>Johannesburg Transition</w:t>
      </w:r>
      <w:r>
        <w:t xml:space="preserve">, p. 278. </w:t>
      </w:r>
    </w:p>
  </w:footnote>
  <w:footnote w:id="48">
    <w:p w14:paraId="5261C0C3" w14:textId="77777777" w:rsidR="005E6435" w:rsidRPr="00A44873" w:rsidRDefault="005E6435" w:rsidP="00CD4878">
      <w:pPr>
        <w:pStyle w:val="NoSpacing"/>
      </w:pPr>
      <w:r>
        <w:rPr>
          <w:rStyle w:val="FootnoteReference"/>
        </w:rPr>
        <w:footnoteRef/>
      </w:r>
      <w:r>
        <w:t xml:space="preserve"> </w:t>
      </w:r>
      <w:r>
        <w:rPr>
          <w:lang w:val="en-US"/>
        </w:rPr>
        <w:t>Staff writer: ‘</w:t>
      </w:r>
      <w:r>
        <w:t xml:space="preserve">Sol Kerzner: back with a bang’ </w:t>
      </w:r>
      <w:r>
        <w:rPr>
          <w:i/>
        </w:rPr>
        <w:t xml:space="preserve">Brand South Africa, </w:t>
      </w:r>
      <w:r>
        <w:t xml:space="preserve">2 January 2004 [Online] </w:t>
      </w:r>
      <w:hyperlink r:id="rId7" w:anchor=".V-tblvl97IU" w:history="1">
        <w:r w:rsidRPr="006805F0">
          <w:rPr>
            <w:rStyle w:val="Hyperlink"/>
          </w:rPr>
          <w:t>http://www.southafrica.info/business/investing/kerzner-one&amp;only.htm#.V-tblvl97IU</w:t>
        </w:r>
      </w:hyperlink>
      <w:r>
        <w:t xml:space="preserve"> (28 September 2016).</w:t>
      </w:r>
    </w:p>
  </w:footnote>
  <w:footnote w:id="49">
    <w:p w14:paraId="0B2CD707" w14:textId="77777777" w:rsidR="005E6435" w:rsidRDefault="005E6435" w:rsidP="00CD4878">
      <w:pPr>
        <w:pStyle w:val="NoSpacing"/>
      </w:pPr>
      <w:r>
        <w:rPr>
          <w:rStyle w:val="FootnoteReference"/>
        </w:rPr>
        <w:footnoteRef/>
      </w:r>
      <w:r>
        <w:t xml:space="preserve"> Staff reporter: ‘King Sol.’ </w:t>
      </w:r>
      <w:r>
        <w:rPr>
          <w:i/>
        </w:rPr>
        <w:t xml:space="preserve">Time Magazine, </w:t>
      </w:r>
      <w:r>
        <w:t>12 September 1983.</w:t>
      </w:r>
      <w:r>
        <w:rPr>
          <w:i/>
        </w:rPr>
        <w:t xml:space="preserve"> </w:t>
      </w:r>
      <w:r>
        <w:t xml:space="preserve">[Online] </w:t>
      </w:r>
      <w:hyperlink r:id="rId8" w:history="1">
        <w:r w:rsidRPr="00F004AF">
          <w:rPr>
            <w:rStyle w:val="Hyperlink"/>
          </w:rPr>
          <w:t>http://content.time.com/time/subscriber/article/0,33009,926196,00.html</w:t>
        </w:r>
      </w:hyperlink>
      <w:r>
        <w:t xml:space="preserve"> (21 October 2015).</w:t>
      </w:r>
    </w:p>
  </w:footnote>
  <w:footnote w:id="50">
    <w:p w14:paraId="5241E762" w14:textId="77777777" w:rsidR="005E6435" w:rsidRPr="008276D7" w:rsidRDefault="005E6435" w:rsidP="00CD4878">
      <w:pPr>
        <w:spacing w:after="0" w:line="240" w:lineRule="auto"/>
        <w:jc w:val="left"/>
        <w:rPr>
          <w:sz w:val="20"/>
        </w:rPr>
      </w:pPr>
      <w:r>
        <w:rPr>
          <w:rStyle w:val="FootnoteReference"/>
        </w:rPr>
        <w:footnoteRef/>
      </w:r>
      <w:r>
        <w:t xml:space="preserve"> </w:t>
      </w:r>
      <w:r>
        <w:rPr>
          <w:rStyle w:val="NoSpacingChar"/>
        </w:rPr>
        <w:t>Keller</w:t>
      </w:r>
      <w:r w:rsidRPr="008276D7">
        <w:rPr>
          <w:rStyle w:val="NoSpacingChar"/>
        </w:rPr>
        <w:t xml:space="preserve">: ‘Resort (Not Too African) for Rich Tourists’ </w:t>
      </w:r>
    </w:p>
  </w:footnote>
  <w:footnote w:id="51">
    <w:p w14:paraId="45566B26" w14:textId="77777777" w:rsidR="005E6435" w:rsidRPr="00CD1F89" w:rsidRDefault="005E6435" w:rsidP="00CD4878">
      <w:pPr>
        <w:pStyle w:val="FootnoteText"/>
        <w:jc w:val="left"/>
      </w:pPr>
      <w:r>
        <w:rPr>
          <w:rStyle w:val="FootnoteReference"/>
        </w:rPr>
        <w:footnoteRef/>
      </w:r>
      <w:r>
        <w:t xml:space="preserve"> M. Hall: ‘The Legend of the Lost City; Or; the Man with Golden Balls.’ </w:t>
      </w:r>
      <w:r>
        <w:rPr>
          <w:i/>
        </w:rPr>
        <w:t xml:space="preserve">Journal of Southern African Studies. </w:t>
      </w:r>
      <w:r>
        <w:t>(1995, 21:2), pp. 179-180.</w:t>
      </w:r>
    </w:p>
  </w:footnote>
  <w:footnote w:id="52">
    <w:p w14:paraId="1F5974C3" w14:textId="77777777" w:rsidR="005E6435" w:rsidRPr="00362550" w:rsidRDefault="005E6435" w:rsidP="00CD4878">
      <w:pPr>
        <w:pStyle w:val="FootnoteText"/>
        <w:rPr>
          <w:lang w:val="en-US"/>
        </w:rPr>
      </w:pPr>
      <w:r>
        <w:rPr>
          <w:rStyle w:val="FootnoteReference"/>
        </w:rPr>
        <w:footnoteRef/>
      </w:r>
      <w:r>
        <w:t xml:space="preserve"> A. Manson &amp; B.K. Mbenga: </w:t>
      </w:r>
      <w:r w:rsidRPr="001D0CC5">
        <w:rPr>
          <w:i/>
        </w:rPr>
        <w:t>Land, Chiefs, Mining: South Africa’s North West province since 1840</w:t>
      </w:r>
      <w:r>
        <w:t xml:space="preserve">. Wits University Press, Johannesburg, 2014, p. 164. </w:t>
      </w:r>
    </w:p>
  </w:footnote>
  <w:footnote w:id="53">
    <w:p w14:paraId="45E11C27" w14:textId="77777777" w:rsidR="005E6435" w:rsidRPr="00213394" w:rsidRDefault="005E6435" w:rsidP="00CD4878">
      <w:pPr>
        <w:pStyle w:val="FootnoteText"/>
        <w:jc w:val="left"/>
      </w:pPr>
      <w:r>
        <w:rPr>
          <w:rStyle w:val="FootnoteReference"/>
        </w:rPr>
        <w:footnoteRef/>
      </w:r>
      <w:r>
        <w:t xml:space="preserve"> D.G. Schwartz: </w:t>
      </w:r>
      <w:r>
        <w:rPr>
          <w:i/>
        </w:rPr>
        <w:t xml:space="preserve">Roll the Bones: The History of Gambling. </w:t>
      </w:r>
      <w:r>
        <w:t xml:space="preserve">Penguin Books, New York, 2006, p. 465. </w:t>
      </w:r>
    </w:p>
  </w:footnote>
  <w:footnote w:id="54">
    <w:p w14:paraId="6801F0A9" w14:textId="77777777" w:rsidR="005E6435" w:rsidRPr="00C53FFA" w:rsidRDefault="005E6435" w:rsidP="00CD4878">
      <w:pPr>
        <w:pStyle w:val="FootnoteText"/>
        <w:jc w:val="left"/>
      </w:pPr>
      <w:r>
        <w:rPr>
          <w:rStyle w:val="FootnoteReference"/>
        </w:rPr>
        <w:footnoteRef/>
      </w:r>
      <w:r>
        <w:t xml:space="preserve"> Staff reporter: ‘Police move closer to Sol’ </w:t>
      </w:r>
      <w:r>
        <w:rPr>
          <w:i/>
        </w:rPr>
        <w:t xml:space="preserve">Mail and Guardian, </w:t>
      </w:r>
      <w:r>
        <w:t>17 November 1995.</w:t>
      </w:r>
      <w:r>
        <w:rPr>
          <w:i/>
        </w:rPr>
        <w:t xml:space="preserve"> </w:t>
      </w:r>
      <w:r>
        <w:t xml:space="preserve">[Online] </w:t>
      </w:r>
      <w:hyperlink r:id="rId9" w:history="1">
        <w:r w:rsidRPr="007A5D1E">
          <w:rPr>
            <w:rStyle w:val="Hyperlink"/>
          </w:rPr>
          <w:t>http://mg.co.za/article/1995-11-17-police-move-closer-to-sol (</w:t>
        </w:r>
      </w:hyperlink>
      <w:r>
        <w:t xml:space="preserve">9 February 2015). </w:t>
      </w:r>
    </w:p>
  </w:footnote>
  <w:footnote w:id="55">
    <w:p w14:paraId="2D7A8433" w14:textId="77777777" w:rsidR="005E6435" w:rsidRDefault="005E6435" w:rsidP="00415272">
      <w:pPr>
        <w:pStyle w:val="FootnoteText"/>
        <w:jc w:val="left"/>
      </w:pPr>
      <w:r>
        <w:rPr>
          <w:rStyle w:val="FootnoteReference"/>
        </w:rPr>
        <w:footnoteRef/>
      </w:r>
      <w:r>
        <w:t xml:space="preserve"> </w:t>
      </w:r>
      <w:r w:rsidRPr="00415272">
        <w:rPr>
          <w:i/>
        </w:rPr>
        <w:t>My Story: Solomon Kerzner</w:t>
      </w:r>
      <w:r w:rsidRPr="00415272">
        <w:t>, South Africa, 6 June 2015.</w:t>
      </w:r>
    </w:p>
  </w:footnote>
  <w:footnote w:id="56">
    <w:p w14:paraId="502E5538" w14:textId="77777777" w:rsidR="005E6435" w:rsidRDefault="005E6435" w:rsidP="00415272">
      <w:pPr>
        <w:pStyle w:val="FootnoteText"/>
        <w:jc w:val="left"/>
      </w:pPr>
      <w:r>
        <w:rPr>
          <w:rStyle w:val="FootnoteReference"/>
        </w:rPr>
        <w:footnoteRef/>
      </w:r>
      <w:r>
        <w:t xml:space="preserve"> C.M. Chipkin: </w:t>
      </w:r>
      <w:r w:rsidRPr="00D56BB9">
        <w:rPr>
          <w:i/>
        </w:rPr>
        <w:t>Johannesburg Transition</w:t>
      </w:r>
      <w:r>
        <w:rPr>
          <w:i/>
        </w:rPr>
        <w:t xml:space="preserve">, </w:t>
      </w:r>
      <w:r>
        <w:t xml:space="preserve">p. 278. </w:t>
      </w:r>
    </w:p>
  </w:footnote>
  <w:footnote w:id="57">
    <w:p w14:paraId="1C882421" w14:textId="77777777" w:rsidR="005E6435" w:rsidRDefault="005E6435" w:rsidP="00415272">
      <w:pPr>
        <w:pStyle w:val="NoSpacing"/>
      </w:pPr>
      <w:r>
        <w:rPr>
          <w:rStyle w:val="FootnoteReference"/>
        </w:rPr>
        <w:footnoteRef/>
      </w:r>
      <w:r>
        <w:t xml:space="preserve"> Staff reporter: ‘Sol Kerzner’s first hotel turns 50’ </w:t>
      </w:r>
      <w:r>
        <w:rPr>
          <w:i/>
        </w:rPr>
        <w:t>Fin 24</w:t>
      </w:r>
      <w:r>
        <w:t xml:space="preserve">, 24 November 2014. [Online] </w:t>
      </w:r>
      <w:hyperlink r:id="rId10" w:history="1">
        <w:r w:rsidRPr="00CF6C26">
          <w:rPr>
            <w:rStyle w:val="Hyperlink"/>
          </w:rPr>
          <w:t xml:space="preserve">http://www.fin24.com/Companies/TravelAndLeisure/Sol-Kerzners-first-hotel-turns-50-20141124 </w:t>
        </w:r>
        <w:r w:rsidRPr="004D0C71">
          <w:t>(26</w:t>
        </w:r>
      </w:hyperlink>
      <w:r>
        <w:t xml:space="preserve"> January 2016). </w:t>
      </w:r>
    </w:p>
  </w:footnote>
  <w:footnote w:id="58">
    <w:p w14:paraId="2DDED736" w14:textId="77777777" w:rsidR="005E6435" w:rsidRPr="00CB770C" w:rsidRDefault="005E6435" w:rsidP="00415272">
      <w:pPr>
        <w:pStyle w:val="FootnoteText"/>
        <w:jc w:val="left"/>
        <w:rPr>
          <w:lang w:val="en-US"/>
        </w:rPr>
      </w:pPr>
      <w:r>
        <w:rPr>
          <w:rStyle w:val="FootnoteReference"/>
        </w:rPr>
        <w:footnoteRef/>
      </w:r>
      <w:r>
        <w:t xml:space="preserve"> C.M. </w:t>
      </w:r>
      <w:r>
        <w:rPr>
          <w:rStyle w:val="NoSpacingChar"/>
        </w:rPr>
        <w:t>Rogerson</w:t>
      </w:r>
      <w:r w:rsidRPr="00872C1A">
        <w:rPr>
          <w:rStyle w:val="NoSpacingChar"/>
        </w:rPr>
        <w:t xml:space="preserve">: ‘Sun International: The Making of a South African Tourismus Multinational.’ </w:t>
      </w:r>
      <w:r w:rsidRPr="00F46783">
        <w:rPr>
          <w:rStyle w:val="NoSpacingChar"/>
          <w:i/>
        </w:rPr>
        <w:t>GeoJournal</w:t>
      </w:r>
      <w:r w:rsidRPr="00872C1A">
        <w:rPr>
          <w:rStyle w:val="NoSpacingChar"/>
        </w:rPr>
        <w:t>, (1990, 22:</w:t>
      </w:r>
      <w:r>
        <w:rPr>
          <w:rStyle w:val="NoSpacingChar"/>
        </w:rPr>
        <w:t>3), pp. 346-350</w:t>
      </w:r>
    </w:p>
  </w:footnote>
  <w:footnote w:id="59">
    <w:p w14:paraId="58F3088F" w14:textId="77777777" w:rsidR="005E6435" w:rsidRPr="00CB770C" w:rsidRDefault="005E6435" w:rsidP="00415272">
      <w:pPr>
        <w:pStyle w:val="FootnoteText"/>
        <w:jc w:val="left"/>
        <w:rPr>
          <w:lang w:val="en-US"/>
        </w:rPr>
      </w:pPr>
      <w:r>
        <w:rPr>
          <w:rStyle w:val="FootnoteReference"/>
        </w:rPr>
        <w:footnoteRef/>
      </w:r>
      <w:r>
        <w:t xml:space="preserve"> </w:t>
      </w:r>
      <w:r w:rsidRPr="00CB770C">
        <w:rPr>
          <w:rStyle w:val="NoSpacingChar"/>
        </w:rPr>
        <w:t xml:space="preserve">A. Grundlingh: ‘Revisiting the ‘Old’ South Africa: Excursions into South Africa’s Tourist History under Apartheid, 1948-1990.’ </w:t>
      </w:r>
      <w:r w:rsidRPr="00415272">
        <w:rPr>
          <w:rStyle w:val="NoSpacingChar"/>
          <w:i/>
        </w:rPr>
        <w:t>South African Historical Journal</w:t>
      </w:r>
      <w:r w:rsidRPr="00CB770C">
        <w:rPr>
          <w:rStyle w:val="NoSpacingChar"/>
        </w:rPr>
        <w:t>, (2009, 56:1), pp. 1</w:t>
      </w:r>
      <w:r>
        <w:rPr>
          <w:rStyle w:val="NoSpacingChar"/>
        </w:rPr>
        <w:t>05-106</w:t>
      </w:r>
      <w:r w:rsidRPr="00CB770C">
        <w:rPr>
          <w:rStyle w:val="NoSpacingChar"/>
        </w:rPr>
        <w:t>.</w:t>
      </w:r>
    </w:p>
  </w:footnote>
  <w:footnote w:id="60">
    <w:p w14:paraId="7E9C3CE6" w14:textId="77777777" w:rsidR="005E6435" w:rsidRPr="00083BC1" w:rsidRDefault="005E6435" w:rsidP="00415272">
      <w:pPr>
        <w:pStyle w:val="FootnoteText"/>
        <w:jc w:val="left"/>
        <w:rPr>
          <w:lang w:val="en-US"/>
        </w:rPr>
      </w:pPr>
      <w:r>
        <w:rPr>
          <w:rStyle w:val="FootnoteReference"/>
        </w:rPr>
        <w:footnoteRef/>
      </w:r>
      <w:r>
        <w:t xml:space="preserve"> </w:t>
      </w:r>
      <w:r>
        <w:rPr>
          <w:rStyle w:val="NoSpacingChar"/>
        </w:rPr>
        <w:t>Rogerson</w:t>
      </w:r>
      <w:r w:rsidRPr="00872C1A">
        <w:rPr>
          <w:rStyle w:val="NoSpacingChar"/>
        </w:rPr>
        <w:t>: ‘Sun International</w:t>
      </w:r>
      <w:r>
        <w:rPr>
          <w:rStyle w:val="NoSpacingChar"/>
        </w:rPr>
        <w:t>’, pp. 346-350</w:t>
      </w:r>
    </w:p>
  </w:footnote>
  <w:footnote w:id="61">
    <w:p w14:paraId="4AD9336C" w14:textId="77777777" w:rsidR="005E6435" w:rsidRPr="00D56BB9" w:rsidRDefault="005E6435" w:rsidP="00415272">
      <w:pPr>
        <w:pStyle w:val="FootnoteText"/>
        <w:jc w:val="left"/>
        <w:rPr>
          <w:lang w:val="en-US"/>
        </w:rPr>
      </w:pPr>
      <w:r>
        <w:rPr>
          <w:rStyle w:val="FootnoteReference"/>
        </w:rPr>
        <w:footnoteRef/>
      </w:r>
      <w:r>
        <w:t xml:space="preserve"> </w:t>
      </w:r>
      <w:r>
        <w:rPr>
          <w:lang w:val="en-US"/>
        </w:rPr>
        <w:t xml:space="preserve">Newco was a company set up in 1983 to aid in the establishment of hotels and casino in territories outside of South Africa. Later, the name was changed to </w:t>
      </w:r>
      <w:r>
        <w:rPr>
          <w:i/>
          <w:lang w:val="en-US"/>
        </w:rPr>
        <w:t xml:space="preserve">Sun International, </w:t>
      </w:r>
      <w:r>
        <w:rPr>
          <w:lang w:val="en-US"/>
        </w:rPr>
        <w:t>with subsidiaries of Sun International for each territory.</w:t>
      </w:r>
    </w:p>
  </w:footnote>
  <w:footnote w:id="62">
    <w:p w14:paraId="0996976C" w14:textId="77777777" w:rsidR="005E6435" w:rsidRPr="00861E63" w:rsidRDefault="005E6435" w:rsidP="00415272">
      <w:pPr>
        <w:pStyle w:val="FootnoteText"/>
        <w:jc w:val="left"/>
        <w:rPr>
          <w:lang w:val="en-US"/>
        </w:rPr>
      </w:pPr>
      <w:r>
        <w:rPr>
          <w:rStyle w:val="FootnoteReference"/>
        </w:rPr>
        <w:footnoteRef/>
      </w:r>
      <w:r>
        <w:t xml:space="preserve"> </w:t>
      </w:r>
      <w:r>
        <w:rPr>
          <w:rStyle w:val="NoSpacingChar"/>
        </w:rPr>
        <w:t>Rogerson</w:t>
      </w:r>
      <w:r w:rsidRPr="00872C1A">
        <w:rPr>
          <w:rStyle w:val="NoSpacingChar"/>
        </w:rPr>
        <w:t>: ‘Sun International</w:t>
      </w:r>
      <w:r>
        <w:rPr>
          <w:rStyle w:val="NoSpacingChar"/>
        </w:rPr>
        <w:t>’</w:t>
      </w:r>
      <w:r w:rsidRPr="00F708CC">
        <w:rPr>
          <w:i/>
        </w:rPr>
        <w:t xml:space="preserve">, </w:t>
      </w:r>
      <w:r w:rsidRPr="00861E63">
        <w:t xml:space="preserve">p. </w:t>
      </w:r>
      <w:r>
        <w:t>34</w:t>
      </w:r>
      <w:r w:rsidRPr="00861E63">
        <w:t>6</w:t>
      </w:r>
      <w:r w:rsidRPr="00F708CC">
        <w:rPr>
          <w:i/>
        </w:rPr>
        <w:t>.</w:t>
      </w:r>
    </w:p>
  </w:footnote>
  <w:footnote w:id="63">
    <w:p w14:paraId="713BADE6" w14:textId="77777777" w:rsidR="005E6435" w:rsidRPr="00861E63" w:rsidRDefault="005E6435" w:rsidP="00415272">
      <w:pPr>
        <w:pStyle w:val="NoSpacing"/>
      </w:pPr>
      <w:r>
        <w:rPr>
          <w:rStyle w:val="FootnoteReference"/>
        </w:rPr>
        <w:footnoteRef/>
      </w:r>
      <w:r>
        <w:t xml:space="preserve"> Anonymous 5: Interviewed by Nicola van der Merwe. </w:t>
      </w:r>
      <w:r>
        <w:rPr>
          <w:lang w:val="en-US"/>
        </w:rPr>
        <w:t>Johannesburg, 4 May 2016.</w:t>
      </w:r>
    </w:p>
  </w:footnote>
  <w:footnote w:id="64">
    <w:p w14:paraId="198B3C14" w14:textId="77777777" w:rsidR="005E6435" w:rsidRPr="001C6C32" w:rsidRDefault="005E6435" w:rsidP="00415272">
      <w:pPr>
        <w:pStyle w:val="FootnoteText"/>
        <w:jc w:val="left"/>
        <w:rPr>
          <w:lang w:val="en-US"/>
        </w:rPr>
      </w:pPr>
      <w:r>
        <w:rPr>
          <w:rStyle w:val="FootnoteReference"/>
        </w:rPr>
        <w:footnoteRef/>
      </w:r>
      <w:r>
        <w:t xml:space="preserve"> </w:t>
      </w:r>
      <w:r>
        <w:rPr>
          <w:lang w:val="en-US"/>
        </w:rPr>
        <w:t xml:space="preserve">Peter Bacon was the managing director of the Sun International subsidiary </w:t>
      </w:r>
      <w:r>
        <w:rPr>
          <w:i/>
          <w:lang w:val="en-US"/>
        </w:rPr>
        <w:t xml:space="preserve">Sun International (Bophuthatswana) </w:t>
      </w:r>
      <w:r>
        <w:rPr>
          <w:lang w:val="en-US"/>
        </w:rPr>
        <w:t>and oversaw the various hotels and casinos in Bophuthatswana. Peter Wagner was also the general manager of Sun City.</w:t>
      </w:r>
    </w:p>
  </w:footnote>
  <w:footnote w:id="65">
    <w:p w14:paraId="0D8C97EC" w14:textId="77777777" w:rsidR="005E6435" w:rsidRPr="00980623" w:rsidRDefault="005E6435" w:rsidP="00415272">
      <w:pPr>
        <w:pStyle w:val="FootnoteText"/>
        <w:jc w:val="left"/>
      </w:pPr>
      <w:r>
        <w:rPr>
          <w:rStyle w:val="FootnoteReference"/>
        </w:rPr>
        <w:footnoteRef/>
      </w:r>
      <w:r>
        <w:t xml:space="preserve"> Tsogo Sun: </w:t>
      </w:r>
      <w:r>
        <w:rPr>
          <w:i/>
        </w:rPr>
        <w:t>About the Company</w:t>
      </w:r>
      <w:r>
        <w:t xml:space="preserve">. [Online] </w:t>
      </w:r>
      <w:hyperlink r:id="rId11" w:history="1">
        <w:r w:rsidRPr="0085644C">
          <w:rPr>
            <w:rStyle w:val="Hyperlink"/>
          </w:rPr>
          <w:t>http://fspinvest.co.za/articles/stocks/about-the-company-tsogo-sun-holdings-ltd-jsetsh-3149.html</w:t>
        </w:r>
      </w:hyperlink>
      <w:r>
        <w:t xml:space="preserve"> (2 March 2015).</w:t>
      </w:r>
    </w:p>
  </w:footnote>
  <w:footnote w:id="66">
    <w:p w14:paraId="65ACE53D" w14:textId="77777777" w:rsidR="005E6435" w:rsidRPr="006E44C2" w:rsidRDefault="005E6435" w:rsidP="006E44C2">
      <w:pPr>
        <w:pStyle w:val="FootnoteText"/>
        <w:jc w:val="left"/>
      </w:pPr>
      <w:r>
        <w:rPr>
          <w:rStyle w:val="FootnoteReference"/>
        </w:rPr>
        <w:footnoteRef/>
      </w:r>
      <w:r>
        <w:t xml:space="preserve"> </w:t>
      </w:r>
      <w:r>
        <w:rPr>
          <w:lang w:val="en-US"/>
        </w:rPr>
        <w:t xml:space="preserve">R. Morgan: </w:t>
      </w:r>
      <w:r>
        <w:rPr>
          <w:i/>
          <w:lang w:val="en-US"/>
        </w:rPr>
        <w:t xml:space="preserve">Sun City: Bophuthatswana Southern Africa. </w:t>
      </w:r>
      <w:r>
        <w:rPr>
          <w:lang w:val="en-US"/>
        </w:rPr>
        <w:t>Sun International, 195, p. 8</w:t>
      </w:r>
    </w:p>
    <w:p w14:paraId="34E35151" w14:textId="77777777" w:rsidR="005E6435" w:rsidRPr="005A0C23" w:rsidRDefault="005E6435" w:rsidP="00415272">
      <w:pPr>
        <w:pStyle w:val="FootnoteText"/>
        <w:jc w:val="left"/>
        <w:rPr>
          <w:lang w:val="en-US"/>
        </w:rPr>
      </w:pPr>
    </w:p>
  </w:footnote>
  <w:footnote w:id="67">
    <w:p w14:paraId="0FB36972" w14:textId="77777777" w:rsidR="005E6435" w:rsidRPr="005A0C23" w:rsidRDefault="005E6435" w:rsidP="00E86F93">
      <w:pPr>
        <w:pStyle w:val="FootnoteText"/>
        <w:rPr>
          <w:lang w:val="en-US"/>
        </w:rPr>
      </w:pPr>
      <w:r>
        <w:rPr>
          <w:rStyle w:val="FootnoteReference"/>
        </w:rPr>
        <w:footnoteRef/>
      </w:r>
      <w:r>
        <w:t xml:space="preserve"> </w:t>
      </w:r>
      <w:r>
        <w:rPr>
          <w:lang w:val="en-US"/>
        </w:rPr>
        <w:t>Anonymous 3: Interviewed by Nicola van der Merwe. Johannesburg, 4 May 2016.</w:t>
      </w:r>
    </w:p>
  </w:footnote>
  <w:footnote w:id="68">
    <w:p w14:paraId="70E0E5CB" w14:textId="77777777" w:rsidR="005E6435" w:rsidRPr="00EB7496" w:rsidRDefault="005E6435" w:rsidP="006D0B95">
      <w:pPr>
        <w:pStyle w:val="FootnoteText"/>
        <w:jc w:val="left"/>
        <w:rPr>
          <w:lang w:val="en-US"/>
        </w:rPr>
      </w:pPr>
      <w:r>
        <w:rPr>
          <w:rStyle w:val="FootnoteReference"/>
        </w:rPr>
        <w:footnoteRef/>
      </w:r>
      <w:r>
        <w:t xml:space="preserve"> </w:t>
      </w:r>
      <w:r>
        <w:rPr>
          <w:lang w:val="en-US"/>
        </w:rPr>
        <w:t xml:space="preserve">J. Pederson (Ed): </w:t>
      </w:r>
      <w:r>
        <w:rPr>
          <w:i/>
          <w:lang w:val="en-US"/>
        </w:rPr>
        <w:t>International Directory of Company Histories</w:t>
      </w:r>
      <w:r>
        <w:rPr>
          <w:lang w:val="en-US"/>
        </w:rPr>
        <w:t xml:space="preserve">. St James Press, New York, 1995, p. 303-310. </w:t>
      </w:r>
    </w:p>
  </w:footnote>
  <w:footnote w:id="69">
    <w:p w14:paraId="7EDCA377" w14:textId="77777777" w:rsidR="005E6435" w:rsidRPr="00415272" w:rsidRDefault="005E6435" w:rsidP="006D0B95">
      <w:pPr>
        <w:pStyle w:val="FootnoteText"/>
        <w:jc w:val="left"/>
        <w:rPr>
          <w:lang w:val="en-US"/>
        </w:rPr>
      </w:pPr>
      <w:r>
        <w:rPr>
          <w:rStyle w:val="FootnoteReference"/>
        </w:rPr>
        <w:footnoteRef/>
      </w:r>
      <w:r>
        <w:t xml:space="preserve"> NASA, BTS, 1/230/3/2</w:t>
      </w:r>
      <w:r w:rsidRPr="00415272">
        <w:t xml:space="preserve">: ‘Meeting Minutes: State Tender Board.’ 1984-1985. </w:t>
      </w:r>
    </w:p>
  </w:footnote>
  <w:footnote w:id="70">
    <w:p w14:paraId="7177FCD8" w14:textId="77777777" w:rsidR="005E6435" w:rsidRPr="00415272" w:rsidRDefault="005E6435" w:rsidP="006D0B95">
      <w:pPr>
        <w:pStyle w:val="FootnoteText"/>
        <w:jc w:val="left"/>
      </w:pPr>
      <w:r w:rsidRPr="00415272">
        <w:rPr>
          <w:rStyle w:val="FootnoteReference"/>
        </w:rPr>
        <w:footnoteRef/>
      </w:r>
      <w:r w:rsidRPr="00415272">
        <w:t xml:space="preserve"> </w:t>
      </w:r>
      <w:r>
        <w:t>NASA, BTS, 1/230/3/2:</w:t>
      </w:r>
      <w:r w:rsidRPr="00415272">
        <w:t xml:space="preserve"> ‘Meeting Minutes, Pretoria.’ 1984-1985. </w:t>
      </w:r>
    </w:p>
  </w:footnote>
  <w:footnote w:id="71">
    <w:p w14:paraId="232BEAF9" w14:textId="77777777" w:rsidR="005E6435" w:rsidRDefault="005E6435" w:rsidP="006D0B95">
      <w:pPr>
        <w:pStyle w:val="FootnoteText"/>
        <w:jc w:val="left"/>
      </w:pPr>
      <w:r w:rsidRPr="00415272">
        <w:rPr>
          <w:rStyle w:val="FootnoteReference"/>
        </w:rPr>
        <w:footnoteRef/>
      </w:r>
      <w:r w:rsidRPr="00415272">
        <w:t xml:space="preserve"> </w:t>
      </w:r>
      <w:r>
        <w:t>NASA, BTS, 1/230/3/2</w:t>
      </w:r>
      <w:r w:rsidRPr="00415272">
        <w:t xml:space="preserve">: ‘Meeting Minutes: State Tender Board.’ 1984-1985. </w:t>
      </w:r>
    </w:p>
  </w:footnote>
  <w:footnote w:id="72">
    <w:p w14:paraId="66E219B6" w14:textId="77777777" w:rsidR="005E6435" w:rsidRPr="006D0B95" w:rsidRDefault="005E6435" w:rsidP="006D0B95">
      <w:pPr>
        <w:pStyle w:val="FootnoteText"/>
        <w:jc w:val="left"/>
      </w:pPr>
      <w:r w:rsidRPr="006D0B95">
        <w:rPr>
          <w:rStyle w:val="FootnoteReference"/>
        </w:rPr>
        <w:footnoteRef/>
      </w:r>
      <w:r w:rsidRPr="006D0B95">
        <w:t xml:space="preserve"> NASA</w:t>
      </w:r>
      <w:r>
        <w:t>, BTS, 1/230/3/2:</w:t>
      </w:r>
      <w:r w:rsidRPr="006D0B95">
        <w:t xml:space="preserve"> ‘Meeting Minutes: between South Africa, Bophuthatswana and Botswana rounds 1-</w:t>
      </w:r>
      <w:r>
        <w:t>3</w:t>
      </w:r>
      <w:r w:rsidRPr="006D0B95">
        <w:t xml:space="preserve">.’ 1984-1985. </w:t>
      </w:r>
    </w:p>
  </w:footnote>
  <w:footnote w:id="73">
    <w:p w14:paraId="0B01515C" w14:textId="77777777" w:rsidR="005E6435" w:rsidRPr="006D0B95" w:rsidRDefault="005E6435" w:rsidP="006D0B95">
      <w:pPr>
        <w:pStyle w:val="FootnoteText"/>
        <w:jc w:val="left"/>
      </w:pPr>
      <w:r w:rsidRPr="006D0B95">
        <w:rPr>
          <w:rStyle w:val="FootnoteReference"/>
        </w:rPr>
        <w:footnoteRef/>
      </w:r>
      <w:r w:rsidRPr="006D0B95">
        <w:t xml:space="preserve"> Unknown: ‘Botswana expects homeland problem.’ </w:t>
      </w:r>
      <w:r w:rsidRPr="006D0B95">
        <w:rPr>
          <w:i/>
        </w:rPr>
        <w:t xml:space="preserve">The Star, </w:t>
      </w:r>
      <w:r w:rsidRPr="006D0B95">
        <w:t xml:space="preserve">13 October 1977. </w:t>
      </w:r>
    </w:p>
  </w:footnote>
  <w:footnote w:id="74">
    <w:p w14:paraId="4C9ADBA9" w14:textId="77777777" w:rsidR="005E6435" w:rsidRDefault="005E6435" w:rsidP="006D0B95">
      <w:pPr>
        <w:pStyle w:val="FootnoteText"/>
        <w:jc w:val="left"/>
      </w:pPr>
      <w:r w:rsidRPr="006D0B95">
        <w:rPr>
          <w:rStyle w:val="FootnoteReference"/>
        </w:rPr>
        <w:footnoteRef/>
      </w:r>
      <w:r w:rsidRPr="006D0B95">
        <w:t xml:space="preserve"> </w:t>
      </w:r>
      <w:r>
        <w:t>NASA</w:t>
      </w:r>
      <w:r w:rsidRPr="006D0B95">
        <w:t>, BTS, 1/230/3/2</w:t>
      </w:r>
      <w:r>
        <w:t>:</w:t>
      </w:r>
      <w:r w:rsidRPr="006D0B95">
        <w:t xml:space="preserve"> ‘Agreement between South Africa and Bophuthatswana: Health Services and </w:t>
      </w:r>
      <w:r>
        <w:t xml:space="preserve">Maintenance of Standards.’ 1977. </w:t>
      </w:r>
      <w:r w:rsidRPr="006D0B95">
        <w:t>;</w:t>
      </w:r>
      <w:r>
        <w:t xml:space="preserve"> NASA, BTS, 1/230/3/2</w:t>
      </w:r>
      <w:r w:rsidRPr="006D0B95">
        <w:t xml:space="preserve">: ‘Agreement between South Africa and Bophuthatswana: Employment of Bophuthatswana Citizens in South Africa and the Employment of South African Citizens in Bophuthatswana’ 1977. </w:t>
      </w:r>
    </w:p>
  </w:footnote>
  <w:footnote w:id="75">
    <w:p w14:paraId="6BE9C6CC" w14:textId="77777777" w:rsidR="005E6435" w:rsidRPr="006D0B95" w:rsidRDefault="005E6435" w:rsidP="006D0B95">
      <w:pPr>
        <w:pStyle w:val="FootnoteText"/>
        <w:jc w:val="left"/>
      </w:pPr>
      <w:r>
        <w:rPr>
          <w:rStyle w:val="FootnoteReference"/>
        </w:rPr>
        <w:footnoteRef/>
      </w:r>
      <w:r>
        <w:t xml:space="preserve"> </w:t>
      </w:r>
      <w:r w:rsidRPr="006D0B95">
        <w:t>NASA, BTS, 1/230/3/2: ‘Agreements between South Africa and Bophuthatswana: Mining Rights and Prospecting.’ 1977-1986.</w:t>
      </w:r>
    </w:p>
  </w:footnote>
  <w:footnote w:id="76">
    <w:p w14:paraId="027C693D" w14:textId="77777777" w:rsidR="005E6435" w:rsidRPr="006D0B95" w:rsidRDefault="005E6435" w:rsidP="006D0B95">
      <w:pPr>
        <w:pStyle w:val="FootnoteText"/>
        <w:jc w:val="left"/>
      </w:pPr>
      <w:r w:rsidRPr="006D0B95">
        <w:rPr>
          <w:rStyle w:val="FootnoteReference"/>
        </w:rPr>
        <w:footnoteRef/>
      </w:r>
      <w:r w:rsidRPr="006D0B95">
        <w:t xml:space="preserve"> NASA, BTS, 1/230/3/2: ‘Agreement between South Africa and Bophuthatswana: Employment of Bophuthatswana Citizens in South Africa and the Employment of South African C</w:t>
      </w:r>
      <w:r>
        <w:t>itizens in Bophuthatswana’ 1977</w:t>
      </w:r>
      <w:r w:rsidRPr="006D0B95">
        <w:t xml:space="preserve">; NASA, BTS, 1/230/3/: ‘Bophuthatswana: Independence, Proposed Agreement Concerning the Employment of Citizens.’ 4 October 1977. </w:t>
      </w:r>
    </w:p>
  </w:footnote>
  <w:footnote w:id="77">
    <w:p w14:paraId="79DDF6A3" w14:textId="77777777" w:rsidR="005E6435" w:rsidRPr="00116DC6" w:rsidRDefault="005E6435" w:rsidP="006D0B95">
      <w:pPr>
        <w:pStyle w:val="FootnoteText"/>
        <w:jc w:val="left"/>
        <w:rPr>
          <w:highlight w:val="cyan"/>
        </w:rPr>
      </w:pPr>
      <w:r w:rsidRPr="006D0B95">
        <w:rPr>
          <w:rStyle w:val="FootnoteReference"/>
        </w:rPr>
        <w:footnoteRef/>
      </w:r>
      <w:r w:rsidRPr="006D0B95">
        <w:t xml:space="preserve"> NASA</w:t>
      </w:r>
      <w:r>
        <w:t>, BTS,</w:t>
      </w:r>
      <w:r w:rsidRPr="006D0B95">
        <w:t xml:space="preserve"> 1/230/3/2a: ‘Agreement between South Africa and Bophuthatswana: Economic Development.’ 1977. </w:t>
      </w:r>
    </w:p>
  </w:footnote>
  <w:footnote w:id="78">
    <w:p w14:paraId="534BD53C" w14:textId="77777777" w:rsidR="005E6435" w:rsidRPr="009A42D6" w:rsidRDefault="005E6435" w:rsidP="00192471">
      <w:pPr>
        <w:pStyle w:val="FootnoteText"/>
        <w:jc w:val="left"/>
        <w:rPr>
          <w:lang w:val="en-US"/>
        </w:rPr>
      </w:pPr>
      <w:r w:rsidRPr="006D0B95">
        <w:rPr>
          <w:rStyle w:val="FootnoteReference"/>
        </w:rPr>
        <w:footnoteRef/>
      </w:r>
      <w:r w:rsidRPr="006D0B95">
        <w:t xml:space="preserve"> NASA, SON, D1/6/3/4/57: ‘Casinowetsonwerp 1977: U1/2 vqn 20 Oktober 1977.’ 20 October 1977. </w:t>
      </w:r>
    </w:p>
  </w:footnote>
  <w:footnote w:id="79">
    <w:p w14:paraId="1F403FAE" w14:textId="77777777" w:rsidR="005E6435" w:rsidRDefault="005E6435" w:rsidP="00192471">
      <w:pPr>
        <w:pStyle w:val="FootnoteText"/>
        <w:jc w:val="left"/>
      </w:pPr>
      <w:r>
        <w:rPr>
          <w:rStyle w:val="FootnoteReference"/>
        </w:rPr>
        <w:footnoteRef/>
      </w:r>
      <w:r>
        <w:t xml:space="preserve"> North-West Provincial Archives, Bophuthatswana Papers, Office of the President, 4.5.90: ‘Sol Kerzner letter to Lucas Mangope.’. </w:t>
      </w:r>
    </w:p>
  </w:footnote>
  <w:footnote w:id="80">
    <w:p w14:paraId="7ED7CABA" w14:textId="77777777" w:rsidR="005E6435" w:rsidRDefault="005E6435" w:rsidP="00192471">
      <w:pPr>
        <w:pStyle w:val="FootnoteText"/>
        <w:jc w:val="left"/>
      </w:pPr>
      <w:r>
        <w:rPr>
          <w:rStyle w:val="FootnoteReference"/>
        </w:rPr>
        <w:footnoteRef/>
      </w:r>
      <w:r>
        <w:t xml:space="preserve"> Unknown: ‘A lesson from</w:t>
      </w:r>
    </w:p>
    <w:p w14:paraId="37893D94" w14:textId="77777777" w:rsidR="005E6435" w:rsidRDefault="005E6435" w:rsidP="00192471">
      <w:pPr>
        <w:pStyle w:val="FootnoteText"/>
        <w:jc w:val="left"/>
      </w:pPr>
      <w:r>
        <w:t xml:space="preserve"> Sol: it’s OK if it’s over the Kei.’ </w:t>
      </w:r>
    </w:p>
  </w:footnote>
  <w:footnote w:id="81">
    <w:p w14:paraId="270C21EC" w14:textId="77777777" w:rsidR="005E6435" w:rsidRDefault="005E6435" w:rsidP="00CD4878">
      <w:pPr>
        <w:pStyle w:val="FootnoteText"/>
      </w:pPr>
      <w:r>
        <w:rPr>
          <w:rStyle w:val="FootnoteReference"/>
        </w:rPr>
        <w:footnoteRef/>
      </w:r>
      <w:r>
        <w:t xml:space="preserve"> Anonymous 1: Interviewed by Nicola van der Merwe.</w:t>
      </w:r>
    </w:p>
  </w:footnote>
  <w:footnote w:id="82">
    <w:p w14:paraId="177E1555" w14:textId="77777777" w:rsidR="005E6435" w:rsidRDefault="005E6435" w:rsidP="00CD4878">
      <w:pPr>
        <w:pStyle w:val="FootnoteText"/>
      </w:pPr>
      <w:r>
        <w:rPr>
          <w:rStyle w:val="FootnoteReference"/>
        </w:rPr>
        <w:footnoteRef/>
      </w:r>
      <w:r>
        <w:t xml:space="preserve"> Chipkin: </w:t>
      </w:r>
      <w:r w:rsidRPr="00661158">
        <w:rPr>
          <w:i/>
        </w:rPr>
        <w:t>Johannesburg Transition</w:t>
      </w:r>
      <w:r>
        <w:t xml:space="preserve">, pp. 278-279. </w:t>
      </w:r>
    </w:p>
  </w:footnote>
  <w:footnote w:id="83">
    <w:p w14:paraId="5B051300" w14:textId="77777777" w:rsidR="005E6435" w:rsidRPr="00D56BB9" w:rsidRDefault="005E6435" w:rsidP="00CD4878">
      <w:pPr>
        <w:pStyle w:val="FootnoteText"/>
      </w:pPr>
      <w:r>
        <w:rPr>
          <w:rStyle w:val="FootnoteReference"/>
        </w:rPr>
        <w:footnoteRef/>
      </w:r>
      <w:r>
        <w:t xml:space="preserve"> Unknown: ‘A lesson from Sol: it’s OK if it’s over the Kei.’</w:t>
      </w:r>
    </w:p>
  </w:footnote>
  <w:footnote w:id="84">
    <w:p w14:paraId="6CB6DEE2" w14:textId="77777777" w:rsidR="005E6435" w:rsidRDefault="005E6435" w:rsidP="00192471">
      <w:pPr>
        <w:pStyle w:val="NoSpacing"/>
      </w:pPr>
      <w:r>
        <w:rPr>
          <w:rStyle w:val="FootnoteReference"/>
        </w:rPr>
        <w:footnoteRef/>
      </w:r>
      <w:r>
        <w:t xml:space="preserve"> </w:t>
      </w:r>
      <w:r w:rsidRPr="00727CC1">
        <w:t xml:space="preserve">North-West Provincial Archives, </w:t>
      </w:r>
      <w:r>
        <w:t>Bophuthatswana Papers, Office of the President</w:t>
      </w:r>
      <w:r w:rsidRPr="00727CC1">
        <w:t xml:space="preserve">, 4.5.90. 13: </w:t>
      </w:r>
      <w:r w:rsidRPr="00727CC1">
        <w:rPr>
          <w:i/>
        </w:rPr>
        <w:t>Legal Agreement between the Government of Bophuthatswana and Southern Sun Hotel Holdings (Proprietary) Limited</w:t>
      </w:r>
      <w:r w:rsidRPr="00727CC1">
        <w:t xml:space="preserve">, December 1976, pp. 1-2. </w:t>
      </w:r>
    </w:p>
  </w:footnote>
  <w:footnote w:id="85">
    <w:p w14:paraId="3E9175EB" w14:textId="77777777" w:rsidR="005E6435" w:rsidRPr="00286D2D" w:rsidRDefault="005E6435" w:rsidP="00192471">
      <w:pPr>
        <w:pStyle w:val="FootnoteText"/>
        <w:jc w:val="left"/>
        <w:rPr>
          <w:lang w:val="en-US"/>
        </w:rPr>
      </w:pPr>
      <w:r>
        <w:rPr>
          <w:rStyle w:val="FootnoteReference"/>
        </w:rPr>
        <w:footnoteRef/>
      </w:r>
      <w:r>
        <w:t xml:space="preserve"> P.S. Jones: ‘From ‘Nationhood’ to Regionalism to the North-West Province: ‘Bophuthatswananess’ and the Birth of the ‘New’ South Africa.’ </w:t>
      </w:r>
      <w:r>
        <w:rPr>
          <w:i/>
        </w:rPr>
        <w:t xml:space="preserve">African Affairs, </w:t>
      </w:r>
      <w:r>
        <w:t>(1999. 98:393), p. 533.</w:t>
      </w:r>
    </w:p>
  </w:footnote>
  <w:footnote w:id="86">
    <w:p w14:paraId="6D658EE9" w14:textId="77777777" w:rsidR="005E6435" w:rsidRPr="00C16453" w:rsidRDefault="005E6435" w:rsidP="00192471">
      <w:pPr>
        <w:pStyle w:val="FootnoteText"/>
        <w:jc w:val="left"/>
      </w:pPr>
      <w:r>
        <w:rPr>
          <w:rStyle w:val="FootnoteReference"/>
        </w:rPr>
        <w:footnoteRef/>
      </w:r>
      <w:r>
        <w:t xml:space="preserve"> </w:t>
      </w:r>
      <w:r>
        <w:rPr>
          <w:i/>
        </w:rPr>
        <w:t>Ibid,</w:t>
      </w:r>
      <w:r w:rsidRPr="00116DC6">
        <w:rPr>
          <w:i/>
        </w:rPr>
        <w:t xml:space="preserve"> </w:t>
      </w:r>
      <w:r w:rsidRPr="00116DC6">
        <w:t>pp. 509-534.</w:t>
      </w:r>
    </w:p>
  </w:footnote>
  <w:footnote w:id="87">
    <w:p w14:paraId="6C2878FA" w14:textId="77777777" w:rsidR="005E6435" w:rsidRPr="001160FC" w:rsidRDefault="005E6435" w:rsidP="00192471">
      <w:pPr>
        <w:pStyle w:val="FootnoteText"/>
        <w:jc w:val="left"/>
        <w:rPr>
          <w:lang w:val="en-US"/>
        </w:rPr>
      </w:pPr>
      <w:r>
        <w:rPr>
          <w:rStyle w:val="FootnoteReference"/>
        </w:rPr>
        <w:footnoteRef/>
      </w:r>
      <w:r>
        <w:t xml:space="preserve"> M. Lawrence</w:t>
      </w:r>
      <w:r w:rsidRPr="006D618C">
        <w:t xml:space="preserve"> &amp; </w:t>
      </w:r>
      <w:r>
        <w:t>A. Manson: ‘“The ‘Dog of the Boers”</w:t>
      </w:r>
      <w:r w:rsidRPr="006D618C">
        <w:t xml:space="preserve">: The Rise and Fall of Mangope in Bophuthatswana. </w:t>
      </w:r>
      <w:r w:rsidRPr="006D618C">
        <w:rPr>
          <w:i/>
        </w:rPr>
        <w:t>Jour</w:t>
      </w:r>
      <w:r>
        <w:rPr>
          <w:i/>
        </w:rPr>
        <w:t>nal of Southern African Studies</w:t>
      </w:r>
      <w:r>
        <w:t>.</w:t>
      </w:r>
      <w:r w:rsidRPr="00727CC1">
        <w:t>’</w:t>
      </w:r>
      <w:r w:rsidRPr="006D618C">
        <w:rPr>
          <w:i/>
        </w:rPr>
        <w:t xml:space="preserve"> </w:t>
      </w:r>
      <w:r>
        <w:t>(1994, 20:3), p. 450.</w:t>
      </w:r>
    </w:p>
  </w:footnote>
  <w:footnote w:id="88">
    <w:p w14:paraId="67B6043B" w14:textId="77777777" w:rsidR="005E6435" w:rsidRPr="00192471" w:rsidRDefault="005E6435" w:rsidP="00CD4878">
      <w:pPr>
        <w:pStyle w:val="FootnoteText"/>
        <w:rPr>
          <w:lang w:val="en-US"/>
        </w:rPr>
      </w:pPr>
      <w:r>
        <w:rPr>
          <w:rStyle w:val="FootnoteReference"/>
        </w:rPr>
        <w:footnoteRef/>
      </w:r>
      <w:r>
        <w:t xml:space="preserve"> </w:t>
      </w:r>
      <w:r w:rsidRPr="00192471">
        <w:t>North-West Provincial Archives, Bophuthatswana Papers, Office of the President, 4.5.90.</w:t>
      </w:r>
      <w:r>
        <w:t xml:space="preserve"> </w:t>
      </w:r>
      <w:r w:rsidRPr="00192471">
        <w:t xml:space="preserve">Southern Sun: </w:t>
      </w:r>
      <w:r w:rsidRPr="00192471">
        <w:rPr>
          <w:i/>
        </w:rPr>
        <w:t xml:space="preserve">Tourism Development in Bophuthatswana, </w:t>
      </w:r>
      <w:r w:rsidRPr="00192471">
        <w:t xml:space="preserve">May 1976. </w:t>
      </w:r>
    </w:p>
  </w:footnote>
  <w:footnote w:id="89">
    <w:p w14:paraId="4CCD3D8D" w14:textId="77777777" w:rsidR="005E6435" w:rsidRPr="00CE2992" w:rsidRDefault="005E6435" w:rsidP="00CD4878">
      <w:pPr>
        <w:pStyle w:val="FootnoteText"/>
      </w:pPr>
      <w:r w:rsidRPr="00192471">
        <w:rPr>
          <w:rStyle w:val="FootnoteReference"/>
        </w:rPr>
        <w:footnoteRef/>
      </w:r>
      <w:r w:rsidRPr="00192471">
        <w:t xml:space="preserve"> </w:t>
      </w:r>
      <w:r w:rsidRPr="00192471">
        <w:rPr>
          <w:i/>
        </w:rPr>
        <w:t>Ibid</w:t>
      </w:r>
      <w:r w:rsidRPr="00192471">
        <w:t>, pp. 1-5.</w:t>
      </w:r>
    </w:p>
  </w:footnote>
  <w:footnote w:id="90">
    <w:p w14:paraId="78BF1632" w14:textId="77777777" w:rsidR="005E6435" w:rsidRPr="00192471" w:rsidRDefault="005E6435" w:rsidP="00CD4878">
      <w:pPr>
        <w:pStyle w:val="NoSpacing"/>
      </w:pPr>
      <w:r>
        <w:rPr>
          <w:rStyle w:val="FootnoteReference"/>
        </w:rPr>
        <w:footnoteRef/>
      </w:r>
      <w:r>
        <w:t xml:space="preserve"> </w:t>
      </w:r>
      <w:r w:rsidRPr="00192471">
        <w:t xml:space="preserve">Southern Sun: </w:t>
      </w:r>
      <w:r w:rsidRPr="00192471">
        <w:rPr>
          <w:i/>
        </w:rPr>
        <w:t>Tourism Developm</w:t>
      </w:r>
      <w:r>
        <w:rPr>
          <w:i/>
        </w:rPr>
        <w:t>ent in Bophuthatswana</w:t>
      </w:r>
      <w:r w:rsidRPr="00192471">
        <w:t>, pp</w:t>
      </w:r>
      <w:r w:rsidRPr="00192471">
        <w:rPr>
          <w:rStyle w:val="NoSpacingChar"/>
        </w:rPr>
        <w:t xml:space="preserve">. 7-15. </w:t>
      </w:r>
    </w:p>
  </w:footnote>
  <w:footnote w:id="91">
    <w:p w14:paraId="55C38369" w14:textId="77777777" w:rsidR="005E6435" w:rsidRDefault="005E6435" w:rsidP="00CD4878">
      <w:pPr>
        <w:pStyle w:val="FootnoteText"/>
      </w:pPr>
      <w:r w:rsidRPr="00192471">
        <w:rPr>
          <w:rStyle w:val="FootnoteReference"/>
        </w:rPr>
        <w:footnoteRef/>
      </w:r>
      <w:r w:rsidRPr="00192471">
        <w:t xml:space="preserve"> </w:t>
      </w:r>
      <w:r w:rsidRPr="00727CC1">
        <w:t xml:space="preserve">North-West Provincial Archives, </w:t>
      </w:r>
      <w:r>
        <w:t>Bophuthatswana Papers, Office of the President</w:t>
      </w:r>
      <w:r w:rsidRPr="00727CC1">
        <w:t>, 4.5.90. 13</w:t>
      </w:r>
      <w:r>
        <w:t xml:space="preserve">: </w:t>
      </w:r>
      <w:r w:rsidRPr="00192471">
        <w:rPr>
          <w:i/>
        </w:rPr>
        <w:t>Heads of Agreement between the Government of Bophuthatswana and Southern Sun Hotel Holdings (Proprietary) Limited</w:t>
      </w:r>
      <w:r w:rsidRPr="00192471">
        <w:t>. 13 December 1976, pp. 3-10.</w:t>
      </w:r>
      <w:r>
        <w:t xml:space="preserve"> </w:t>
      </w:r>
    </w:p>
  </w:footnote>
  <w:footnote w:id="92">
    <w:p w14:paraId="489527BD" w14:textId="77777777" w:rsidR="005E6435" w:rsidRDefault="005E6435" w:rsidP="00CD4878">
      <w:pPr>
        <w:pStyle w:val="NoSpacing"/>
      </w:pPr>
      <w:r>
        <w:rPr>
          <w:rStyle w:val="FootnoteReference"/>
        </w:rPr>
        <w:footnoteRef/>
      </w:r>
      <w:r>
        <w:t xml:space="preserve"> </w:t>
      </w:r>
      <w:r w:rsidRPr="00727CC1">
        <w:t xml:space="preserve">North-West Provincial Archives, </w:t>
      </w:r>
      <w:r>
        <w:t>Bophuthatswana Papers, Office of the President</w:t>
      </w:r>
      <w:r w:rsidRPr="00727CC1">
        <w:t>, 4.5.90. 13</w:t>
      </w:r>
      <w:r>
        <w:t xml:space="preserve">: </w:t>
      </w:r>
      <w:r w:rsidRPr="00192471">
        <w:rPr>
          <w:i/>
        </w:rPr>
        <w:t>Barclays National Bank Limited</w:t>
      </w:r>
      <w:r>
        <w:t xml:space="preserve">: </w:t>
      </w:r>
      <w:r w:rsidRPr="00DB5D4A">
        <w:rPr>
          <w:i/>
        </w:rPr>
        <w:t>Bophuthatswana: An Economic Survey and Businessman’s Guide</w:t>
      </w:r>
      <w:r>
        <w:t xml:space="preserve">. 1980, p. 12. </w:t>
      </w:r>
    </w:p>
  </w:footnote>
  <w:footnote w:id="93">
    <w:p w14:paraId="1D225A46" w14:textId="77777777" w:rsidR="005E6435" w:rsidRPr="00BF0AB3" w:rsidRDefault="005E6435" w:rsidP="00CD4878">
      <w:pPr>
        <w:pStyle w:val="FootnoteText"/>
        <w:rPr>
          <w:lang w:val="en-US"/>
        </w:rPr>
      </w:pPr>
      <w:r>
        <w:rPr>
          <w:rStyle w:val="FootnoteReference"/>
        </w:rPr>
        <w:footnoteRef/>
      </w:r>
      <w:r>
        <w:t xml:space="preserve"> </w:t>
      </w:r>
      <w:r>
        <w:rPr>
          <w:lang w:val="en-US"/>
        </w:rPr>
        <w:t xml:space="preserve">H. van Vuuren: ‘Apartheid Grand Corruption: Assessing the scale of crimes of profit in South Africa from 1976 to 1994.’ </w:t>
      </w:r>
      <w:r>
        <w:rPr>
          <w:i/>
          <w:lang w:val="en-US"/>
        </w:rPr>
        <w:t xml:space="preserve">Institute for Security Studies. </w:t>
      </w:r>
      <w:r>
        <w:rPr>
          <w:lang w:val="en-US"/>
        </w:rPr>
        <w:t>May 2006, pp. 81-82.</w:t>
      </w:r>
    </w:p>
  </w:footnote>
  <w:footnote w:id="94">
    <w:p w14:paraId="49EDF663" w14:textId="77777777" w:rsidR="005E6435" w:rsidRDefault="005E6435" w:rsidP="00CD4878">
      <w:pPr>
        <w:pStyle w:val="NoSpacing"/>
      </w:pPr>
      <w:r>
        <w:rPr>
          <w:rStyle w:val="FootnoteReference"/>
        </w:rPr>
        <w:footnoteRef/>
      </w:r>
      <w:r>
        <w:t xml:space="preserve"> P. Collins: </w:t>
      </w:r>
      <w:r>
        <w:rPr>
          <w:i/>
        </w:rPr>
        <w:t>Gambling and the Public Interest.</w:t>
      </w:r>
      <w:r>
        <w:t xml:space="preserve"> Praeger Publishers, Westport, 2003, p.3. </w:t>
      </w:r>
    </w:p>
  </w:footnote>
  <w:footnote w:id="95">
    <w:p w14:paraId="49120E54" w14:textId="77777777" w:rsidR="005E6435" w:rsidRDefault="005E6435" w:rsidP="00CD4878">
      <w:pPr>
        <w:pStyle w:val="FootnoteText"/>
      </w:pPr>
      <w:r>
        <w:rPr>
          <w:rStyle w:val="FootnoteReference"/>
        </w:rPr>
        <w:footnoteRef/>
      </w:r>
      <w:r>
        <w:t xml:space="preserve"> Southern Sun: </w:t>
      </w:r>
      <w:r>
        <w:rPr>
          <w:i/>
        </w:rPr>
        <w:t>Tourism Development in Bophuthatswana</w:t>
      </w:r>
      <w:r>
        <w:t xml:space="preserve">, pp. 5-8. </w:t>
      </w:r>
    </w:p>
  </w:footnote>
  <w:footnote w:id="96">
    <w:p w14:paraId="54BC889A" w14:textId="77777777" w:rsidR="005E6435" w:rsidRDefault="005E6435" w:rsidP="00CD4878">
      <w:pPr>
        <w:pStyle w:val="FootnoteText"/>
      </w:pPr>
      <w:r>
        <w:rPr>
          <w:rStyle w:val="FootnoteReference"/>
        </w:rPr>
        <w:footnoteRef/>
      </w:r>
      <w:r>
        <w:t xml:space="preserve"> Chipkin</w:t>
      </w:r>
      <w:r w:rsidRPr="004B60DE">
        <w:rPr>
          <w:i/>
        </w:rPr>
        <w:t>: Johannesburg Transition</w:t>
      </w:r>
      <w:r>
        <w:t xml:space="preserve">, p. 278. </w:t>
      </w:r>
    </w:p>
  </w:footnote>
  <w:footnote w:id="97">
    <w:p w14:paraId="5FD15ED9" w14:textId="77777777" w:rsidR="005E6435" w:rsidRDefault="005E6435" w:rsidP="00192471">
      <w:pPr>
        <w:pStyle w:val="FootnoteText"/>
        <w:jc w:val="left"/>
      </w:pPr>
      <w:r>
        <w:rPr>
          <w:rStyle w:val="FootnoteReference"/>
        </w:rPr>
        <w:footnoteRef/>
      </w:r>
      <w:r>
        <w:t xml:space="preserve"> Southern Sun: </w:t>
      </w:r>
      <w:r>
        <w:rPr>
          <w:i/>
        </w:rPr>
        <w:t>Tourism Development in Bophuthatswana</w:t>
      </w:r>
      <w:r>
        <w:t xml:space="preserve">, pp. 5-8. </w:t>
      </w:r>
    </w:p>
  </w:footnote>
  <w:footnote w:id="98">
    <w:p w14:paraId="7E30A20A" w14:textId="77777777" w:rsidR="005E6435" w:rsidRDefault="005E6435" w:rsidP="00192471">
      <w:pPr>
        <w:pStyle w:val="NoSpacing"/>
      </w:pPr>
      <w:r>
        <w:rPr>
          <w:rStyle w:val="FootnoteReference"/>
        </w:rPr>
        <w:footnoteRef/>
      </w:r>
      <w:r>
        <w:t xml:space="preserve"> </w:t>
      </w:r>
      <w:r w:rsidRPr="00727CC1">
        <w:t xml:space="preserve">North-West Provincial Archives, </w:t>
      </w:r>
      <w:r>
        <w:t>Bophuthatswana Papers, Office of the President</w:t>
      </w:r>
      <w:r w:rsidRPr="00727CC1">
        <w:t>, 4.5.90. 13</w:t>
      </w:r>
      <w:r>
        <w:t xml:space="preserve">: </w:t>
      </w:r>
      <w:r w:rsidRPr="00192471">
        <w:rPr>
          <w:i/>
        </w:rPr>
        <w:t>Potential Spending Power of Southern Sun Hotels</w:t>
      </w:r>
      <w:r w:rsidRPr="00192471">
        <w:t>, p. 2.</w:t>
      </w:r>
      <w:r>
        <w:t xml:space="preserve"> </w:t>
      </w:r>
    </w:p>
  </w:footnote>
  <w:footnote w:id="99">
    <w:p w14:paraId="2AC55976" w14:textId="77777777" w:rsidR="005E6435" w:rsidRPr="003A2509" w:rsidRDefault="005E6435" w:rsidP="00192471">
      <w:pPr>
        <w:pStyle w:val="FootnoteText"/>
        <w:jc w:val="left"/>
        <w:rPr>
          <w:lang w:val="en-US"/>
        </w:rPr>
      </w:pPr>
      <w:r>
        <w:rPr>
          <w:rStyle w:val="FootnoteReference"/>
        </w:rPr>
        <w:footnoteRef/>
      </w:r>
      <w:r>
        <w:t xml:space="preserve"> </w:t>
      </w:r>
      <w:r>
        <w:rPr>
          <w:lang w:val="en-ZA"/>
        </w:rPr>
        <w:t xml:space="preserve">Anonymous 1: Interviewed by Nicola van der Merwe. </w:t>
      </w:r>
    </w:p>
  </w:footnote>
  <w:footnote w:id="100">
    <w:p w14:paraId="7005D935" w14:textId="77777777" w:rsidR="005E6435" w:rsidRDefault="005E6435" w:rsidP="00192471">
      <w:pPr>
        <w:pStyle w:val="FootnoteText"/>
        <w:jc w:val="left"/>
      </w:pPr>
      <w:r>
        <w:rPr>
          <w:rStyle w:val="FootnoteReference"/>
        </w:rPr>
        <w:footnoteRef/>
      </w:r>
      <w:r>
        <w:t xml:space="preserve"> Mnet: ‘My Story: Solomon Kerzner’ </w:t>
      </w:r>
    </w:p>
  </w:footnote>
  <w:footnote w:id="101">
    <w:p w14:paraId="2B6AC230" w14:textId="77777777" w:rsidR="005E6435" w:rsidRPr="003A2509" w:rsidRDefault="005E6435" w:rsidP="00192471">
      <w:pPr>
        <w:pStyle w:val="FootnoteText"/>
        <w:jc w:val="left"/>
        <w:rPr>
          <w:lang w:val="en-US"/>
        </w:rPr>
      </w:pPr>
      <w:r>
        <w:rPr>
          <w:rStyle w:val="FootnoteReference"/>
        </w:rPr>
        <w:footnoteRef/>
      </w:r>
      <w:r>
        <w:t xml:space="preserve"> </w:t>
      </w:r>
      <w:r>
        <w:rPr>
          <w:lang w:val="en-ZA"/>
        </w:rPr>
        <w:t xml:space="preserve">Anonymous 1: Interviewed by Nicola van der Merwe. </w:t>
      </w:r>
    </w:p>
  </w:footnote>
  <w:footnote w:id="102">
    <w:p w14:paraId="39A86FB3" w14:textId="77777777" w:rsidR="005E6435" w:rsidRDefault="005E6435" w:rsidP="00CD4878">
      <w:pPr>
        <w:pStyle w:val="NoSpacing"/>
      </w:pPr>
      <w:r>
        <w:rPr>
          <w:rStyle w:val="FootnoteReference"/>
        </w:rPr>
        <w:footnoteRef/>
      </w:r>
      <w:r>
        <w:t xml:space="preserve"> </w:t>
      </w:r>
      <w:r w:rsidRPr="00727CC1">
        <w:t xml:space="preserve">North-West Provincial Archives, </w:t>
      </w:r>
      <w:r>
        <w:t xml:space="preserve">Bophuthatswana Papers, Office of the President, 4.5.90: </w:t>
      </w:r>
      <w:r w:rsidRPr="00192471">
        <w:rPr>
          <w:i/>
        </w:rPr>
        <w:t xml:space="preserve">Barclays National Bank Limited: </w:t>
      </w:r>
      <w:r>
        <w:rPr>
          <w:i/>
        </w:rPr>
        <w:t xml:space="preserve">Bophuthatswana: An Investment Guide. </w:t>
      </w:r>
      <w:r>
        <w:t xml:space="preserve">1981, p. 24. </w:t>
      </w:r>
    </w:p>
  </w:footnote>
  <w:footnote w:id="103">
    <w:p w14:paraId="0DD1EBB7" w14:textId="77777777" w:rsidR="005E6435" w:rsidRPr="00192471" w:rsidRDefault="005E6435" w:rsidP="00CD4878">
      <w:pPr>
        <w:pStyle w:val="NoSpacing"/>
      </w:pPr>
      <w:r>
        <w:rPr>
          <w:rStyle w:val="FootnoteReference"/>
        </w:rPr>
        <w:footnoteRef/>
      </w:r>
      <w:r>
        <w:t xml:space="preserve"> </w:t>
      </w:r>
      <w:r w:rsidRPr="00727CC1">
        <w:t xml:space="preserve">North-West Provincial Archives, </w:t>
      </w:r>
      <w:r>
        <w:t xml:space="preserve">Bophuthatswana Papers, Office of the President, </w:t>
      </w:r>
      <w:r w:rsidRPr="00192471">
        <w:t>4.5.90</w:t>
      </w:r>
      <w:r>
        <w:t>:</w:t>
      </w:r>
      <w:r w:rsidRPr="00727CC1">
        <w:t xml:space="preserve"> </w:t>
      </w:r>
      <w:r w:rsidRPr="00192471">
        <w:rPr>
          <w:i/>
        </w:rPr>
        <w:t>Notarial Agreement of Lease between Sun City and the Government of Bophuthatswana</w:t>
      </w:r>
      <w:r w:rsidRPr="00192471">
        <w:t xml:space="preserve">, 23 October 1978. </w:t>
      </w:r>
    </w:p>
  </w:footnote>
  <w:footnote w:id="104">
    <w:p w14:paraId="494C7C1C" w14:textId="77777777" w:rsidR="005E6435" w:rsidRPr="008841AB" w:rsidRDefault="005E6435" w:rsidP="008841AB">
      <w:pPr>
        <w:pStyle w:val="FootnoteText"/>
        <w:jc w:val="left"/>
        <w:rPr>
          <w:lang w:val="en-ZA"/>
        </w:rPr>
      </w:pPr>
      <w:r>
        <w:rPr>
          <w:rStyle w:val="FootnoteReference"/>
        </w:rPr>
        <w:footnoteRef/>
      </w:r>
      <w:r>
        <w:t xml:space="preserve"> </w:t>
      </w:r>
      <w:r>
        <w:rPr>
          <w:lang w:val="en-ZA"/>
        </w:rPr>
        <w:t>Sasha Planting: ‘Sun International: Risks and Opportunities.’</w:t>
      </w:r>
      <w:r>
        <w:rPr>
          <w:i/>
          <w:lang w:val="en-ZA"/>
        </w:rPr>
        <w:t xml:space="preserve">Moneyweb </w:t>
      </w:r>
      <w:r>
        <w:rPr>
          <w:lang w:val="en-ZA"/>
        </w:rPr>
        <w:t xml:space="preserve">[Online] </w:t>
      </w:r>
      <w:hyperlink r:id="rId12" w:history="1">
        <w:r w:rsidRPr="00E96126">
          <w:rPr>
            <w:rStyle w:val="Hyperlink"/>
            <w:lang w:val="en-ZA"/>
          </w:rPr>
          <w:t>https://www.moneyweb.co.za/news/companies-and-deals/sun-international-risks-and-opportunity/</w:t>
        </w:r>
      </w:hyperlink>
      <w:r>
        <w:rPr>
          <w:lang w:val="en-ZA"/>
        </w:rPr>
        <w:t xml:space="preserve"> 5 July 217. </w:t>
      </w:r>
    </w:p>
  </w:footnote>
  <w:footnote w:id="105">
    <w:p w14:paraId="16421398" w14:textId="77777777" w:rsidR="005E6435" w:rsidRPr="00660F43" w:rsidRDefault="005E6435" w:rsidP="00CD4878">
      <w:pPr>
        <w:pStyle w:val="FootnoteText"/>
      </w:pPr>
      <w:r w:rsidRPr="00192471">
        <w:rPr>
          <w:rStyle w:val="FootnoteReference"/>
        </w:rPr>
        <w:footnoteRef/>
      </w:r>
      <w:r w:rsidRPr="00192471">
        <w:t xml:space="preserve"> </w:t>
      </w:r>
      <w:r w:rsidRPr="00727CC1">
        <w:t xml:space="preserve">North-West Provincial Archives, </w:t>
      </w:r>
      <w:r>
        <w:t xml:space="preserve">Bophuthatswana Papers, Office of the President, 4.5: </w:t>
      </w:r>
      <w:r w:rsidRPr="00192471">
        <w:t xml:space="preserve">Republic of Bophuthatswana: </w:t>
      </w:r>
      <w:r w:rsidRPr="00192471">
        <w:rPr>
          <w:i/>
        </w:rPr>
        <w:t xml:space="preserve">Government Gazette, </w:t>
      </w:r>
      <w:r w:rsidRPr="00192471">
        <w:t>(1979, 8:48), pp. 3-6.</w:t>
      </w:r>
      <w:r>
        <w:t xml:space="preserve"> </w:t>
      </w:r>
    </w:p>
  </w:footnote>
  <w:footnote w:id="106">
    <w:p w14:paraId="7FF66463" w14:textId="77777777" w:rsidR="005E6435" w:rsidRPr="006F7691" w:rsidRDefault="005E6435" w:rsidP="00CD4878">
      <w:pPr>
        <w:pStyle w:val="NoSpacing"/>
      </w:pPr>
      <w:r>
        <w:rPr>
          <w:rStyle w:val="FootnoteReference"/>
        </w:rPr>
        <w:footnoteRef/>
      </w:r>
      <w:r>
        <w:t xml:space="preserve"> </w:t>
      </w:r>
      <w:r w:rsidRPr="00192471">
        <w:t xml:space="preserve">Quoted in Morgan: </w:t>
      </w:r>
      <w:r w:rsidRPr="00192471">
        <w:rPr>
          <w:i/>
        </w:rPr>
        <w:t>Sun City,</w:t>
      </w:r>
      <w:r w:rsidRPr="00192471">
        <w:t xml:space="preserve"> p. 4.</w:t>
      </w:r>
      <w:r>
        <w:t xml:space="preserve"> </w:t>
      </w:r>
    </w:p>
  </w:footnote>
  <w:footnote w:id="107">
    <w:p w14:paraId="2A7636AF" w14:textId="77777777" w:rsidR="005E6435" w:rsidRPr="004B4294" w:rsidRDefault="005E6435" w:rsidP="00CD4878">
      <w:pPr>
        <w:pStyle w:val="FootnoteText"/>
        <w:rPr>
          <w:lang w:val="en-US"/>
        </w:rPr>
      </w:pPr>
      <w:r>
        <w:rPr>
          <w:rStyle w:val="FootnoteReference"/>
        </w:rPr>
        <w:footnoteRef/>
      </w:r>
      <w:r>
        <w:t xml:space="preserve"> </w:t>
      </w:r>
      <w:r>
        <w:rPr>
          <w:lang w:val="en-US"/>
        </w:rPr>
        <w:t xml:space="preserve">Morgan: </w:t>
      </w:r>
      <w:r>
        <w:rPr>
          <w:i/>
          <w:lang w:val="en-US"/>
        </w:rPr>
        <w:t>Sun City</w:t>
      </w:r>
      <w:r>
        <w:rPr>
          <w:lang w:val="en-US"/>
        </w:rPr>
        <w:t>, p. 4.</w:t>
      </w:r>
    </w:p>
  </w:footnote>
  <w:footnote w:id="108">
    <w:p w14:paraId="141C8FD9" w14:textId="77777777" w:rsidR="005E6435" w:rsidRPr="007375C7" w:rsidRDefault="005E6435" w:rsidP="00CD4878">
      <w:pPr>
        <w:pStyle w:val="FootnoteText"/>
        <w:rPr>
          <w:lang w:val="en-ZA"/>
        </w:rPr>
      </w:pPr>
      <w:r>
        <w:rPr>
          <w:rStyle w:val="FootnoteReference"/>
        </w:rPr>
        <w:footnoteRef/>
      </w:r>
      <w:r>
        <w:t xml:space="preserve"> </w:t>
      </w:r>
      <w:r>
        <w:rPr>
          <w:lang w:val="en-ZA"/>
        </w:rPr>
        <w:t xml:space="preserve">Anonymous 1: Interviewed by Nicola van der Merwe. </w:t>
      </w:r>
    </w:p>
  </w:footnote>
  <w:footnote w:id="109">
    <w:p w14:paraId="26C73B1F" w14:textId="77777777" w:rsidR="005E6435" w:rsidRDefault="005E6435" w:rsidP="00CD4878">
      <w:pPr>
        <w:pStyle w:val="FootnoteText"/>
      </w:pPr>
      <w:r>
        <w:rPr>
          <w:rStyle w:val="FootnoteReference"/>
        </w:rPr>
        <w:footnoteRef/>
      </w:r>
      <w:r>
        <w:t xml:space="preserve"> Southern Sun: </w:t>
      </w:r>
      <w:r>
        <w:rPr>
          <w:i/>
        </w:rPr>
        <w:t xml:space="preserve">Tourism Development in Bophuthatswana, </w:t>
      </w:r>
      <w:r>
        <w:t xml:space="preserve">pp. 6-10. </w:t>
      </w:r>
    </w:p>
  </w:footnote>
  <w:footnote w:id="110">
    <w:p w14:paraId="4433CC15" w14:textId="77777777" w:rsidR="005E6435" w:rsidRDefault="005E6435" w:rsidP="00CD4878">
      <w:pPr>
        <w:pStyle w:val="FootnoteText"/>
      </w:pPr>
      <w:r>
        <w:rPr>
          <w:rStyle w:val="FootnoteReference"/>
        </w:rPr>
        <w:footnoteRef/>
      </w:r>
      <w:r>
        <w:t xml:space="preserve"> </w:t>
      </w:r>
      <w:r w:rsidRPr="00727CC1">
        <w:t xml:space="preserve">North-West Provincial Archives, </w:t>
      </w:r>
      <w:r>
        <w:t xml:space="preserve">Bophuthatswana Papers, Office of the President, </w:t>
      </w:r>
      <w:r w:rsidRPr="00192471">
        <w:t>4.5.90</w:t>
      </w:r>
      <w:r>
        <w:t xml:space="preserve">: </w:t>
      </w:r>
      <w:r w:rsidRPr="00192471">
        <w:rPr>
          <w:i/>
        </w:rPr>
        <w:t>Southern Sun Hotel Holdings Limited:</w:t>
      </w:r>
      <w:r w:rsidRPr="00192471">
        <w:t xml:space="preserve"> </w:t>
      </w:r>
      <w:r w:rsidRPr="00192471">
        <w:rPr>
          <w:i/>
        </w:rPr>
        <w:t xml:space="preserve">Prospectus, </w:t>
      </w:r>
      <w:r w:rsidRPr="00192471">
        <w:t xml:space="preserve">25 July 1979, p. 10. </w:t>
      </w:r>
    </w:p>
  </w:footnote>
  <w:footnote w:id="111">
    <w:p w14:paraId="122927D6" w14:textId="77777777" w:rsidR="005E6435" w:rsidRDefault="005E6435" w:rsidP="00CD4878">
      <w:pPr>
        <w:pStyle w:val="FootnoteText"/>
      </w:pPr>
      <w:r>
        <w:rPr>
          <w:rStyle w:val="FootnoteReference"/>
        </w:rPr>
        <w:footnoteRef/>
      </w:r>
      <w:r>
        <w:t xml:space="preserve"> </w:t>
      </w:r>
      <w:r w:rsidRPr="00B246DC">
        <w:rPr>
          <w:rStyle w:val="NoSpacingChar"/>
        </w:rPr>
        <w:t xml:space="preserve">Southern Sun: </w:t>
      </w:r>
      <w:r w:rsidRPr="00C0477B">
        <w:rPr>
          <w:rStyle w:val="NoSpacingChar"/>
          <w:i/>
        </w:rPr>
        <w:t>Tourism Development in Bophuthatswana,</w:t>
      </w:r>
      <w:r w:rsidRPr="00B246DC">
        <w:rPr>
          <w:rStyle w:val="NoSpacingChar"/>
        </w:rPr>
        <w:t xml:space="preserve"> </w:t>
      </w:r>
      <w:r>
        <w:rPr>
          <w:rStyle w:val="NoSpacingChar"/>
        </w:rPr>
        <w:t>pp. 3-5.</w:t>
      </w:r>
    </w:p>
  </w:footnote>
  <w:footnote w:id="112">
    <w:p w14:paraId="4FE9E6ED" w14:textId="77777777" w:rsidR="005E6435" w:rsidRDefault="005E6435" w:rsidP="00CD4878">
      <w:pPr>
        <w:pStyle w:val="FootnoteText"/>
      </w:pPr>
      <w:r>
        <w:rPr>
          <w:rStyle w:val="FootnoteReference"/>
        </w:rPr>
        <w:footnoteRef/>
      </w:r>
      <w:r>
        <w:t xml:space="preserve"> </w:t>
      </w:r>
      <w:r>
        <w:rPr>
          <w:rStyle w:val="NoSpacingChar"/>
          <w:i/>
        </w:rPr>
        <w:t>Ibid</w:t>
      </w:r>
      <w:r>
        <w:rPr>
          <w:rStyle w:val="NoSpacingChar"/>
        </w:rPr>
        <w:t>, pp. 5-15.</w:t>
      </w:r>
    </w:p>
  </w:footnote>
  <w:footnote w:id="113">
    <w:p w14:paraId="5B4CF60D" w14:textId="77777777" w:rsidR="005E6435" w:rsidRPr="00240B36" w:rsidRDefault="005E6435" w:rsidP="00CD4878">
      <w:pPr>
        <w:pStyle w:val="FootnoteText"/>
      </w:pPr>
      <w:r>
        <w:rPr>
          <w:rStyle w:val="FootnoteReference"/>
        </w:rPr>
        <w:footnoteRef/>
      </w:r>
      <w:r>
        <w:t xml:space="preserve"> North-West Provincial Archives, Bophuthatswana Papers, Office of the President, 4.5.90: </w:t>
      </w:r>
      <w:r>
        <w:rPr>
          <w:i/>
        </w:rPr>
        <w:t xml:space="preserve">Development at Heystekrand, </w:t>
      </w:r>
      <w:r>
        <w:t xml:space="preserve">6 February 1978, pp. 1-4. </w:t>
      </w:r>
    </w:p>
  </w:footnote>
  <w:footnote w:id="114">
    <w:p w14:paraId="32883667" w14:textId="77777777" w:rsidR="005E6435" w:rsidRDefault="005E6435" w:rsidP="00CD4878">
      <w:pPr>
        <w:pStyle w:val="NoSpacing"/>
      </w:pPr>
      <w:r>
        <w:rPr>
          <w:rStyle w:val="FootnoteReference"/>
        </w:rPr>
        <w:footnoteRef/>
      </w:r>
      <w:r>
        <w:t xml:space="preserve"> T.C.Mackey, &amp; L. Roodt: </w:t>
      </w:r>
      <w:r>
        <w:rPr>
          <w:i/>
        </w:rPr>
        <w:t xml:space="preserve">Speed – Is it relevant? </w:t>
      </w:r>
      <w:r>
        <w:t xml:space="preserve">University of Pretoria. </w:t>
      </w:r>
      <w:hyperlink r:id="rId13" w:history="1">
        <w:r w:rsidRPr="00F57B51">
          <w:rPr>
            <w:rStyle w:val="Hyperlink"/>
          </w:rPr>
          <w:t>http://repository.up.ac.za/bitstream/handle/2263/7700/011.pdf?sequence=1</w:t>
        </w:r>
      </w:hyperlink>
      <w:r>
        <w:t xml:space="preserve"> (9 October 2015). </w:t>
      </w:r>
    </w:p>
  </w:footnote>
  <w:footnote w:id="115">
    <w:p w14:paraId="2E9BD38D" w14:textId="77777777" w:rsidR="005E6435" w:rsidRDefault="005E6435" w:rsidP="00CD4878">
      <w:pPr>
        <w:pStyle w:val="FootnoteText"/>
      </w:pPr>
      <w:r w:rsidRPr="00192471">
        <w:rPr>
          <w:rStyle w:val="FootnoteReference"/>
        </w:rPr>
        <w:footnoteRef/>
      </w:r>
      <w:r w:rsidRPr="00192471">
        <w:t xml:space="preserve"> North-West Provincial Archives, Bophuthatswana Papers, Office of the President</w:t>
      </w:r>
      <w:r>
        <w:t xml:space="preserve">, 4.5.90: </w:t>
      </w:r>
      <w:r w:rsidRPr="00192471">
        <w:rPr>
          <w:i/>
        </w:rPr>
        <w:t xml:space="preserve">Brief for Infrastructure of </w:t>
      </w:r>
      <w:r w:rsidRPr="00500F20">
        <w:rPr>
          <w:i/>
        </w:rPr>
        <w:t>Letsatsing.</w:t>
      </w:r>
      <w:r w:rsidRPr="00192471">
        <w:rPr>
          <w:i/>
        </w:rPr>
        <w:t xml:space="preserve"> Hotel Complex, </w:t>
      </w:r>
      <w:r w:rsidRPr="00192471">
        <w:t xml:space="preserve">16 October 1979, pp. 2-14. </w:t>
      </w:r>
    </w:p>
  </w:footnote>
  <w:footnote w:id="116">
    <w:p w14:paraId="2B0FA2AA" w14:textId="77777777" w:rsidR="005E6435" w:rsidRPr="00F65C38" w:rsidRDefault="005E6435" w:rsidP="00CD4878">
      <w:pPr>
        <w:pStyle w:val="FootnoteText"/>
        <w:rPr>
          <w:lang w:val="en-US"/>
        </w:rPr>
      </w:pPr>
      <w:r>
        <w:rPr>
          <w:rStyle w:val="FootnoteReference"/>
        </w:rPr>
        <w:footnoteRef/>
      </w:r>
      <w:r>
        <w:t xml:space="preserve"> </w:t>
      </w:r>
      <w:r>
        <w:rPr>
          <w:i/>
        </w:rPr>
        <w:t xml:space="preserve">Brief for Infrastructure, </w:t>
      </w:r>
      <w:r>
        <w:t>pp. 4-11.</w:t>
      </w:r>
    </w:p>
  </w:footnote>
  <w:footnote w:id="117">
    <w:p w14:paraId="11E01074" w14:textId="77777777" w:rsidR="005E6435" w:rsidRPr="00025601" w:rsidRDefault="005E6435" w:rsidP="00CD4878">
      <w:pPr>
        <w:pStyle w:val="FootnoteText"/>
      </w:pPr>
      <w:r>
        <w:rPr>
          <w:rStyle w:val="FootnoteReference"/>
        </w:rPr>
        <w:footnoteRef/>
      </w:r>
      <w:r>
        <w:t xml:space="preserve"> </w:t>
      </w:r>
      <w:r>
        <w:rPr>
          <w:i/>
        </w:rPr>
        <w:t xml:space="preserve">Ibid, </w:t>
      </w:r>
      <w:r>
        <w:t xml:space="preserve">pp. 5-16. </w:t>
      </w:r>
    </w:p>
  </w:footnote>
  <w:footnote w:id="118">
    <w:p w14:paraId="5BE3EA8F" w14:textId="77777777" w:rsidR="005E6435" w:rsidRPr="00F65C38" w:rsidRDefault="005E6435" w:rsidP="00CD4878">
      <w:pPr>
        <w:pStyle w:val="FootnoteText"/>
        <w:rPr>
          <w:lang w:val="en-US"/>
        </w:rPr>
      </w:pPr>
      <w:r>
        <w:rPr>
          <w:rStyle w:val="FootnoteReference"/>
        </w:rPr>
        <w:footnoteRef/>
      </w:r>
      <w:r>
        <w:t xml:space="preserve"> </w:t>
      </w:r>
      <w:r>
        <w:rPr>
          <w:i/>
        </w:rPr>
        <w:t>Brief for Infrastructure</w:t>
      </w:r>
      <w:r>
        <w:t>, pp. 5-10.</w:t>
      </w:r>
    </w:p>
  </w:footnote>
  <w:footnote w:id="119">
    <w:p w14:paraId="51AA6789" w14:textId="77777777" w:rsidR="005E6435" w:rsidRDefault="005E6435" w:rsidP="00CD4878">
      <w:pPr>
        <w:pStyle w:val="FootnoteText"/>
      </w:pPr>
      <w:r>
        <w:rPr>
          <w:rStyle w:val="FootnoteReference"/>
        </w:rPr>
        <w:footnoteRef/>
      </w:r>
      <w:r>
        <w:t xml:space="preserve"> </w:t>
      </w:r>
      <w:r>
        <w:rPr>
          <w:i/>
        </w:rPr>
        <w:t xml:space="preserve">Ibid, </w:t>
      </w:r>
      <w:r>
        <w:t>pp. 5-6.</w:t>
      </w:r>
    </w:p>
  </w:footnote>
  <w:footnote w:id="120">
    <w:p w14:paraId="1152C8B7" w14:textId="77777777" w:rsidR="005E6435" w:rsidRDefault="005E6435" w:rsidP="00CD4878">
      <w:pPr>
        <w:pStyle w:val="NoSpacing"/>
      </w:pPr>
      <w:r>
        <w:rPr>
          <w:rStyle w:val="FootnoteReference"/>
        </w:rPr>
        <w:footnoteRef/>
      </w:r>
      <w:r>
        <w:t xml:space="preserve"> </w:t>
      </w:r>
      <w:r w:rsidRPr="00192471">
        <w:rPr>
          <w:i/>
        </w:rPr>
        <w:t>Southern Sun Hotel Holdings Limited:</w:t>
      </w:r>
      <w:r>
        <w:t xml:space="preserve"> </w:t>
      </w:r>
      <w:r>
        <w:rPr>
          <w:i/>
        </w:rPr>
        <w:t xml:space="preserve">Prospectus, </w:t>
      </w:r>
      <w:r>
        <w:t xml:space="preserve">pp. 4-12. </w:t>
      </w:r>
    </w:p>
  </w:footnote>
  <w:footnote w:id="121">
    <w:p w14:paraId="2FEAD512" w14:textId="77777777" w:rsidR="005E6435" w:rsidRDefault="005E6435" w:rsidP="00CD4878">
      <w:pPr>
        <w:pStyle w:val="FootnoteText"/>
      </w:pPr>
      <w:r>
        <w:rPr>
          <w:rStyle w:val="FootnoteReference"/>
        </w:rPr>
        <w:footnoteRef/>
      </w:r>
      <w:r>
        <w:t xml:space="preserve"> </w:t>
      </w:r>
      <w:r>
        <w:rPr>
          <w:i/>
        </w:rPr>
        <w:t>Heads of Agreement,</w:t>
      </w:r>
      <w:r>
        <w:t xml:space="preserve"> pp. 5-6. </w:t>
      </w:r>
    </w:p>
  </w:footnote>
  <w:footnote w:id="122">
    <w:p w14:paraId="5EFCDD0B" w14:textId="77777777" w:rsidR="005E6435" w:rsidRDefault="005E6435" w:rsidP="00CD4878">
      <w:pPr>
        <w:pStyle w:val="FootnoteText"/>
      </w:pPr>
      <w:r>
        <w:rPr>
          <w:rStyle w:val="FootnoteReference"/>
        </w:rPr>
        <w:footnoteRef/>
      </w:r>
      <w:r>
        <w:t xml:space="preserve"> </w:t>
      </w:r>
      <w:r>
        <w:rPr>
          <w:i/>
        </w:rPr>
        <w:t>Hvd8/BK Agreement,</w:t>
      </w:r>
      <w:r>
        <w:t xml:space="preserve"> 1-6.</w:t>
      </w:r>
    </w:p>
  </w:footnote>
  <w:footnote w:id="123">
    <w:p w14:paraId="25B8D01B" w14:textId="77777777" w:rsidR="005E6435" w:rsidRDefault="005E6435" w:rsidP="00CD4878">
      <w:pPr>
        <w:pStyle w:val="FootnoteText"/>
      </w:pPr>
      <w:r>
        <w:rPr>
          <w:rStyle w:val="FootnoteReference"/>
        </w:rPr>
        <w:footnoteRef/>
      </w:r>
      <w:r>
        <w:t xml:space="preserve"> </w:t>
      </w:r>
      <w:r w:rsidRPr="00192471">
        <w:t>North-West Provincial Archives, Bophuthatswana Papers, Office of the President</w:t>
      </w:r>
      <w:r>
        <w:t xml:space="preserve">, 4.5.90: </w:t>
      </w:r>
      <w:r w:rsidRPr="00192471">
        <w:rPr>
          <w:i/>
        </w:rPr>
        <w:t>Proposed Notarial Addendum to the Notarial Agreement of Lease</w:t>
      </w:r>
      <w:r>
        <w:t>. 7 March 1979.</w:t>
      </w:r>
    </w:p>
  </w:footnote>
  <w:footnote w:id="124">
    <w:p w14:paraId="3E145EDF" w14:textId="77777777" w:rsidR="005E6435" w:rsidRDefault="005E6435" w:rsidP="00CD4878">
      <w:pPr>
        <w:pStyle w:val="NoSpacing"/>
      </w:pPr>
      <w:r>
        <w:rPr>
          <w:rStyle w:val="FootnoteReference"/>
        </w:rPr>
        <w:footnoteRef/>
      </w:r>
      <w:r>
        <w:t xml:space="preserve"> </w:t>
      </w:r>
      <w:r w:rsidRPr="0075732F">
        <w:rPr>
          <w:i/>
        </w:rPr>
        <w:t>Hvd8/BK Agreement</w:t>
      </w:r>
      <w:r>
        <w:rPr>
          <w:i/>
        </w:rPr>
        <w:t xml:space="preserve">, </w:t>
      </w:r>
      <w:r>
        <w:t xml:space="preserve">pp. 3-6. </w:t>
      </w:r>
    </w:p>
  </w:footnote>
  <w:footnote w:id="125">
    <w:p w14:paraId="2E885A4B" w14:textId="77777777" w:rsidR="005E6435" w:rsidRDefault="005E6435" w:rsidP="00CD4878">
      <w:pPr>
        <w:pStyle w:val="NoSpacing"/>
      </w:pPr>
      <w:r>
        <w:rPr>
          <w:rStyle w:val="FootnoteReference"/>
        </w:rPr>
        <w:footnoteRef/>
      </w:r>
      <w:r>
        <w:t xml:space="preserve"> Staff reporter: ‘King Sol.’ </w:t>
      </w:r>
    </w:p>
  </w:footnote>
  <w:footnote w:id="126">
    <w:p w14:paraId="3FFCBB73" w14:textId="77777777" w:rsidR="005E6435" w:rsidRPr="00541338" w:rsidRDefault="005E6435" w:rsidP="00CD4878">
      <w:pPr>
        <w:pStyle w:val="NoSpacing"/>
      </w:pPr>
      <w:r>
        <w:rPr>
          <w:rStyle w:val="FootnoteReference"/>
        </w:rPr>
        <w:footnoteRef/>
      </w:r>
      <w:r w:rsidRPr="00192471">
        <w:rPr>
          <w:i/>
        </w:rPr>
        <w:t>Southern Sun Hotel Holdings Limited:</w:t>
      </w:r>
      <w:r>
        <w:t xml:space="preserve"> </w:t>
      </w:r>
      <w:r>
        <w:rPr>
          <w:i/>
        </w:rPr>
        <w:t xml:space="preserve">Prospectus, </w:t>
      </w:r>
      <w:r>
        <w:t>p. 15.</w:t>
      </w:r>
    </w:p>
  </w:footnote>
  <w:footnote w:id="127">
    <w:p w14:paraId="5DAFFA33" w14:textId="77777777" w:rsidR="005E6435" w:rsidRPr="00541338" w:rsidRDefault="005E6435" w:rsidP="00CD4878">
      <w:pPr>
        <w:pStyle w:val="FootnoteText"/>
      </w:pPr>
      <w:r>
        <w:rPr>
          <w:rStyle w:val="FootnoteReference"/>
        </w:rPr>
        <w:footnoteRef/>
      </w:r>
      <w:r>
        <w:t xml:space="preserve"> Staff reporter: ‘BNDC – Past successes and future hopes.’ </w:t>
      </w:r>
      <w:r>
        <w:rPr>
          <w:i/>
        </w:rPr>
        <w:t xml:space="preserve">The Mail, </w:t>
      </w:r>
      <w:r>
        <w:t xml:space="preserve">4 December 1992, p. 10. </w:t>
      </w:r>
    </w:p>
  </w:footnote>
  <w:footnote w:id="128">
    <w:p w14:paraId="431E650C" w14:textId="77777777" w:rsidR="005E6435" w:rsidRPr="002627E7" w:rsidRDefault="005E6435" w:rsidP="00CD4878">
      <w:pPr>
        <w:pStyle w:val="NoSpacing"/>
        <w:rPr>
          <w:szCs w:val="24"/>
        </w:rPr>
      </w:pPr>
      <w:r>
        <w:rPr>
          <w:rStyle w:val="FootnoteReference"/>
        </w:rPr>
        <w:footnoteRef/>
      </w:r>
      <w:r>
        <w:t xml:space="preserve"> </w:t>
      </w:r>
      <w:r w:rsidRPr="00192471">
        <w:rPr>
          <w:i/>
        </w:rPr>
        <w:t>Southern Sun Hotel Holdings Limited:</w:t>
      </w:r>
      <w:r>
        <w:t xml:space="preserve"> </w:t>
      </w:r>
      <w:r>
        <w:rPr>
          <w:i/>
        </w:rPr>
        <w:t>Prospectus</w:t>
      </w:r>
      <w:r>
        <w:t xml:space="preserve">, p. 58. </w:t>
      </w:r>
    </w:p>
  </w:footnote>
  <w:footnote w:id="129">
    <w:p w14:paraId="00175421" w14:textId="77777777" w:rsidR="005E6435" w:rsidRPr="007121A3" w:rsidRDefault="005E6435" w:rsidP="00CD4878">
      <w:pPr>
        <w:pStyle w:val="FootnoteText"/>
        <w:rPr>
          <w:lang w:val="en-US"/>
        </w:rPr>
      </w:pPr>
      <w:r>
        <w:rPr>
          <w:rStyle w:val="FootnoteReference"/>
        </w:rPr>
        <w:footnoteRef/>
      </w:r>
      <w:r>
        <w:t xml:space="preserve"> H. P</w:t>
      </w:r>
      <w:r w:rsidRPr="00754572">
        <w:t>ortenschlager</w:t>
      </w:r>
      <w:r>
        <w:t xml:space="preserve">: Interviewed by Nicola van der Merwe. </w:t>
      </w:r>
    </w:p>
  </w:footnote>
  <w:footnote w:id="130">
    <w:p w14:paraId="1A033681" w14:textId="77777777" w:rsidR="005E6435" w:rsidRPr="00F53297" w:rsidRDefault="005E6435" w:rsidP="00CD4878">
      <w:pPr>
        <w:pStyle w:val="FootnoteText"/>
        <w:rPr>
          <w:lang w:val="en-US"/>
        </w:rPr>
      </w:pPr>
      <w:r>
        <w:rPr>
          <w:rStyle w:val="FootnoteReference"/>
        </w:rPr>
        <w:footnoteRef/>
      </w:r>
      <w:r>
        <w:t xml:space="preserve"> Sannar. ‘Playing Sun City’, p. 58.</w:t>
      </w:r>
    </w:p>
  </w:footnote>
  <w:footnote w:id="131">
    <w:p w14:paraId="084EB568" w14:textId="77777777" w:rsidR="005E6435" w:rsidRDefault="005E6435" w:rsidP="00CD4878">
      <w:pPr>
        <w:pStyle w:val="NoSpacing"/>
      </w:pPr>
      <w:r>
        <w:rPr>
          <w:rStyle w:val="FootnoteReference"/>
        </w:rPr>
        <w:footnoteRef/>
      </w:r>
      <w:r>
        <w:t xml:space="preserve"> Staff reporter: ‘King Sol.’ </w:t>
      </w:r>
    </w:p>
  </w:footnote>
  <w:footnote w:id="132">
    <w:p w14:paraId="4E91FCF0" w14:textId="77777777" w:rsidR="005E6435" w:rsidRDefault="005E6435" w:rsidP="00CD4878">
      <w:pPr>
        <w:pStyle w:val="FootnoteText"/>
        <w:jc w:val="left"/>
      </w:pPr>
      <w:r>
        <w:rPr>
          <w:rStyle w:val="FootnoteReference"/>
        </w:rPr>
        <w:footnoteRef/>
      </w:r>
      <w:r>
        <w:t xml:space="preserve"> </w:t>
      </w:r>
      <w:r>
        <w:rPr>
          <w:rStyle w:val="NoSpacingChar"/>
        </w:rPr>
        <w:t>Keller</w:t>
      </w:r>
      <w:r w:rsidRPr="008276D7">
        <w:rPr>
          <w:rStyle w:val="NoSpacingChar"/>
        </w:rPr>
        <w:t xml:space="preserve">: ‘Resort (Not Too African) for Rich Tourists’ </w:t>
      </w:r>
    </w:p>
  </w:footnote>
  <w:footnote w:id="133">
    <w:p w14:paraId="51A166A3" w14:textId="77777777" w:rsidR="005E6435" w:rsidRPr="000A0AF1" w:rsidRDefault="005E6435" w:rsidP="00CD4878">
      <w:pPr>
        <w:pStyle w:val="FootnoteText"/>
        <w:rPr>
          <w:lang w:val="en-US"/>
        </w:rPr>
      </w:pPr>
      <w:r>
        <w:rPr>
          <w:rStyle w:val="FootnoteReference"/>
        </w:rPr>
        <w:footnoteRef/>
      </w:r>
      <w:r>
        <w:t xml:space="preserve"> Evans: Interviewed by Nicola van der Merwe. </w:t>
      </w:r>
    </w:p>
  </w:footnote>
  <w:footnote w:id="134">
    <w:p w14:paraId="37EB4E9C" w14:textId="77777777" w:rsidR="005E6435" w:rsidRPr="00E36EA2" w:rsidRDefault="005E6435" w:rsidP="00CD4878">
      <w:pPr>
        <w:pStyle w:val="FootnoteText"/>
        <w:rPr>
          <w:lang w:val="en-US"/>
        </w:rPr>
      </w:pPr>
      <w:r>
        <w:rPr>
          <w:rStyle w:val="FootnoteReference"/>
        </w:rPr>
        <w:footnoteRef/>
      </w:r>
      <w:r>
        <w:t xml:space="preserve"> </w:t>
      </w:r>
      <w:r>
        <w:rPr>
          <w:lang w:val="en-US"/>
        </w:rPr>
        <w:t xml:space="preserve">Morgan: </w:t>
      </w:r>
      <w:r>
        <w:rPr>
          <w:i/>
          <w:lang w:val="en-US"/>
        </w:rPr>
        <w:t>Sun City</w:t>
      </w:r>
      <w:r>
        <w:rPr>
          <w:lang w:val="en-US"/>
        </w:rPr>
        <w:t>, p. 16.</w:t>
      </w:r>
    </w:p>
  </w:footnote>
  <w:footnote w:id="135">
    <w:p w14:paraId="593396E1" w14:textId="77777777" w:rsidR="005E6435" w:rsidRPr="00E36EA2" w:rsidRDefault="005E6435" w:rsidP="00CD4878">
      <w:pPr>
        <w:pStyle w:val="FootnoteText"/>
        <w:rPr>
          <w:lang w:val="en-US"/>
        </w:rPr>
      </w:pPr>
      <w:r>
        <w:rPr>
          <w:rStyle w:val="FootnoteReference"/>
        </w:rPr>
        <w:footnoteRef/>
      </w:r>
      <w:r>
        <w:t xml:space="preserve"> </w:t>
      </w:r>
      <w:r>
        <w:rPr>
          <w:i/>
          <w:lang w:val="en-US"/>
        </w:rPr>
        <w:t>Ibid</w:t>
      </w:r>
      <w:r>
        <w:rPr>
          <w:lang w:val="en-US"/>
        </w:rPr>
        <w:t>, p. 16.</w:t>
      </w:r>
    </w:p>
  </w:footnote>
  <w:footnote w:id="136">
    <w:p w14:paraId="2B301845" w14:textId="77777777" w:rsidR="005E6435" w:rsidRDefault="005E6435" w:rsidP="00CD4878">
      <w:pPr>
        <w:pStyle w:val="NoSpacing"/>
      </w:pPr>
      <w:r>
        <w:rPr>
          <w:rStyle w:val="FootnoteReference"/>
        </w:rPr>
        <w:footnoteRef/>
      </w:r>
      <w:r>
        <w:t xml:space="preserve"> </w:t>
      </w:r>
      <w:r w:rsidRPr="006D618C">
        <w:rPr>
          <w:rFonts w:cs="Times New Roman"/>
          <w:szCs w:val="24"/>
        </w:rPr>
        <w:t>J</w:t>
      </w:r>
      <w:r>
        <w:rPr>
          <w:rFonts w:cs="Times New Roman"/>
          <w:szCs w:val="24"/>
        </w:rPr>
        <w:t>.</w:t>
      </w:r>
      <w:r w:rsidRPr="006D618C">
        <w:rPr>
          <w:rFonts w:cs="Times New Roman"/>
          <w:szCs w:val="24"/>
        </w:rPr>
        <w:t xml:space="preserve"> Hannigan</w:t>
      </w:r>
      <w:r>
        <w:rPr>
          <w:rFonts w:cs="Times New Roman"/>
          <w:szCs w:val="24"/>
        </w:rPr>
        <w:t>:</w:t>
      </w:r>
      <w:r w:rsidRPr="006D618C">
        <w:rPr>
          <w:rFonts w:cs="Times New Roman"/>
          <w:szCs w:val="24"/>
        </w:rPr>
        <w:t xml:space="preserve"> ‘Casino Cities</w:t>
      </w:r>
      <w:r>
        <w:rPr>
          <w:rFonts w:cs="Times New Roman"/>
          <w:szCs w:val="24"/>
        </w:rPr>
        <w:t>.</w:t>
      </w:r>
      <w:r w:rsidRPr="006D618C">
        <w:rPr>
          <w:rFonts w:cs="Times New Roman"/>
          <w:szCs w:val="24"/>
        </w:rPr>
        <w:t xml:space="preserve">’ </w:t>
      </w:r>
      <w:r w:rsidRPr="006D618C">
        <w:rPr>
          <w:rFonts w:cs="Times New Roman"/>
          <w:i/>
          <w:szCs w:val="24"/>
        </w:rPr>
        <w:t xml:space="preserve">Geography Compass, </w:t>
      </w:r>
      <w:r w:rsidRPr="006D618C">
        <w:rPr>
          <w:rFonts w:cs="Times New Roman"/>
          <w:szCs w:val="24"/>
        </w:rPr>
        <w:t>(2007, 1:4</w:t>
      </w:r>
      <w:r>
        <w:rPr>
          <w:rFonts w:cs="Times New Roman"/>
          <w:szCs w:val="24"/>
        </w:rPr>
        <w:t xml:space="preserve">), </w:t>
      </w:r>
      <w:r>
        <w:t>pp. 964-965.</w:t>
      </w:r>
    </w:p>
  </w:footnote>
  <w:footnote w:id="137">
    <w:p w14:paraId="6F1FE36F" w14:textId="77777777" w:rsidR="005E6435" w:rsidRDefault="005E6435" w:rsidP="00192471">
      <w:pPr>
        <w:pStyle w:val="FootnoteText"/>
        <w:jc w:val="left"/>
      </w:pPr>
      <w:r>
        <w:rPr>
          <w:rStyle w:val="FootnoteReference"/>
        </w:rPr>
        <w:footnoteRef/>
      </w:r>
      <w:r>
        <w:t xml:space="preserve"> </w:t>
      </w:r>
      <w:r>
        <w:rPr>
          <w:rStyle w:val="NoSpacingChar"/>
        </w:rPr>
        <w:t xml:space="preserve">Hall &amp; </w:t>
      </w:r>
      <w:r w:rsidRPr="00935B7E">
        <w:rPr>
          <w:rStyle w:val="NoSpacingChar"/>
        </w:rPr>
        <w:t>Bomb</w:t>
      </w:r>
      <w:r>
        <w:rPr>
          <w:rStyle w:val="NoSpacingChar"/>
        </w:rPr>
        <w:t>ardella: ‘Las Vegas in Africa’, pp. 1-18.</w:t>
      </w:r>
    </w:p>
  </w:footnote>
  <w:footnote w:id="138">
    <w:p w14:paraId="35650765" w14:textId="77777777" w:rsidR="005E6435" w:rsidRDefault="005E6435" w:rsidP="00192471">
      <w:pPr>
        <w:pStyle w:val="FootnoteText"/>
        <w:jc w:val="left"/>
      </w:pPr>
      <w:r>
        <w:rPr>
          <w:rStyle w:val="FootnoteReference"/>
        </w:rPr>
        <w:footnoteRef/>
      </w:r>
      <w:r>
        <w:rPr>
          <w:rStyle w:val="NoSpacingChar"/>
        </w:rPr>
        <w:t xml:space="preserve"> </w:t>
      </w:r>
      <w:r>
        <w:rPr>
          <w:rStyle w:val="NoSpacingChar"/>
          <w:i/>
        </w:rPr>
        <w:t>Ibid,</w:t>
      </w:r>
      <w:r>
        <w:t xml:space="preserve"> p. 279.</w:t>
      </w:r>
    </w:p>
  </w:footnote>
  <w:footnote w:id="139">
    <w:p w14:paraId="7FD98115" w14:textId="77777777" w:rsidR="005E6435" w:rsidRPr="00C11069" w:rsidRDefault="005E6435" w:rsidP="00192471">
      <w:pPr>
        <w:pStyle w:val="FootnoteText"/>
        <w:jc w:val="left"/>
      </w:pPr>
      <w:r>
        <w:rPr>
          <w:rStyle w:val="FootnoteReference"/>
        </w:rPr>
        <w:footnoteRef/>
      </w:r>
      <w:r>
        <w:t xml:space="preserve"> </w:t>
      </w:r>
      <w:r w:rsidRPr="00192471">
        <w:t>North-West Provincial Archives, Bophuthatswana Papers, Office of the President, 4.5.90</w:t>
      </w:r>
      <w:r>
        <w:t xml:space="preserve">: </w:t>
      </w:r>
      <w:r w:rsidRPr="00192471">
        <w:rPr>
          <w:i/>
        </w:rPr>
        <w:t xml:space="preserve">Letter to from Southern Sun to </w:t>
      </w:r>
      <w:r>
        <w:rPr>
          <w:i/>
        </w:rPr>
        <w:t>Jerry Reid.</w:t>
      </w:r>
      <w:r w:rsidRPr="00192471">
        <w:rPr>
          <w:i/>
        </w:rPr>
        <w:t xml:space="preserve"> </w:t>
      </w:r>
      <w:r w:rsidRPr="00192471">
        <w:t xml:space="preserve">18 April 1980. </w:t>
      </w:r>
    </w:p>
  </w:footnote>
  <w:footnote w:id="140">
    <w:p w14:paraId="563A0933" w14:textId="77777777" w:rsidR="005E6435" w:rsidRPr="00192471" w:rsidRDefault="005E6435" w:rsidP="00192471">
      <w:pPr>
        <w:pStyle w:val="FootnoteText"/>
        <w:jc w:val="left"/>
      </w:pPr>
      <w:r>
        <w:rPr>
          <w:rStyle w:val="FootnoteReference"/>
        </w:rPr>
        <w:footnoteRef/>
      </w:r>
      <w:r>
        <w:t xml:space="preserve"> </w:t>
      </w:r>
      <w:r w:rsidRPr="00192471">
        <w:t>North-West Provincial Archives, Bophuthatswana Papers, Office of the President, 4.5.90</w:t>
      </w:r>
      <w:r>
        <w:t xml:space="preserve">: </w:t>
      </w:r>
      <w:r w:rsidRPr="00192471">
        <w:rPr>
          <w:i/>
        </w:rPr>
        <w:t xml:space="preserve">Letter from </w:t>
      </w:r>
      <w:r>
        <w:rPr>
          <w:i/>
        </w:rPr>
        <w:t xml:space="preserve">Peter Bacon at </w:t>
      </w:r>
      <w:r w:rsidRPr="00192471">
        <w:rPr>
          <w:i/>
        </w:rPr>
        <w:t>Sou</w:t>
      </w:r>
      <w:r>
        <w:rPr>
          <w:i/>
        </w:rPr>
        <w:t>thern Sun to Jerry Reid.</w:t>
      </w:r>
      <w:r w:rsidRPr="00192471">
        <w:rPr>
          <w:i/>
        </w:rPr>
        <w:t xml:space="preserve"> </w:t>
      </w:r>
      <w:r w:rsidRPr="00192471">
        <w:t xml:space="preserve">9 September 1980. </w:t>
      </w:r>
    </w:p>
  </w:footnote>
  <w:footnote w:id="141">
    <w:p w14:paraId="0B7FCC10" w14:textId="77777777" w:rsidR="005E6435" w:rsidRPr="00421A11" w:rsidRDefault="005E6435" w:rsidP="00192471">
      <w:pPr>
        <w:pStyle w:val="FootnoteText"/>
        <w:jc w:val="left"/>
      </w:pPr>
      <w:r w:rsidRPr="00192471">
        <w:rPr>
          <w:rStyle w:val="FootnoteReference"/>
        </w:rPr>
        <w:footnoteRef/>
      </w:r>
      <w:r w:rsidRPr="00192471">
        <w:t xml:space="preserve"> North-West Provincial Archives, Bophuthatswana Papers, Office of the President</w:t>
      </w:r>
      <w:r>
        <w:t>:</w:t>
      </w:r>
      <w:r w:rsidRPr="00192471">
        <w:t xml:space="preserve"> 4.5.90</w:t>
      </w:r>
      <w:r w:rsidRPr="00192471">
        <w:rPr>
          <w:i/>
        </w:rPr>
        <w:t xml:space="preserve">Documents </w:t>
      </w:r>
      <w:r w:rsidRPr="00500F20">
        <w:rPr>
          <w:i/>
        </w:rPr>
        <w:t>from P. Wagner at Southern</w:t>
      </w:r>
      <w:r w:rsidRPr="00192471">
        <w:rPr>
          <w:i/>
        </w:rPr>
        <w:t xml:space="preserve"> Sun to </w:t>
      </w:r>
      <w:r>
        <w:rPr>
          <w:i/>
        </w:rPr>
        <w:t>Jerry Reid.</w:t>
      </w:r>
      <w:r w:rsidRPr="00192471">
        <w:rPr>
          <w:i/>
        </w:rPr>
        <w:t xml:space="preserve"> </w:t>
      </w:r>
      <w:r>
        <w:t>7 &amp; 8 December 1980.</w:t>
      </w:r>
    </w:p>
  </w:footnote>
  <w:footnote w:id="142">
    <w:p w14:paraId="40C42FD2" w14:textId="77777777" w:rsidR="005E6435" w:rsidRDefault="005E6435" w:rsidP="00CD4878">
      <w:pPr>
        <w:pStyle w:val="NoSpacing"/>
      </w:pPr>
      <w:r>
        <w:rPr>
          <w:rStyle w:val="FootnoteReference"/>
        </w:rPr>
        <w:footnoteRef/>
      </w:r>
      <w:r>
        <w:t xml:space="preserve"> J. &amp; J. Comaroff: </w:t>
      </w:r>
      <w:r>
        <w:rPr>
          <w:i/>
        </w:rPr>
        <w:t xml:space="preserve">Ethnicity Inc. </w:t>
      </w:r>
      <w:r>
        <w:t xml:space="preserve">The University of Chicago Press, Chicago, 2009, pp. 102-103. </w:t>
      </w:r>
    </w:p>
  </w:footnote>
  <w:footnote w:id="143">
    <w:p w14:paraId="416B52FF" w14:textId="77777777" w:rsidR="005E6435" w:rsidRDefault="005E6435" w:rsidP="00CD4878">
      <w:pPr>
        <w:pStyle w:val="NoSpacing"/>
      </w:pPr>
      <w:r>
        <w:rPr>
          <w:rStyle w:val="FootnoteReference"/>
        </w:rPr>
        <w:footnoteRef/>
      </w:r>
      <w:r>
        <w:t xml:space="preserve"> </w:t>
      </w:r>
      <w:r w:rsidRPr="00192471">
        <w:t>North-West Provincial Archives, Bophuthatswana Papers, Office of the President, 4.5.90</w:t>
      </w:r>
      <w:r>
        <w:t xml:space="preserve">: </w:t>
      </w:r>
      <w:r w:rsidRPr="00500F20">
        <w:rPr>
          <w:i/>
        </w:rPr>
        <w:t xml:space="preserve">Potential Spending Power of Southern Sun Hotels (Bophuthatswana) (Pty) Ltd. in Year One (1980). </w:t>
      </w:r>
      <w:r w:rsidRPr="00500F20">
        <w:t>27 June 1978, p. 12.</w:t>
      </w:r>
      <w:r>
        <w:t xml:space="preserve"> </w:t>
      </w:r>
    </w:p>
  </w:footnote>
  <w:footnote w:id="144">
    <w:p w14:paraId="4D5BD3F5" w14:textId="77777777" w:rsidR="005E6435" w:rsidRDefault="005E6435" w:rsidP="00CD4878">
      <w:pPr>
        <w:pStyle w:val="FootnoteText"/>
      </w:pPr>
      <w:r>
        <w:rPr>
          <w:rStyle w:val="FootnoteReference"/>
        </w:rPr>
        <w:footnoteRef/>
      </w:r>
      <w:r>
        <w:t xml:space="preserve"> </w:t>
      </w:r>
      <w:r>
        <w:rPr>
          <w:i/>
        </w:rPr>
        <w:t>Brief for Infrastructure</w:t>
      </w:r>
      <w:r>
        <w:t>, pp. 125-192.</w:t>
      </w:r>
    </w:p>
  </w:footnote>
  <w:footnote w:id="145">
    <w:p w14:paraId="56DF373E" w14:textId="77777777" w:rsidR="005E6435" w:rsidRPr="005033B6" w:rsidRDefault="005E6435" w:rsidP="00CD4878">
      <w:pPr>
        <w:pStyle w:val="FootnoteText"/>
        <w:rPr>
          <w:lang w:val="en-US"/>
        </w:rPr>
      </w:pPr>
      <w:r>
        <w:rPr>
          <w:rStyle w:val="FootnoteReference"/>
        </w:rPr>
        <w:footnoteRef/>
      </w:r>
      <w:r>
        <w:t xml:space="preserve"> </w:t>
      </w:r>
      <w:r>
        <w:rPr>
          <w:lang w:val="en-US"/>
        </w:rPr>
        <w:t xml:space="preserve">Morgan: </w:t>
      </w:r>
      <w:r>
        <w:rPr>
          <w:i/>
          <w:lang w:val="en-US"/>
        </w:rPr>
        <w:t>Sun City</w:t>
      </w:r>
      <w:r>
        <w:rPr>
          <w:lang w:val="en-US"/>
        </w:rPr>
        <w:t>, p. 8</w:t>
      </w:r>
    </w:p>
  </w:footnote>
  <w:footnote w:id="146">
    <w:p w14:paraId="4C572C2D" w14:textId="77777777" w:rsidR="005E6435" w:rsidRPr="002E00DE" w:rsidRDefault="005E6435" w:rsidP="00CD4878">
      <w:pPr>
        <w:pStyle w:val="FootnoteText"/>
        <w:rPr>
          <w:lang w:val="en-US"/>
        </w:rPr>
      </w:pPr>
      <w:r>
        <w:rPr>
          <w:rStyle w:val="FootnoteReference"/>
        </w:rPr>
        <w:footnoteRef/>
      </w:r>
      <w:r>
        <w:t xml:space="preserve"> </w:t>
      </w:r>
      <w:r>
        <w:rPr>
          <w:lang w:val="en-US"/>
        </w:rPr>
        <w:t xml:space="preserve">Anonymous 4: Interviewed by Nicola van der Merwe. </w:t>
      </w:r>
    </w:p>
  </w:footnote>
  <w:footnote w:id="147">
    <w:p w14:paraId="47468E58" w14:textId="77777777" w:rsidR="005E6435" w:rsidRPr="00FD0DF8" w:rsidRDefault="005E6435" w:rsidP="00CD4878">
      <w:pPr>
        <w:pStyle w:val="FootnoteText"/>
        <w:rPr>
          <w:lang w:val="en-US"/>
        </w:rPr>
      </w:pPr>
      <w:r>
        <w:rPr>
          <w:rStyle w:val="FootnoteReference"/>
        </w:rPr>
        <w:footnoteRef/>
      </w:r>
      <w:r>
        <w:t xml:space="preserve"> J. </w:t>
      </w:r>
      <w:r w:rsidRPr="007074B9">
        <w:rPr>
          <w:rStyle w:val="NoSpacingChar"/>
        </w:rPr>
        <w:t>Keenan:</w:t>
      </w:r>
      <w:r w:rsidRPr="00FD0DF8">
        <w:rPr>
          <w:rStyle w:val="NoSpacingChar"/>
        </w:rPr>
        <w:t xml:space="preserve"> ‘Report on the socio-economic effects of the Pilanesberg Game Reserve on the surrounding population and the attitudes of the surrounding population to the game reserve</w:t>
      </w:r>
      <w:r>
        <w:rPr>
          <w:rStyle w:val="NoSpacingChar"/>
        </w:rPr>
        <w:t>’</w:t>
      </w:r>
      <w:r w:rsidRPr="00FD0DF8">
        <w:rPr>
          <w:rStyle w:val="NoSpacingChar"/>
        </w:rPr>
        <w:t xml:space="preserve">, </w:t>
      </w:r>
      <w:r>
        <w:rPr>
          <w:rStyle w:val="NoSpacingChar"/>
        </w:rPr>
        <w:t xml:space="preserve">unpublished report, </w:t>
      </w:r>
      <w:r w:rsidRPr="00FD0DF8">
        <w:rPr>
          <w:rStyle w:val="NoSpacingChar"/>
        </w:rPr>
        <w:t>University of the Witwatersrand, on behalf of the Pilanesberg Game Reserve, South Africa, 1984.</w:t>
      </w:r>
    </w:p>
  </w:footnote>
  <w:footnote w:id="148">
    <w:p w14:paraId="78CF9132" w14:textId="77777777" w:rsidR="005E6435" w:rsidRPr="001904B1" w:rsidRDefault="005E6435" w:rsidP="00CD4878">
      <w:pPr>
        <w:pStyle w:val="FootnoteText"/>
        <w:rPr>
          <w:lang w:val="en-US"/>
        </w:rPr>
      </w:pPr>
      <w:r>
        <w:rPr>
          <w:rStyle w:val="FootnoteReference"/>
        </w:rPr>
        <w:footnoteRef/>
      </w:r>
      <w:r>
        <w:t xml:space="preserve"> Manson &amp; Mbenga: </w:t>
      </w:r>
      <w:r w:rsidRPr="006E44C2">
        <w:rPr>
          <w:i/>
        </w:rPr>
        <w:t xml:space="preserve">Land, Chiefs, Mining, </w:t>
      </w:r>
      <w:r>
        <w:t>p. 165</w:t>
      </w:r>
    </w:p>
  </w:footnote>
  <w:footnote w:id="149">
    <w:p w14:paraId="4E021317" w14:textId="77777777" w:rsidR="005E6435" w:rsidRPr="001904B1" w:rsidRDefault="005E6435" w:rsidP="00500F20">
      <w:pPr>
        <w:pStyle w:val="NoSpacing"/>
        <w:rPr>
          <w:lang w:val="en-US"/>
        </w:rPr>
      </w:pPr>
      <w:r>
        <w:rPr>
          <w:rStyle w:val="FootnoteReference"/>
        </w:rPr>
        <w:footnoteRef/>
      </w:r>
      <w:r>
        <w:t xml:space="preserve"> Rowan Cronje, a Zimbabwean, became a member of Lucas Mangope’s cabinet. He later became the Bophuthatswana Minister of Foreign Affairs in the early 1990s. </w:t>
      </w:r>
    </w:p>
  </w:footnote>
  <w:footnote w:id="150">
    <w:p w14:paraId="40A330CC" w14:textId="77777777" w:rsidR="005E6435" w:rsidRPr="00217C50" w:rsidRDefault="005E6435" w:rsidP="00500F20">
      <w:pPr>
        <w:pStyle w:val="NoSpacing"/>
        <w:rPr>
          <w:lang w:val="en-US"/>
        </w:rPr>
      </w:pPr>
      <w:r>
        <w:rPr>
          <w:rStyle w:val="FootnoteReference"/>
        </w:rPr>
        <w:footnoteRef/>
      </w:r>
      <w:r>
        <w:t xml:space="preserve"> Manson &amp; Mbenga: </w:t>
      </w:r>
      <w:r w:rsidRPr="001D0CC5">
        <w:rPr>
          <w:i/>
        </w:rPr>
        <w:t>Land, Chiefs, Mining</w:t>
      </w:r>
      <w:r>
        <w:rPr>
          <w:i/>
        </w:rPr>
        <w:t>’</w:t>
      </w:r>
      <w:r>
        <w:t>, p. 165.</w:t>
      </w:r>
    </w:p>
  </w:footnote>
  <w:footnote w:id="151">
    <w:p w14:paraId="4F93DAF9" w14:textId="77777777" w:rsidR="005E6435" w:rsidRDefault="005E6435" w:rsidP="00500F20">
      <w:pPr>
        <w:pStyle w:val="NoSpacing"/>
      </w:pPr>
      <w:r>
        <w:rPr>
          <w:rStyle w:val="FootnoteReference"/>
        </w:rPr>
        <w:footnoteRef/>
      </w:r>
      <w:r>
        <w:t xml:space="preserve"> </w:t>
      </w:r>
      <w:r>
        <w:rPr>
          <w:i/>
        </w:rPr>
        <w:t>Ibid,</w:t>
      </w:r>
      <w:r>
        <w:t xml:space="preserve"> pp. 27-28. </w:t>
      </w:r>
    </w:p>
  </w:footnote>
  <w:footnote w:id="152">
    <w:p w14:paraId="76446CA1" w14:textId="77777777" w:rsidR="005E6435" w:rsidRPr="00E5608F" w:rsidRDefault="005E6435" w:rsidP="00500F20">
      <w:pPr>
        <w:pStyle w:val="NoSpacing"/>
        <w:rPr>
          <w:lang w:val="en-US"/>
        </w:rPr>
      </w:pPr>
      <w:r>
        <w:rPr>
          <w:rStyle w:val="FootnoteReference"/>
        </w:rPr>
        <w:footnoteRef/>
      </w:r>
      <w:r w:rsidRPr="00500F20">
        <w:t>North-West Provincial Archive</w:t>
      </w:r>
      <w:r>
        <w:t xml:space="preserve">s, </w:t>
      </w:r>
      <w:r w:rsidRPr="00192471">
        <w:t>Bophuthatswana Papers, Office of the President</w:t>
      </w:r>
      <w:r>
        <w:t>, 4.5.90</w:t>
      </w:r>
      <w:r w:rsidRPr="00500F20">
        <w:rPr>
          <w:lang w:val="en-US"/>
        </w:rPr>
        <w:t xml:space="preserve">: </w:t>
      </w:r>
      <w:r w:rsidRPr="00500F20">
        <w:rPr>
          <w:i/>
          <w:lang w:val="en-US"/>
        </w:rPr>
        <w:t xml:space="preserve">List of Sun City employees sent to office of Lucas Mangope. </w:t>
      </w:r>
      <w:r w:rsidRPr="00500F20">
        <w:rPr>
          <w:lang w:val="en-US"/>
        </w:rPr>
        <w:t>26 October 1982, pp. 1-68.</w:t>
      </w:r>
    </w:p>
  </w:footnote>
  <w:footnote w:id="153">
    <w:p w14:paraId="3A084517" w14:textId="77777777" w:rsidR="005E6435" w:rsidRPr="00500F20" w:rsidRDefault="005E6435" w:rsidP="00CD4878">
      <w:pPr>
        <w:pStyle w:val="FootnoteText"/>
        <w:rPr>
          <w:lang w:val="en-US"/>
        </w:rPr>
      </w:pPr>
      <w:r w:rsidRPr="00500F20">
        <w:rPr>
          <w:rStyle w:val="FootnoteReference"/>
        </w:rPr>
        <w:footnoteRef/>
      </w:r>
      <w:r w:rsidRPr="00500F20">
        <w:t xml:space="preserve"> </w:t>
      </w:r>
      <w:r w:rsidRPr="00500F20">
        <w:rPr>
          <w:i/>
          <w:lang w:val="en-US"/>
        </w:rPr>
        <w:t xml:space="preserve">List of Sun City employees </w:t>
      </w:r>
      <w:r>
        <w:rPr>
          <w:i/>
          <w:lang w:val="en-US"/>
        </w:rPr>
        <w:t>sent to office of Lucas Mangope</w:t>
      </w:r>
      <w:r w:rsidRPr="00500F20">
        <w:rPr>
          <w:lang w:val="en-US"/>
        </w:rPr>
        <w:t xml:space="preserve">, pp. 1-68. </w:t>
      </w:r>
    </w:p>
  </w:footnote>
  <w:footnote w:id="154">
    <w:p w14:paraId="6A4F4CB5" w14:textId="77777777" w:rsidR="005E6435" w:rsidRPr="002E00DE" w:rsidRDefault="005E6435" w:rsidP="00CD4878">
      <w:pPr>
        <w:pStyle w:val="FootnoteText"/>
        <w:rPr>
          <w:lang w:val="en-US"/>
        </w:rPr>
      </w:pPr>
      <w:r w:rsidRPr="00500F20">
        <w:rPr>
          <w:rStyle w:val="FootnoteReference"/>
        </w:rPr>
        <w:footnoteRef/>
      </w:r>
      <w:r w:rsidRPr="00500F20">
        <w:t xml:space="preserve"> </w:t>
      </w:r>
      <w:r>
        <w:rPr>
          <w:i/>
        </w:rPr>
        <w:t>Ibid</w:t>
      </w:r>
      <w:r w:rsidRPr="00500F20">
        <w:rPr>
          <w:lang w:val="en-US"/>
        </w:rPr>
        <w:t>, pp. 1-68.</w:t>
      </w:r>
    </w:p>
  </w:footnote>
  <w:footnote w:id="155">
    <w:p w14:paraId="7F3EB549" w14:textId="77777777" w:rsidR="005E6435" w:rsidRPr="00DA6A70" w:rsidRDefault="005E6435" w:rsidP="00CD4878">
      <w:pPr>
        <w:pStyle w:val="FootnoteText"/>
        <w:rPr>
          <w:lang w:val="en-US"/>
        </w:rPr>
      </w:pPr>
      <w:r>
        <w:rPr>
          <w:rStyle w:val="FootnoteReference"/>
        </w:rPr>
        <w:footnoteRef/>
      </w:r>
      <w:r>
        <w:t xml:space="preserve"> </w:t>
      </w:r>
      <w:r>
        <w:rPr>
          <w:lang w:val="en-US"/>
        </w:rPr>
        <w:t xml:space="preserve">Dreyer: Interviewed by Nicola van der Merwe. </w:t>
      </w:r>
    </w:p>
  </w:footnote>
  <w:footnote w:id="156">
    <w:p w14:paraId="23BDA330" w14:textId="77777777" w:rsidR="005E6435" w:rsidRPr="00E034F6" w:rsidRDefault="005E6435" w:rsidP="00CD4878">
      <w:pPr>
        <w:pStyle w:val="FootnoteText"/>
        <w:rPr>
          <w:lang w:val="en-US"/>
        </w:rPr>
      </w:pPr>
      <w:r>
        <w:rPr>
          <w:rStyle w:val="FootnoteReference"/>
        </w:rPr>
        <w:footnoteRef/>
      </w:r>
      <w:r>
        <w:t xml:space="preserve"> Dreyer: Interviewed by Nicola van der Merwe. </w:t>
      </w:r>
    </w:p>
  </w:footnote>
  <w:footnote w:id="157">
    <w:p w14:paraId="3D2A310B" w14:textId="77777777" w:rsidR="005E6435" w:rsidRPr="009F775A" w:rsidRDefault="005E6435" w:rsidP="00CD4878">
      <w:pPr>
        <w:pStyle w:val="FootnoteText"/>
        <w:rPr>
          <w:lang w:val="en-US"/>
        </w:rPr>
      </w:pPr>
      <w:r>
        <w:rPr>
          <w:rStyle w:val="FootnoteReference"/>
        </w:rPr>
        <w:footnoteRef/>
      </w:r>
      <w:r>
        <w:t xml:space="preserve"> </w:t>
      </w:r>
      <w:r>
        <w:rPr>
          <w:i/>
        </w:rPr>
        <w:t>Ibid.</w:t>
      </w:r>
    </w:p>
  </w:footnote>
  <w:footnote w:id="158">
    <w:p w14:paraId="16A84D36" w14:textId="77777777" w:rsidR="005E6435" w:rsidRDefault="005E6435" w:rsidP="00CD4878">
      <w:pPr>
        <w:pStyle w:val="NoSpacing"/>
      </w:pPr>
      <w:r>
        <w:rPr>
          <w:rStyle w:val="FootnoteReference"/>
        </w:rPr>
        <w:footnoteRef/>
      </w:r>
      <w:r>
        <w:t xml:space="preserve"> H. Potgieter &amp; G. Cubitt: </w:t>
      </w:r>
      <w:r>
        <w:rPr>
          <w:i/>
        </w:rPr>
        <w:t xml:space="preserve">Sun City. </w:t>
      </w:r>
      <w:r>
        <w:t xml:space="preserve">C. Struik (Pty) Ltd., 1987, p. 1. </w:t>
      </w:r>
    </w:p>
  </w:footnote>
  <w:footnote w:id="159">
    <w:p w14:paraId="51A6DEC4" w14:textId="77777777" w:rsidR="005E6435" w:rsidRPr="00E034F6" w:rsidRDefault="005E6435" w:rsidP="00CD4878">
      <w:pPr>
        <w:pStyle w:val="FootnoteText"/>
        <w:rPr>
          <w:lang w:val="en-US"/>
        </w:rPr>
      </w:pPr>
      <w:r>
        <w:rPr>
          <w:rStyle w:val="FootnoteReference"/>
        </w:rPr>
        <w:footnoteRef/>
      </w:r>
      <w:r>
        <w:t xml:space="preserve"> Dreyer: Interviewed by Nicola van der Merwe. </w:t>
      </w:r>
    </w:p>
  </w:footnote>
  <w:footnote w:id="160">
    <w:p w14:paraId="09BCF05B" w14:textId="77777777" w:rsidR="005E6435" w:rsidRPr="004231AA" w:rsidRDefault="005E6435" w:rsidP="00CD4878">
      <w:pPr>
        <w:pStyle w:val="FootnoteText"/>
        <w:rPr>
          <w:lang w:val="en-US"/>
        </w:rPr>
      </w:pPr>
      <w:r>
        <w:rPr>
          <w:rStyle w:val="FootnoteReference"/>
        </w:rPr>
        <w:footnoteRef/>
      </w:r>
      <w:r>
        <w:t xml:space="preserve"> Anonymous 4: Interviewed by Nicola van der Merwe.</w:t>
      </w:r>
    </w:p>
  </w:footnote>
  <w:footnote w:id="161">
    <w:p w14:paraId="305D7CCC" w14:textId="77777777" w:rsidR="005E6435" w:rsidRPr="00E034F6" w:rsidRDefault="005E6435" w:rsidP="00CD4878">
      <w:pPr>
        <w:pStyle w:val="FootnoteText"/>
        <w:rPr>
          <w:lang w:val="en-US"/>
        </w:rPr>
      </w:pPr>
      <w:r>
        <w:rPr>
          <w:rStyle w:val="FootnoteReference"/>
        </w:rPr>
        <w:footnoteRef/>
      </w:r>
      <w:r>
        <w:t xml:space="preserve"> Dreyer: Interviewed by Nicola van der Merwe.</w:t>
      </w:r>
    </w:p>
  </w:footnote>
  <w:footnote w:id="162">
    <w:p w14:paraId="0D895842" w14:textId="77777777" w:rsidR="005E6435" w:rsidRPr="005E3F49" w:rsidRDefault="005E6435" w:rsidP="00CD4878">
      <w:pPr>
        <w:pStyle w:val="FootnoteText"/>
        <w:rPr>
          <w:lang w:val="en-US"/>
        </w:rPr>
      </w:pPr>
      <w:r>
        <w:rPr>
          <w:rStyle w:val="FootnoteReference"/>
        </w:rPr>
        <w:footnoteRef/>
      </w:r>
      <w:r>
        <w:t xml:space="preserve"> </w:t>
      </w:r>
      <w:r>
        <w:rPr>
          <w:i/>
        </w:rPr>
        <w:t>Ibid.</w:t>
      </w:r>
    </w:p>
  </w:footnote>
  <w:footnote w:id="163">
    <w:p w14:paraId="690B8DA7" w14:textId="77777777" w:rsidR="005E6435" w:rsidRPr="009177A3" w:rsidRDefault="005E6435" w:rsidP="00CD4878">
      <w:pPr>
        <w:pStyle w:val="FootnoteText"/>
        <w:rPr>
          <w:lang w:val="en-ZA"/>
        </w:rPr>
      </w:pPr>
      <w:r>
        <w:rPr>
          <w:rStyle w:val="FootnoteReference"/>
        </w:rPr>
        <w:footnoteRef/>
      </w:r>
      <w:r>
        <w:t xml:space="preserve"> </w:t>
      </w:r>
      <w:r w:rsidRPr="00F42595">
        <w:rPr>
          <w:rStyle w:val="NoSpacingChar"/>
        </w:rPr>
        <w:t xml:space="preserve">Sun International: </w:t>
      </w:r>
      <w:r w:rsidRPr="00500F20">
        <w:rPr>
          <w:rStyle w:val="NoSpacingChar"/>
          <w:i/>
        </w:rPr>
        <w:t>SunBop.</w:t>
      </w:r>
      <w:r w:rsidRPr="00F42595">
        <w:rPr>
          <w:rStyle w:val="NoSpacingChar"/>
        </w:rPr>
        <w:t>, October/November 1991</w:t>
      </w:r>
      <w:r>
        <w:rPr>
          <w:rStyle w:val="NoSpacingChar"/>
        </w:rPr>
        <w:t xml:space="preserve">, p. 8. </w:t>
      </w:r>
    </w:p>
  </w:footnote>
  <w:footnote w:id="164">
    <w:p w14:paraId="7B4629EA" w14:textId="77777777" w:rsidR="005E6435" w:rsidRPr="00F52BAB" w:rsidRDefault="005E6435" w:rsidP="00CD4878">
      <w:pPr>
        <w:pStyle w:val="NoSpacing"/>
      </w:pPr>
      <w:r>
        <w:rPr>
          <w:rStyle w:val="FootnoteReference"/>
        </w:rPr>
        <w:footnoteRef/>
      </w:r>
      <w:r>
        <w:t xml:space="preserve"> Sun International: </w:t>
      </w:r>
      <w:r w:rsidRPr="00500F20">
        <w:rPr>
          <w:i/>
        </w:rPr>
        <w:t>Letsatsing.</w:t>
      </w:r>
      <w:r>
        <w:t xml:space="preserve">. October 1985; Sun International: </w:t>
      </w:r>
      <w:r w:rsidRPr="001315DE">
        <w:rPr>
          <w:i/>
        </w:rPr>
        <w:t>SunBop</w:t>
      </w:r>
      <w:r>
        <w:t xml:space="preserve">. October/November 1991; Sun International: </w:t>
      </w:r>
      <w:r w:rsidRPr="00500F20">
        <w:rPr>
          <w:i/>
        </w:rPr>
        <w:t>Letsatsing.</w:t>
      </w:r>
      <w:r>
        <w:rPr>
          <w:i/>
        </w:rPr>
        <w:t xml:space="preserve">, </w:t>
      </w:r>
      <w:r>
        <w:t xml:space="preserve">June 1985; Sun International: </w:t>
      </w:r>
      <w:r w:rsidRPr="00500F20">
        <w:rPr>
          <w:i/>
        </w:rPr>
        <w:t>Letsatsing.</w:t>
      </w:r>
      <w:r>
        <w:rPr>
          <w:i/>
        </w:rPr>
        <w:t xml:space="preserve">, </w:t>
      </w:r>
      <w:r>
        <w:t xml:space="preserve">May 1985, Sun International: </w:t>
      </w:r>
      <w:r w:rsidRPr="00500F20">
        <w:rPr>
          <w:i/>
        </w:rPr>
        <w:t>Letsatsing.</w:t>
      </w:r>
      <w:r>
        <w:rPr>
          <w:i/>
        </w:rPr>
        <w:t xml:space="preserve">, </w:t>
      </w:r>
      <w:r>
        <w:t>July 1985.</w:t>
      </w:r>
    </w:p>
  </w:footnote>
  <w:footnote w:id="165">
    <w:p w14:paraId="4DC2E593" w14:textId="77777777" w:rsidR="005E6435" w:rsidRPr="009F775A" w:rsidRDefault="005E6435" w:rsidP="00CD4878">
      <w:pPr>
        <w:pStyle w:val="FootnoteText"/>
        <w:rPr>
          <w:lang w:val="en-US"/>
        </w:rPr>
      </w:pPr>
      <w:r>
        <w:rPr>
          <w:rStyle w:val="FootnoteReference"/>
        </w:rPr>
        <w:footnoteRef/>
      </w:r>
      <w:r>
        <w:t xml:space="preserve"> </w:t>
      </w:r>
      <w:r>
        <w:rPr>
          <w:lang w:val="en-US"/>
        </w:rPr>
        <w:t xml:space="preserve">Anonymous 4. Interviewed by Nicola van der Merwe. </w:t>
      </w:r>
    </w:p>
  </w:footnote>
  <w:footnote w:id="166">
    <w:p w14:paraId="48EE2413" w14:textId="77777777" w:rsidR="005E6435" w:rsidRPr="00B82759" w:rsidRDefault="005E6435" w:rsidP="00CD4878">
      <w:pPr>
        <w:pStyle w:val="FootnoteText"/>
        <w:rPr>
          <w:lang w:val="en-US"/>
        </w:rPr>
      </w:pPr>
      <w:r>
        <w:rPr>
          <w:rStyle w:val="FootnoteReference"/>
        </w:rPr>
        <w:footnoteRef/>
      </w:r>
      <w:r>
        <w:t xml:space="preserve"> </w:t>
      </w:r>
      <w:r>
        <w:rPr>
          <w:lang w:val="en-US"/>
        </w:rPr>
        <w:t xml:space="preserve">R. Morgan: </w:t>
      </w:r>
      <w:r>
        <w:rPr>
          <w:i/>
          <w:lang w:val="en-US"/>
        </w:rPr>
        <w:t xml:space="preserve">Sun City: Bophuthatswana Southern Africa. </w:t>
      </w:r>
      <w:r>
        <w:rPr>
          <w:lang w:val="en-US"/>
        </w:rPr>
        <w:t>Sun International, 1985, p. 16.</w:t>
      </w:r>
    </w:p>
  </w:footnote>
  <w:footnote w:id="167">
    <w:p w14:paraId="72EAC76A" w14:textId="77777777" w:rsidR="005E6435" w:rsidRPr="00ED4B9C" w:rsidRDefault="005E6435">
      <w:pPr>
        <w:pStyle w:val="FootnoteText"/>
        <w:rPr>
          <w:lang w:val="en-US"/>
        </w:rPr>
      </w:pPr>
      <w:r>
        <w:rPr>
          <w:rStyle w:val="FootnoteReference"/>
        </w:rPr>
        <w:footnoteRef/>
      </w:r>
      <w:r>
        <w:t xml:space="preserve"> </w:t>
      </w:r>
      <w:r>
        <w:rPr>
          <w:lang w:val="en-US"/>
        </w:rPr>
        <w:t xml:space="preserve">Dreyer: Interviewed by Nicola van der Merwe. </w:t>
      </w:r>
    </w:p>
  </w:footnote>
  <w:footnote w:id="168">
    <w:p w14:paraId="33F11788" w14:textId="77777777" w:rsidR="005E6435" w:rsidRDefault="005E6435" w:rsidP="00CD4878">
      <w:pPr>
        <w:pStyle w:val="NoSpacing"/>
      </w:pPr>
      <w:r>
        <w:rPr>
          <w:rStyle w:val="FootnoteReference"/>
        </w:rPr>
        <w:footnoteRef/>
      </w:r>
      <w:r>
        <w:t xml:space="preserve"> B. Saul: ‘Thousands Storm Civic Centre for Hotel Jobs.’ </w:t>
      </w:r>
      <w:r>
        <w:rPr>
          <w:i/>
        </w:rPr>
        <w:t xml:space="preserve">The Mail, </w:t>
      </w:r>
      <w:r>
        <w:t xml:space="preserve">18 July 1986. </w:t>
      </w:r>
    </w:p>
  </w:footnote>
  <w:footnote w:id="169">
    <w:p w14:paraId="43209725" w14:textId="77777777" w:rsidR="005E6435" w:rsidRPr="002E00DE" w:rsidRDefault="005E6435" w:rsidP="00CD4878">
      <w:pPr>
        <w:pStyle w:val="FootnoteText"/>
        <w:rPr>
          <w:lang w:val="en-US"/>
        </w:rPr>
      </w:pPr>
      <w:r>
        <w:rPr>
          <w:rStyle w:val="FootnoteReference"/>
        </w:rPr>
        <w:footnoteRef/>
      </w:r>
      <w:r>
        <w:t xml:space="preserve"> </w:t>
      </w:r>
      <w:r>
        <w:rPr>
          <w:lang w:val="en-US"/>
        </w:rPr>
        <w:t xml:space="preserve">Dreyer: Interviewed by Nicola van der Merwe </w:t>
      </w:r>
    </w:p>
  </w:footnote>
  <w:footnote w:id="170">
    <w:p w14:paraId="54533F01" w14:textId="77777777" w:rsidR="005E6435" w:rsidRPr="002D08CD" w:rsidRDefault="005E6435" w:rsidP="00CD4878">
      <w:pPr>
        <w:pStyle w:val="FootnoteText"/>
        <w:rPr>
          <w:lang w:val="en-US"/>
        </w:rPr>
      </w:pPr>
      <w:r>
        <w:rPr>
          <w:rStyle w:val="FootnoteReference"/>
        </w:rPr>
        <w:footnoteRef/>
      </w:r>
      <w:r>
        <w:t xml:space="preserve"> Sun International: </w:t>
      </w:r>
      <w:r w:rsidRPr="00500F20">
        <w:rPr>
          <w:i/>
        </w:rPr>
        <w:t>Letsatsing.</w:t>
      </w:r>
      <w:r>
        <w:t xml:space="preserve"> October 1985; Sun International: </w:t>
      </w:r>
      <w:r w:rsidRPr="00500F20">
        <w:rPr>
          <w:i/>
        </w:rPr>
        <w:t>SunBop.</w:t>
      </w:r>
      <w:r>
        <w:t xml:space="preserve"> October/November 1991; Sun International: </w:t>
      </w:r>
      <w:r w:rsidRPr="00500F20">
        <w:rPr>
          <w:i/>
        </w:rPr>
        <w:t>Letsatsing.</w:t>
      </w:r>
      <w:r>
        <w:t xml:space="preserve"> June 1985; Sun International: </w:t>
      </w:r>
      <w:r w:rsidRPr="00500F20">
        <w:rPr>
          <w:i/>
        </w:rPr>
        <w:t>Letsatsing.</w:t>
      </w:r>
      <w:r>
        <w:t xml:space="preserve"> May 1985, Sun International: </w:t>
      </w:r>
      <w:r w:rsidRPr="00500F20">
        <w:rPr>
          <w:i/>
        </w:rPr>
        <w:t>Letsatsing.</w:t>
      </w:r>
      <w:r>
        <w:t xml:space="preserve"> July 1985.</w:t>
      </w:r>
    </w:p>
  </w:footnote>
  <w:footnote w:id="171">
    <w:p w14:paraId="18A4FE08" w14:textId="77777777" w:rsidR="005E6435" w:rsidRPr="002D08CD" w:rsidRDefault="005E6435" w:rsidP="00CD4878">
      <w:pPr>
        <w:pStyle w:val="FootnoteText"/>
        <w:rPr>
          <w:lang w:val="en-US"/>
        </w:rPr>
      </w:pPr>
      <w:r>
        <w:rPr>
          <w:rStyle w:val="FootnoteReference"/>
        </w:rPr>
        <w:footnoteRef/>
      </w:r>
      <w:r>
        <w:t xml:space="preserve"> Sun International: </w:t>
      </w:r>
      <w:r>
        <w:rPr>
          <w:i/>
        </w:rPr>
        <w:t xml:space="preserve">Letsatsing. </w:t>
      </w:r>
      <w:r>
        <w:t>July 1985, p. 7.</w:t>
      </w:r>
    </w:p>
  </w:footnote>
  <w:footnote w:id="172">
    <w:p w14:paraId="0CB22544" w14:textId="77777777" w:rsidR="005E6435" w:rsidRPr="001C5B3C" w:rsidRDefault="005E6435" w:rsidP="00CD4878">
      <w:pPr>
        <w:pStyle w:val="FootnoteText"/>
        <w:rPr>
          <w:lang w:val="en-ZA"/>
        </w:rPr>
      </w:pPr>
      <w:r>
        <w:rPr>
          <w:rStyle w:val="FootnoteReference"/>
        </w:rPr>
        <w:footnoteRef/>
      </w:r>
      <w:r>
        <w:t xml:space="preserve"> </w:t>
      </w:r>
      <w:r>
        <w:rPr>
          <w:lang w:val="en-ZA"/>
        </w:rPr>
        <w:t xml:space="preserve">Sun International: </w:t>
      </w:r>
      <w:r w:rsidRPr="00500F20">
        <w:rPr>
          <w:i/>
        </w:rPr>
        <w:t>SunBop</w:t>
      </w:r>
      <w:r>
        <w:rPr>
          <w:lang w:val="en-ZA"/>
        </w:rPr>
        <w:t xml:space="preserve">. 1989, p.2. </w:t>
      </w:r>
    </w:p>
  </w:footnote>
  <w:footnote w:id="173">
    <w:p w14:paraId="294C6990" w14:textId="77777777" w:rsidR="005E6435" w:rsidRPr="00FD4C98" w:rsidRDefault="005E6435" w:rsidP="00CD4878">
      <w:pPr>
        <w:pStyle w:val="FootnoteText"/>
        <w:rPr>
          <w:lang w:val="en-US"/>
        </w:rPr>
      </w:pPr>
      <w:r>
        <w:rPr>
          <w:rStyle w:val="FootnoteReference"/>
        </w:rPr>
        <w:footnoteRef/>
      </w:r>
      <w:r>
        <w:t xml:space="preserve"> Manson &amp; Mbenga: </w:t>
      </w:r>
      <w:r w:rsidRPr="006E44C2">
        <w:rPr>
          <w:i/>
        </w:rPr>
        <w:t xml:space="preserve">Land, Chiefs, Mining, </w:t>
      </w:r>
      <w:r>
        <w:t>p. 165</w:t>
      </w:r>
    </w:p>
  </w:footnote>
  <w:footnote w:id="174">
    <w:p w14:paraId="737A7434" w14:textId="77777777" w:rsidR="005E6435" w:rsidRPr="00FA06CB" w:rsidRDefault="005E6435" w:rsidP="00CD4878">
      <w:pPr>
        <w:pStyle w:val="FootnoteText"/>
        <w:rPr>
          <w:lang w:val="en-US"/>
        </w:rPr>
      </w:pPr>
      <w:r>
        <w:rPr>
          <w:rStyle w:val="FootnoteReference"/>
        </w:rPr>
        <w:footnoteRef/>
      </w:r>
      <w:r>
        <w:t xml:space="preserve"> Dreyer: Interviewed by Nicola van der Merwe. </w:t>
      </w:r>
    </w:p>
  </w:footnote>
  <w:footnote w:id="175">
    <w:p w14:paraId="3BC8E641" w14:textId="77777777" w:rsidR="005E6435" w:rsidRPr="00376D52" w:rsidRDefault="005E6435" w:rsidP="00CD4878">
      <w:pPr>
        <w:pStyle w:val="FootnoteText"/>
        <w:rPr>
          <w:lang w:val="en-US"/>
        </w:rPr>
      </w:pPr>
      <w:r>
        <w:rPr>
          <w:rStyle w:val="FootnoteReference"/>
        </w:rPr>
        <w:footnoteRef/>
      </w:r>
      <w:r>
        <w:t xml:space="preserve"> </w:t>
      </w:r>
      <w:r>
        <w:rPr>
          <w:lang w:val="en-US"/>
        </w:rPr>
        <w:t>C. B</w:t>
      </w:r>
      <w:r>
        <w:rPr>
          <w:rFonts w:cs="Times New Roman"/>
          <w:lang w:val="en-US"/>
        </w:rPr>
        <w:t>ü</w:t>
      </w:r>
      <w:r>
        <w:rPr>
          <w:lang w:val="en-US"/>
        </w:rPr>
        <w:t>hrer: Interviewed by Nicola van der Merwe. Cape Town, 21 April 2016.</w:t>
      </w:r>
    </w:p>
  </w:footnote>
  <w:footnote w:id="176">
    <w:p w14:paraId="25360CBA" w14:textId="77777777" w:rsidR="005E6435" w:rsidRPr="00376D52" w:rsidRDefault="005E6435" w:rsidP="00CD4878">
      <w:pPr>
        <w:pStyle w:val="FootnoteText"/>
        <w:rPr>
          <w:lang w:val="en-US"/>
        </w:rPr>
      </w:pPr>
      <w:r>
        <w:rPr>
          <w:rStyle w:val="FootnoteReference"/>
        </w:rPr>
        <w:footnoteRef/>
      </w:r>
      <w:r>
        <w:t xml:space="preserve"> </w:t>
      </w:r>
      <w:r>
        <w:rPr>
          <w:lang w:val="en-US"/>
        </w:rPr>
        <w:t xml:space="preserve">P. Cackett: Interviewed by Nicola van der Merwe. Cape Town, 23 April 2016. </w:t>
      </w:r>
    </w:p>
  </w:footnote>
  <w:footnote w:id="177">
    <w:p w14:paraId="25930F7E" w14:textId="77777777" w:rsidR="005E6435" w:rsidRPr="00EE7A60" w:rsidRDefault="005E6435" w:rsidP="00CD4878">
      <w:pPr>
        <w:pStyle w:val="FootnoteText"/>
        <w:rPr>
          <w:lang w:val="en-US"/>
        </w:rPr>
      </w:pPr>
      <w:r>
        <w:rPr>
          <w:rStyle w:val="FootnoteReference"/>
        </w:rPr>
        <w:footnoteRef/>
      </w:r>
      <w:r>
        <w:t xml:space="preserve"> H. P</w:t>
      </w:r>
      <w:r w:rsidRPr="00754572">
        <w:t>ortenschlager</w:t>
      </w:r>
      <w:r>
        <w:t xml:space="preserve">: Interviewed by Nicola van der Merwe. </w:t>
      </w:r>
    </w:p>
  </w:footnote>
  <w:footnote w:id="178">
    <w:p w14:paraId="15C61909" w14:textId="77777777" w:rsidR="005E6435" w:rsidRPr="005E26A1" w:rsidRDefault="005E6435" w:rsidP="00CD4878">
      <w:pPr>
        <w:pStyle w:val="FootnoteText"/>
        <w:rPr>
          <w:lang w:val="en-US"/>
        </w:rPr>
      </w:pPr>
      <w:r>
        <w:rPr>
          <w:rStyle w:val="FootnoteReference"/>
        </w:rPr>
        <w:footnoteRef/>
      </w:r>
      <w:r>
        <w:t xml:space="preserve"> P</w:t>
      </w:r>
      <w:r w:rsidRPr="00754572">
        <w:t>ortenschlager</w:t>
      </w:r>
      <w:r>
        <w:t xml:space="preserve">: Interviewed by Nicola van der Merwe. </w:t>
      </w:r>
    </w:p>
  </w:footnote>
  <w:footnote w:id="179">
    <w:p w14:paraId="6BBB33F3" w14:textId="77777777" w:rsidR="005E6435" w:rsidRPr="002E00DE" w:rsidRDefault="005E6435" w:rsidP="00CD4878">
      <w:pPr>
        <w:pStyle w:val="FootnoteText"/>
        <w:rPr>
          <w:lang w:val="en-US"/>
        </w:rPr>
      </w:pPr>
      <w:r>
        <w:rPr>
          <w:rStyle w:val="FootnoteReference"/>
        </w:rPr>
        <w:footnoteRef/>
      </w:r>
      <w:r>
        <w:t xml:space="preserve"> </w:t>
      </w:r>
      <w:r>
        <w:rPr>
          <w:i/>
        </w:rPr>
        <w:t xml:space="preserve">Ibid. </w:t>
      </w:r>
    </w:p>
  </w:footnote>
  <w:footnote w:id="180">
    <w:p w14:paraId="07C4EEA3" w14:textId="77777777" w:rsidR="005E6435" w:rsidRPr="003C22EC" w:rsidRDefault="005E6435" w:rsidP="00CD4878">
      <w:pPr>
        <w:pStyle w:val="FootnoteText"/>
        <w:rPr>
          <w:lang w:val="en-US"/>
        </w:rPr>
      </w:pPr>
      <w:r>
        <w:rPr>
          <w:rStyle w:val="FootnoteReference"/>
        </w:rPr>
        <w:footnoteRef/>
      </w:r>
      <w:r>
        <w:t xml:space="preserve"> P</w:t>
      </w:r>
      <w:r w:rsidRPr="00754572">
        <w:t>ortenschlager</w:t>
      </w:r>
      <w:r>
        <w:t>: Interviewed by Nicola van der Merwe.</w:t>
      </w:r>
    </w:p>
  </w:footnote>
  <w:footnote w:id="181">
    <w:p w14:paraId="29039259" w14:textId="77777777" w:rsidR="005E6435" w:rsidRPr="00E034F6" w:rsidRDefault="005E6435" w:rsidP="00CD4878">
      <w:pPr>
        <w:pStyle w:val="FootnoteText"/>
        <w:rPr>
          <w:lang w:val="en-US"/>
        </w:rPr>
      </w:pPr>
      <w:r>
        <w:rPr>
          <w:rStyle w:val="FootnoteReference"/>
        </w:rPr>
        <w:footnoteRef/>
      </w:r>
      <w:r>
        <w:t xml:space="preserve"> Dreyer: Interviewed by Nicola van der Merwe. </w:t>
      </w:r>
    </w:p>
  </w:footnote>
  <w:footnote w:id="182">
    <w:p w14:paraId="09121D7A" w14:textId="77777777" w:rsidR="005E6435" w:rsidRPr="00EA5C7C" w:rsidRDefault="005E6435" w:rsidP="00CD4878">
      <w:pPr>
        <w:pStyle w:val="FootnoteText"/>
        <w:rPr>
          <w:lang w:val="en-US"/>
        </w:rPr>
      </w:pPr>
      <w:r>
        <w:rPr>
          <w:rStyle w:val="FootnoteReference"/>
        </w:rPr>
        <w:footnoteRef/>
      </w:r>
      <w:r>
        <w:t xml:space="preserve"> Anonymous 4: Interviewed by Nicola van der Merwe. </w:t>
      </w:r>
    </w:p>
  </w:footnote>
  <w:footnote w:id="183">
    <w:p w14:paraId="17018D31" w14:textId="77777777" w:rsidR="005E6435" w:rsidRPr="006F2227" w:rsidRDefault="005E6435" w:rsidP="00CD4878">
      <w:pPr>
        <w:pStyle w:val="FootnoteText"/>
        <w:rPr>
          <w:lang w:val="en-US"/>
        </w:rPr>
      </w:pPr>
      <w:r>
        <w:rPr>
          <w:rStyle w:val="FootnoteReference"/>
        </w:rPr>
        <w:footnoteRef/>
      </w:r>
      <w:r>
        <w:t xml:space="preserve"> </w:t>
      </w:r>
      <w:r>
        <w:rPr>
          <w:i/>
        </w:rPr>
        <w:t>Ibid.</w:t>
      </w:r>
    </w:p>
  </w:footnote>
  <w:footnote w:id="184">
    <w:p w14:paraId="3192494C" w14:textId="77777777" w:rsidR="005E6435" w:rsidRPr="00C9690F" w:rsidRDefault="005E6435" w:rsidP="00CD4878">
      <w:pPr>
        <w:pStyle w:val="FootnoteText"/>
        <w:rPr>
          <w:lang w:val="en-US"/>
        </w:rPr>
      </w:pPr>
      <w:r>
        <w:rPr>
          <w:rStyle w:val="FootnoteReference"/>
        </w:rPr>
        <w:footnoteRef/>
      </w:r>
      <w:r>
        <w:t xml:space="preserve"> Sun International: </w:t>
      </w:r>
      <w:r w:rsidRPr="00500F20">
        <w:rPr>
          <w:i/>
        </w:rPr>
        <w:t>Letsatsing.</w:t>
      </w:r>
      <w:r>
        <w:rPr>
          <w:i/>
        </w:rPr>
        <w:t xml:space="preserve"> </w:t>
      </w:r>
      <w:r>
        <w:t xml:space="preserve">October 1985, p. 10. </w:t>
      </w:r>
    </w:p>
  </w:footnote>
  <w:footnote w:id="185">
    <w:p w14:paraId="5412C0CD" w14:textId="77777777" w:rsidR="005E6435" w:rsidRPr="00681A84" w:rsidRDefault="005E6435" w:rsidP="00CD4878">
      <w:pPr>
        <w:pStyle w:val="FootnoteText"/>
        <w:rPr>
          <w:lang w:val="en-US"/>
        </w:rPr>
      </w:pPr>
      <w:r>
        <w:rPr>
          <w:rStyle w:val="FootnoteReference"/>
        </w:rPr>
        <w:footnoteRef/>
      </w:r>
      <w:r>
        <w:t xml:space="preserve"> </w:t>
      </w:r>
      <w:r>
        <w:rPr>
          <w:i/>
        </w:rPr>
        <w:t>Ibid,</w:t>
      </w:r>
      <w:r>
        <w:t xml:space="preserve"> May 1985, p. 13. </w:t>
      </w:r>
    </w:p>
  </w:footnote>
  <w:footnote w:id="186">
    <w:p w14:paraId="6E7B4A4B" w14:textId="77777777" w:rsidR="005E6435" w:rsidRPr="00681A84" w:rsidRDefault="005E6435" w:rsidP="006E44C2">
      <w:pPr>
        <w:pStyle w:val="FootnoteText"/>
        <w:jc w:val="left"/>
        <w:rPr>
          <w:lang w:val="en-US"/>
        </w:rPr>
      </w:pPr>
      <w:r>
        <w:rPr>
          <w:rStyle w:val="FootnoteReference"/>
        </w:rPr>
        <w:footnoteRef/>
      </w:r>
      <w:r>
        <w:t xml:space="preserve"> Sun International: </w:t>
      </w:r>
      <w:r w:rsidRPr="00500F20">
        <w:rPr>
          <w:i/>
        </w:rPr>
        <w:t>Letsatsing.</w:t>
      </w:r>
      <w:r>
        <w:t xml:space="preserve"> May 1985, p. 8. </w:t>
      </w:r>
    </w:p>
  </w:footnote>
  <w:footnote w:id="187">
    <w:p w14:paraId="0ADE0693" w14:textId="77777777" w:rsidR="005E6435" w:rsidRPr="00392745" w:rsidRDefault="005E6435" w:rsidP="006E44C2">
      <w:pPr>
        <w:pStyle w:val="FootnoteText"/>
        <w:jc w:val="left"/>
        <w:rPr>
          <w:lang w:val="en-US"/>
        </w:rPr>
      </w:pPr>
      <w:r>
        <w:rPr>
          <w:rStyle w:val="FootnoteReference"/>
        </w:rPr>
        <w:footnoteRef/>
      </w:r>
      <w:r>
        <w:t xml:space="preserve"> </w:t>
      </w:r>
      <w:r w:rsidRPr="006E44C2">
        <w:t>NASA</w:t>
      </w:r>
      <w:r>
        <w:t xml:space="preserve">, BTS, 1/230/3/2: </w:t>
      </w:r>
      <w:r w:rsidRPr="006E44C2">
        <w:rPr>
          <w:i/>
        </w:rPr>
        <w:t>Agreement between South Africa and Bophuthatswana: The Hotel School at GaRankuwa, Bophuthatswana: 1977.</w:t>
      </w:r>
      <w:r w:rsidRPr="006E44C2">
        <w:t xml:space="preserve"> </w:t>
      </w:r>
    </w:p>
  </w:footnote>
  <w:footnote w:id="188">
    <w:p w14:paraId="02AEFB77" w14:textId="77777777" w:rsidR="005E6435" w:rsidRPr="00C40FE4" w:rsidRDefault="005E6435" w:rsidP="006E44C2">
      <w:pPr>
        <w:pStyle w:val="FootnoteText"/>
        <w:jc w:val="left"/>
        <w:rPr>
          <w:lang w:val="en-US"/>
        </w:rPr>
      </w:pPr>
      <w:r>
        <w:rPr>
          <w:rStyle w:val="FootnoteReference"/>
        </w:rPr>
        <w:footnoteRef/>
      </w:r>
      <w:r>
        <w:t xml:space="preserve"> Sun International: </w:t>
      </w:r>
      <w:r w:rsidRPr="00500F20">
        <w:rPr>
          <w:i/>
        </w:rPr>
        <w:t>Letsatsing.</w:t>
      </w:r>
      <w:r>
        <w:t xml:space="preserve"> July 1985, p. 12. </w:t>
      </w:r>
    </w:p>
  </w:footnote>
  <w:footnote w:id="189">
    <w:p w14:paraId="0DF1B157" w14:textId="77777777" w:rsidR="005E6435" w:rsidRPr="002E00DE" w:rsidRDefault="005E6435" w:rsidP="006E44C2">
      <w:pPr>
        <w:pStyle w:val="FootnoteText"/>
        <w:jc w:val="left"/>
        <w:rPr>
          <w:lang w:val="en-US"/>
        </w:rPr>
      </w:pPr>
      <w:r>
        <w:rPr>
          <w:rStyle w:val="FootnoteReference"/>
        </w:rPr>
        <w:footnoteRef/>
      </w:r>
      <w:r>
        <w:t xml:space="preserve"> </w:t>
      </w:r>
      <w:r>
        <w:rPr>
          <w:i/>
        </w:rPr>
        <w:t>Ibid</w:t>
      </w:r>
      <w:r>
        <w:t>, p. 10.</w:t>
      </w:r>
    </w:p>
  </w:footnote>
  <w:footnote w:id="190">
    <w:p w14:paraId="0C2D176D" w14:textId="77777777" w:rsidR="005E6435" w:rsidRPr="00EA5C7C" w:rsidRDefault="005E6435" w:rsidP="00CD4878">
      <w:pPr>
        <w:pStyle w:val="FootnoteText"/>
        <w:rPr>
          <w:lang w:val="en-US"/>
        </w:rPr>
      </w:pPr>
      <w:r>
        <w:rPr>
          <w:rStyle w:val="FootnoteReference"/>
        </w:rPr>
        <w:footnoteRef/>
      </w:r>
      <w:r>
        <w:t xml:space="preserve"> S. Buthelezi: Interviewed by Nicola van der Merwe. Sun City, 6 May 2016.</w:t>
      </w:r>
    </w:p>
  </w:footnote>
  <w:footnote w:id="191">
    <w:p w14:paraId="38E85949" w14:textId="77777777" w:rsidR="005E6435" w:rsidRPr="002D08CD" w:rsidRDefault="005E6435" w:rsidP="00CD4878">
      <w:pPr>
        <w:pStyle w:val="FootnoteText"/>
        <w:rPr>
          <w:lang w:val="en-US"/>
        </w:rPr>
      </w:pPr>
      <w:r>
        <w:rPr>
          <w:rStyle w:val="FootnoteReference"/>
        </w:rPr>
        <w:footnoteRef/>
      </w:r>
      <w:r>
        <w:t xml:space="preserve"> Sun International: </w:t>
      </w:r>
      <w:r w:rsidRPr="00500F20">
        <w:rPr>
          <w:i/>
        </w:rPr>
        <w:t>Letsatsing.</w:t>
      </w:r>
      <w:r>
        <w:t xml:space="preserve"> May 1985, p. 19. </w:t>
      </w:r>
    </w:p>
  </w:footnote>
  <w:footnote w:id="192">
    <w:p w14:paraId="44B61132" w14:textId="77777777" w:rsidR="005E6435" w:rsidRPr="00595C6E" w:rsidRDefault="005E6435" w:rsidP="00CD4878">
      <w:pPr>
        <w:pStyle w:val="FootnoteText"/>
        <w:rPr>
          <w:lang w:val="en-US"/>
        </w:rPr>
      </w:pPr>
      <w:r>
        <w:rPr>
          <w:rStyle w:val="FootnoteReference"/>
        </w:rPr>
        <w:footnoteRef/>
      </w:r>
      <w:r>
        <w:t xml:space="preserve"> </w:t>
      </w:r>
      <w:r>
        <w:rPr>
          <w:i/>
        </w:rPr>
        <w:t>Ibid,</w:t>
      </w:r>
      <w:r>
        <w:t xml:space="preserve"> July 1986, p. 3.</w:t>
      </w:r>
    </w:p>
  </w:footnote>
  <w:footnote w:id="193">
    <w:p w14:paraId="17BE968A" w14:textId="77777777" w:rsidR="005E6435" w:rsidRPr="00D74623" w:rsidRDefault="005E6435" w:rsidP="00CD4878">
      <w:pPr>
        <w:pStyle w:val="FootnoteText"/>
        <w:rPr>
          <w:lang w:val="en-US"/>
        </w:rPr>
      </w:pPr>
      <w:r>
        <w:rPr>
          <w:rStyle w:val="FootnoteReference"/>
        </w:rPr>
        <w:footnoteRef/>
      </w:r>
      <w:r>
        <w:t xml:space="preserve"> J. Ketane: Interviewed by Nicola van der Merwe. Ledig, 26 April 2016. </w:t>
      </w:r>
    </w:p>
  </w:footnote>
  <w:footnote w:id="194">
    <w:p w14:paraId="05A1EAC7" w14:textId="77777777" w:rsidR="005E6435" w:rsidRPr="00852BB5" w:rsidRDefault="005E6435" w:rsidP="00CD4878">
      <w:pPr>
        <w:pStyle w:val="NoSpacing"/>
      </w:pPr>
      <w:r>
        <w:rPr>
          <w:rStyle w:val="FootnoteReference"/>
        </w:rPr>
        <w:footnoteRef/>
      </w:r>
      <w:r>
        <w:t xml:space="preserve"> Ketane: Interviewed by Nicola van der Merwe. </w:t>
      </w:r>
    </w:p>
  </w:footnote>
  <w:footnote w:id="195">
    <w:p w14:paraId="2FB88213" w14:textId="77777777" w:rsidR="005E6435" w:rsidRPr="003521F1" w:rsidRDefault="005E6435" w:rsidP="00CD4878">
      <w:pPr>
        <w:pStyle w:val="FootnoteText"/>
        <w:rPr>
          <w:lang w:val="en-US"/>
        </w:rPr>
      </w:pPr>
      <w:r>
        <w:rPr>
          <w:rStyle w:val="FootnoteReference"/>
        </w:rPr>
        <w:footnoteRef/>
      </w:r>
      <w:r>
        <w:t xml:space="preserve"> </w:t>
      </w:r>
      <w:r>
        <w:rPr>
          <w:lang w:val="en-US"/>
        </w:rPr>
        <w:t xml:space="preserve">Tsepho: </w:t>
      </w:r>
      <w:r>
        <w:t xml:space="preserve">Interviewed by Nicola van der Merwe. </w:t>
      </w:r>
    </w:p>
  </w:footnote>
  <w:footnote w:id="196">
    <w:p w14:paraId="5462EC11" w14:textId="77777777" w:rsidR="005E6435" w:rsidRPr="00D74623" w:rsidRDefault="005E6435" w:rsidP="00CD4878">
      <w:pPr>
        <w:pStyle w:val="FootnoteText"/>
        <w:rPr>
          <w:lang w:val="en-US"/>
        </w:rPr>
      </w:pPr>
      <w:r>
        <w:rPr>
          <w:rStyle w:val="FootnoteReference"/>
        </w:rPr>
        <w:footnoteRef/>
      </w:r>
      <w:r>
        <w:t xml:space="preserve"> Ketane: Interviewed by Nicola van der Merwe. </w:t>
      </w:r>
    </w:p>
  </w:footnote>
  <w:footnote w:id="197">
    <w:p w14:paraId="720727DB" w14:textId="77777777" w:rsidR="005E6435" w:rsidRPr="00FE475A" w:rsidRDefault="005E6435" w:rsidP="00CD4878">
      <w:pPr>
        <w:pStyle w:val="FootnoteText"/>
        <w:rPr>
          <w:lang w:val="en-US"/>
        </w:rPr>
      </w:pPr>
      <w:r>
        <w:rPr>
          <w:rStyle w:val="FootnoteReference"/>
        </w:rPr>
        <w:footnoteRef/>
      </w:r>
      <w:r>
        <w:t xml:space="preserve"> </w:t>
      </w:r>
      <w:r>
        <w:rPr>
          <w:lang w:val="en-US"/>
        </w:rPr>
        <w:t xml:space="preserve">Anonymous 4: Interviewed by Nicola van der Merwe. </w:t>
      </w:r>
    </w:p>
  </w:footnote>
  <w:footnote w:id="198">
    <w:p w14:paraId="1790FB0A" w14:textId="77777777" w:rsidR="005E6435" w:rsidRPr="00D74623" w:rsidRDefault="005E6435" w:rsidP="00CD4878">
      <w:pPr>
        <w:pStyle w:val="FootnoteText"/>
        <w:rPr>
          <w:lang w:val="en-US"/>
        </w:rPr>
      </w:pPr>
      <w:r>
        <w:rPr>
          <w:rStyle w:val="FootnoteReference"/>
        </w:rPr>
        <w:footnoteRef/>
      </w:r>
      <w:r>
        <w:t xml:space="preserve"> Ketane: Interviewed by Nicola van der Merwe. </w:t>
      </w:r>
    </w:p>
  </w:footnote>
  <w:footnote w:id="199">
    <w:p w14:paraId="2FFB797D" w14:textId="77777777" w:rsidR="005E6435" w:rsidRPr="00892211" w:rsidRDefault="005E6435" w:rsidP="00CD4878">
      <w:pPr>
        <w:pStyle w:val="FootnoteText"/>
        <w:rPr>
          <w:lang w:val="en-US"/>
        </w:rPr>
      </w:pPr>
      <w:r>
        <w:rPr>
          <w:rStyle w:val="FootnoteReference"/>
        </w:rPr>
        <w:footnoteRef/>
      </w:r>
      <w:r>
        <w:t xml:space="preserve"> </w:t>
      </w:r>
      <w:r w:rsidRPr="007074B9">
        <w:rPr>
          <w:rStyle w:val="NoSpacingChar"/>
        </w:rPr>
        <w:t>Keenan:</w:t>
      </w:r>
      <w:r w:rsidRPr="00FD0DF8">
        <w:rPr>
          <w:rStyle w:val="NoSpacingChar"/>
        </w:rPr>
        <w:t xml:space="preserve"> ‘Report on the socio-economic effects of the Pilanesberg</w:t>
      </w:r>
      <w:r>
        <w:rPr>
          <w:rStyle w:val="NoSpacingChar"/>
        </w:rPr>
        <w:t xml:space="preserve"> Game Reserve’.</w:t>
      </w:r>
    </w:p>
  </w:footnote>
  <w:footnote w:id="200">
    <w:p w14:paraId="5D70757E" w14:textId="77777777" w:rsidR="005E6435" w:rsidRPr="00281E71" w:rsidRDefault="005E6435" w:rsidP="00CD4878">
      <w:pPr>
        <w:pStyle w:val="FootnoteText"/>
        <w:rPr>
          <w:lang w:val="en-US"/>
        </w:rPr>
      </w:pPr>
      <w:r>
        <w:rPr>
          <w:rStyle w:val="FootnoteReference"/>
        </w:rPr>
        <w:footnoteRef/>
      </w:r>
      <w:r>
        <w:t xml:space="preserve"> </w:t>
      </w:r>
      <w:r w:rsidRPr="004A2980">
        <w:t>B. Mbenga. &amp;</w:t>
      </w:r>
      <w:r>
        <w:t xml:space="preserve"> </w:t>
      </w:r>
      <w:r w:rsidRPr="004A2980">
        <w:t xml:space="preserve">A.  Manson: </w:t>
      </w:r>
      <w:r w:rsidRPr="005D724A">
        <w:rPr>
          <w:i/>
        </w:rPr>
        <w:t>Peoples of the Pilanesberg Region of South Africa: A History</w:t>
      </w:r>
      <w:r w:rsidRPr="004A2980">
        <w:t xml:space="preserve">. </w:t>
      </w:r>
      <w:r>
        <w:t>Unpublished Paper, August 2008, pp. 27-28.</w:t>
      </w:r>
    </w:p>
  </w:footnote>
  <w:footnote w:id="201">
    <w:p w14:paraId="3E584EBF" w14:textId="77777777" w:rsidR="005E6435" w:rsidRPr="004C51F8" w:rsidRDefault="005E6435" w:rsidP="00CD4878">
      <w:pPr>
        <w:pStyle w:val="NoSpacing"/>
      </w:pPr>
      <w:r>
        <w:rPr>
          <w:rStyle w:val="FootnoteReference"/>
        </w:rPr>
        <w:footnoteRef/>
      </w:r>
      <w:r>
        <w:t xml:space="preserve"> M. Kirsten &amp; C.M. Rogerson: ‘Tourism, business linkages and small enterprise development in South Africa.’ </w:t>
      </w:r>
      <w:r>
        <w:rPr>
          <w:i/>
        </w:rPr>
        <w:t xml:space="preserve">Development Southern Africa, </w:t>
      </w:r>
      <w:r>
        <w:t xml:space="preserve">(2010, 19:1), p. 32. </w:t>
      </w:r>
    </w:p>
  </w:footnote>
  <w:footnote w:id="202">
    <w:p w14:paraId="5CD1C569" w14:textId="77777777" w:rsidR="005E6435" w:rsidRPr="00E5608F" w:rsidRDefault="005E6435" w:rsidP="00CD4878">
      <w:pPr>
        <w:pStyle w:val="FootnoteText"/>
        <w:rPr>
          <w:lang w:val="en-US"/>
        </w:rPr>
      </w:pPr>
      <w:r>
        <w:rPr>
          <w:rStyle w:val="FootnoteReference"/>
        </w:rPr>
        <w:footnoteRef/>
      </w:r>
      <w:r>
        <w:t xml:space="preserve"> </w:t>
      </w:r>
      <w:r>
        <w:rPr>
          <w:lang w:val="en-US"/>
        </w:rPr>
        <w:t xml:space="preserve">Tsepho: </w:t>
      </w:r>
      <w:r>
        <w:t>Interviewed by Nicola van der Merwe.</w:t>
      </w:r>
    </w:p>
  </w:footnote>
  <w:footnote w:id="203">
    <w:p w14:paraId="768F26AE" w14:textId="77777777" w:rsidR="005E6435" w:rsidRPr="005232E9" w:rsidRDefault="005E6435" w:rsidP="00CD4878">
      <w:pPr>
        <w:pStyle w:val="FootnoteText"/>
        <w:rPr>
          <w:lang w:val="en-US"/>
        </w:rPr>
      </w:pPr>
      <w:r>
        <w:rPr>
          <w:rStyle w:val="FootnoteReference"/>
        </w:rPr>
        <w:footnoteRef/>
      </w:r>
      <w:r>
        <w:t xml:space="preserve"> P</w:t>
      </w:r>
      <w:r w:rsidRPr="00754572">
        <w:t>ortenschlager</w:t>
      </w:r>
      <w:r>
        <w:t>: Interviewed by Nicola van der Merwe; Anonymous 4: Interviewed by Nicola van der Merwe.</w:t>
      </w:r>
    </w:p>
  </w:footnote>
  <w:footnote w:id="204">
    <w:p w14:paraId="6CCBE3BC" w14:textId="77777777" w:rsidR="005E6435" w:rsidRPr="009D72FF" w:rsidRDefault="005E6435" w:rsidP="002F536C">
      <w:pPr>
        <w:pStyle w:val="FootnoteText"/>
        <w:rPr>
          <w:lang w:val="en-US"/>
        </w:rPr>
      </w:pPr>
      <w:r>
        <w:rPr>
          <w:rStyle w:val="FootnoteReference"/>
        </w:rPr>
        <w:footnoteRef/>
      </w:r>
      <w:r>
        <w:t xml:space="preserve"> H. Potgieter &amp; G. Cubitt: </w:t>
      </w:r>
      <w:r>
        <w:rPr>
          <w:i/>
        </w:rPr>
        <w:t xml:space="preserve">Sun City. </w:t>
      </w:r>
      <w:r>
        <w:t>C. Struik (Pty) Ltd., 1987, p. 10-22</w:t>
      </w:r>
    </w:p>
  </w:footnote>
  <w:footnote w:id="205">
    <w:p w14:paraId="64EC8D52" w14:textId="77777777" w:rsidR="005E6435" w:rsidRPr="006E44C2" w:rsidRDefault="005E6435" w:rsidP="006E44C2">
      <w:pPr>
        <w:pStyle w:val="FootnoteText"/>
        <w:jc w:val="left"/>
      </w:pPr>
      <w:r>
        <w:rPr>
          <w:rStyle w:val="FootnoteReference"/>
        </w:rPr>
        <w:footnoteRef/>
      </w:r>
      <w:r>
        <w:t xml:space="preserve"> Morgan: </w:t>
      </w:r>
      <w:r>
        <w:rPr>
          <w:i/>
        </w:rPr>
        <w:t>Sun City,</w:t>
      </w:r>
      <w:r>
        <w:t xml:space="preserve"> p. 6.</w:t>
      </w:r>
    </w:p>
  </w:footnote>
  <w:footnote w:id="206">
    <w:p w14:paraId="61F65D87" w14:textId="77777777" w:rsidR="005E6435" w:rsidRPr="00DE526F" w:rsidRDefault="005E6435" w:rsidP="002F536C">
      <w:pPr>
        <w:pStyle w:val="FootnoteText"/>
        <w:rPr>
          <w:lang w:val="en-US"/>
        </w:rPr>
      </w:pPr>
      <w:r>
        <w:rPr>
          <w:rStyle w:val="FootnoteReference"/>
        </w:rPr>
        <w:footnoteRef/>
      </w:r>
      <w:r>
        <w:t xml:space="preserve"> M. West: Interviewed by Nicola van der Merwe. Saldhana Bay, 21 April 2016.</w:t>
      </w:r>
    </w:p>
  </w:footnote>
  <w:footnote w:id="207">
    <w:p w14:paraId="436EDC9C" w14:textId="77777777" w:rsidR="005E6435" w:rsidRPr="00F53297" w:rsidRDefault="005E6435" w:rsidP="002F536C">
      <w:pPr>
        <w:pStyle w:val="FootnoteText"/>
        <w:rPr>
          <w:lang w:val="en-US"/>
        </w:rPr>
      </w:pPr>
      <w:r>
        <w:rPr>
          <w:rStyle w:val="FootnoteReference"/>
        </w:rPr>
        <w:footnoteRef/>
      </w:r>
      <w:r>
        <w:t xml:space="preserve"> </w:t>
      </w:r>
      <w:r>
        <w:rPr>
          <w:lang w:val="en-US"/>
        </w:rPr>
        <w:t xml:space="preserve">J.C. Desmond: </w:t>
      </w:r>
      <w:r w:rsidRPr="00F53297">
        <w:rPr>
          <w:i/>
          <w:lang w:val="en-US"/>
        </w:rPr>
        <w:t>Staging Tourism: Bodies on Display from Waikiki to Sea World.</w:t>
      </w:r>
      <w:r>
        <w:rPr>
          <w:i/>
          <w:lang w:val="en-US"/>
        </w:rPr>
        <w:t xml:space="preserve"> </w:t>
      </w:r>
      <w:r>
        <w:rPr>
          <w:lang w:val="en-US"/>
        </w:rPr>
        <w:t xml:space="preserve">Chicago University Press, Chicago, xviii. </w:t>
      </w:r>
    </w:p>
  </w:footnote>
  <w:footnote w:id="208">
    <w:p w14:paraId="0F121AFA" w14:textId="77777777" w:rsidR="005E6435" w:rsidRPr="009D62E6" w:rsidRDefault="005E6435" w:rsidP="002F536C">
      <w:pPr>
        <w:pStyle w:val="FootnoteText"/>
        <w:rPr>
          <w:lang w:val="en-US"/>
        </w:rPr>
      </w:pPr>
      <w:r>
        <w:rPr>
          <w:rStyle w:val="FootnoteReference"/>
        </w:rPr>
        <w:footnoteRef/>
      </w:r>
      <w:r>
        <w:t xml:space="preserve"> </w:t>
      </w:r>
      <w:r>
        <w:rPr>
          <w:noProof/>
          <w:lang w:val="en-US"/>
        </w:rPr>
        <w:t xml:space="preserve">Morgan: </w:t>
      </w:r>
      <w:r>
        <w:rPr>
          <w:i/>
          <w:noProof/>
          <w:lang w:val="en-US"/>
        </w:rPr>
        <w:t>Sun City</w:t>
      </w:r>
      <w:r>
        <w:rPr>
          <w:noProof/>
          <w:lang w:val="en-US"/>
        </w:rPr>
        <w:t>, p. 29.</w:t>
      </w:r>
    </w:p>
  </w:footnote>
  <w:footnote w:id="209">
    <w:p w14:paraId="44A1952E" w14:textId="77777777" w:rsidR="005E6435" w:rsidRPr="00AD61A0" w:rsidRDefault="005E6435" w:rsidP="002F536C">
      <w:pPr>
        <w:pStyle w:val="FootnoteText"/>
        <w:rPr>
          <w:lang w:val="en-US"/>
        </w:rPr>
      </w:pPr>
      <w:r>
        <w:rPr>
          <w:rStyle w:val="FootnoteReference"/>
        </w:rPr>
        <w:footnoteRef/>
      </w:r>
      <w:r>
        <w:t xml:space="preserve"> Sannar. ‘Playing Sun City’, p. 80.</w:t>
      </w:r>
    </w:p>
  </w:footnote>
  <w:footnote w:id="210">
    <w:p w14:paraId="05E4CD92" w14:textId="77777777" w:rsidR="005E6435" w:rsidRPr="002E00DE" w:rsidRDefault="005E6435" w:rsidP="002F536C">
      <w:pPr>
        <w:pStyle w:val="FootnoteText"/>
        <w:jc w:val="left"/>
        <w:rPr>
          <w:i/>
          <w:lang w:val="en-US"/>
        </w:rPr>
      </w:pPr>
      <w:r>
        <w:rPr>
          <w:rStyle w:val="FootnoteReference"/>
        </w:rPr>
        <w:footnoteRef/>
      </w:r>
      <w:r>
        <w:t xml:space="preserve"> </w:t>
      </w:r>
      <w:r>
        <w:rPr>
          <w:lang w:val="en-US"/>
        </w:rPr>
        <w:t xml:space="preserve">D. Rogers: ‘Sex Mad in Joburg.’ </w:t>
      </w:r>
      <w:r>
        <w:rPr>
          <w:i/>
          <w:lang w:val="en-US"/>
        </w:rPr>
        <w:t xml:space="preserve">The Independent, </w:t>
      </w:r>
      <w:r>
        <w:rPr>
          <w:lang w:val="en-US"/>
        </w:rPr>
        <w:t xml:space="preserve">14 December 1995. [Online] </w:t>
      </w:r>
      <w:hyperlink r:id="rId14" w:history="1">
        <w:r w:rsidRPr="00952215">
          <w:rPr>
            <w:rStyle w:val="Hyperlink"/>
            <w:lang w:val="en-US"/>
          </w:rPr>
          <w:t>http://www.independent.co.uk/news/sex-mad-in-joburg-1525617.html</w:t>
        </w:r>
        <w:r w:rsidRPr="00870845">
          <w:rPr>
            <w:rStyle w:val="Hyperlink"/>
            <w:lang w:val="en-US"/>
          </w:rPr>
          <w:t xml:space="preserve"> (13</w:t>
        </w:r>
      </w:hyperlink>
      <w:r>
        <w:rPr>
          <w:lang w:val="en-US"/>
        </w:rPr>
        <w:t xml:space="preserve"> July 2016).</w:t>
      </w:r>
      <w:r>
        <w:rPr>
          <w:i/>
          <w:lang w:val="en-US"/>
        </w:rPr>
        <w:t xml:space="preserve"> </w:t>
      </w:r>
    </w:p>
  </w:footnote>
  <w:footnote w:id="211">
    <w:p w14:paraId="35AF14EF" w14:textId="77777777" w:rsidR="005E6435" w:rsidRPr="0035372E" w:rsidRDefault="005E6435" w:rsidP="002F536C">
      <w:pPr>
        <w:pStyle w:val="FootnoteText"/>
        <w:rPr>
          <w:lang w:val="en-US"/>
        </w:rPr>
      </w:pPr>
      <w:r>
        <w:rPr>
          <w:rStyle w:val="FootnoteReference"/>
        </w:rPr>
        <w:footnoteRef/>
      </w:r>
      <w:r>
        <w:t xml:space="preserve"> </w:t>
      </w:r>
      <w:r>
        <w:rPr>
          <w:lang w:val="en-US"/>
        </w:rPr>
        <w:t xml:space="preserve">See list of interviews in the bibliography. </w:t>
      </w:r>
    </w:p>
  </w:footnote>
  <w:footnote w:id="212">
    <w:p w14:paraId="18C2E5D3" w14:textId="77777777" w:rsidR="005E6435" w:rsidRPr="00367724" w:rsidRDefault="005E6435" w:rsidP="002F536C">
      <w:pPr>
        <w:pStyle w:val="FootnoteText"/>
      </w:pPr>
      <w:r>
        <w:rPr>
          <w:rStyle w:val="FootnoteReference"/>
        </w:rPr>
        <w:footnoteRef/>
      </w:r>
      <w:r>
        <w:t xml:space="preserve"> Unknown: </w:t>
      </w:r>
      <w:r>
        <w:rPr>
          <w:i/>
        </w:rPr>
        <w:t xml:space="preserve">Visit Bophuthatswana. </w:t>
      </w:r>
      <w:r>
        <w:t xml:space="preserve">BopTour, p. 32. </w:t>
      </w:r>
    </w:p>
  </w:footnote>
  <w:footnote w:id="213">
    <w:p w14:paraId="07F790B2" w14:textId="77777777" w:rsidR="005E6435" w:rsidRPr="002E00DE" w:rsidRDefault="005E6435" w:rsidP="002F536C">
      <w:pPr>
        <w:pStyle w:val="NoSpacing"/>
        <w:rPr>
          <w:i/>
          <w:lang w:val="en-US"/>
        </w:rPr>
      </w:pPr>
      <w:r>
        <w:rPr>
          <w:rStyle w:val="FootnoteReference"/>
        </w:rPr>
        <w:footnoteRef/>
      </w:r>
      <w:r>
        <w:t xml:space="preserve"> Unknown: ‘Busses to Sin City: Soweto’s entertainment.’ </w:t>
      </w:r>
      <w:r>
        <w:rPr>
          <w:i/>
        </w:rPr>
        <w:t xml:space="preserve">The Star, 3 September 1987. </w:t>
      </w:r>
    </w:p>
  </w:footnote>
  <w:footnote w:id="214">
    <w:p w14:paraId="3F76A341" w14:textId="77777777" w:rsidR="005E6435" w:rsidRPr="007B3E58" w:rsidRDefault="005E6435" w:rsidP="002F536C">
      <w:pPr>
        <w:pStyle w:val="NoSpacing"/>
        <w:rPr>
          <w:lang w:val="en-US"/>
        </w:rPr>
      </w:pPr>
      <w:r>
        <w:rPr>
          <w:rStyle w:val="FootnoteReference"/>
        </w:rPr>
        <w:footnoteRef/>
      </w:r>
      <w:r>
        <w:t xml:space="preserve"> </w:t>
      </w:r>
      <w:r>
        <w:rPr>
          <w:lang w:val="en-US"/>
        </w:rPr>
        <w:t xml:space="preserve">F. Patridge: ‘Kicking off the celebrations: South Africa’s Sun City turns 30.’ </w:t>
      </w:r>
      <w:r>
        <w:rPr>
          <w:i/>
          <w:lang w:val="en-US"/>
        </w:rPr>
        <w:t xml:space="preserve">Independent UK, </w:t>
      </w:r>
      <w:r>
        <w:rPr>
          <w:lang w:val="en-US"/>
        </w:rPr>
        <w:t xml:space="preserve">12 December 2009, p. 18. </w:t>
      </w:r>
    </w:p>
  </w:footnote>
  <w:footnote w:id="215">
    <w:p w14:paraId="4561BCFE" w14:textId="77777777" w:rsidR="005E6435" w:rsidRPr="002F536C" w:rsidRDefault="005E6435" w:rsidP="002F536C">
      <w:pPr>
        <w:pStyle w:val="NoSpacing"/>
        <w:rPr>
          <w:lang w:val="en-US"/>
        </w:rPr>
      </w:pPr>
      <w:r>
        <w:rPr>
          <w:rStyle w:val="FootnoteReference"/>
        </w:rPr>
        <w:footnoteRef/>
      </w:r>
      <w:r>
        <w:t xml:space="preserve"> Sannar: ‘Playing Sun City’, p. 82.</w:t>
      </w:r>
    </w:p>
  </w:footnote>
  <w:footnote w:id="216">
    <w:p w14:paraId="519C47F2" w14:textId="77777777" w:rsidR="005E6435" w:rsidRPr="002F536C" w:rsidRDefault="005E6435" w:rsidP="002F536C">
      <w:pPr>
        <w:pStyle w:val="NoSpacing"/>
        <w:rPr>
          <w:lang w:val="en-US"/>
        </w:rPr>
      </w:pPr>
      <w:r>
        <w:rPr>
          <w:rStyle w:val="FootnoteReference"/>
        </w:rPr>
        <w:footnoteRef/>
      </w:r>
      <w:r>
        <w:t xml:space="preserve"> Potgieter &amp; Cubitt: </w:t>
      </w:r>
      <w:r>
        <w:rPr>
          <w:i/>
        </w:rPr>
        <w:t xml:space="preserve">Sun City. </w:t>
      </w:r>
      <w:r>
        <w:t>pp. 1-10</w:t>
      </w:r>
    </w:p>
  </w:footnote>
  <w:footnote w:id="217">
    <w:p w14:paraId="7380E96D" w14:textId="77777777" w:rsidR="005E6435" w:rsidRDefault="005E6435" w:rsidP="002F536C">
      <w:pPr>
        <w:pStyle w:val="FootnoteText"/>
      </w:pPr>
    </w:p>
  </w:footnote>
  <w:footnote w:id="218">
    <w:p w14:paraId="3387E49F" w14:textId="77777777" w:rsidR="005E6435" w:rsidRDefault="005E6435" w:rsidP="002F536C">
      <w:pPr>
        <w:pStyle w:val="FootnoteText"/>
      </w:pPr>
      <w:r>
        <w:rPr>
          <w:rStyle w:val="FootnoteReference"/>
        </w:rPr>
        <w:footnoteRef/>
      </w:r>
      <w:r>
        <w:t xml:space="preserve"> Potgieter &amp; Cubitt: </w:t>
      </w:r>
      <w:r>
        <w:rPr>
          <w:i/>
        </w:rPr>
        <w:t xml:space="preserve">Sun City, </w:t>
      </w:r>
      <w:r>
        <w:t>p. 8</w:t>
      </w:r>
    </w:p>
  </w:footnote>
  <w:footnote w:id="219">
    <w:p w14:paraId="7F5A827F" w14:textId="77777777" w:rsidR="005E6435" w:rsidRPr="00E8009D" w:rsidRDefault="005E6435" w:rsidP="002F536C">
      <w:pPr>
        <w:pStyle w:val="FootnoteText"/>
        <w:rPr>
          <w:lang w:val="en-US"/>
        </w:rPr>
      </w:pPr>
      <w:r>
        <w:rPr>
          <w:rStyle w:val="FootnoteReference"/>
        </w:rPr>
        <w:footnoteRef/>
      </w:r>
      <w:r>
        <w:t xml:space="preserve"> </w:t>
      </w:r>
      <w:r>
        <w:rPr>
          <w:lang w:val="en-US"/>
        </w:rPr>
        <w:t>Anonymous 4: Interviewed by Nicola van der Merwe</w:t>
      </w:r>
    </w:p>
  </w:footnote>
  <w:footnote w:id="220">
    <w:p w14:paraId="4E4D4111" w14:textId="77777777" w:rsidR="005E6435" w:rsidRPr="0084630F" w:rsidRDefault="005E6435" w:rsidP="002F536C">
      <w:pPr>
        <w:pStyle w:val="FootnoteText"/>
        <w:rPr>
          <w:i/>
          <w:lang w:val="en-US"/>
        </w:rPr>
      </w:pPr>
      <w:r>
        <w:rPr>
          <w:rStyle w:val="FootnoteReference"/>
        </w:rPr>
        <w:footnoteRef/>
      </w:r>
      <w:r>
        <w:t xml:space="preserve"> </w:t>
      </w:r>
      <w:r>
        <w:rPr>
          <w:lang w:val="en-US"/>
        </w:rPr>
        <w:t>Anonymous 4: Interviewed by Nicola van der Merwe</w:t>
      </w:r>
    </w:p>
    <w:p w14:paraId="04C5F7A1" w14:textId="77777777" w:rsidR="005E6435" w:rsidRPr="005845FA" w:rsidRDefault="005E6435" w:rsidP="002F536C">
      <w:pPr>
        <w:pStyle w:val="NoSpacing"/>
      </w:pPr>
      <w:r>
        <w:t>Rogerson: ‘Sun International: The Making of a South African Tourismus Multinational.’, pp. 345-354.</w:t>
      </w:r>
    </w:p>
  </w:footnote>
  <w:footnote w:id="221">
    <w:p w14:paraId="39B995C9" w14:textId="77777777" w:rsidR="005E6435" w:rsidRPr="00806539" w:rsidRDefault="005E6435" w:rsidP="002F536C">
      <w:pPr>
        <w:pStyle w:val="NoSpacing"/>
        <w:rPr>
          <w:lang w:val="en-ZA"/>
        </w:rPr>
      </w:pPr>
      <w:r>
        <w:rPr>
          <w:rStyle w:val="FootnoteReference"/>
        </w:rPr>
        <w:footnoteRef/>
      </w:r>
      <w:r>
        <w:t xml:space="preserve"> </w:t>
      </w:r>
      <w:r>
        <w:rPr>
          <w:lang w:val="en-ZA"/>
        </w:rPr>
        <w:t xml:space="preserve">Sun </w:t>
      </w:r>
      <w:r w:rsidRPr="006B328C">
        <w:rPr>
          <w:lang w:val="en-ZA"/>
        </w:rPr>
        <w:t>Interna</w:t>
      </w:r>
      <w:r>
        <w:rPr>
          <w:lang w:val="en-ZA"/>
        </w:rPr>
        <w:t>tional: S</w:t>
      </w:r>
      <w:r w:rsidRPr="0047182B">
        <w:rPr>
          <w:i/>
          <w:lang w:val="en-ZA"/>
        </w:rPr>
        <w:t>unBop</w:t>
      </w:r>
      <w:r>
        <w:rPr>
          <w:i/>
          <w:lang w:val="en-ZA"/>
        </w:rPr>
        <w:t xml:space="preserve">. </w:t>
      </w:r>
      <w:r>
        <w:rPr>
          <w:lang w:val="en-ZA"/>
        </w:rPr>
        <w:t>1989, p.5.</w:t>
      </w:r>
    </w:p>
  </w:footnote>
  <w:footnote w:id="222">
    <w:p w14:paraId="1FB3FFA3" w14:textId="77777777" w:rsidR="005E6435" w:rsidRPr="005D461C" w:rsidRDefault="005E6435" w:rsidP="002F536C">
      <w:pPr>
        <w:pStyle w:val="NoSpacing"/>
        <w:rPr>
          <w:lang w:val="en-US"/>
        </w:rPr>
      </w:pPr>
      <w:r>
        <w:rPr>
          <w:rStyle w:val="FootnoteReference"/>
        </w:rPr>
        <w:footnoteRef/>
      </w:r>
      <w:r>
        <w:t xml:space="preserve"> J. </w:t>
      </w:r>
      <w:r>
        <w:rPr>
          <w:lang w:val="en-US"/>
        </w:rPr>
        <w:t>Baird: Interviewed by Nicola van der Merwe. Komatipoort, 31 April 2016.</w:t>
      </w:r>
    </w:p>
  </w:footnote>
  <w:footnote w:id="223">
    <w:p w14:paraId="5762CBDB" w14:textId="77777777" w:rsidR="005E6435" w:rsidRPr="005A44C5" w:rsidRDefault="005E6435" w:rsidP="002F536C">
      <w:pPr>
        <w:pStyle w:val="NoSpacing"/>
      </w:pPr>
      <w:r>
        <w:rPr>
          <w:rStyle w:val="FootnoteReference"/>
        </w:rPr>
        <w:footnoteRef/>
      </w:r>
      <w:r>
        <w:t xml:space="preserve"> Chipkin:</w:t>
      </w:r>
      <w:r w:rsidRPr="004B0D00">
        <w:t xml:space="preserve"> </w:t>
      </w:r>
      <w:r w:rsidRPr="00125E07">
        <w:rPr>
          <w:i/>
        </w:rPr>
        <w:t>Johannesburg Transition</w:t>
      </w:r>
      <w:r>
        <w:t xml:space="preserve">, p. 279 </w:t>
      </w:r>
    </w:p>
  </w:footnote>
  <w:footnote w:id="224">
    <w:p w14:paraId="043380E1" w14:textId="77777777" w:rsidR="005E6435" w:rsidRPr="000524B5" w:rsidRDefault="005E6435" w:rsidP="002F536C">
      <w:pPr>
        <w:pStyle w:val="FootnoteText"/>
        <w:jc w:val="left"/>
      </w:pPr>
      <w:r>
        <w:rPr>
          <w:rStyle w:val="FootnoteReference"/>
        </w:rPr>
        <w:footnoteRef/>
      </w:r>
      <w:r>
        <w:t xml:space="preserve"> South Africa Legal Information Institute: ‘Immorality Act 23 of 1957’ [Online] </w:t>
      </w:r>
      <w:hyperlink r:id="rId15" w:history="1">
        <w:r w:rsidRPr="000123DE">
          <w:rPr>
            <w:rStyle w:val="Hyperlink"/>
          </w:rPr>
          <w:t xml:space="preserve">http://www.saflii.org/za/legis/hist_act/soa23o1957181/soa23o1957a1j1967264.pdf </w:t>
        </w:r>
        <w:r w:rsidRPr="0047182B">
          <w:rPr>
            <w:rStyle w:val="NoSpacingChar"/>
          </w:rPr>
          <w:t>(19</w:t>
        </w:r>
      </w:hyperlink>
      <w:r>
        <w:t xml:space="preserve"> October 2015). </w:t>
      </w:r>
    </w:p>
  </w:footnote>
  <w:footnote w:id="225">
    <w:p w14:paraId="46E3F5EE" w14:textId="77777777" w:rsidR="005E6435" w:rsidRPr="005845FA" w:rsidRDefault="005E6435" w:rsidP="002F536C">
      <w:pPr>
        <w:pStyle w:val="FootnoteText"/>
        <w:rPr>
          <w:lang w:val="en-US"/>
        </w:rPr>
      </w:pPr>
      <w:r>
        <w:rPr>
          <w:rStyle w:val="FootnoteReference"/>
        </w:rPr>
        <w:footnoteRef/>
      </w:r>
      <w:r>
        <w:t xml:space="preserve"> M. Saayman &amp; R. Smalberger: </w:t>
      </w:r>
      <w:r w:rsidRPr="00A34AAD">
        <w:rPr>
          <w:i/>
        </w:rPr>
        <w:t>Sex tourism in South Africa: A case of four cities</w:t>
      </w:r>
      <w:r>
        <w:t>. Institute for Tourism and Leisure Studies, Potchefstroom University, 1996, pp. 2-10.</w:t>
      </w:r>
    </w:p>
  </w:footnote>
  <w:footnote w:id="226">
    <w:p w14:paraId="325E7C29" w14:textId="77777777" w:rsidR="005E6435" w:rsidRPr="005845FA" w:rsidRDefault="005E6435" w:rsidP="002F536C">
      <w:pPr>
        <w:pStyle w:val="FootnoteText"/>
        <w:rPr>
          <w:lang w:val="en-US"/>
        </w:rPr>
      </w:pPr>
      <w:r>
        <w:rPr>
          <w:rStyle w:val="FootnoteReference"/>
        </w:rPr>
        <w:footnoteRef/>
      </w:r>
      <w:r>
        <w:t xml:space="preserve"> Sannar. ‘Playing Sun City’, pp. 124-125.</w:t>
      </w:r>
    </w:p>
  </w:footnote>
  <w:footnote w:id="227">
    <w:p w14:paraId="6DCDFC6B" w14:textId="77777777" w:rsidR="005E6435" w:rsidRPr="002063B3" w:rsidRDefault="005E6435" w:rsidP="002F536C">
      <w:pPr>
        <w:pStyle w:val="FootnoteText"/>
      </w:pPr>
      <w:r>
        <w:rPr>
          <w:rStyle w:val="FootnoteReference"/>
        </w:rPr>
        <w:footnoteRef/>
      </w:r>
      <w:r>
        <w:t xml:space="preserve"> R. Knight: ‘Black Dispossession in South Africa: The Myth of Bantustan Independence.’ </w:t>
      </w:r>
      <w:r>
        <w:rPr>
          <w:i/>
        </w:rPr>
        <w:t xml:space="preserve">The Africa Fund. </w:t>
      </w:r>
      <w:r>
        <w:t xml:space="preserve">September 1984. </w:t>
      </w:r>
    </w:p>
  </w:footnote>
  <w:footnote w:id="228">
    <w:p w14:paraId="125998AC" w14:textId="77777777" w:rsidR="005E6435" w:rsidRPr="00756A4C" w:rsidRDefault="005E6435" w:rsidP="002F536C">
      <w:pPr>
        <w:pStyle w:val="NoSpacing"/>
      </w:pPr>
      <w:r>
        <w:rPr>
          <w:rStyle w:val="FootnoteReference"/>
        </w:rPr>
        <w:footnoteRef/>
      </w:r>
      <w:r>
        <w:t xml:space="preserve"> Stone: ‘The myth of a prosperous Bophuthatswana.’ </w:t>
      </w:r>
    </w:p>
  </w:footnote>
  <w:footnote w:id="229">
    <w:p w14:paraId="1242C572" w14:textId="77777777" w:rsidR="005E6435" w:rsidRPr="005435DB" w:rsidRDefault="005E6435" w:rsidP="002F536C">
      <w:pPr>
        <w:pStyle w:val="FootnoteText"/>
        <w:rPr>
          <w:lang w:val="en-US"/>
        </w:rPr>
      </w:pPr>
      <w:r>
        <w:rPr>
          <w:rStyle w:val="FootnoteReference"/>
        </w:rPr>
        <w:footnoteRef/>
      </w:r>
      <w:r>
        <w:t xml:space="preserve"> </w:t>
      </w:r>
      <w:r>
        <w:rPr>
          <w:lang w:val="en-US"/>
        </w:rPr>
        <w:t xml:space="preserve">Staff reporter: ‘Free Live Bingo Show.’ </w:t>
      </w:r>
      <w:r>
        <w:rPr>
          <w:i/>
          <w:lang w:val="en-US"/>
        </w:rPr>
        <w:t xml:space="preserve">Sun City The Slots Gazette, </w:t>
      </w:r>
      <w:r>
        <w:rPr>
          <w:lang w:val="en-US"/>
        </w:rPr>
        <w:t xml:space="preserve">January 1991, p. 1. </w:t>
      </w:r>
    </w:p>
  </w:footnote>
  <w:footnote w:id="230">
    <w:p w14:paraId="269D5A6B" w14:textId="77777777" w:rsidR="005E6435" w:rsidRPr="00DB1800" w:rsidRDefault="005E6435" w:rsidP="002F536C">
      <w:pPr>
        <w:pStyle w:val="NoSpacing"/>
        <w:rPr>
          <w:lang w:val="en-US"/>
        </w:rPr>
      </w:pPr>
      <w:r>
        <w:rPr>
          <w:rStyle w:val="FootnoteReference"/>
        </w:rPr>
        <w:footnoteRef/>
      </w:r>
      <w:r>
        <w:t xml:space="preserve"> </w:t>
      </w:r>
      <w:r>
        <w:rPr>
          <w:noProof/>
          <w:lang w:val="en-US"/>
        </w:rPr>
        <w:t xml:space="preserve">Morgan: </w:t>
      </w:r>
      <w:r>
        <w:rPr>
          <w:i/>
          <w:noProof/>
          <w:lang w:val="en-US"/>
        </w:rPr>
        <w:t xml:space="preserve">Sun City.’ </w:t>
      </w:r>
      <w:r>
        <w:rPr>
          <w:noProof/>
          <w:lang w:val="en-US"/>
        </w:rPr>
        <w:t xml:space="preserve">p. 25. </w:t>
      </w:r>
    </w:p>
  </w:footnote>
  <w:footnote w:id="231">
    <w:p w14:paraId="7DA27097" w14:textId="77777777" w:rsidR="005E6435" w:rsidRPr="001851DD" w:rsidRDefault="005E6435" w:rsidP="002F536C">
      <w:pPr>
        <w:pStyle w:val="FootnoteText"/>
        <w:rPr>
          <w:lang w:val="en-US"/>
        </w:rPr>
      </w:pPr>
      <w:r>
        <w:rPr>
          <w:rStyle w:val="FootnoteReference"/>
        </w:rPr>
        <w:footnoteRef/>
      </w:r>
      <w:r>
        <w:t xml:space="preserve"> Sannar. ‘Playing Sun City.’, pp. 124-125.</w:t>
      </w:r>
    </w:p>
  </w:footnote>
  <w:footnote w:id="232">
    <w:p w14:paraId="5BC65A1F" w14:textId="77777777" w:rsidR="005E6435" w:rsidRPr="00CD24C0" w:rsidRDefault="005E6435" w:rsidP="002F536C">
      <w:pPr>
        <w:pStyle w:val="FootnoteText"/>
        <w:rPr>
          <w:lang w:val="en-US"/>
        </w:rPr>
      </w:pPr>
      <w:r>
        <w:rPr>
          <w:rStyle w:val="FootnoteReference"/>
        </w:rPr>
        <w:footnoteRef/>
      </w:r>
      <w:r>
        <w:t xml:space="preserve"> </w:t>
      </w:r>
      <w:r>
        <w:rPr>
          <w:i/>
          <w:lang w:val="en-US"/>
        </w:rPr>
        <w:t xml:space="preserve">Ibid, </w:t>
      </w:r>
      <w:r>
        <w:rPr>
          <w:lang w:val="en-US"/>
        </w:rPr>
        <w:t>pp. 125-126.</w:t>
      </w:r>
    </w:p>
  </w:footnote>
  <w:footnote w:id="233">
    <w:p w14:paraId="637C4E79" w14:textId="77777777" w:rsidR="005E6435" w:rsidRPr="005435DB" w:rsidRDefault="005E6435" w:rsidP="002F536C">
      <w:pPr>
        <w:pStyle w:val="FootnoteText"/>
        <w:rPr>
          <w:lang w:val="en-US"/>
        </w:rPr>
      </w:pPr>
      <w:r>
        <w:rPr>
          <w:rStyle w:val="FootnoteReference"/>
        </w:rPr>
        <w:footnoteRef/>
      </w:r>
      <w:r>
        <w:t xml:space="preserve"> </w:t>
      </w:r>
      <w:r>
        <w:rPr>
          <w:lang w:val="en-US"/>
        </w:rPr>
        <w:t xml:space="preserve">Staff reporter: ‘Everything for your pleasure at the Entertainment Centre.’ January 1991, p. 3. </w:t>
      </w:r>
    </w:p>
  </w:footnote>
  <w:footnote w:id="234">
    <w:p w14:paraId="32DB516C" w14:textId="77777777" w:rsidR="005E6435" w:rsidRPr="007B3E58" w:rsidRDefault="005E6435" w:rsidP="002F536C">
      <w:pPr>
        <w:pStyle w:val="FootnoteText"/>
        <w:rPr>
          <w:lang w:val="en-US"/>
        </w:rPr>
      </w:pPr>
      <w:r>
        <w:rPr>
          <w:rStyle w:val="FootnoteReference"/>
        </w:rPr>
        <w:footnoteRef/>
      </w:r>
      <w:r>
        <w:t xml:space="preserve"> Quoted in </w:t>
      </w:r>
      <w:r>
        <w:rPr>
          <w:lang w:val="en-US"/>
        </w:rPr>
        <w:t xml:space="preserve">Staff reporter: ‘The Feather Masters of the Universe.’ </w:t>
      </w:r>
      <w:r>
        <w:rPr>
          <w:i/>
          <w:lang w:val="en-US"/>
        </w:rPr>
        <w:t xml:space="preserve">Mail and Guardian, </w:t>
      </w:r>
      <w:r>
        <w:rPr>
          <w:lang w:val="en-US"/>
        </w:rPr>
        <w:t xml:space="preserve">9 September 1994, p. 13. </w:t>
      </w:r>
    </w:p>
  </w:footnote>
  <w:footnote w:id="235">
    <w:p w14:paraId="22CF716E" w14:textId="77777777" w:rsidR="005E6435" w:rsidRPr="00460B61" w:rsidRDefault="005E6435" w:rsidP="002F536C">
      <w:pPr>
        <w:pStyle w:val="FootnoteText"/>
        <w:rPr>
          <w:lang w:val="en-US"/>
        </w:rPr>
      </w:pPr>
      <w:r>
        <w:rPr>
          <w:rStyle w:val="FootnoteReference"/>
        </w:rPr>
        <w:footnoteRef/>
      </w:r>
      <w:r>
        <w:t xml:space="preserve"> Nixon: </w:t>
      </w:r>
      <w:r w:rsidRPr="007E7D73">
        <w:rPr>
          <w:i/>
        </w:rPr>
        <w:t>Homelands, Harlem and Hollywood</w:t>
      </w:r>
      <w:r>
        <w:t>, p. 133.</w:t>
      </w:r>
    </w:p>
  </w:footnote>
  <w:footnote w:id="236">
    <w:p w14:paraId="0B3F5099" w14:textId="77777777" w:rsidR="005E6435" w:rsidRPr="004562C4" w:rsidRDefault="005E6435" w:rsidP="002F536C">
      <w:pPr>
        <w:pStyle w:val="FootnoteText"/>
        <w:jc w:val="left"/>
        <w:rPr>
          <w:lang w:val="en-US"/>
        </w:rPr>
      </w:pPr>
      <w:r>
        <w:rPr>
          <w:rStyle w:val="FootnoteReference"/>
        </w:rPr>
        <w:footnoteRef/>
      </w:r>
      <w:r>
        <w:t xml:space="preserve"> Manson &amp; Mbenga: </w:t>
      </w:r>
      <w:r w:rsidRPr="001D0CC5">
        <w:rPr>
          <w:i/>
        </w:rPr>
        <w:t>Land, Chiefs, Mining</w:t>
      </w:r>
      <w:r>
        <w:t>, p. 161.</w:t>
      </w:r>
    </w:p>
  </w:footnote>
  <w:footnote w:id="237">
    <w:p w14:paraId="1703A393" w14:textId="77777777" w:rsidR="005E6435" w:rsidRPr="001C715B" w:rsidRDefault="005E6435" w:rsidP="002F536C">
      <w:pPr>
        <w:pStyle w:val="FootnoteText"/>
        <w:rPr>
          <w:lang w:val="en-US"/>
        </w:rPr>
      </w:pPr>
      <w:r>
        <w:rPr>
          <w:rStyle w:val="FootnoteReference"/>
        </w:rPr>
        <w:footnoteRef/>
      </w:r>
      <w:r>
        <w:t xml:space="preserve"> Manson &amp; Mbenga: </w:t>
      </w:r>
      <w:r w:rsidRPr="001D0CC5">
        <w:rPr>
          <w:i/>
        </w:rPr>
        <w:t>Land, Chiefs, Mining</w:t>
      </w:r>
      <w:r>
        <w:rPr>
          <w:i/>
        </w:rPr>
        <w:t>,</w:t>
      </w:r>
      <w:r>
        <w:t xml:space="preserve"> p 162.</w:t>
      </w:r>
    </w:p>
  </w:footnote>
  <w:footnote w:id="238">
    <w:p w14:paraId="01A6F567" w14:textId="77777777" w:rsidR="005E6435" w:rsidRDefault="005E6435" w:rsidP="002F536C">
      <w:pPr>
        <w:pStyle w:val="NoSpacing"/>
      </w:pPr>
      <w:r>
        <w:rPr>
          <w:rStyle w:val="FootnoteReference"/>
        </w:rPr>
        <w:footnoteRef/>
      </w:r>
      <w:r>
        <w:t xml:space="preserve"> North-West Provincial Archives, Bophuthatswana Papers, Office of the President, 4.5.90: </w:t>
      </w:r>
      <w:r>
        <w:rPr>
          <w:i/>
        </w:rPr>
        <w:t>Development at Heystekrand,</w:t>
      </w:r>
      <w:r>
        <w:t xml:space="preserve"> 6 February 1978.</w:t>
      </w:r>
    </w:p>
  </w:footnote>
  <w:footnote w:id="239">
    <w:p w14:paraId="7D213054" w14:textId="77777777" w:rsidR="005E6435" w:rsidRPr="005D66DC" w:rsidRDefault="005E6435" w:rsidP="002F536C">
      <w:pPr>
        <w:pStyle w:val="FootnoteText"/>
        <w:rPr>
          <w:lang w:val="en-US"/>
        </w:rPr>
      </w:pPr>
      <w:r>
        <w:rPr>
          <w:rStyle w:val="FootnoteReference"/>
        </w:rPr>
        <w:footnoteRef/>
      </w:r>
      <w:r>
        <w:t xml:space="preserve"> Anonymous 1: Interviewed by Nicola van der Merwe.</w:t>
      </w:r>
    </w:p>
  </w:footnote>
  <w:footnote w:id="240">
    <w:p w14:paraId="7D480465" w14:textId="77777777" w:rsidR="005E6435" w:rsidRDefault="005E6435" w:rsidP="002F536C">
      <w:pPr>
        <w:pStyle w:val="NoSpacing"/>
      </w:pPr>
      <w:r>
        <w:rPr>
          <w:rStyle w:val="FootnoteReference"/>
        </w:rPr>
        <w:footnoteRef/>
      </w:r>
      <w:r>
        <w:t xml:space="preserve"> J. </w:t>
      </w:r>
      <w:r>
        <w:rPr>
          <w:rStyle w:val="NoSpacingChar"/>
        </w:rPr>
        <w:t>Carruthers</w:t>
      </w:r>
      <w:r w:rsidRPr="00742791">
        <w:rPr>
          <w:rStyle w:val="NoSpacingChar"/>
        </w:rPr>
        <w:t>: ‘Pilanesberg National Park, North West Province, South Africa: Uniting economic development with ecological design – A history, 196</w:t>
      </w:r>
      <w:r>
        <w:rPr>
          <w:rStyle w:val="NoSpacingChar"/>
        </w:rPr>
        <w:t>0s</w:t>
      </w:r>
      <w:r w:rsidRPr="00742791">
        <w:rPr>
          <w:rStyle w:val="NoSpacingChar"/>
        </w:rPr>
        <w:t xml:space="preserve"> to 1984.’ Koedoe (2011, </w:t>
      </w:r>
      <w:r>
        <w:rPr>
          <w:rStyle w:val="NoSpacingChar"/>
        </w:rPr>
        <w:t>53:1), pp. 2-3</w:t>
      </w:r>
      <w:r w:rsidRPr="00742791">
        <w:rPr>
          <w:rStyle w:val="NoSpacingChar"/>
        </w:rPr>
        <w:t>.</w:t>
      </w:r>
      <w:r>
        <w:t xml:space="preserve"> </w:t>
      </w:r>
    </w:p>
  </w:footnote>
  <w:footnote w:id="241">
    <w:p w14:paraId="4EDD8210" w14:textId="77777777" w:rsidR="005E6435" w:rsidRDefault="005E6435" w:rsidP="002F536C">
      <w:pPr>
        <w:pStyle w:val="NoSpacing"/>
      </w:pPr>
      <w:r>
        <w:rPr>
          <w:rStyle w:val="FootnoteReference"/>
        </w:rPr>
        <w:footnoteRef/>
      </w:r>
      <w:r>
        <w:t xml:space="preserve"> </w:t>
      </w:r>
      <w:r w:rsidRPr="00C85A73">
        <w:t xml:space="preserve">Nauright: </w:t>
      </w:r>
      <w:r w:rsidRPr="001C715B">
        <w:rPr>
          <w:i/>
        </w:rPr>
        <w:t>Sports around the World</w:t>
      </w:r>
      <w:r w:rsidRPr="00C85A73">
        <w:t>, p. 160.</w:t>
      </w:r>
      <w:r>
        <w:t xml:space="preserve"> </w:t>
      </w:r>
    </w:p>
  </w:footnote>
  <w:footnote w:id="242">
    <w:p w14:paraId="22D384E5" w14:textId="77777777" w:rsidR="005E6435" w:rsidRPr="00162DB0" w:rsidRDefault="005E6435" w:rsidP="002F536C">
      <w:pPr>
        <w:pStyle w:val="FootnoteText"/>
        <w:rPr>
          <w:i/>
        </w:rPr>
      </w:pPr>
      <w:r>
        <w:rPr>
          <w:rStyle w:val="FootnoteReference"/>
        </w:rPr>
        <w:footnoteRef/>
      </w:r>
      <w:r>
        <w:t xml:space="preserve"> Manson &amp; Mbenga: </w:t>
      </w:r>
      <w:r w:rsidRPr="001D0CC5">
        <w:rPr>
          <w:i/>
        </w:rPr>
        <w:t>Land, Chiefs, Mining</w:t>
      </w:r>
      <w:r>
        <w:rPr>
          <w:i/>
        </w:rPr>
        <w:t xml:space="preserve">’ </w:t>
      </w:r>
      <w:r>
        <w:t>p. 162.</w:t>
      </w:r>
    </w:p>
  </w:footnote>
  <w:footnote w:id="243">
    <w:p w14:paraId="279DF9F1" w14:textId="77777777" w:rsidR="005E6435" w:rsidRDefault="005E6435" w:rsidP="002F536C">
      <w:pPr>
        <w:pStyle w:val="FootnoteText"/>
      </w:pPr>
      <w:r>
        <w:rPr>
          <w:rStyle w:val="FootnoteReference"/>
        </w:rPr>
        <w:footnoteRef/>
      </w:r>
      <w:r>
        <w:t xml:space="preserve"> Staff reporter: ‘Tourism set to boom’ </w:t>
      </w:r>
      <w:r>
        <w:rPr>
          <w:i/>
        </w:rPr>
        <w:t xml:space="preserve">The Mail, </w:t>
      </w:r>
      <w:r>
        <w:t>13 November 1992, p. 10.</w:t>
      </w:r>
    </w:p>
  </w:footnote>
  <w:footnote w:id="244">
    <w:p w14:paraId="728A6797" w14:textId="77777777" w:rsidR="005E6435" w:rsidRDefault="005E6435" w:rsidP="002F536C">
      <w:pPr>
        <w:pStyle w:val="FootnoteText"/>
      </w:pPr>
      <w:r>
        <w:rPr>
          <w:rStyle w:val="FootnoteReference"/>
        </w:rPr>
        <w:footnoteRef/>
      </w:r>
      <w:r>
        <w:t xml:space="preserve"> </w:t>
      </w:r>
      <w:r w:rsidRPr="004A2980">
        <w:t>B. Mbenga. &amp;</w:t>
      </w:r>
      <w:r>
        <w:t xml:space="preserve"> </w:t>
      </w:r>
      <w:r w:rsidRPr="004A2980">
        <w:t xml:space="preserve">A.  Manson: </w:t>
      </w:r>
      <w:r>
        <w:t>‘</w:t>
      </w:r>
      <w:r w:rsidRPr="004A2980">
        <w:t>Peoples of the Pilanesberg Region of South Africa: A History</w:t>
      </w:r>
      <w:r>
        <w:t>’</w:t>
      </w:r>
      <w:r w:rsidRPr="004A2980">
        <w:t xml:space="preserve">. </w:t>
      </w:r>
      <w:r w:rsidRPr="001C715B">
        <w:rPr>
          <w:i/>
        </w:rPr>
        <w:t>Unpublished Paper</w:t>
      </w:r>
      <w:r>
        <w:t>, August 2008, p. 26.</w:t>
      </w:r>
    </w:p>
  </w:footnote>
  <w:footnote w:id="245">
    <w:p w14:paraId="42B51247" w14:textId="77777777" w:rsidR="005E6435" w:rsidRPr="001D710E" w:rsidRDefault="005E6435" w:rsidP="002F536C">
      <w:pPr>
        <w:pStyle w:val="FootnoteText"/>
      </w:pPr>
      <w:r>
        <w:rPr>
          <w:rStyle w:val="FootnoteReference"/>
        </w:rPr>
        <w:footnoteRef/>
      </w:r>
      <w:r>
        <w:t xml:space="preserve"> J. Carruthers: ‘Wildlife Protection and Human Geography in the Western Transvaal 1850 – 1990.’ </w:t>
      </w:r>
      <w:r>
        <w:rPr>
          <w:i/>
        </w:rPr>
        <w:t xml:space="preserve">Unpublished Paper, </w:t>
      </w:r>
      <w:r>
        <w:t xml:space="preserve">p. 10. </w:t>
      </w:r>
    </w:p>
  </w:footnote>
  <w:footnote w:id="246">
    <w:p w14:paraId="378B028A" w14:textId="77777777" w:rsidR="005E6435" w:rsidRDefault="005E6435" w:rsidP="002F536C">
      <w:pPr>
        <w:pStyle w:val="FootnoteText"/>
      </w:pPr>
      <w:r>
        <w:rPr>
          <w:rStyle w:val="FootnoteReference"/>
        </w:rPr>
        <w:footnoteRef/>
      </w:r>
      <w:r>
        <w:t xml:space="preserve"> </w:t>
      </w:r>
      <w:r>
        <w:rPr>
          <w:rStyle w:val="NoSpacingChar"/>
        </w:rPr>
        <w:t>Carruthers: ‘Pilanesberg National Park’, p. 5.</w:t>
      </w:r>
    </w:p>
  </w:footnote>
  <w:footnote w:id="247">
    <w:p w14:paraId="6AED2C51" w14:textId="77777777" w:rsidR="005E6435" w:rsidRPr="00C47ED5" w:rsidRDefault="005E6435" w:rsidP="002F536C">
      <w:pPr>
        <w:pStyle w:val="FootnoteText"/>
        <w:rPr>
          <w:i/>
          <w:lang w:val="en-US"/>
        </w:rPr>
      </w:pPr>
      <w:r>
        <w:rPr>
          <w:rStyle w:val="FootnoteReference"/>
        </w:rPr>
        <w:footnoteRef/>
      </w:r>
      <w:r>
        <w:t xml:space="preserve"> </w:t>
      </w:r>
      <w:r>
        <w:rPr>
          <w:rStyle w:val="NoSpacingChar"/>
          <w:i/>
        </w:rPr>
        <w:t>Ibid</w:t>
      </w:r>
      <w:r>
        <w:rPr>
          <w:rStyle w:val="NoSpacingChar"/>
        </w:rPr>
        <w:t xml:space="preserve">, </w:t>
      </w:r>
      <w:r w:rsidRPr="00E81CA3">
        <w:rPr>
          <w:lang w:val="en-US"/>
        </w:rPr>
        <w:t>pp. 5-6.</w:t>
      </w:r>
      <w:r>
        <w:rPr>
          <w:i/>
          <w:lang w:val="en-US"/>
        </w:rPr>
        <w:t xml:space="preserve"> </w:t>
      </w:r>
    </w:p>
  </w:footnote>
  <w:footnote w:id="248">
    <w:p w14:paraId="27CA0481" w14:textId="77777777" w:rsidR="005E6435" w:rsidRDefault="005E6435" w:rsidP="002F536C">
      <w:pPr>
        <w:pStyle w:val="FootnoteText"/>
      </w:pPr>
      <w:r>
        <w:rPr>
          <w:rStyle w:val="FootnoteReference"/>
        </w:rPr>
        <w:footnoteRef/>
      </w:r>
      <w:r>
        <w:t xml:space="preserve"> </w:t>
      </w:r>
      <w:r w:rsidRPr="004A2980">
        <w:t>Mbenga. &amp;</w:t>
      </w:r>
      <w:r>
        <w:t xml:space="preserve"> </w:t>
      </w:r>
      <w:r w:rsidRPr="004A2980">
        <w:t>Manson: Peoples of the Pilanesberg</w:t>
      </w:r>
      <w:r>
        <w:t>’, p. 26.</w:t>
      </w:r>
    </w:p>
  </w:footnote>
  <w:footnote w:id="249">
    <w:p w14:paraId="0C1BA40E" w14:textId="77777777" w:rsidR="005E6435" w:rsidRPr="00292AF4" w:rsidRDefault="005E6435" w:rsidP="002F536C">
      <w:pPr>
        <w:pStyle w:val="FootnoteText"/>
        <w:rPr>
          <w:lang w:val="en-US"/>
        </w:rPr>
      </w:pPr>
      <w:r>
        <w:rPr>
          <w:rStyle w:val="FootnoteReference"/>
        </w:rPr>
        <w:footnoteRef/>
      </w:r>
      <w:r>
        <w:t xml:space="preserve"> Manson &amp; Mbenga: </w:t>
      </w:r>
      <w:r w:rsidRPr="001D0CC5">
        <w:rPr>
          <w:i/>
        </w:rPr>
        <w:t>Land, Chiefs, Mining</w:t>
      </w:r>
      <w:r>
        <w:t>, pp. 161-162.</w:t>
      </w:r>
    </w:p>
  </w:footnote>
  <w:footnote w:id="250">
    <w:p w14:paraId="1B7162BD" w14:textId="77777777" w:rsidR="005E6435" w:rsidRDefault="005E6435" w:rsidP="002F536C">
      <w:pPr>
        <w:pStyle w:val="FootnoteText"/>
      </w:pPr>
      <w:r>
        <w:rPr>
          <w:rStyle w:val="FootnoteReference"/>
        </w:rPr>
        <w:footnoteRef/>
      </w:r>
      <w:r>
        <w:t xml:space="preserve"> </w:t>
      </w:r>
      <w:r w:rsidRPr="00355DF8">
        <w:rPr>
          <w:rStyle w:val="NoSpacingChar"/>
          <w:i/>
        </w:rPr>
        <w:t>Ibid</w:t>
      </w:r>
      <w:r>
        <w:rPr>
          <w:rStyle w:val="NoSpacingChar"/>
        </w:rPr>
        <w:t>, pp. 5-8.</w:t>
      </w:r>
    </w:p>
  </w:footnote>
  <w:footnote w:id="251">
    <w:p w14:paraId="67E5A23B" w14:textId="77777777" w:rsidR="005E6435" w:rsidRPr="001267F4" w:rsidRDefault="005E6435" w:rsidP="002F536C">
      <w:pPr>
        <w:pStyle w:val="FootnoteText"/>
        <w:rPr>
          <w:lang w:val="en-US"/>
        </w:rPr>
      </w:pPr>
      <w:r>
        <w:rPr>
          <w:rStyle w:val="FootnoteReference"/>
        </w:rPr>
        <w:footnoteRef/>
      </w:r>
      <w:r>
        <w:t xml:space="preserve"> Carruthers: ‘Wildlife Protection and Human Geography in the Western Transvaal’</w:t>
      </w:r>
      <w:r>
        <w:rPr>
          <w:i/>
        </w:rPr>
        <w:t xml:space="preserve">, </w:t>
      </w:r>
      <w:r>
        <w:t>pp. 9-10.</w:t>
      </w:r>
    </w:p>
  </w:footnote>
  <w:footnote w:id="252">
    <w:p w14:paraId="6F8DACC3" w14:textId="77777777" w:rsidR="005E6435" w:rsidRDefault="005E6435" w:rsidP="002F536C">
      <w:pPr>
        <w:pStyle w:val="NoSpacing"/>
      </w:pPr>
      <w:r>
        <w:rPr>
          <w:rStyle w:val="FootnoteReference"/>
        </w:rPr>
        <w:footnoteRef/>
      </w:r>
      <w:r>
        <w:t xml:space="preserve"> </w:t>
      </w:r>
      <w:r>
        <w:rPr>
          <w:i/>
        </w:rPr>
        <w:t xml:space="preserve">Ibid, </w:t>
      </w:r>
      <w:r>
        <w:t xml:space="preserve">pp. 9-10. </w:t>
      </w:r>
    </w:p>
  </w:footnote>
  <w:footnote w:id="253">
    <w:p w14:paraId="2929B44B" w14:textId="77777777" w:rsidR="005E6435" w:rsidRPr="00A8502D" w:rsidRDefault="005E6435" w:rsidP="002F536C">
      <w:pPr>
        <w:pStyle w:val="NoSpacing"/>
        <w:rPr>
          <w:i/>
        </w:rPr>
      </w:pPr>
      <w:r>
        <w:rPr>
          <w:rStyle w:val="FootnoteReference"/>
        </w:rPr>
        <w:footnoteRef/>
      </w:r>
      <w:r>
        <w:t xml:space="preserve"> Carruthers: ‘Wildlife Protection and Human Geography in the Western Transvaal’</w:t>
      </w:r>
      <w:r>
        <w:rPr>
          <w:i/>
        </w:rPr>
        <w:t xml:space="preserve">, </w:t>
      </w:r>
      <w:r>
        <w:t>p. 10.</w:t>
      </w:r>
      <w:r>
        <w:rPr>
          <w:i/>
        </w:rPr>
        <w:t xml:space="preserve"> </w:t>
      </w:r>
    </w:p>
  </w:footnote>
  <w:footnote w:id="254">
    <w:p w14:paraId="3FF67A09" w14:textId="77777777" w:rsidR="005E6435" w:rsidRPr="00162DB0" w:rsidRDefault="005E6435" w:rsidP="002F536C">
      <w:pPr>
        <w:pStyle w:val="FootnoteText"/>
        <w:rPr>
          <w:i/>
        </w:rPr>
      </w:pPr>
      <w:r>
        <w:rPr>
          <w:rStyle w:val="FootnoteReference"/>
        </w:rPr>
        <w:footnoteRef/>
      </w:r>
      <w:r>
        <w:t xml:space="preserve"> Mbenga. &amp; </w:t>
      </w:r>
      <w:r w:rsidRPr="004A2980">
        <w:t xml:space="preserve">Manson: </w:t>
      </w:r>
      <w:r w:rsidRPr="005D724A">
        <w:rPr>
          <w:i/>
        </w:rPr>
        <w:t>Peoples of the Pilanesberg Region of South Afric</w:t>
      </w:r>
      <w:r>
        <w:rPr>
          <w:i/>
        </w:rPr>
        <w:t xml:space="preserve">a’, </w:t>
      </w:r>
      <w:r>
        <w:t>pp. 27-28</w:t>
      </w:r>
    </w:p>
  </w:footnote>
  <w:footnote w:id="255">
    <w:p w14:paraId="6DB48E79" w14:textId="77777777" w:rsidR="005E6435" w:rsidRPr="008951AF" w:rsidRDefault="005E6435" w:rsidP="002F536C">
      <w:pPr>
        <w:pStyle w:val="FootnoteText"/>
        <w:rPr>
          <w:lang w:val="en-US"/>
        </w:rPr>
      </w:pPr>
      <w:r>
        <w:rPr>
          <w:rStyle w:val="FootnoteReference"/>
        </w:rPr>
        <w:footnoteRef/>
      </w:r>
      <w:r>
        <w:t xml:space="preserve"> </w:t>
      </w:r>
      <w:r>
        <w:rPr>
          <w:lang w:val="en-US"/>
        </w:rPr>
        <w:t>E.S. Reddy: ‘United Nations, India and Boycott of Apartheid Sport.’ Conference Paper, Seminar of the Sports Authority of India and the Arjuna Awardees Associations, New Delhi, 28-29 July 1988, p. 3.</w:t>
      </w:r>
    </w:p>
  </w:footnote>
  <w:footnote w:id="256">
    <w:p w14:paraId="42CAA4AE" w14:textId="77777777" w:rsidR="005E6435" w:rsidRPr="00B82754" w:rsidRDefault="005E6435" w:rsidP="002F536C">
      <w:pPr>
        <w:pStyle w:val="FootnoteText"/>
        <w:rPr>
          <w:lang w:val="en-US"/>
        </w:rPr>
      </w:pPr>
      <w:r>
        <w:rPr>
          <w:rStyle w:val="FootnoteReference"/>
        </w:rPr>
        <w:footnoteRef/>
      </w:r>
      <w:r>
        <w:t xml:space="preserve"> R. Nixon: </w:t>
      </w:r>
      <w:r w:rsidRPr="000F6BF6">
        <w:rPr>
          <w:i/>
        </w:rPr>
        <w:t>Homelands, Harlem and Hollywood: South African Culture and the World Beyond</w:t>
      </w:r>
      <w:r>
        <w:t>. Routledge, New York, 1994, p. 132.</w:t>
      </w:r>
    </w:p>
  </w:footnote>
  <w:footnote w:id="257">
    <w:p w14:paraId="731C7043" w14:textId="77777777" w:rsidR="005E6435" w:rsidRPr="008951AF" w:rsidRDefault="005E6435" w:rsidP="0021632D">
      <w:pPr>
        <w:pStyle w:val="FootnoteText"/>
        <w:jc w:val="left"/>
        <w:rPr>
          <w:lang w:val="en-US"/>
        </w:rPr>
      </w:pPr>
      <w:r>
        <w:rPr>
          <w:rStyle w:val="FootnoteReference"/>
        </w:rPr>
        <w:footnoteRef/>
      </w:r>
      <w:r>
        <w:t xml:space="preserve"> </w:t>
      </w:r>
      <w:r>
        <w:rPr>
          <w:lang w:val="en-US"/>
        </w:rPr>
        <w:t>E.S. Reddy: ‘United Nations, India and Boycott of Apartheid Sport.’ Conference Paper, Seminar of the Sports Authority of India and the Arjuna Awardees Associations, New Delhi, 28-29 July 1988, p. 7.</w:t>
      </w:r>
    </w:p>
  </w:footnote>
  <w:footnote w:id="258">
    <w:p w14:paraId="250BBE5E" w14:textId="77777777" w:rsidR="005E6435" w:rsidRPr="008951AF" w:rsidRDefault="005E6435" w:rsidP="0021632D">
      <w:pPr>
        <w:pStyle w:val="FootnoteText"/>
        <w:jc w:val="left"/>
        <w:rPr>
          <w:lang w:val="en-US"/>
        </w:rPr>
      </w:pPr>
      <w:r>
        <w:rPr>
          <w:rStyle w:val="FootnoteReference"/>
        </w:rPr>
        <w:footnoteRef/>
      </w:r>
      <w:r>
        <w:t xml:space="preserve"> </w:t>
      </w:r>
      <w:r>
        <w:rPr>
          <w:lang w:val="en-US"/>
        </w:rPr>
        <w:t xml:space="preserve">Evans: </w:t>
      </w:r>
      <w:r>
        <w:rPr>
          <w:i/>
          <w:lang w:val="en-US"/>
        </w:rPr>
        <w:t xml:space="preserve">Broadcasting the End of Apartheid, </w:t>
      </w:r>
      <w:r>
        <w:rPr>
          <w:lang w:val="en-US"/>
        </w:rPr>
        <w:t>p. 223.</w:t>
      </w:r>
    </w:p>
  </w:footnote>
  <w:footnote w:id="259">
    <w:p w14:paraId="4E92D1B9" w14:textId="77777777" w:rsidR="005E6435" w:rsidRPr="008A21B6" w:rsidRDefault="005E6435" w:rsidP="0021632D">
      <w:pPr>
        <w:pStyle w:val="FootnoteText"/>
        <w:jc w:val="left"/>
      </w:pPr>
      <w:r>
        <w:rPr>
          <w:rStyle w:val="FootnoteReference"/>
        </w:rPr>
        <w:footnoteRef/>
      </w:r>
      <w:r>
        <w:t xml:space="preserve"> United Nations: ‘South Africa: Apartheid and Boycotts’ [Online] http:www.un.org/resolution/25/206 (25 February 2015). </w:t>
      </w:r>
    </w:p>
  </w:footnote>
  <w:footnote w:id="260">
    <w:p w14:paraId="71847B2C" w14:textId="77777777" w:rsidR="005E6435" w:rsidRDefault="005E6435" w:rsidP="00505A1B">
      <w:pPr>
        <w:pStyle w:val="NoSpacing"/>
      </w:pPr>
      <w:r>
        <w:rPr>
          <w:rStyle w:val="FootnoteReference"/>
        </w:rPr>
        <w:footnoteRef/>
      </w:r>
      <w:r>
        <w:t xml:space="preserve"> J.M. Wilson: ‘U.N.’s Register of Performers Raises Blacklist in S.Africa Boycott.’ </w:t>
      </w:r>
      <w:r>
        <w:rPr>
          <w:i/>
        </w:rPr>
        <w:t>Chicago Tribune.</w:t>
      </w:r>
      <w:r>
        <w:t xml:space="preserve"> 19 May 1985.</w:t>
      </w:r>
      <w:r>
        <w:rPr>
          <w:i/>
        </w:rPr>
        <w:t xml:space="preserve"> </w:t>
      </w:r>
      <w:r>
        <w:t xml:space="preserve">[Online] </w:t>
      </w:r>
      <w:hyperlink r:id="rId16" w:history="1">
        <w:r w:rsidRPr="008E4D1A">
          <w:rPr>
            <w:rStyle w:val="Hyperlink"/>
          </w:rPr>
          <w:t xml:space="preserve">http://articles.chicagotribune.com/1985-05-19/entertainment/8501310597_1_south-africa-cultural-boycott-apartheid/2 </w:t>
        </w:r>
        <w:r w:rsidRPr="00505A1B">
          <w:t>(17</w:t>
        </w:r>
      </w:hyperlink>
      <w:r>
        <w:t xml:space="preserve"> March 2016).</w:t>
      </w:r>
    </w:p>
  </w:footnote>
  <w:footnote w:id="261">
    <w:p w14:paraId="02764671" w14:textId="77777777" w:rsidR="005E6435" w:rsidRPr="008718FE" w:rsidRDefault="005E6435" w:rsidP="00505A1B">
      <w:pPr>
        <w:pStyle w:val="FootnoteText"/>
        <w:jc w:val="left"/>
      </w:pPr>
      <w:r>
        <w:rPr>
          <w:rStyle w:val="FootnoteReference"/>
        </w:rPr>
        <w:footnoteRef/>
      </w:r>
      <w:r>
        <w:t xml:space="preserve"> Staff reporter: ’Choose Frankie or Liberation’ </w:t>
      </w:r>
      <w:r>
        <w:rPr>
          <w:i/>
        </w:rPr>
        <w:t xml:space="preserve">The Sowetan, </w:t>
      </w:r>
      <w:r>
        <w:t xml:space="preserve">27 July 1981. </w:t>
      </w:r>
    </w:p>
  </w:footnote>
  <w:footnote w:id="262">
    <w:p w14:paraId="0E790F7B" w14:textId="77777777" w:rsidR="005E6435" w:rsidRPr="00C14CD1" w:rsidRDefault="005E6435" w:rsidP="00505A1B">
      <w:pPr>
        <w:pStyle w:val="FootnoteText"/>
        <w:jc w:val="left"/>
        <w:rPr>
          <w:lang w:val="en-US"/>
        </w:rPr>
      </w:pPr>
      <w:r>
        <w:rPr>
          <w:rStyle w:val="FootnoteReference"/>
        </w:rPr>
        <w:footnoteRef/>
      </w:r>
      <w:r>
        <w:t xml:space="preserve"> Michigan State University, African Activist Archive. 32-130-1182-84: ‘Sinatra Sings for Apartheid.’ </w:t>
      </w:r>
      <w:r>
        <w:rPr>
          <w:i/>
        </w:rPr>
        <w:t xml:space="preserve">American Committee on Africa Publication, </w:t>
      </w:r>
      <w:r>
        <w:t xml:space="preserve">August 1981. </w:t>
      </w:r>
    </w:p>
  </w:footnote>
  <w:footnote w:id="263">
    <w:p w14:paraId="55539E87" w14:textId="77777777" w:rsidR="005E6435" w:rsidRPr="000936A5" w:rsidRDefault="005E6435" w:rsidP="002F536C">
      <w:pPr>
        <w:pStyle w:val="FootnoteText"/>
        <w:rPr>
          <w:i/>
        </w:rPr>
      </w:pPr>
      <w:r>
        <w:rPr>
          <w:rStyle w:val="FootnoteReference"/>
        </w:rPr>
        <w:footnoteRef/>
      </w:r>
      <w:r>
        <w:t xml:space="preserve"> ‘Sinatra Sings for Apartheid.’ </w:t>
      </w:r>
    </w:p>
  </w:footnote>
  <w:footnote w:id="264">
    <w:p w14:paraId="03F57E68" w14:textId="77777777" w:rsidR="005E6435" w:rsidRDefault="005E6435" w:rsidP="002F536C">
      <w:pPr>
        <w:pStyle w:val="NoSpacing"/>
      </w:pPr>
      <w:r>
        <w:rPr>
          <w:rStyle w:val="FootnoteReference"/>
        </w:rPr>
        <w:footnoteRef/>
      </w:r>
      <w:r>
        <w:t xml:space="preserve"> Michigan State University, African Activist Archive. 32-130-1182-84: The Africa Fund: ‘Sun City’,</w:t>
      </w:r>
    </w:p>
  </w:footnote>
  <w:footnote w:id="265">
    <w:p w14:paraId="7BFF1BB1" w14:textId="77777777" w:rsidR="005E6435" w:rsidRPr="00007A3F" w:rsidRDefault="005E6435" w:rsidP="002F536C">
      <w:pPr>
        <w:pStyle w:val="FootnoteText"/>
        <w:rPr>
          <w:i/>
        </w:rPr>
      </w:pPr>
      <w:r>
        <w:rPr>
          <w:rStyle w:val="FootnoteReference"/>
        </w:rPr>
        <w:footnoteRef/>
      </w:r>
      <w:r>
        <w:t xml:space="preserve"> </w:t>
      </w:r>
      <w:r>
        <w:rPr>
          <w:i/>
        </w:rPr>
        <w:t>Ibid.</w:t>
      </w:r>
    </w:p>
  </w:footnote>
  <w:footnote w:id="266">
    <w:p w14:paraId="04D6532F" w14:textId="77777777" w:rsidR="005E6435" w:rsidRDefault="005E6435" w:rsidP="002F536C">
      <w:pPr>
        <w:pStyle w:val="NoSpacing"/>
      </w:pPr>
      <w:r>
        <w:rPr>
          <w:rStyle w:val="FootnoteReference"/>
        </w:rPr>
        <w:footnoteRef/>
      </w:r>
      <w:r>
        <w:t xml:space="preserve"> J. Lelyveld: ‘Why Bophuthatswana needs American Stars’ </w:t>
      </w:r>
      <w:r>
        <w:rPr>
          <w:i/>
        </w:rPr>
        <w:t xml:space="preserve">The New York Times </w:t>
      </w:r>
      <w:r>
        <w:t xml:space="preserve">[Online] </w:t>
      </w:r>
      <w:hyperlink r:id="rId17" w:history="1">
        <w:r w:rsidRPr="00261864">
          <w:rPr>
            <w:rStyle w:val="Hyperlink"/>
          </w:rPr>
          <w:t>http://www.nytimes.com/1982/10/12/arts/why-bophuthatswana-needs-american-stars.html?pagewanted=all</w:t>
        </w:r>
      </w:hyperlink>
      <w:r>
        <w:t xml:space="preserve"> (1 March 2016). </w:t>
      </w:r>
    </w:p>
  </w:footnote>
  <w:footnote w:id="267">
    <w:p w14:paraId="2D41EB8C" w14:textId="77777777" w:rsidR="005E6435" w:rsidRDefault="005E6435" w:rsidP="002F536C">
      <w:pPr>
        <w:pStyle w:val="NoSpacing"/>
      </w:pPr>
      <w:r>
        <w:rPr>
          <w:rStyle w:val="FootnoteReference"/>
        </w:rPr>
        <w:footnoteRef/>
      </w:r>
      <w:r>
        <w:t xml:space="preserve"> J. Harris: ‘The sins of St. Freddie.’ </w:t>
      </w:r>
      <w:r>
        <w:rPr>
          <w:i/>
        </w:rPr>
        <w:t xml:space="preserve">The Guardian UK, </w:t>
      </w:r>
      <w:r>
        <w:t xml:space="preserve">14 January 2005. [Online] </w:t>
      </w:r>
      <w:hyperlink r:id="rId18" w:history="1">
        <w:r w:rsidRPr="008E4D1A">
          <w:rPr>
            <w:rStyle w:val="Hyperlink"/>
          </w:rPr>
          <w:t xml:space="preserve">http://www.theguardian.com/music/2005/jan/14/2 </w:t>
        </w:r>
        <w:r w:rsidRPr="00505A1B">
          <w:t>(17</w:t>
        </w:r>
      </w:hyperlink>
      <w:r>
        <w:t xml:space="preserve"> March 2016).</w:t>
      </w:r>
    </w:p>
  </w:footnote>
  <w:footnote w:id="268">
    <w:p w14:paraId="54F6198C" w14:textId="77777777" w:rsidR="005E6435" w:rsidRPr="009422B0" w:rsidRDefault="005E6435" w:rsidP="002F536C">
      <w:pPr>
        <w:pStyle w:val="FootnoteText"/>
        <w:jc w:val="left"/>
        <w:rPr>
          <w:lang w:val="en-US"/>
        </w:rPr>
      </w:pPr>
      <w:r>
        <w:rPr>
          <w:rStyle w:val="FootnoteReference"/>
        </w:rPr>
        <w:footnoteRef/>
      </w:r>
      <w:r>
        <w:t xml:space="preserve"> C. </w:t>
      </w:r>
      <w:r w:rsidRPr="008E2F8C">
        <w:t>Connelly</w:t>
      </w:r>
      <w:r>
        <w:t xml:space="preserve">: ‘Apartheid Rock.’ </w:t>
      </w:r>
      <w:r>
        <w:rPr>
          <w:i/>
        </w:rPr>
        <w:t xml:space="preserve">Rolling Stone. </w:t>
      </w:r>
      <w:r>
        <w:t>[Online]</w:t>
      </w:r>
      <w:r>
        <w:rPr>
          <w:i/>
        </w:rPr>
        <w:t xml:space="preserve"> </w:t>
      </w:r>
      <w:r>
        <w:t xml:space="preserve">10 June 1982. </w:t>
      </w:r>
      <w:hyperlink r:id="rId19" w:history="1">
        <w:r w:rsidRPr="004C197C">
          <w:rPr>
            <w:rStyle w:val="Hyperlink"/>
          </w:rPr>
          <w:t xml:space="preserve">http://.rollingstone.com/music/features/apartheid-rock-19820610 </w:t>
        </w:r>
        <w:r w:rsidRPr="00505A1B">
          <w:rPr>
            <w:rStyle w:val="NoSpacingChar"/>
          </w:rPr>
          <w:t>(12</w:t>
        </w:r>
      </w:hyperlink>
      <w:r>
        <w:t xml:space="preserve"> April 2016).</w:t>
      </w:r>
    </w:p>
  </w:footnote>
  <w:footnote w:id="269">
    <w:p w14:paraId="003EF8D7" w14:textId="77777777" w:rsidR="005E6435" w:rsidRPr="003C4B06" w:rsidRDefault="005E6435" w:rsidP="002F536C">
      <w:pPr>
        <w:pStyle w:val="FootnoteText"/>
        <w:rPr>
          <w:lang w:val="en-US"/>
        </w:rPr>
      </w:pPr>
      <w:r>
        <w:rPr>
          <w:rStyle w:val="FootnoteReference"/>
        </w:rPr>
        <w:footnoteRef/>
      </w:r>
      <w:r>
        <w:t xml:space="preserve"> Freeman: ‘Sun City and the Sounds of Liberation’, pp. 34-35.</w:t>
      </w:r>
    </w:p>
  </w:footnote>
  <w:footnote w:id="270">
    <w:p w14:paraId="0ADCEF94" w14:textId="77777777" w:rsidR="005E6435" w:rsidRDefault="005E6435" w:rsidP="002F536C">
      <w:pPr>
        <w:pStyle w:val="FootnoteText"/>
      </w:pPr>
      <w:r>
        <w:rPr>
          <w:rStyle w:val="FootnoteReference"/>
        </w:rPr>
        <w:footnoteRef/>
      </w:r>
      <w:r>
        <w:t xml:space="preserve"> </w:t>
      </w:r>
      <w:r>
        <w:rPr>
          <w:i/>
        </w:rPr>
        <w:t>Ibid</w:t>
      </w:r>
      <w:r>
        <w:t xml:space="preserve">, p. 18. </w:t>
      </w:r>
    </w:p>
  </w:footnote>
  <w:footnote w:id="271">
    <w:p w14:paraId="58DFBF55" w14:textId="77777777" w:rsidR="005E6435" w:rsidRDefault="005E6435" w:rsidP="00505A1B">
      <w:pPr>
        <w:pStyle w:val="NoSpacing"/>
      </w:pPr>
      <w:r>
        <w:rPr>
          <w:rStyle w:val="FootnoteReference"/>
        </w:rPr>
        <w:footnoteRef/>
      </w:r>
      <w:r>
        <w:t xml:space="preserve"> Patrice Lumumba Coalition: ‘Unity in Action – Towards a Programme to End Cultural Collaboration with the Apartheid Regime in South Africa.’ 10 October 1983, p. 2. </w:t>
      </w:r>
    </w:p>
  </w:footnote>
  <w:footnote w:id="272">
    <w:p w14:paraId="1ABBFB6F" w14:textId="77777777" w:rsidR="005E6435" w:rsidRDefault="005E6435" w:rsidP="00505A1B">
      <w:pPr>
        <w:pStyle w:val="FootnoteText"/>
        <w:jc w:val="left"/>
      </w:pPr>
      <w:r>
        <w:rPr>
          <w:rStyle w:val="FootnoteReference"/>
        </w:rPr>
        <w:footnoteRef/>
      </w:r>
      <w:r>
        <w:t xml:space="preserve"> </w:t>
      </w:r>
      <w:r>
        <w:rPr>
          <w:i/>
        </w:rPr>
        <w:t>Ibid</w:t>
      </w:r>
      <w:r>
        <w:t>, p. 21.</w:t>
      </w:r>
    </w:p>
  </w:footnote>
  <w:footnote w:id="273">
    <w:p w14:paraId="38A99A88" w14:textId="77777777" w:rsidR="005E6435" w:rsidRDefault="005E6435" w:rsidP="00505A1B">
      <w:pPr>
        <w:pStyle w:val="FootnoteText"/>
        <w:jc w:val="left"/>
      </w:pPr>
      <w:r>
        <w:rPr>
          <w:rStyle w:val="FootnoteReference"/>
        </w:rPr>
        <w:footnoteRef/>
      </w:r>
      <w:r>
        <w:t xml:space="preserve"> J.H. Johnson. &amp; R.E. Johnson: ‘Should Famous Blacks Entertain in South African?’ </w:t>
      </w:r>
      <w:r>
        <w:rPr>
          <w:i/>
        </w:rPr>
        <w:t xml:space="preserve">Jet. </w:t>
      </w:r>
      <w:r>
        <w:t xml:space="preserve">27 May 1985, p.52.  </w:t>
      </w:r>
    </w:p>
  </w:footnote>
  <w:footnote w:id="274">
    <w:p w14:paraId="5D9A18A3" w14:textId="77777777" w:rsidR="005E6435" w:rsidRDefault="005E6435" w:rsidP="00505A1B">
      <w:pPr>
        <w:pStyle w:val="FootnoteText"/>
        <w:jc w:val="left"/>
      </w:pPr>
      <w:r>
        <w:rPr>
          <w:rStyle w:val="FootnoteReference"/>
        </w:rPr>
        <w:footnoteRef/>
      </w:r>
      <w:r>
        <w:t xml:space="preserve"> Freeman: ‘Sun City and the Sounds of Liberation’, pp. 34-35.</w:t>
      </w:r>
    </w:p>
  </w:footnote>
  <w:footnote w:id="275">
    <w:p w14:paraId="7BB01F1F" w14:textId="77777777" w:rsidR="005E6435" w:rsidRDefault="005E6435" w:rsidP="00492DDD">
      <w:pPr>
        <w:pStyle w:val="FootnoteText"/>
        <w:jc w:val="left"/>
      </w:pPr>
      <w:r>
        <w:rPr>
          <w:rStyle w:val="FootnoteReference"/>
        </w:rPr>
        <w:footnoteRef/>
      </w:r>
      <w:r>
        <w:t xml:space="preserve"> Nixon: </w:t>
      </w:r>
      <w:r w:rsidRPr="00984690">
        <w:rPr>
          <w:i/>
        </w:rPr>
        <w:t>Homelands, Harlem and Hollywood</w:t>
      </w:r>
      <w:r>
        <w:t xml:space="preserve">, p. 164. </w:t>
      </w:r>
    </w:p>
  </w:footnote>
  <w:footnote w:id="276">
    <w:p w14:paraId="2EA6D668" w14:textId="77777777" w:rsidR="005E6435" w:rsidRDefault="005E6435" w:rsidP="00505A1B">
      <w:pPr>
        <w:pStyle w:val="FootnoteText"/>
        <w:jc w:val="left"/>
      </w:pPr>
      <w:r>
        <w:rPr>
          <w:rStyle w:val="FootnoteReference"/>
        </w:rPr>
        <w:footnoteRef/>
      </w:r>
      <w:r>
        <w:t xml:space="preserve"> R. Deneslow: ‘Paul Simon’s Graceland: the acclaim and the outrage.’ </w:t>
      </w:r>
      <w:r>
        <w:rPr>
          <w:i/>
        </w:rPr>
        <w:t xml:space="preserve">The Guardian </w:t>
      </w:r>
      <w:r>
        <w:t xml:space="preserve">[Online] </w:t>
      </w:r>
      <w:hyperlink r:id="rId20" w:history="1">
        <w:r w:rsidRPr="002B0A0B">
          <w:rPr>
            <w:rStyle w:val="Hyperlink"/>
          </w:rPr>
          <w:t xml:space="preserve">http://www.theguardian.com/music/2012/apr/19/paul-simon-graceland-acclaim-outrage </w:t>
        </w:r>
        <w:r w:rsidRPr="008A6C6F">
          <w:rPr>
            <w:rStyle w:val="NoSpacingChar"/>
          </w:rPr>
          <w:t>(12</w:t>
        </w:r>
      </w:hyperlink>
      <w:r>
        <w:t xml:space="preserve"> February 2016).</w:t>
      </w:r>
    </w:p>
  </w:footnote>
  <w:footnote w:id="277">
    <w:p w14:paraId="517C2E38" w14:textId="77777777" w:rsidR="005E6435" w:rsidRDefault="005E6435" w:rsidP="008A6C6F">
      <w:pPr>
        <w:pStyle w:val="FootnoteText"/>
        <w:jc w:val="left"/>
      </w:pPr>
      <w:r>
        <w:rPr>
          <w:rStyle w:val="FootnoteReference"/>
        </w:rPr>
        <w:footnoteRef/>
      </w:r>
      <w:r>
        <w:t xml:space="preserve"> Nixon: </w:t>
      </w:r>
      <w:r w:rsidRPr="00984690">
        <w:rPr>
          <w:i/>
        </w:rPr>
        <w:t>Homelands, Harlem and Hollywood</w:t>
      </w:r>
      <w:r>
        <w:rPr>
          <w:i/>
        </w:rPr>
        <w:t xml:space="preserve">, </w:t>
      </w:r>
      <w:r>
        <w:t>p. 163.</w:t>
      </w:r>
    </w:p>
  </w:footnote>
  <w:footnote w:id="278">
    <w:p w14:paraId="2405FD67" w14:textId="77777777" w:rsidR="005E6435" w:rsidRDefault="005E6435" w:rsidP="008A6C6F">
      <w:pPr>
        <w:pStyle w:val="NoSpacing"/>
      </w:pPr>
      <w:r>
        <w:rPr>
          <w:rStyle w:val="FootnoteReference"/>
        </w:rPr>
        <w:footnoteRef/>
      </w:r>
      <w:r>
        <w:t xml:space="preserve"> Staff reporter: ‘100 Best Albums of the Eighties’ </w:t>
      </w:r>
      <w:r>
        <w:rPr>
          <w:i/>
        </w:rPr>
        <w:t>Rolling Stone</w:t>
      </w:r>
      <w:r>
        <w:t xml:space="preserve">. [Online] </w:t>
      </w:r>
      <w:hyperlink r:id="rId21" w:history="1">
        <w:r w:rsidRPr="000123DE">
          <w:rPr>
            <w:rStyle w:val="Hyperlink"/>
          </w:rPr>
          <w:t>http://www.rollingstone.com/music/lists/100-best-albums-of-the-eighties-20110418/artists-united-against-apartheid-sun-city-20110330</w:t>
        </w:r>
        <w:r w:rsidRPr="008951AF">
          <w:rPr>
            <w:rStyle w:val="Hyperlink"/>
          </w:rPr>
          <w:t xml:space="preserve"> (21</w:t>
        </w:r>
      </w:hyperlink>
      <w:r>
        <w:t xml:space="preserve"> October 2015). </w:t>
      </w:r>
    </w:p>
  </w:footnote>
  <w:footnote w:id="279">
    <w:p w14:paraId="14D710D8" w14:textId="77777777" w:rsidR="005E6435" w:rsidRDefault="005E6435" w:rsidP="008A6C6F">
      <w:pPr>
        <w:pStyle w:val="NoSpacing"/>
      </w:pPr>
      <w:r>
        <w:rPr>
          <w:rStyle w:val="FootnoteReference"/>
        </w:rPr>
        <w:footnoteRef/>
      </w:r>
      <w:r>
        <w:t xml:space="preserve"> Michigan State University, African Activist Archive: S. Van Zandt, D. Schechter, A. Baker, R. Dutka. &amp; O. Epstein: ‘Sun City Project Lyrics.’ </w:t>
      </w:r>
      <w:r>
        <w:rPr>
          <w:i/>
        </w:rPr>
        <w:t>Audio Production Credits</w:t>
      </w:r>
      <w:r>
        <w:t xml:space="preserve">. </w:t>
      </w:r>
    </w:p>
  </w:footnote>
  <w:footnote w:id="280">
    <w:p w14:paraId="19ADD955" w14:textId="77777777" w:rsidR="005E6435" w:rsidRPr="00286FB4" w:rsidRDefault="005E6435" w:rsidP="008A6C6F">
      <w:pPr>
        <w:pStyle w:val="NoSpacing"/>
      </w:pPr>
      <w:r>
        <w:rPr>
          <w:rStyle w:val="FootnoteReference"/>
        </w:rPr>
        <w:footnoteRef/>
      </w:r>
      <w:r>
        <w:t xml:space="preserve"> J. Cooks: ‘Music: That Road is All Mine.’ </w:t>
      </w:r>
      <w:r>
        <w:rPr>
          <w:i/>
        </w:rPr>
        <w:t xml:space="preserve">Time Magazine. </w:t>
      </w:r>
      <w:r>
        <w:t xml:space="preserve">[Online] </w:t>
      </w:r>
      <w:hyperlink r:id="rId22" w:history="1">
        <w:r w:rsidRPr="00F004AF">
          <w:rPr>
            <w:rStyle w:val="Hyperlink"/>
          </w:rPr>
          <w:t>http://content.time.com/time/subscriber/article/0,33009,964283,00.html</w:t>
        </w:r>
      </w:hyperlink>
      <w:r>
        <w:t xml:space="preserve"> (21 October 2015). Publication date?</w:t>
      </w:r>
    </w:p>
  </w:footnote>
  <w:footnote w:id="281">
    <w:p w14:paraId="3D774175" w14:textId="77777777" w:rsidR="005E6435" w:rsidRDefault="005E6435" w:rsidP="008A6C6F">
      <w:pPr>
        <w:pStyle w:val="NoSpacing"/>
      </w:pPr>
      <w:r>
        <w:rPr>
          <w:rStyle w:val="FootnoteReference"/>
        </w:rPr>
        <w:footnoteRef/>
      </w:r>
      <w:r>
        <w:t xml:space="preserve"> Van Zandt et al: ‘Sun City Project Lyrics.’  </w:t>
      </w:r>
    </w:p>
  </w:footnote>
  <w:footnote w:id="282">
    <w:p w14:paraId="23170C75" w14:textId="77777777" w:rsidR="005E6435" w:rsidRDefault="005E6435" w:rsidP="002F536C">
      <w:pPr>
        <w:pStyle w:val="NoSpacing"/>
      </w:pPr>
      <w:r>
        <w:rPr>
          <w:rStyle w:val="FootnoteReference"/>
        </w:rPr>
        <w:footnoteRef/>
      </w:r>
      <w:r>
        <w:t xml:space="preserve"> Staff reporter: ‘100 Best Albums of the Eighties’ newspaper?</w:t>
      </w:r>
    </w:p>
  </w:footnote>
  <w:footnote w:id="283">
    <w:p w14:paraId="4645AE02" w14:textId="77777777" w:rsidR="005E6435" w:rsidRPr="008A6C6F" w:rsidRDefault="005E6435" w:rsidP="002F536C">
      <w:pPr>
        <w:pStyle w:val="FootnoteText"/>
        <w:jc w:val="left"/>
      </w:pPr>
      <w:r>
        <w:rPr>
          <w:rStyle w:val="FootnoteReference"/>
        </w:rPr>
        <w:footnoteRef/>
      </w:r>
      <w:r>
        <w:t xml:space="preserve"> J. Cocks: ‘Music: Songs from the High Ground from Farm Aid to Apartheid, Rock Wrestles with Big Issues.’ </w:t>
      </w:r>
      <w:r>
        <w:rPr>
          <w:i/>
        </w:rPr>
        <w:t xml:space="preserve">Time Magazine, </w:t>
      </w:r>
      <w:r>
        <w:t xml:space="preserve">7 October 1985 [Online] </w:t>
      </w:r>
      <w:hyperlink r:id="rId23" w:history="1">
        <w:r w:rsidRPr="00B70B12">
          <w:rPr>
            <w:rStyle w:val="Hyperlink"/>
          </w:rPr>
          <w:t>http://content.time.com/time/magazine/article/0,9171,960065,00.html</w:t>
        </w:r>
      </w:hyperlink>
      <w:r>
        <w:t xml:space="preserve"> (25 February 2017).</w:t>
      </w:r>
    </w:p>
  </w:footnote>
  <w:footnote w:id="284">
    <w:p w14:paraId="7A3163D5" w14:textId="77777777" w:rsidR="005E6435" w:rsidRDefault="005E6435" w:rsidP="002F536C">
      <w:pPr>
        <w:pStyle w:val="FootnoteText"/>
      </w:pPr>
      <w:r>
        <w:rPr>
          <w:rStyle w:val="FootnoteReference"/>
        </w:rPr>
        <w:footnoteRef/>
      </w:r>
      <w:r>
        <w:t xml:space="preserve"> Freeman: ‘Sun City and the Sounds of Liberation’, p. 22.</w:t>
      </w:r>
    </w:p>
  </w:footnote>
  <w:footnote w:id="285">
    <w:p w14:paraId="53CFCBCD" w14:textId="77777777" w:rsidR="005E6435" w:rsidRDefault="005E6435" w:rsidP="002F536C">
      <w:pPr>
        <w:pStyle w:val="NoSpacing"/>
      </w:pPr>
      <w:r>
        <w:rPr>
          <w:rStyle w:val="FootnoteReference"/>
        </w:rPr>
        <w:footnoteRef/>
      </w:r>
      <w:r>
        <w:t xml:space="preserve"> Michigan State University, African Activist Archive, 32-130-1332-84: </w:t>
      </w:r>
      <w:r w:rsidRPr="008A6C6F">
        <w:rPr>
          <w:i/>
        </w:rPr>
        <w:t>Letter to All Anti-Apartheid Activists.</w:t>
      </w:r>
      <w:r>
        <w:t xml:space="preserve"> </w:t>
      </w:r>
    </w:p>
  </w:footnote>
  <w:footnote w:id="286">
    <w:p w14:paraId="65CA6730" w14:textId="77777777" w:rsidR="005E6435" w:rsidRDefault="005E6435" w:rsidP="002F536C">
      <w:pPr>
        <w:pStyle w:val="FootnoteText"/>
      </w:pPr>
      <w:r>
        <w:rPr>
          <w:rStyle w:val="FootnoteReference"/>
        </w:rPr>
        <w:footnoteRef/>
      </w:r>
      <w:r>
        <w:t xml:space="preserve"> Freeman: ‘Sun City and the Sounds of Liberation’, pp. 20-23.</w:t>
      </w:r>
    </w:p>
  </w:footnote>
  <w:footnote w:id="287">
    <w:p w14:paraId="20E595F9" w14:textId="77777777" w:rsidR="005E6435" w:rsidRDefault="005E6435" w:rsidP="002F536C">
      <w:pPr>
        <w:pStyle w:val="FootnoteText"/>
        <w:jc w:val="left"/>
      </w:pPr>
      <w:r>
        <w:rPr>
          <w:rStyle w:val="FootnoteReference"/>
        </w:rPr>
        <w:footnoteRef/>
      </w:r>
      <w:r>
        <w:t xml:space="preserve"> Staff reporter: ‘100 Best Albums of the Eighties’ </w:t>
      </w:r>
      <w:r>
        <w:rPr>
          <w:i/>
        </w:rPr>
        <w:t>Rolling Stone</w:t>
      </w:r>
      <w:r>
        <w:t xml:space="preserve">. [Online] </w:t>
      </w:r>
      <w:hyperlink r:id="rId24" w:history="1">
        <w:r w:rsidRPr="000123DE">
          <w:rPr>
            <w:rStyle w:val="Hyperlink"/>
          </w:rPr>
          <w:t>http://www.rollingstone.com/music/lists/100-best-albums-of-the-eighties-20110418/artists-united-against-apartheid-sun-city-20110330</w:t>
        </w:r>
        <w:r w:rsidRPr="0095424B">
          <w:rPr>
            <w:rStyle w:val="Hyperlink"/>
          </w:rPr>
          <w:t xml:space="preserve"> </w:t>
        </w:r>
        <w:r w:rsidRPr="008951AF">
          <w:rPr>
            <w:rStyle w:val="Hyperlink"/>
          </w:rPr>
          <w:t>(21</w:t>
        </w:r>
      </w:hyperlink>
      <w:r>
        <w:t xml:space="preserve"> October 2015).</w:t>
      </w:r>
    </w:p>
  </w:footnote>
  <w:footnote w:id="288">
    <w:p w14:paraId="22B73CC3" w14:textId="77777777" w:rsidR="005E6435" w:rsidRDefault="005E6435" w:rsidP="002F536C">
      <w:pPr>
        <w:pStyle w:val="FootnoteText"/>
      </w:pPr>
      <w:r>
        <w:rPr>
          <w:rStyle w:val="FootnoteReference"/>
        </w:rPr>
        <w:footnoteRef/>
      </w:r>
      <w:r>
        <w:t xml:space="preserve"> Nixon: </w:t>
      </w:r>
      <w:r>
        <w:rPr>
          <w:i/>
        </w:rPr>
        <w:t>Homelands, Harlem</w:t>
      </w:r>
      <w:r w:rsidRPr="008951AF">
        <w:rPr>
          <w:i/>
        </w:rPr>
        <w:t xml:space="preserve"> and Hollywood</w:t>
      </w:r>
      <w:r>
        <w:t xml:space="preserve">, p. 163. </w:t>
      </w:r>
    </w:p>
  </w:footnote>
  <w:footnote w:id="289">
    <w:p w14:paraId="6AA2CD5E" w14:textId="77777777" w:rsidR="005E6435" w:rsidRDefault="005E6435" w:rsidP="002F536C">
      <w:pPr>
        <w:pStyle w:val="FootnoteText"/>
      </w:pPr>
      <w:r>
        <w:rPr>
          <w:rStyle w:val="FootnoteReference"/>
        </w:rPr>
        <w:footnoteRef/>
      </w:r>
      <w:r>
        <w:t xml:space="preserve"> Freeman: ‘Sun City and the Sounds of Liberation’, pp. 26-27.</w:t>
      </w:r>
    </w:p>
  </w:footnote>
  <w:footnote w:id="290">
    <w:p w14:paraId="02AD88C3" w14:textId="77777777" w:rsidR="005E6435" w:rsidRDefault="005E6435" w:rsidP="002F536C">
      <w:pPr>
        <w:pStyle w:val="FootnoteText"/>
      </w:pPr>
      <w:r>
        <w:rPr>
          <w:rStyle w:val="FootnoteReference"/>
        </w:rPr>
        <w:footnoteRef/>
      </w:r>
      <w:r>
        <w:t xml:space="preserve"> Nixon: </w:t>
      </w:r>
      <w:r w:rsidRPr="00324B64">
        <w:rPr>
          <w:i/>
        </w:rPr>
        <w:t>Homelands, Harlem and Hollywood</w:t>
      </w:r>
      <w:r>
        <w:t xml:space="preserve">, pp. 163-164. </w:t>
      </w:r>
    </w:p>
  </w:footnote>
  <w:footnote w:id="291">
    <w:p w14:paraId="56644CBF" w14:textId="77777777" w:rsidR="005E6435" w:rsidRPr="00B14B24" w:rsidRDefault="005E6435" w:rsidP="002F536C">
      <w:pPr>
        <w:pStyle w:val="FootnoteText"/>
        <w:rPr>
          <w:lang w:val="en-US"/>
        </w:rPr>
      </w:pPr>
      <w:r>
        <w:rPr>
          <w:rStyle w:val="FootnoteReference"/>
        </w:rPr>
        <w:footnoteRef/>
      </w:r>
      <w:r>
        <w:t xml:space="preserve"> Evans: </w:t>
      </w:r>
      <w:r w:rsidRPr="008951AF">
        <w:rPr>
          <w:i/>
        </w:rPr>
        <w:t>Broadcasting the End of Apartheid</w:t>
      </w:r>
      <w:r>
        <w:t>, p. 139.</w:t>
      </w:r>
    </w:p>
  </w:footnote>
  <w:footnote w:id="292">
    <w:p w14:paraId="60E12629" w14:textId="77777777" w:rsidR="005E6435" w:rsidRPr="003874BE" w:rsidRDefault="005E6435" w:rsidP="002F536C">
      <w:pPr>
        <w:pStyle w:val="FootnoteText"/>
        <w:rPr>
          <w:lang w:val="en-US"/>
        </w:rPr>
      </w:pPr>
      <w:r>
        <w:rPr>
          <w:rStyle w:val="FootnoteReference"/>
        </w:rPr>
        <w:footnoteRef/>
      </w:r>
      <w:r>
        <w:t xml:space="preserve"> </w:t>
      </w:r>
      <w:r>
        <w:rPr>
          <w:i/>
        </w:rPr>
        <w:t>Ibid</w:t>
      </w:r>
      <w:r>
        <w:t xml:space="preserve">, p. 38. </w:t>
      </w:r>
    </w:p>
  </w:footnote>
  <w:footnote w:id="293">
    <w:p w14:paraId="3881DD85" w14:textId="77777777" w:rsidR="005E6435" w:rsidRPr="005132B7" w:rsidRDefault="005E6435" w:rsidP="008A6C6F">
      <w:pPr>
        <w:pStyle w:val="FootnoteText"/>
        <w:jc w:val="left"/>
        <w:rPr>
          <w:lang w:val="en-US"/>
        </w:rPr>
      </w:pPr>
      <w:r>
        <w:rPr>
          <w:rStyle w:val="FootnoteReference"/>
        </w:rPr>
        <w:footnoteRef/>
      </w:r>
      <w:r>
        <w:t xml:space="preserve"> </w:t>
      </w:r>
      <w:r>
        <w:rPr>
          <w:lang w:val="en-US"/>
        </w:rPr>
        <w:t xml:space="preserve">T. Sacks: ‘A hollow sporting footnote in apartheid-era South Africa’ </w:t>
      </w:r>
      <w:r w:rsidRPr="005132B7">
        <w:rPr>
          <w:i/>
          <w:lang w:val="en-US"/>
        </w:rPr>
        <w:t>New York Times</w:t>
      </w:r>
      <w:r>
        <w:rPr>
          <w:lang w:val="en-US"/>
        </w:rPr>
        <w:t xml:space="preserve"> [Online] </w:t>
      </w:r>
      <w:hyperlink r:id="rId25" w:history="1">
        <w:r w:rsidRPr="00F071A9">
          <w:rPr>
            <w:rStyle w:val="Hyperlink"/>
            <w:lang w:val="en-US"/>
          </w:rPr>
          <w:t>http://www.nytimes.com/2012/10/21/sports/gerrie-coetzee-vs-john-tate-in-apartheid-era-south-africa.html?_r=0</w:t>
        </w:r>
      </w:hyperlink>
      <w:r>
        <w:rPr>
          <w:lang w:val="en-US"/>
        </w:rPr>
        <w:t xml:space="preserve"> (2 September 2015). </w:t>
      </w:r>
    </w:p>
  </w:footnote>
  <w:footnote w:id="294">
    <w:p w14:paraId="691BFCFF" w14:textId="77777777" w:rsidR="005E6435" w:rsidRDefault="005E6435" w:rsidP="008A6C6F">
      <w:pPr>
        <w:pStyle w:val="NoSpacing"/>
      </w:pPr>
      <w:r>
        <w:rPr>
          <w:rStyle w:val="FootnoteReference"/>
        </w:rPr>
        <w:footnoteRef/>
      </w:r>
      <w:r>
        <w:t xml:space="preserve"> </w:t>
      </w:r>
      <w:r>
        <w:rPr>
          <w:shd w:val="clear" w:color="auto" w:fill="FFFFFF"/>
        </w:rPr>
        <w:t xml:space="preserve">M, Magasela: ‘Boxing Great Norman “Pangaman. ’[Online] </w:t>
      </w:r>
      <w:hyperlink r:id="rId26" w:history="1">
        <w:r w:rsidRPr="00F859C5">
          <w:rPr>
            <w:rStyle w:val="Hyperlink"/>
            <w:shd w:val="clear" w:color="auto" w:fill="FFFFFF"/>
          </w:rPr>
          <w:t xml:space="preserve">http://www.sowetanlive.co.za/sport/2015/03/30/boxing-event-to-help-pangaman </w:t>
        </w:r>
        <w:r w:rsidRPr="008A6C6F">
          <w:t>(16</w:t>
        </w:r>
      </w:hyperlink>
      <w:r>
        <w:rPr>
          <w:shd w:val="clear" w:color="auto" w:fill="FFFFFF"/>
        </w:rPr>
        <w:t xml:space="preserve"> October 2015).  </w:t>
      </w:r>
    </w:p>
  </w:footnote>
  <w:footnote w:id="295">
    <w:p w14:paraId="71C5BFFD" w14:textId="77777777" w:rsidR="005E6435" w:rsidRPr="006F3971" w:rsidRDefault="005E6435" w:rsidP="008A6C6F">
      <w:pPr>
        <w:pStyle w:val="FootnoteText"/>
        <w:jc w:val="left"/>
      </w:pPr>
      <w:r>
        <w:rPr>
          <w:rStyle w:val="FootnoteReference"/>
        </w:rPr>
        <w:footnoteRef/>
      </w:r>
      <w:r>
        <w:t xml:space="preserve"> North-West Provincial Archives, Bophuthatswana Papers, Office of the President, 4.5.90: </w:t>
      </w:r>
      <w:r>
        <w:rPr>
          <w:i/>
        </w:rPr>
        <w:t xml:space="preserve">Letter </w:t>
      </w:r>
      <w:r w:rsidRPr="008A6C6F">
        <w:rPr>
          <w:i/>
        </w:rPr>
        <w:t>from  B. Ickinger to Lucas Ma</w:t>
      </w:r>
      <w:r>
        <w:rPr>
          <w:i/>
        </w:rPr>
        <w:t xml:space="preserve">ngope, </w:t>
      </w:r>
      <w:r>
        <w:t>11 September 1984.</w:t>
      </w:r>
    </w:p>
  </w:footnote>
  <w:footnote w:id="296">
    <w:p w14:paraId="4A6348B1" w14:textId="77777777" w:rsidR="005E6435" w:rsidRDefault="005E6435" w:rsidP="008A6C6F">
      <w:pPr>
        <w:pStyle w:val="FootnoteText"/>
        <w:jc w:val="left"/>
      </w:pPr>
      <w:r>
        <w:rPr>
          <w:rStyle w:val="FootnoteReference"/>
        </w:rPr>
        <w:footnoteRef/>
      </w:r>
      <w:r>
        <w:t xml:space="preserve"> D. Potgieter: ‘</w:t>
      </w:r>
      <w:r w:rsidRPr="00776713">
        <w:t>Two by Two</w:t>
      </w:r>
      <w:r>
        <w:t>.’ [Online]</w:t>
      </w:r>
      <w:r>
        <w:rPr>
          <w:i/>
        </w:rPr>
        <w:t xml:space="preserve"> </w:t>
      </w:r>
      <w:hyperlink r:id="rId27" w:history="1">
        <w:r w:rsidRPr="00F859C5">
          <w:rPr>
            <w:rStyle w:val="Hyperlink"/>
          </w:rPr>
          <w:t>http://www.gerriecoetzee.com/gerrie-coetzee-article-sa-heavyweights.htm</w:t>
        </w:r>
        <w:r w:rsidRPr="008A6C6F">
          <w:rPr>
            <w:rStyle w:val="NoSpacingChar"/>
          </w:rPr>
          <w:t xml:space="preserve"> (16</w:t>
        </w:r>
      </w:hyperlink>
      <w:r>
        <w:t xml:space="preserve"> October 2015). </w:t>
      </w:r>
    </w:p>
  </w:footnote>
  <w:footnote w:id="297">
    <w:p w14:paraId="5DE88AD6" w14:textId="77777777" w:rsidR="005E6435" w:rsidRPr="004A794C" w:rsidRDefault="005E6435" w:rsidP="008A6C6F">
      <w:pPr>
        <w:pStyle w:val="FootnoteText"/>
        <w:jc w:val="left"/>
      </w:pPr>
      <w:r>
        <w:rPr>
          <w:rStyle w:val="FootnoteReference"/>
        </w:rPr>
        <w:footnoteRef/>
      </w:r>
      <w:r>
        <w:t xml:space="preserve"> T. Rogers: ‘U.N. Reports Contacts with South Africa’ </w:t>
      </w:r>
      <w:r>
        <w:rPr>
          <w:i/>
        </w:rPr>
        <w:t xml:space="preserve">New York Times </w:t>
      </w:r>
      <w:r>
        <w:t xml:space="preserve">[Online] </w:t>
      </w:r>
      <w:hyperlink r:id="rId28" w:history="1">
        <w:r w:rsidRPr="000123DE">
          <w:rPr>
            <w:rStyle w:val="Hyperlink"/>
          </w:rPr>
          <w:t xml:space="preserve">http://www.nytimes.com/1988/04/15/sports/un-reports-contacts-with-south-africa.html </w:t>
        </w:r>
        <w:r w:rsidRPr="008A6C6F">
          <w:rPr>
            <w:rStyle w:val="NoSpacingChar"/>
          </w:rPr>
          <w:t>(21</w:t>
        </w:r>
      </w:hyperlink>
      <w:r>
        <w:t xml:space="preserve"> October 2015). </w:t>
      </w:r>
    </w:p>
    <w:p w14:paraId="3D231A18" w14:textId="77777777" w:rsidR="005E6435" w:rsidRDefault="005E6435" w:rsidP="008A6C6F">
      <w:pPr>
        <w:pStyle w:val="FootnoteText"/>
        <w:jc w:val="left"/>
      </w:pPr>
      <w:r>
        <w:rPr>
          <w:rStyle w:val="FootnoteReference"/>
        </w:rPr>
        <w:footnoteRef/>
      </w:r>
      <w:r>
        <w:t xml:space="preserve"> Staff reporter: ‘Sport: Boycott Blues.’ </w:t>
      </w:r>
      <w:r>
        <w:rPr>
          <w:i/>
        </w:rPr>
        <w:t xml:space="preserve">Time Magazine, </w:t>
      </w:r>
      <w:r>
        <w:t xml:space="preserve">31 March 1981. [Online] </w:t>
      </w:r>
      <w:hyperlink r:id="rId29" w:history="1">
        <w:r w:rsidRPr="00B70B12">
          <w:rPr>
            <w:rStyle w:val="Hyperlink"/>
          </w:rPr>
          <w:t>http://content.time.com/time/magazine/article/0,9171,922516,00.html</w:t>
        </w:r>
      </w:hyperlink>
      <w:r>
        <w:t xml:space="preserve"> (25 February 2017).</w:t>
      </w:r>
    </w:p>
  </w:footnote>
  <w:footnote w:id="298">
    <w:p w14:paraId="06ACE935" w14:textId="77777777" w:rsidR="005E6435" w:rsidRDefault="005E6435" w:rsidP="002F536C">
      <w:pPr>
        <w:pStyle w:val="FootnoteText"/>
        <w:jc w:val="left"/>
      </w:pPr>
      <w:r>
        <w:rPr>
          <w:rStyle w:val="FootnoteReference"/>
        </w:rPr>
        <w:footnoteRef/>
      </w:r>
      <w:r>
        <w:t xml:space="preserve"> M. Christie: ‘On this day: Greg Page knocks out Gerrie Coetzee in bizarre extra time ending.’ [Online] </w:t>
      </w:r>
      <w:hyperlink r:id="rId30" w:history="1">
        <w:r w:rsidRPr="00F859C5">
          <w:rPr>
            <w:rStyle w:val="Hyperlink"/>
          </w:rPr>
          <w:t>http://www.boxingnewsonline.net/on-this-day-greg-page-knocks-out-gerrie-coetzee-in-bizarre-extra-time-ending/</w:t>
        </w:r>
      </w:hyperlink>
      <w:r>
        <w:t xml:space="preserve"> (16 October 2015). </w:t>
      </w:r>
    </w:p>
  </w:footnote>
  <w:footnote w:id="299">
    <w:p w14:paraId="327B4B9B" w14:textId="77777777" w:rsidR="005E6435" w:rsidRPr="00C16D74" w:rsidRDefault="005E6435" w:rsidP="002F536C">
      <w:pPr>
        <w:pStyle w:val="FootnoteText"/>
        <w:jc w:val="left"/>
      </w:pPr>
      <w:r>
        <w:rPr>
          <w:rStyle w:val="FootnoteReference"/>
        </w:rPr>
        <w:footnoteRef/>
      </w:r>
      <w:r>
        <w:t xml:space="preserve"> Buthelezi: Interviewed by Nicola van der Merwe. </w:t>
      </w:r>
    </w:p>
  </w:footnote>
  <w:footnote w:id="300">
    <w:p w14:paraId="3F10395F" w14:textId="77777777" w:rsidR="005E6435" w:rsidRDefault="005E6435" w:rsidP="002F536C">
      <w:pPr>
        <w:pStyle w:val="FootnoteText"/>
      </w:pPr>
      <w:r>
        <w:rPr>
          <w:rStyle w:val="FootnoteReference"/>
        </w:rPr>
        <w:footnoteRef/>
      </w:r>
      <w:r>
        <w:t xml:space="preserve"> S. Ostler: ‘Some golfers can’t resist temptation of Sun City.’ </w:t>
      </w:r>
      <w:r w:rsidRPr="002C5F4F">
        <w:rPr>
          <w:i/>
        </w:rPr>
        <w:t>The Bulletin</w:t>
      </w:r>
      <w:r w:rsidRPr="002C5F4F">
        <w:t>, 10 December 1987¸ p. 17.</w:t>
      </w:r>
    </w:p>
  </w:footnote>
  <w:footnote w:id="301">
    <w:p w14:paraId="6C75D6F6" w14:textId="77777777" w:rsidR="005E6435" w:rsidRPr="008951AF" w:rsidRDefault="005E6435" w:rsidP="002F536C">
      <w:pPr>
        <w:pStyle w:val="FootnoteText"/>
        <w:rPr>
          <w:lang w:val="en-US"/>
        </w:rPr>
      </w:pPr>
      <w:r>
        <w:rPr>
          <w:rStyle w:val="FootnoteReference"/>
        </w:rPr>
        <w:footnoteRef/>
      </w:r>
      <w:r>
        <w:t xml:space="preserve"> </w:t>
      </w:r>
      <w:r>
        <w:rPr>
          <w:lang w:val="en-US"/>
        </w:rPr>
        <w:t xml:space="preserve">Buthelezi: Interviewed by Nicola van der Merwe. </w:t>
      </w:r>
    </w:p>
  </w:footnote>
  <w:footnote w:id="302">
    <w:p w14:paraId="7FC49951" w14:textId="77777777" w:rsidR="005E6435" w:rsidRPr="008F5905" w:rsidRDefault="005E6435" w:rsidP="002F536C">
      <w:pPr>
        <w:pStyle w:val="FootnoteText"/>
      </w:pPr>
      <w:r>
        <w:rPr>
          <w:rStyle w:val="FootnoteReference"/>
        </w:rPr>
        <w:footnoteRef/>
      </w:r>
      <w:r>
        <w:t xml:space="preserve"> S. Jacobson: ‘Did golfers err by playing Sun City?’ </w:t>
      </w:r>
      <w:r>
        <w:rPr>
          <w:i/>
        </w:rPr>
        <w:t>The Register Guard,</w:t>
      </w:r>
      <w:r>
        <w:t xml:space="preserve"> 12 December 1985, p. 3B. </w:t>
      </w:r>
    </w:p>
  </w:footnote>
  <w:footnote w:id="303">
    <w:p w14:paraId="343AC5AB" w14:textId="77777777" w:rsidR="005E6435" w:rsidRPr="00355DF8" w:rsidRDefault="005E6435" w:rsidP="002F536C">
      <w:pPr>
        <w:pStyle w:val="FootnoteText"/>
        <w:rPr>
          <w:lang w:val="en-US"/>
        </w:rPr>
      </w:pPr>
      <w:r>
        <w:rPr>
          <w:rStyle w:val="FootnoteReference"/>
        </w:rPr>
        <w:footnoteRef/>
      </w:r>
      <w:r>
        <w:t xml:space="preserve"> </w:t>
      </w:r>
      <w:r w:rsidRPr="008A6C6F">
        <w:rPr>
          <w:i/>
        </w:rPr>
        <w:t xml:space="preserve">Ibid, </w:t>
      </w:r>
      <w:r w:rsidRPr="008A6C6F">
        <w:t>p, 3B.</w:t>
      </w:r>
      <w:r>
        <w:t xml:space="preserve"> </w:t>
      </w:r>
    </w:p>
  </w:footnote>
  <w:footnote w:id="304">
    <w:p w14:paraId="4DBDF3BB" w14:textId="77777777" w:rsidR="005E6435" w:rsidRPr="008951AF" w:rsidRDefault="005E6435" w:rsidP="002F536C">
      <w:pPr>
        <w:pStyle w:val="FootnoteText"/>
        <w:rPr>
          <w:lang w:val="en-US"/>
        </w:rPr>
      </w:pPr>
      <w:r>
        <w:rPr>
          <w:rStyle w:val="FootnoteReference"/>
        </w:rPr>
        <w:footnoteRef/>
      </w:r>
      <w:r>
        <w:t xml:space="preserve"> Ostler: ‘Some golfers can’t resist temptation of Sun City.’ </w:t>
      </w:r>
    </w:p>
  </w:footnote>
  <w:footnote w:id="305">
    <w:p w14:paraId="0B3C3922" w14:textId="77777777" w:rsidR="005E6435" w:rsidRPr="00FA4F20" w:rsidRDefault="005E6435" w:rsidP="002F536C">
      <w:pPr>
        <w:pStyle w:val="FootnoteText"/>
        <w:rPr>
          <w:lang w:val="en-US"/>
        </w:rPr>
      </w:pPr>
      <w:r>
        <w:rPr>
          <w:rStyle w:val="FootnoteReference"/>
        </w:rPr>
        <w:footnoteRef/>
      </w:r>
      <w:r>
        <w:t xml:space="preserve"> Nixon: </w:t>
      </w:r>
      <w:r w:rsidRPr="00E47EF5">
        <w:rPr>
          <w:i/>
        </w:rPr>
        <w:t>Homelands, Harlem and Hollywood</w:t>
      </w:r>
      <w:r>
        <w:t>, p. 144.</w:t>
      </w:r>
    </w:p>
  </w:footnote>
  <w:footnote w:id="306">
    <w:p w14:paraId="20688BEB" w14:textId="77777777" w:rsidR="005E6435" w:rsidRPr="00B61430" w:rsidRDefault="005E6435" w:rsidP="002F536C">
      <w:pPr>
        <w:pStyle w:val="FootnoteText"/>
        <w:rPr>
          <w:lang w:val="en-US"/>
        </w:rPr>
      </w:pPr>
      <w:r>
        <w:rPr>
          <w:rStyle w:val="FootnoteReference"/>
        </w:rPr>
        <w:footnoteRef/>
      </w:r>
      <w:r>
        <w:t xml:space="preserve"> Evans: Interviewed by Nicola van der Merwe. </w:t>
      </w:r>
    </w:p>
  </w:footnote>
  <w:footnote w:id="307">
    <w:p w14:paraId="65CC838C" w14:textId="77777777" w:rsidR="005E6435" w:rsidRPr="001E0889" w:rsidRDefault="005E6435" w:rsidP="002F536C">
      <w:pPr>
        <w:pStyle w:val="FootnoteText"/>
        <w:rPr>
          <w:lang w:val="en-US"/>
        </w:rPr>
      </w:pPr>
      <w:r>
        <w:rPr>
          <w:rStyle w:val="FootnoteReference"/>
        </w:rPr>
        <w:footnoteRef/>
      </w:r>
      <w:r>
        <w:t xml:space="preserve"> West: Interviewed by Nicola van der Merwe. </w:t>
      </w:r>
    </w:p>
  </w:footnote>
  <w:footnote w:id="308">
    <w:p w14:paraId="71DF6F24" w14:textId="77777777" w:rsidR="005E6435" w:rsidRPr="00734E05" w:rsidRDefault="005E6435" w:rsidP="002F536C">
      <w:pPr>
        <w:pStyle w:val="FootnoteText"/>
        <w:rPr>
          <w:lang w:val="en-US"/>
        </w:rPr>
      </w:pPr>
      <w:r>
        <w:rPr>
          <w:rStyle w:val="FootnoteReference"/>
        </w:rPr>
        <w:footnoteRef/>
      </w:r>
      <w:r>
        <w:t xml:space="preserve"> </w:t>
      </w:r>
      <w:r>
        <w:rPr>
          <w:lang w:val="en-US"/>
        </w:rPr>
        <w:t xml:space="preserve">Anonymous 1: Interviewed by Nicola van der Merwe. </w:t>
      </w:r>
    </w:p>
  </w:footnote>
  <w:footnote w:id="309">
    <w:p w14:paraId="23B7BDC1" w14:textId="77777777" w:rsidR="005E6435" w:rsidRPr="00005CE2" w:rsidRDefault="005E6435" w:rsidP="002F536C">
      <w:pPr>
        <w:pStyle w:val="FootnoteText"/>
        <w:rPr>
          <w:i/>
          <w:lang w:val="en-US"/>
        </w:rPr>
      </w:pPr>
      <w:r>
        <w:rPr>
          <w:rStyle w:val="FootnoteReference"/>
        </w:rPr>
        <w:footnoteRef/>
      </w:r>
      <w:r>
        <w:t xml:space="preserve"> </w:t>
      </w:r>
      <w:r>
        <w:rPr>
          <w:i/>
          <w:lang w:val="en-US"/>
        </w:rPr>
        <w:t>Ibid.</w:t>
      </w:r>
    </w:p>
  </w:footnote>
  <w:footnote w:id="310">
    <w:p w14:paraId="5AF74A63" w14:textId="77777777" w:rsidR="005E6435" w:rsidRPr="00007BAC" w:rsidRDefault="005E6435" w:rsidP="002F536C">
      <w:pPr>
        <w:pStyle w:val="FootnoteText"/>
        <w:rPr>
          <w:lang w:val="en-US"/>
        </w:rPr>
      </w:pPr>
      <w:r>
        <w:rPr>
          <w:rStyle w:val="FootnoteReference"/>
        </w:rPr>
        <w:footnoteRef/>
      </w:r>
      <w:r>
        <w:t xml:space="preserve"> P</w:t>
      </w:r>
      <w:r w:rsidRPr="00754572">
        <w:t>ortenschlager</w:t>
      </w:r>
      <w:r>
        <w:t xml:space="preserve">: Interviewed by Nicola van der Merwe. </w:t>
      </w:r>
    </w:p>
  </w:footnote>
  <w:footnote w:id="311">
    <w:p w14:paraId="5BED976C" w14:textId="77777777" w:rsidR="005E6435" w:rsidRPr="0029052C" w:rsidRDefault="005E6435">
      <w:pPr>
        <w:pStyle w:val="FootnoteText"/>
        <w:rPr>
          <w:lang w:val="en-US"/>
        </w:rPr>
      </w:pPr>
      <w:r>
        <w:rPr>
          <w:rStyle w:val="FootnoteReference"/>
        </w:rPr>
        <w:footnoteRef/>
      </w:r>
      <w:r>
        <w:t xml:space="preserve"> </w:t>
      </w:r>
      <w:r>
        <w:rPr>
          <w:lang w:val="en-US"/>
        </w:rPr>
        <w:t>The Pretoria Minute was an agreement signed on 6 August 1990 between the ANC and the NP regarding the release of political prisoners, return of exiles and obstacles in the International Security Act.</w:t>
      </w:r>
    </w:p>
  </w:footnote>
  <w:footnote w:id="312">
    <w:p w14:paraId="44D6F3CF" w14:textId="77777777" w:rsidR="005E6435" w:rsidRPr="00554751" w:rsidRDefault="005E6435" w:rsidP="002F536C">
      <w:pPr>
        <w:pStyle w:val="FootnoteText"/>
        <w:rPr>
          <w:lang w:val="en-US"/>
        </w:rPr>
      </w:pPr>
      <w:r>
        <w:rPr>
          <w:rStyle w:val="FootnoteReference"/>
        </w:rPr>
        <w:footnoteRef/>
      </w:r>
      <w:r>
        <w:t xml:space="preserve"> A. Manson, B. Mbenga &amp; A. Lissoni: </w:t>
      </w:r>
      <w:r>
        <w:rPr>
          <w:i/>
        </w:rPr>
        <w:t xml:space="preserve">Khongolose: A Short History of the ANC in the North-West Province from 1909. </w:t>
      </w:r>
      <w:r>
        <w:t>UNISA Press, Pretoria, 2016, pp. 79-88.</w:t>
      </w:r>
    </w:p>
  </w:footnote>
  <w:footnote w:id="313">
    <w:p w14:paraId="0554236B" w14:textId="77777777" w:rsidR="005E6435" w:rsidRPr="007D28F6" w:rsidRDefault="005E6435" w:rsidP="002F536C">
      <w:pPr>
        <w:pStyle w:val="FootnoteText"/>
        <w:rPr>
          <w:lang w:val="en-US"/>
        </w:rPr>
      </w:pPr>
      <w:r>
        <w:rPr>
          <w:rStyle w:val="FootnoteReference"/>
        </w:rPr>
        <w:footnoteRef/>
      </w:r>
      <w:r>
        <w:t xml:space="preserve"> Manson, Mbenga &amp; Lissoni: </w:t>
      </w:r>
      <w:r>
        <w:rPr>
          <w:i/>
        </w:rPr>
        <w:t>Khongolose: A Short History of the ANC</w:t>
      </w:r>
      <w:r>
        <w:t>, pp. 79-88.</w:t>
      </w:r>
    </w:p>
  </w:footnote>
  <w:footnote w:id="314">
    <w:p w14:paraId="07DF83D6" w14:textId="77777777" w:rsidR="005E6435" w:rsidRPr="00822F7D" w:rsidRDefault="005E6435" w:rsidP="002F536C">
      <w:pPr>
        <w:pStyle w:val="FootnoteText"/>
        <w:rPr>
          <w:lang w:val="en-US"/>
        </w:rPr>
      </w:pPr>
      <w:r>
        <w:rPr>
          <w:rStyle w:val="FootnoteReference"/>
        </w:rPr>
        <w:footnoteRef/>
      </w:r>
      <w:r>
        <w:t xml:space="preserve"> </w:t>
      </w:r>
      <w:r>
        <w:rPr>
          <w:lang w:val="en-US"/>
        </w:rPr>
        <w:t>West: Interviewed by Nicola van der Merwe.</w:t>
      </w:r>
    </w:p>
  </w:footnote>
  <w:footnote w:id="315">
    <w:p w14:paraId="24D1528E" w14:textId="77777777" w:rsidR="005E6435" w:rsidRPr="00E47EF5" w:rsidRDefault="005E6435" w:rsidP="002F536C">
      <w:pPr>
        <w:pStyle w:val="FootnoteText"/>
        <w:rPr>
          <w:lang w:val="en-ZA"/>
        </w:rPr>
      </w:pPr>
      <w:r>
        <w:rPr>
          <w:rStyle w:val="FootnoteReference"/>
        </w:rPr>
        <w:footnoteRef/>
      </w:r>
      <w:r>
        <w:t xml:space="preserve"> Evans: </w:t>
      </w:r>
      <w:r w:rsidRPr="0052330D">
        <w:rPr>
          <w:i/>
        </w:rPr>
        <w:t>Broadcasting the End of Apartheid</w:t>
      </w:r>
      <w:r>
        <w:t>, pp. 55-60.</w:t>
      </w:r>
    </w:p>
  </w:footnote>
  <w:footnote w:id="316">
    <w:p w14:paraId="0D58D2B4" w14:textId="77777777" w:rsidR="005E6435" w:rsidRDefault="005E6435" w:rsidP="002F536C">
      <w:pPr>
        <w:pStyle w:val="FootnoteText"/>
      </w:pPr>
      <w:r>
        <w:rPr>
          <w:rStyle w:val="FootnoteReference"/>
        </w:rPr>
        <w:footnoteRef/>
      </w:r>
      <w:r>
        <w:t xml:space="preserve"> </w:t>
      </w:r>
      <w:r>
        <w:rPr>
          <w:i/>
        </w:rPr>
        <w:t>Ibid</w:t>
      </w:r>
      <w:r>
        <w:t>, pp. 56-58.</w:t>
      </w:r>
    </w:p>
  </w:footnote>
  <w:footnote w:id="317">
    <w:p w14:paraId="2397F0F3" w14:textId="77777777" w:rsidR="005E6435" w:rsidRPr="00AD2799" w:rsidRDefault="005E6435" w:rsidP="002F536C">
      <w:pPr>
        <w:pStyle w:val="FootnoteText"/>
        <w:rPr>
          <w:lang w:val="en-US"/>
        </w:rPr>
      </w:pPr>
      <w:r>
        <w:rPr>
          <w:rStyle w:val="FootnoteReference"/>
        </w:rPr>
        <w:footnoteRef/>
      </w:r>
      <w:r>
        <w:t xml:space="preserve"> Kleinhans-Curd: Interviewed by Nicola van der Merwe. </w:t>
      </w:r>
    </w:p>
  </w:footnote>
  <w:footnote w:id="318">
    <w:p w14:paraId="17035E8A" w14:textId="77777777" w:rsidR="005E6435" w:rsidRPr="00E156C8" w:rsidRDefault="005E6435" w:rsidP="002F536C">
      <w:pPr>
        <w:pStyle w:val="FootnoteText"/>
        <w:rPr>
          <w:lang w:val="en-US"/>
        </w:rPr>
      </w:pPr>
      <w:r>
        <w:rPr>
          <w:rStyle w:val="FootnoteReference"/>
        </w:rPr>
        <w:footnoteRef/>
      </w:r>
      <w:r>
        <w:t xml:space="preserve"> </w:t>
      </w:r>
      <w:r>
        <w:rPr>
          <w:lang w:val="en-US"/>
        </w:rPr>
        <w:t xml:space="preserve">Portschenlager: Interviewed by </w:t>
      </w:r>
      <w:r>
        <w:t xml:space="preserve">Nicola van der Merwe. </w:t>
      </w:r>
    </w:p>
  </w:footnote>
  <w:footnote w:id="319">
    <w:p w14:paraId="774E99D0" w14:textId="77777777" w:rsidR="005E6435" w:rsidRPr="002D528B" w:rsidRDefault="005E6435" w:rsidP="002F536C">
      <w:pPr>
        <w:pStyle w:val="FootnoteText"/>
        <w:rPr>
          <w:lang w:val="en-US"/>
        </w:rPr>
      </w:pPr>
      <w:r>
        <w:rPr>
          <w:rStyle w:val="FootnoteReference"/>
        </w:rPr>
        <w:footnoteRef/>
      </w:r>
      <w:r>
        <w:t xml:space="preserve"> </w:t>
      </w:r>
      <w:r>
        <w:rPr>
          <w:lang w:val="en-US"/>
        </w:rPr>
        <w:t xml:space="preserve">Evans: Interviewed by </w:t>
      </w:r>
      <w:r>
        <w:t>Nicola van der Merwe.</w:t>
      </w:r>
    </w:p>
  </w:footnote>
  <w:footnote w:id="320">
    <w:p w14:paraId="1D6FBDEC" w14:textId="77777777" w:rsidR="005E6435" w:rsidRPr="00B80D26" w:rsidRDefault="005E6435" w:rsidP="002F536C">
      <w:pPr>
        <w:pStyle w:val="FootnoteText"/>
        <w:rPr>
          <w:lang w:val="en-ZA"/>
        </w:rPr>
      </w:pPr>
      <w:r>
        <w:rPr>
          <w:rStyle w:val="FootnoteReference"/>
        </w:rPr>
        <w:footnoteRef/>
      </w:r>
      <w:r>
        <w:t xml:space="preserve"> Evans: </w:t>
      </w:r>
      <w:r w:rsidRPr="008951AF">
        <w:rPr>
          <w:i/>
        </w:rPr>
        <w:t>Broadcasting the End of Apartheid</w:t>
      </w:r>
      <w:r>
        <w:t>, p. 197.</w:t>
      </w:r>
    </w:p>
  </w:footnote>
  <w:footnote w:id="321">
    <w:p w14:paraId="62D5B5DD" w14:textId="77777777" w:rsidR="005E6435" w:rsidRPr="00494646" w:rsidRDefault="005E6435" w:rsidP="002F536C">
      <w:pPr>
        <w:pStyle w:val="NoSpacing"/>
      </w:pPr>
      <w:r>
        <w:rPr>
          <w:rStyle w:val="FootnoteReference"/>
        </w:rPr>
        <w:footnoteRef/>
      </w:r>
      <w:r>
        <w:t xml:space="preserve"> West: Interviewed by Nicola van der Merwe. </w:t>
      </w:r>
    </w:p>
  </w:footnote>
  <w:footnote w:id="322">
    <w:p w14:paraId="3BAEC2CA" w14:textId="77777777" w:rsidR="005E6435" w:rsidRPr="00EA4779" w:rsidRDefault="005E6435">
      <w:pPr>
        <w:pStyle w:val="FootnoteText"/>
        <w:rPr>
          <w:lang w:val="en-US"/>
        </w:rPr>
      </w:pPr>
      <w:r>
        <w:rPr>
          <w:rStyle w:val="FootnoteReference"/>
        </w:rPr>
        <w:footnoteRef/>
      </w:r>
      <w:r>
        <w:t xml:space="preserve"> </w:t>
      </w:r>
      <w:r>
        <w:rPr>
          <w:lang w:val="en-US"/>
        </w:rPr>
        <w:t xml:space="preserve">Eric and Julia Morley were the owners of the Miss World beauty pageant franchise. </w:t>
      </w:r>
    </w:p>
  </w:footnote>
  <w:footnote w:id="323">
    <w:p w14:paraId="3A73A19D" w14:textId="77777777" w:rsidR="005E6435" w:rsidRPr="00B11330" w:rsidRDefault="005E6435" w:rsidP="002F536C">
      <w:pPr>
        <w:pStyle w:val="FootnoteText"/>
        <w:rPr>
          <w:lang w:val="en-ZA"/>
        </w:rPr>
      </w:pPr>
      <w:r>
        <w:rPr>
          <w:rStyle w:val="FootnoteReference"/>
        </w:rPr>
        <w:footnoteRef/>
      </w:r>
      <w:r>
        <w:t xml:space="preserve"> Evans: </w:t>
      </w:r>
      <w:r w:rsidRPr="008951AF">
        <w:rPr>
          <w:i/>
        </w:rPr>
        <w:t>Broadcasting the End of Apartheid</w:t>
      </w:r>
      <w:r>
        <w:t>, pp. 197-200.</w:t>
      </w:r>
    </w:p>
  </w:footnote>
  <w:footnote w:id="324">
    <w:p w14:paraId="010BE2E6" w14:textId="77777777" w:rsidR="005E6435" w:rsidRPr="008951AF" w:rsidRDefault="005E6435" w:rsidP="002F536C">
      <w:pPr>
        <w:pStyle w:val="FootnoteText"/>
        <w:rPr>
          <w:lang w:val="en-US"/>
        </w:rPr>
      </w:pPr>
      <w:r>
        <w:rPr>
          <w:rStyle w:val="FootnoteReference"/>
        </w:rPr>
        <w:footnoteRef/>
      </w:r>
      <w:r>
        <w:t xml:space="preserve"> Evans: </w:t>
      </w:r>
      <w:r w:rsidRPr="008951AF">
        <w:rPr>
          <w:i/>
        </w:rPr>
        <w:t>Broadcasting the End of Apartheid</w:t>
      </w:r>
      <w:r>
        <w:rPr>
          <w:i/>
        </w:rPr>
        <w:t xml:space="preserve">, </w:t>
      </w:r>
      <w:r>
        <w:t xml:space="preserve">p. 199. </w:t>
      </w:r>
    </w:p>
  </w:footnote>
  <w:footnote w:id="325">
    <w:p w14:paraId="400C4362" w14:textId="77777777" w:rsidR="005E6435" w:rsidRPr="00494646" w:rsidRDefault="005E6435" w:rsidP="002F536C">
      <w:pPr>
        <w:pStyle w:val="FootnoteText"/>
        <w:rPr>
          <w:lang w:val="en-US"/>
        </w:rPr>
      </w:pPr>
      <w:r>
        <w:rPr>
          <w:rStyle w:val="FootnoteReference"/>
        </w:rPr>
        <w:footnoteRef/>
      </w:r>
      <w:r>
        <w:t xml:space="preserve"> West: Interviewed by Nicola van der Merwe. </w:t>
      </w:r>
    </w:p>
  </w:footnote>
  <w:footnote w:id="326">
    <w:p w14:paraId="3181D86D" w14:textId="77777777" w:rsidR="005E6435" w:rsidRDefault="005E6435" w:rsidP="002F536C">
      <w:pPr>
        <w:pStyle w:val="NoSpacing"/>
      </w:pPr>
      <w:r>
        <w:rPr>
          <w:rStyle w:val="FootnoteReference"/>
        </w:rPr>
        <w:footnoteRef/>
      </w:r>
      <w:r>
        <w:t xml:space="preserve"> R. Wessels: ‘Miss Bop will be in Miss World final!’ </w:t>
      </w:r>
      <w:r>
        <w:rPr>
          <w:i/>
        </w:rPr>
        <w:t xml:space="preserve">The Mail, </w:t>
      </w:r>
      <w:r>
        <w:t xml:space="preserve">4 September 1992. </w:t>
      </w:r>
    </w:p>
  </w:footnote>
  <w:footnote w:id="327">
    <w:p w14:paraId="5D589A06" w14:textId="77777777" w:rsidR="005E6435" w:rsidRPr="002B3288" w:rsidRDefault="005E6435" w:rsidP="002F536C">
      <w:pPr>
        <w:pStyle w:val="FootnoteText"/>
        <w:rPr>
          <w:i/>
        </w:rPr>
      </w:pPr>
      <w:r>
        <w:rPr>
          <w:rStyle w:val="FootnoteReference"/>
        </w:rPr>
        <w:footnoteRef/>
      </w:r>
      <w:r>
        <w:t xml:space="preserve"> </w:t>
      </w:r>
      <w:r>
        <w:rPr>
          <w:i/>
        </w:rPr>
        <w:t xml:space="preserve">Ibid. </w:t>
      </w:r>
      <w:r>
        <w:t xml:space="preserve"> </w:t>
      </w:r>
    </w:p>
  </w:footnote>
  <w:footnote w:id="328">
    <w:p w14:paraId="2B19BC83" w14:textId="77777777" w:rsidR="005E6435" w:rsidRDefault="005E6435" w:rsidP="002F536C">
      <w:pPr>
        <w:pStyle w:val="NoSpacing"/>
      </w:pPr>
      <w:r>
        <w:rPr>
          <w:rStyle w:val="FootnoteReference"/>
        </w:rPr>
        <w:footnoteRef/>
      </w:r>
      <w:r>
        <w:t xml:space="preserve"> T. Rantlha: ‘Miss Bop’s exclusion angers citizens.’ </w:t>
      </w:r>
      <w:r>
        <w:rPr>
          <w:i/>
        </w:rPr>
        <w:t xml:space="preserve">The Mail, </w:t>
      </w:r>
      <w:r>
        <w:t xml:space="preserve">1992. </w:t>
      </w:r>
    </w:p>
  </w:footnote>
  <w:footnote w:id="329">
    <w:p w14:paraId="1561A963" w14:textId="77777777" w:rsidR="005E6435" w:rsidRPr="0074747A" w:rsidRDefault="005E6435" w:rsidP="002F536C">
      <w:pPr>
        <w:pStyle w:val="FootnoteText"/>
        <w:rPr>
          <w:lang w:val="en-ZA"/>
        </w:rPr>
      </w:pPr>
      <w:r>
        <w:rPr>
          <w:rStyle w:val="FootnoteReference"/>
        </w:rPr>
        <w:footnoteRef/>
      </w:r>
      <w:r>
        <w:t xml:space="preserve"> Evans: </w:t>
      </w:r>
      <w:r w:rsidRPr="008951AF">
        <w:rPr>
          <w:i/>
        </w:rPr>
        <w:t>Broadcasting the End of Apartheid</w:t>
      </w:r>
      <w:r>
        <w:t>, pp. 197-198.</w:t>
      </w:r>
    </w:p>
  </w:footnote>
  <w:footnote w:id="330">
    <w:p w14:paraId="5EABEC7E" w14:textId="77777777" w:rsidR="005E6435" w:rsidRPr="00D57AC6" w:rsidRDefault="005E6435" w:rsidP="002F536C">
      <w:pPr>
        <w:pStyle w:val="FootnoteText"/>
        <w:rPr>
          <w:lang w:val="en-US"/>
        </w:rPr>
      </w:pPr>
      <w:r>
        <w:rPr>
          <w:rStyle w:val="FootnoteReference"/>
        </w:rPr>
        <w:footnoteRef/>
      </w:r>
      <w:r>
        <w:t xml:space="preserve"> West: Interviewed by Nicola van der Merwe. </w:t>
      </w:r>
    </w:p>
  </w:footnote>
  <w:footnote w:id="331">
    <w:p w14:paraId="049C7A17" w14:textId="77777777" w:rsidR="005E6435" w:rsidRPr="00F80945" w:rsidRDefault="005E6435" w:rsidP="002F536C">
      <w:pPr>
        <w:pStyle w:val="FootnoteText"/>
        <w:rPr>
          <w:lang w:val="en-US"/>
        </w:rPr>
      </w:pPr>
      <w:r>
        <w:rPr>
          <w:rStyle w:val="FootnoteReference"/>
        </w:rPr>
        <w:footnoteRef/>
      </w:r>
      <w:r>
        <w:t xml:space="preserve"> Manson, Mbenga &amp; Lissoni: </w:t>
      </w:r>
      <w:r>
        <w:rPr>
          <w:i/>
        </w:rPr>
        <w:t>Khongolose,</w:t>
      </w:r>
      <w:r>
        <w:t xml:space="preserve"> p. 81.</w:t>
      </w:r>
    </w:p>
  </w:footnote>
  <w:footnote w:id="332">
    <w:p w14:paraId="02046F71" w14:textId="77777777" w:rsidR="005E6435" w:rsidRPr="00B87B8E" w:rsidRDefault="005E6435" w:rsidP="002F536C">
      <w:pPr>
        <w:pStyle w:val="FootnoteText"/>
        <w:rPr>
          <w:lang w:val="en-ZA"/>
        </w:rPr>
      </w:pPr>
      <w:r>
        <w:rPr>
          <w:rStyle w:val="FootnoteReference"/>
        </w:rPr>
        <w:footnoteRef/>
      </w:r>
      <w:r>
        <w:t xml:space="preserve"> Evans: </w:t>
      </w:r>
      <w:r w:rsidRPr="008951AF">
        <w:rPr>
          <w:i/>
        </w:rPr>
        <w:t>Broadcasting the End of Apartheid</w:t>
      </w:r>
      <w:r>
        <w:t>, p. 199.</w:t>
      </w:r>
    </w:p>
  </w:footnote>
  <w:footnote w:id="333">
    <w:p w14:paraId="7F340688" w14:textId="77777777" w:rsidR="005E6435" w:rsidRPr="008951AF" w:rsidRDefault="005E6435" w:rsidP="002F536C">
      <w:pPr>
        <w:pStyle w:val="FootnoteText"/>
        <w:rPr>
          <w:lang w:val="en-US"/>
        </w:rPr>
      </w:pPr>
      <w:r>
        <w:rPr>
          <w:rStyle w:val="FootnoteReference"/>
        </w:rPr>
        <w:footnoteRef/>
      </w:r>
      <w:r>
        <w:t xml:space="preserve"> </w:t>
      </w:r>
      <w:r>
        <w:rPr>
          <w:lang w:val="en-US"/>
        </w:rPr>
        <w:t>King: Interviewed by Nicola van der Merwe</w:t>
      </w:r>
    </w:p>
  </w:footnote>
  <w:footnote w:id="334">
    <w:p w14:paraId="09EB905D" w14:textId="77777777" w:rsidR="005E6435" w:rsidRPr="008951AF" w:rsidRDefault="005E6435" w:rsidP="002F536C">
      <w:pPr>
        <w:pStyle w:val="FootnoteText"/>
        <w:rPr>
          <w:i/>
          <w:lang w:val="en-US"/>
        </w:rPr>
      </w:pPr>
      <w:r>
        <w:rPr>
          <w:rStyle w:val="FootnoteReference"/>
        </w:rPr>
        <w:footnoteRef/>
      </w:r>
      <w:r>
        <w:t xml:space="preserve"> </w:t>
      </w:r>
      <w:r>
        <w:rPr>
          <w:i/>
          <w:lang w:val="en-US"/>
        </w:rPr>
        <w:t>Ibid.</w:t>
      </w:r>
    </w:p>
  </w:footnote>
  <w:footnote w:id="335">
    <w:p w14:paraId="2D0DFB0E" w14:textId="77777777" w:rsidR="005E6435" w:rsidRPr="008D50DA" w:rsidRDefault="005E6435" w:rsidP="002F536C">
      <w:pPr>
        <w:pStyle w:val="NoSpacing"/>
      </w:pPr>
      <w:r>
        <w:rPr>
          <w:rStyle w:val="FootnoteReference"/>
        </w:rPr>
        <w:footnoteRef/>
      </w:r>
      <w:r>
        <w:t xml:space="preserve"> Kleinhans-Curd: Interviewed by Nicola van der Merwe</w:t>
      </w:r>
    </w:p>
  </w:footnote>
  <w:footnote w:id="336">
    <w:p w14:paraId="0C651591" w14:textId="77777777" w:rsidR="005E6435" w:rsidRPr="00BA6FFF" w:rsidRDefault="005E6435" w:rsidP="002F536C">
      <w:pPr>
        <w:pStyle w:val="FootnoteText"/>
        <w:rPr>
          <w:lang w:val="en-US"/>
        </w:rPr>
      </w:pPr>
      <w:r>
        <w:rPr>
          <w:rStyle w:val="FootnoteReference"/>
        </w:rPr>
        <w:footnoteRef/>
      </w:r>
      <w:r>
        <w:t xml:space="preserve"> </w:t>
      </w:r>
      <w:r>
        <w:rPr>
          <w:i/>
        </w:rPr>
        <w:t>Ibid.</w:t>
      </w:r>
      <w:r>
        <w:t xml:space="preserve"> </w:t>
      </w:r>
    </w:p>
  </w:footnote>
  <w:footnote w:id="337">
    <w:p w14:paraId="1CF9081C" w14:textId="77777777" w:rsidR="005E6435" w:rsidRPr="00BA6FFF" w:rsidRDefault="005E6435" w:rsidP="002F536C">
      <w:pPr>
        <w:pStyle w:val="FootnoteText"/>
        <w:rPr>
          <w:lang w:val="en-US"/>
        </w:rPr>
      </w:pPr>
      <w:r>
        <w:rPr>
          <w:rStyle w:val="FootnoteReference"/>
        </w:rPr>
        <w:footnoteRef/>
      </w:r>
      <w:r>
        <w:t xml:space="preserve"> West: Interviewed by Nicola van der Merwe. </w:t>
      </w:r>
    </w:p>
  </w:footnote>
  <w:footnote w:id="338">
    <w:p w14:paraId="18B8E900" w14:textId="77777777" w:rsidR="005E6435" w:rsidRPr="00BA6FFF" w:rsidRDefault="005E6435" w:rsidP="002F536C">
      <w:pPr>
        <w:pStyle w:val="FootnoteText"/>
        <w:rPr>
          <w:lang w:val="en-US"/>
        </w:rPr>
      </w:pPr>
      <w:r>
        <w:rPr>
          <w:rStyle w:val="FootnoteReference"/>
        </w:rPr>
        <w:footnoteRef/>
      </w:r>
      <w:r>
        <w:t xml:space="preserve"> Kleinhans-Curd: Interviewed by Nicola van der Merwe. </w:t>
      </w:r>
    </w:p>
  </w:footnote>
  <w:footnote w:id="339">
    <w:p w14:paraId="08CF5BC7" w14:textId="77777777" w:rsidR="005E6435" w:rsidRPr="004460D5" w:rsidRDefault="005E6435" w:rsidP="002F536C">
      <w:pPr>
        <w:pStyle w:val="FootnoteText"/>
        <w:rPr>
          <w:lang w:val="en-US"/>
        </w:rPr>
      </w:pPr>
      <w:r>
        <w:rPr>
          <w:rStyle w:val="FootnoteReference"/>
        </w:rPr>
        <w:footnoteRef/>
      </w:r>
      <w:r>
        <w:t xml:space="preserve"> </w:t>
      </w:r>
      <w:r>
        <w:rPr>
          <w:lang w:val="en-US"/>
        </w:rPr>
        <w:t xml:space="preserve">C. Blignaut: ‘Beauty and the Beast.” </w:t>
      </w:r>
      <w:r>
        <w:rPr>
          <w:i/>
          <w:lang w:val="en-US"/>
        </w:rPr>
        <w:t xml:space="preserve">Sunday Times, </w:t>
      </w:r>
      <w:r>
        <w:rPr>
          <w:lang w:val="en-US"/>
        </w:rPr>
        <w:t>11 December 2011, p. 3.</w:t>
      </w:r>
    </w:p>
  </w:footnote>
  <w:footnote w:id="340">
    <w:p w14:paraId="16008C4E" w14:textId="77777777" w:rsidR="005E6435" w:rsidRPr="007F27BC" w:rsidRDefault="005E6435" w:rsidP="002F536C">
      <w:pPr>
        <w:pStyle w:val="FootnoteText"/>
        <w:rPr>
          <w:lang w:val="en-US"/>
        </w:rPr>
      </w:pPr>
      <w:r>
        <w:rPr>
          <w:rStyle w:val="FootnoteReference"/>
        </w:rPr>
        <w:footnoteRef/>
      </w:r>
      <w:r>
        <w:t xml:space="preserve"> Kleinhans-Curd: Interviewed by Nicola van der Merwe.</w:t>
      </w:r>
    </w:p>
  </w:footnote>
  <w:footnote w:id="341">
    <w:p w14:paraId="2E1349DA" w14:textId="77777777" w:rsidR="005E6435" w:rsidRPr="00F864E2" w:rsidRDefault="005E6435" w:rsidP="002F536C">
      <w:pPr>
        <w:pStyle w:val="FootnoteText"/>
        <w:rPr>
          <w:lang w:val="en-US"/>
        </w:rPr>
      </w:pPr>
      <w:r>
        <w:rPr>
          <w:rStyle w:val="FootnoteReference"/>
        </w:rPr>
        <w:footnoteRef/>
      </w:r>
      <w:r>
        <w:t xml:space="preserve"> King: Interviewed by Nicola van der Merwe. </w:t>
      </w:r>
    </w:p>
  </w:footnote>
  <w:footnote w:id="342">
    <w:p w14:paraId="35050EE8" w14:textId="77777777" w:rsidR="005E6435" w:rsidRPr="00037BB1" w:rsidRDefault="005E6435" w:rsidP="002F536C">
      <w:pPr>
        <w:pStyle w:val="FootnoteText"/>
        <w:rPr>
          <w:lang w:val="en-US"/>
        </w:rPr>
      </w:pPr>
      <w:r>
        <w:rPr>
          <w:rStyle w:val="FootnoteReference"/>
        </w:rPr>
        <w:footnoteRef/>
      </w:r>
      <w:r>
        <w:t xml:space="preserve"> West: Interviewed by Nicola van der Merwe. </w:t>
      </w:r>
    </w:p>
  </w:footnote>
  <w:footnote w:id="343">
    <w:p w14:paraId="1E19A48A" w14:textId="77777777" w:rsidR="005E6435" w:rsidRPr="008951AF" w:rsidRDefault="005E6435" w:rsidP="002F536C">
      <w:pPr>
        <w:pStyle w:val="FootnoteText"/>
        <w:rPr>
          <w:lang w:val="en-US"/>
        </w:rPr>
      </w:pPr>
      <w:r>
        <w:rPr>
          <w:rStyle w:val="FootnoteReference"/>
        </w:rPr>
        <w:footnoteRef/>
      </w:r>
      <w:r>
        <w:t xml:space="preserve"> </w:t>
      </w:r>
      <w:r>
        <w:rPr>
          <w:lang w:val="en-US"/>
        </w:rPr>
        <w:t>Kleinhans-Curd: Interviewed by Nicola van der Merwe.</w:t>
      </w:r>
    </w:p>
  </w:footnote>
  <w:footnote w:id="344">
    <w:p w14:paraId="58C9F5D5" w14:textId="77777777" w:rsidR="005E6435" w:rsidRPr="00037BB1" w:rsidRDefault="005E6435" w:rsidP="002F536C">
      <w:pPr>
        <w:pStyle w:val="FootnoteText"/>
        <w:rPr>
          <w:lang w:val="en-US"/>
        </w:rPr>
      </w:pPr>
      <w:r>
        <w:rPr>
          <w:rStyle w:val="FootnoteReference"/>
        </w:rPr>
        <w:footnoteRef/>
      </w:r>
      <w:r>
        <w:t xml:space="preserve"> Kleinhans-Curd: Interviewed by Nicola van der Merwe..</w:t>
      </w:r>
    </w:p>
  </w:footnote>
  <w:footnote w:id="345">
    <w:p w14:paraId="56E8D2F4" w14:textId="77777777" w:rsidR="005E6435" w:rsidRPr="009904BD" w:rsidRDefault="005E6435" w:rsidP="002F536C">
      <w:pPr>
        <w:pStyle w:val="FootnoteText"/>
        <w:rPr>
          <w:lang w:val="en-ZA"/>
        </w:rPr>
      </w:pPr>
      <w:r>
        <w:rPr>
          <w:rStyle w:val="FootnoteReference"/>
        </w:rPr>
        <w:footnoteRef/>
      </w:r>
      <w:r>
        <w:t xml:space="preserve"> Evans: </w:t>
      </w:r>
      <w:r w:rsidRPr="008951AF">
        <w:rPr>
          <w:i/>
        </w:rPr>
        <w:t>Broadcasting the End of Apartheid</w:t>
      </w:r>
      <w:r>
        <w:t>, pp. 196-200.</w:t>
      </w:r>
    </w:p>
  </w:footnote>
  <w:footnote w:id="346">
    <w:p w14:paraId="3CF1CE08" w14:textId="77777777" w:rsidR="005E6435" w:rsidRPr="008951AF" w:rsidRDefault="005E6435" w:rsidP="002F536C">
      <w:pPr>
        <w:pStyle w:val="FootnoteText"/>
        <w:rPr>
          <w:lang w:val="en-US"/>
        </w:rPr>
      </w:pPr>
      <w:r>
        <w:rPr>
          <w:rStyle w:val="FootnoteReference"/>
        </w:rPr>
        <w:footnoteRef/>
      </w:r>
      <w:r>
        <w:t xml:space="preserve"> </w:t>
      </w:r>
      <w:r>
        <w:rPr>
          <w:lang w:val="en-US"/>
        </w:rPr>
        <w:t>West: Interviewed by Nicola van der Merwe.</w:t>
      </w:r>
    </w:p>
  </w:footnote>
  <w:footnote w:id="347">
    <w:p w14:paraId="2379D842" w14:textId="77777777" w:rsidR="005E6435" w:rsidRPr="008951AF" w:rsidRDefault="005E6435" w:rsidP="002F536C">
      <w:pPr>
        <w:pStyle w:val="FootnoteText"/>
        <w:rPr>
          <w:lang w:val="en-US"/>
        </w:rPr>
      </w:pPr>
      <w:r>
        <w:rPr>
          <w:rStyle w:val="FootnoteReference"/>
        </w:rPr>
        <w:footnoteRef/>
      </w:r>
      <w:r>
        <w:t xml:space="preserve"> Evans: Interviewed by Nicola van der Merwe; West: Interviewed by Nicola van der Merwe.</w:t>
      </w:r>
    </w:p>
  </w:footnote>
  <w:footnote w:id="348">
    <w:p w14:paraId="146A1D2B" w14:textId="77777777" w:rsidR="005E6435" w:rsidRPr="008951AF" w:rsidRDefault="005E6435" w:rsidP="002F536C">
      <w:pPr>
        <w:pStyle w:val="FootnoteText"/>
        <w:rPr>
          <w:lang w:val="en-US"/>
        </w:rPr>
      </w:pPr>
      <w:r>
        <w:rPr>
          <w:rStyle w:val="FootnoteReference"/>
        </w:rPr>
        <w:footnoteRef/>
      </w:r>
      <w:r>
        <w:t xml:space="preserve"> </w:t>
      </w:r>
      <w:r>
        <w:rPr>
          <w:lang w:val="en-US"/>
        </w:rPr>
        <w:t xml:space="preserve">West: Interviewed by Nicola van der Merwe. </w:t>
      </w:r>
    </w:p>
  </w:footnote>
  <w:footnote w:id="349">
    <w:p w14:paraId="45EDAF25" w14:textId="77777777" w:rsidR="005E6435" w:rsidRPr="00FA3758" w:rsidRDefault="005E6435" w:rsidP="002F536C">
      <w:pPr>
        <w:pStyle w:val="FootnoteText"/>
        <w:rPr>
          <w:lang w:val="en-US"/>
        </w:rPr>
      </w:pPr>
      <w:r>
        <w:rPr>
          <w:rStyle w:val="FootnoteReference"/>
        </w:rPr>
        <w:footnoteRef/>
      </w:r>
      <w:r>
        <w:t xml:space="preserve"> </w:t>
      </w:r>
      <w:r>
        <w:rPr>
          <w:lang w:val="en-US"/>
        </w:rPr>
        <w:t>Evans: Interviewed by Nicola van der Merwe.</w:t>
      </w:r>
    </w:p>
  </w:footnote>
  <w:footnote w:id="350">
    <w:p w14:paraId="4A6504F1" w14:textId="77777777" w:rsidR="005E6435" w:rsidRPr="00C349C0" w:rsidRDefault="005E6435" w:rsidP="002F536C">
      <w:pPr>
        <w:pStyle w:val="FootnoteText"/>
        <w:rPr>
          <w:lang w:val="en-ZA"/>
        </w:rPr>
      </w:pPr>
      <w:r>
        <w:rPr>
          <w:rStyle w:val="FootnoteReference"/>
        </w:rPr>
        <w:footnoteRef/>
      </w:r>
      <w:r>
        <w:t xml:space="preserve"> Evans: </w:t>
      </w:r>
      <w:r w:rsidRPr="008951AF">
        <w:rPr>
          <w:i/>
        </w:rPr>
        <w:t>Broadcasting the End of Apartheid</w:t>
      </w:r>
      <w:r>
        <w:t>, p. 200.</w:t>
      </w:r>
    </w:p>
  </w:footnote>
  <w:footnote w:id="351">
    <w:p w14:paraId="207B7DF9" w14:textId="77777777" w:rsidR="005E6435" w:rsidRPr="008951AF" w:rsidRDefault="005E6435" w:rsidP="002F536C">
      <w:pPr>
        <w:pStyle w:val="FootnoteText"/>
        <w:rPr>
          <w:lang w:val="en-US"/>
        </w:rPr>
      </w:pPr>
      <w:r>
        <w:rPr>
          <w:rStyle w:val="FootnoteReference"/>
        </w:rPr>
        <w:footnoteRef/>
      </w:r>
      <w:r>
        <w:t xml:space="preserve"> West: Interviewed by Nicola van der Merwe.</w:t>
      </w:r>
    </w:p>
  </w:footnote>
  <w:footnote w:id="352">
    <w:p w14:paraId="3C9C8CED" w14:textId="77777777" w:rsidR="005E6435" w:rsidRPr="00A87A5D" w:rsidRDefault="005E6435" w:rsidP="002F536C">
      <w:pPr>
        <w:pStyle w:val="FootnoteText"/>
        <w:rPr>
          <w:lang w:val="en-ZA"/>
        </w:rPr>
      </w:pPr>
      <w:r>
        <w:rPr>
          <w:rStyle w:val="FootnoteReference"/>
        </w:rPr>
        <w:footnoteRef/>
      </w:r>
      <w:r>
        <w:t xml:space="preserve"> Evans: </w:t>
      </w:r>
      <w:r w:rsidRPr="008951AF">
        <w:rPr>
          <w:i/>
        </w:rPr>
        <w:t>Broadcasting the End of Apartheid</w:t>
      </w:r>
      <w:r>
        <w:t>. pp. 196-201.</w:t>
      </w:r>
    </w:p>
  </w:footnote>
  <w:footnote w:id="353">
    <w:p w14:paraId="5CD74746" w14:textId="77777777" w:rsidR="005E6435" w:rsidRPr="00A6731F" w:rsidRDefault="005E6435" w:rsidP="002F536C">
      <w:pPr>
        <w:pStyle w:val="FootnoteText"/>
        <w:rPr>
          <w:lang w:val="en-US"/>
        </w:rPr>
      </w:pPr>
      <w:r>
        <w:rPr>
          <w:rStyle w:val="FootnoteReference"/>
        </w:rPr>
        <w:footnoteRef/>
      </w:r>
      <w:r>
        <w:t xml:space="preserve"> Evans: Interviewed by Nicola van der Merwe.</w:t>
      </w:r>
    </w:p>
  </w:footnote>
  <w:footnote w:id="354">
    <w:p w14:paraId="49D626D7" w14:textId="77777777" w:rsidR="005E6435" w:rsidRPr="00B57DE8" w:rsidRDefault="005E6435" w:rsidP="002F536C">
      <w:pPr>
        <w:pStyle w:val="FootnoteText"/>
        <w:rPr>
          <w:lang w:val="en-US"/>
        </w:rPr>
      </w:pPr>
      <w:r>
        <w:rPr>
          <w:rStyle w:val="FootnoteReference"/>
        </w:rPr>
        <w:footnoteRef/>
      </w:r>
      <w:r>
        <w:t xml:space="preserve"> Kleinhans-Curd: Interviewed by Nicola van der Merwe. </w:t>
      </w:r>
    </w:p>
  </w:footnote>
  <w:footnote w:id="355">
    <w:p w14:paraId="379CDADA" w14:textId="77777777" w:rsidR="005E6435" w:rsidRPr="004047EB" w:rsidRDefault="005E6435" w:rsidP="002F536C">
      <w:pPr>
        <w:pStyle w:val="FootnoteText"/>
        <w:rPr>
          <w:lang w:val="en-US"/>
        </w:rPr>
      </w:pPr>
      <w:r>
        <w:rPr>
          <w:rStyle w:val="FootnoteReference"/>
        </w:rPr>
        <w:footnoteRef/>
      </w:r>
      <w:r>
        <w:t xml:space="preserve"> West: Interviewed by Nicola van der Merwe.</w:t>
      </w:r>
    </w:p>
  </w:footnote>
  <w:footnote w:id="356">
    <w:p w14:paraId="1784A162" w14:textId="77777777" w:rsidR="005E6435" w:rsidRPr="003F7947" w:rsidRDefault="005E6435" w:rsidP="00170C43">
      <w:pPr>
        <w:pStyle w:val="FootnoteText"/>
        <w:jc w:val="left"/>
        <w:rPr>
          <w:lang w:val="en-US"/>
        </w:rPr>
      </w:pPr>
      <w:r>
        <w:rPr>
          <w:rStyle w:val="FootnoteReference"/>
        </w:rPr>
        <w:footnoteRef/>
      </w:r>
      <w:r>
        <w:t xml:space="preserve"> Kleinhans-Curd: Interviewed by Nicola van der Merwe.</w:t>
      </w:r>
    </w:p>
  </w:footnote>
  <w:footnote w:id="357">
    <w:p w14:paraId="562FEB51" w14:textId="77777777" w:rsidR="005E6435" w:rsidRPr="0082105F" w:rsidRDefault="005E6435" w:rsidP="00170C43">
      <w:pPr>
        <w:pStyle w:val="FootnoteText"/>
        <w:jc w:val="left"/>
        <w:rPr>
          <w:lang w:val="en-US"/>
        </w:rPr>
      </w:pPr>
      <w:r>
        <w:rPr>
          <w:rStyle w:val="FootnoteReference"/>
        </w:rPr>
        <w:footnoteRef/>
      </w:r>
      <w:r>
        <w:t xml:space="preserve"> S. Kim, J.L. Crompton, &amp; C. Botha: ‘Responding to competition: a strategy for Sun/Lost City, South Africa.’ </w:t>
      </w:r>
      <w:r>
        <w:rPr>
          <w:i/>
        </w:rPr>
        <w:t xml:space="preserve">Tourism Management. </w:t>
      </w:r>
      <w:r>
        <w:t>(2000, 21:), p. 33.</w:t>
      </w:r>
    </w:p>
  </w:footnote>
  <w:footnote w:id="358">
    <w:p w14:paraId="07635D8B" w14:textId="77777777" w:rsidR="005E6435" w:rsidRDefault="005E6435" w:rsidP="00170C43">
      <w:pPr>
        <w:pStyle w:val="FootnoteText"/>
        <w:jc w:val="left"/>
      </w:pPr>
      <w:r>
        <w:rPr>
          <w:rStyle w:val="FootnoteReference"/>
        </w:rPr>
        <w:footnoteRef/>
      </w:r>
      <w:r>
        <w:t xml:space="preserve"> Gaming and Betting Board: ‘Wiehahn Commission 1995.’ </w:t>
      </w:r>
      <w:hyperlink r:id="rId31" w:history="1">
        <w:r w:rsidRPr="002B6D2F">
          <w:rPr>
            <w:rStyle w:val="Hyperlink"/>
          </w:rPr>
          <w:t>http://www.kzngbb.org.za/wp-content/uploads/business-reports/GRC_Report.pdf</w:t>
        </w:r>
        <w:r w:rsidRPr="00EA5F34">
          <w:rPr>
            <w:rStyle w:val="Hyperlink"/>
          </w:rPr>
          <w:t xml:space="preserve"> </w:t>
        </w:r>
        <w:r w:rsidRPr="00170C43">
          <w:rPr>
            <w:rStyle w:val="NoSpacingChar"/>
          </w:rPr>
          <w:t>(4</w:t>
        </w:r>
      </w:hyperlink>
      <w:r>
        <w:t xml:space="preserve"> November 2015). </w:t>
      </w:r>
    </w:p>
  </w:footnote>
  <w:footnote w:id="359">
    <w:p w14:paraId="0A084C2E" w14:textId="77777777" w:rsidR="005E6435" w:rsidRPr="007C420A" w:rsidRDefault="005E6435" w:rsidP="00170C43">
      <w:pPr>
        <w:pStyle w:val="NoSpacing"/>
      </w:pPr>
      <w:r>
        <w:rPr>
          <w:rStyle w:val="FootnoteReference"/>
        </w:rPr>
        <w:footnoteRef/>
      </w:r>
      <w:r>
        <w:t xml:space="preserve"> Sallaz: </w:t>
      </w:r>
      <w:r w:rsidRPr="00773444">
        <w:rPr>
          <w:i/>
        </w:rPr>
        <w:t>The Labour of Luck</w:t>
      </w:r>
      <w:r>
        <w:t xml:space="preserve">, pp. 13-15. </w:t>
      </w:r>
    </w:p>
  </w:footnote>
  <w:footnote w:id="360">
    <w:p w14:paraId="7B5F3A67" w14:textId="77777777" w:rsidR="005E6435" w:rsidRDefault="005E6435" w:rsidP="00170C43">
      <w:pPr>
        <w:pStyle w:val="FootnoteText"/>
        <w:jc w:val="left"/>
      </w:pPr>
      <w:r>
        <w:rPr>
          <w:rStyle w:val="FootnoteReference"/>
        </w:rPr>
        <w:footnoteRef/>
      </w:r>
      <w:r>
        <w:t xml:space="preserve"> A. Erwin: ‘Address by the Minister of Trade and Industry, Alec Erwin at the second South African Gambling Conference, 18 April 2002’ [Online] </w:t>
      </w:r>
      <w:hyperlink r:id="rId32" w:history="1">
        <w:r w:rsidRPr="002B6D2F">
          <w:rPr>
            <w:rStyle w:val="Hyperlink"/>
          </w:rPr>
          <w:t xml:space="preserve">http://www.info.gov.za/speeches/2002/02042002246p1001.htm </w:t>
        </w:r>
        <w:r w:rsidRPr="00170C43">
          <w:rPr>
            <w:rStyle w:val="NoSpacingChar"/>
          </w:rPr>
          <w:t>(22</w:t>
        </w:r>
      </w:hyperlink>
      <w:r>
        <w:t xml:space="preserve"> September 2014). </w:t>
      </w:r>
    </w:p>
  </w:footnote>
  <w:footnote w:id="361">
    <w:p w14:paraId="0F507C61" w14:textId="77777777" w:rsidR="005E6435" w:rsidRPr="008A271F" w:rsidRDefault="005E6435" w:rsidP="002F536C">
      <w:pPr>
        <w:pStyle w:val="NoSpacing"/>
      </w:pPr>
      <w:r>
        <w:rPr>
          <w:rStyle w:val="FootnoteReference"/>
        </w:rPr>
        <w:footnoteRef/>
      </w:r>
      <w:r>
        <w:t xml:space="preserve"> </w:t>
      </w:r>
      <w:r w:rsidRPr="008A271F">
        <w:t xml:space="preserve">Unknown: ‘Wiehahn Commission 1995.’ [Online] </w:t>
      </w:r>
      <w:hyperlink r:id="rId33" w:history="1">
        <w:r w:rsidRPr="00200C9A">
          <w:rPr>
            <w:rStyle w:val="Hyperlink"/>
          </w:rPr>
          <w:t>http://www.kzngbb.org.za/wp-content/uploads/business-reports/GRC_Report.pdf (16</w:t>
        </w:r>
      </w:hyperlink>
      <w:r>
        <w:t xml:space="preserve"> December 2016). </w:t>
      </w:r>
    </w:p>
  </w:footnote>
  <w:footnote w:id="362">
    <w:p w14:paraId="1DC04B90" w14:textId="77777777" w:rsidR="005E6435" w:rsidRDefault="005E6435" w:rsidP="002F536C">
      <w:pPr>
        <w:pStyle w:val="NoSpacing"/>
      </w:pPr>
      <w:r w:rsidRPr="008A271F">
        <w:rPr>
          <w:rStyle w:val="FootnoteReference"/>
        </w:rPr>
        <w:footnoteRef/>
      </w:r>
      <w:r>
        <w:t xml:space="preserve"> J.A. Howard: </w:t>
      </w:r>
      <w:r w:rsidRPr="00170C43">
        <w:rPr>
          <w:i/>
        </w:rPr>
        <w:t>Commission of Inquiry into Lotteries, Sports Pools, Fundraising Activities and Certain Matters relating to Gambling: Report.</w:t>
      </w:r>
      <w:r>
        <w:t xml:space="preserve"> Pretoria, South African Government, 1992, pp. 102-112. </w:t>
      </w:r>
    </w:p>
  </w:footnote>
  <w:footnote w:id="363">
    <w:p w14:paraId="751FA13C" w14:textId="77777777" w:rsidR="005E6435" w:rsidRPr="00C344B4" w:rsidRDefault="005E6435" w:rsidP="002F536C">
      <w:pPr>
        <w:pStyle w:val="FootnoteText"/>
        <w:rPr>
          <w:lang w:val="en-US"/>
        </w:rPr>
      </w:pPr>
      <w:r w:rsidRPr="00673963">
        <w:rPr>
          <w:rStyle w:val="FootnoteReference"/>
        </w:rPr>
        <w:footnoteRef/>
      </w:r>
      <w:r w:rsidRPr="00673963">
        <w:t xml:space="preserve"> </w:t>
      </w:r>
      <w:r>
        <w:t xml:space="preserve">P. </w:t>
      </w:r>
      <w:r w:rsidRPr="00673963">
        <w:rPr>
          <w:lang w:val="en-US"/>
        </w:rPr>
        <w:t>Garson: ‘Developers are taking a gamble on casino licenses.</w:t>
      </w:r>
      <w:r w:rsidRPr="00673963">
        <w:rPr>
          <w:i/>
          <w:lang w:val="en-US"/>
        </w:rPr>
        <w:t xml:space="preserve">’ Mail and Guardian. </w:t>
      </w:r>
      <w:r w:rsidRPr="00673963">
        <w:rPr>
          <w:lang w:val="en-US"/>
        </w:rPr>
        <w:t>14 March 1995.</w:t>
      </w:r>
    </w:p>
  </w:footnote>
  <w:footnote w:id="364">
    <w:p w14:paraId="59797767" w14:textId="77777777" w:rsidR="005E6435" w:rsidRPr="005D117F" w:rsidRDefault="005E6435" w:rsidP="002F536C">
      <w:pPr>
        <w:pStyle w:val="NoSpacing"/>
      </w:pPr>
      <w:r>
        <w:rPr>
          <w:rStyle w:val="FootnoteReference"/>
        </w:rPr>
        <w:footnoteRef/>
      </w:r>
      <w:r>
        <w:t xml:space="preserve"> NASA, </w:t>
      </w:r>
      <w:r w:rsidRPr="00347FC5">
        <w:t>SAB</w:t>
      </w:r>
      <w:r>
        <w:t>,</w:t>
      </w:r>
      <w:r w:rsidRPr="00347FC5">
        <w:t xml:space="preserve"> 4/93F.W. De Klerk: Lotteries and Gambling Board Act, No. 210 of 1993, 21 January 1994. </w:t>
      </w:r>
    </w:p>
  </w:footnote>
  <w:footnote w:id="365">
    <w:p w14:paraId="23E686F5" w14:textId="77777777" w:rsidR="005E6435" w:rsidRPr="00673963" w:rsidRDefault="005E6435" w:rsidP="002F536C">
      <w:pPr>
        <w:pStyle w:val="FootnoteText"/>
        <w:rPr>
          <w:lang w:val="en-US"/>
        </w:rPr>
      </w:pPr>
      <w:r>
        <w:rPr>
          <w:rStyle w:val="FootnoteReference"/>
        </w:rPr>
        <w:footnoteRef/>
      </w:r>
      <w:r>
        <w:t xml:space="preserve"> </w:t>
      </w:r>
      <w:r>
        <w:rPr>
          <w:lang w:val="en-US"/>
        </w:rPr>
        <w:t xml:space="preserve">Garson: ‘Developers are taking a gamble on casino licenses.’ </w:t>
      </w:r>
      <w:r>
        <w:rPr>
          <w:i/>
          <w:lang w:val="en-US"/>
        </w:rPr>
        <w:t xml:space="preserve">Mail and Guardian. </w:t>
      </w:r>
      <w:r>
        <w:rPr>
          <w:lang w:val="en-US"/>
        </w:rPr>
        <w:t xml:space="preserve">14 March 1995. </w:t>
      </w:r>
    </w:p>
  </w:footnote>
  <w:footnote w:id="366">
    <w:p w14:paraId="5DD424FE" w14:textId="77777777" w:rsidR="005E6435" w:rsidRPr="006C48C7" w:rsidRDefault="005E6435" w:rsidP="002F536C">
      <w:pPr>
        <w:pStyle w:val="FootnoteText"/>
        <w:rPr>
          <w:i/>
          <w:lang w:val="en-US"/>
        </w:rPr>
      </w:pPr>
      <w:r>
        <w:rPr>
          <w:rStyle w:val="FootnoteReference"/>
        </w:rPr>
        <w:footnoteRef/>
      </w:r>
      <w:r>
        <w:t xml:space="preserve"> </w:t>
      </w:r>
      <w:r>
        <w:rPr>
          <w:lang w:val="en-US"/>
        </w:rPr>
        <w:t>Garson: ‘Developers are taking a gamble on casino licenses.’</w:t>
      </w:r>
    </w:p>
  </w:footnote>
  <w:footnote w:id="367">
    <w:p w14:paraId="2E9C02C2" w14:textId="77777777" w:rsidR="005E6435" w:rsidRPr="001B2F4E" w:rsidRDefault="005E6435" w:rsidP="002F536C">
      <w:pPr>
        <w:pStyle w:val="NoSpacing"/>
        <w:rPr>
          <w:i/>
        </w:rPr>
      </w:pPr>
      <w:r>
        <w:rPr>
          <w:rStyle w:val="FootnoteReference"/>
        </w:rPr>
        <w:footnoteRef/>
      </w:r>
      <w:r>
        <w:t xml:space="preserve"> South African Legal Information Institute: ‘National Gambling Act No. 33 of 1996.’ 3 July 1996. [Online] </w:t>
      </w:r>
      <w:hyperlink r:id="rId34" w:history="1">
        <w:r w:rsidRPr="00472F01">
          <w:rPr>
            <w:rStyle w:val="Hyperlink"/>
          </w:rPr>
          <w:t>http://www.saflii.org/za/legis/num_act/nga1996156/</w:t>
        </w:r>
      </w:hyperlink>
      <w:r>
        <w:t xml:space="preserve"> (20 June 2016). </w:t>
      </w:r>
    </w:p>
  </w:footnote>
  <w:footnote w:id="368">
    <w:p w14:paraId="3222A831" w14:textId="77777777" w:rsidR="005E6435" w:rsidRPr="00313B49" w:rsidRDefault="005E6435" w:rsidP="002F536C">
      <w:pPr>
        <w:pStyle w:val="FootnoteText"/>
        <w:rPr>
          <w:lang w:val="en-US"/>
        </w:rPr>
      </w:pPr>
      <w:r>
        <w:rPr>
          <w:rStyle w:val="FootnoteReference"/>
        </w:rPr>
        <w:footnoteRef/>
      </w:r>
      <w:r>
        <w:t xml:space="preserve"> Kirsten &amp; Rogerson: ‘Tourism, business linkages and small enterprise development in South Africa’. p. 36.</w:t>
      </w:r>
    </w:p>
  </w:footnote>
  <w:footnote w:id="369">
    <w:p w14:paraId="769B1FDD" w14:textId="77777777" w:rsidR="005E6435" w:rsidRPr="006C48C7" w:rsidRDefault="005E6435" w:rsidP="002F536C">
      <w:pPr>
        <w:pStyle w:val="FootnoteText"/>
        <w:jc w:val="left"/>
        <w:rPr>
          <w:lang w:val="en-US"/>
        </w:rPr>
      </w:pPr>
      <w:r>
        <w:rPr>
          <w:rStyle w:val="FootnoteReference"/>
        </w:rPr>
        <w:footnoteRef/>
      </w:r>
      <w:r>
        <w:t xml:space="preserve"> Kim, Crompton &amp; Botha: ‘Responding to competition’, p. 33.</w:t>
      </w:r>
    </w:p>
  </w:footnote>
  <w:footnote w:id="370">
    <w:p w14:paraId="382246BD" w14:textId="77777777" w:rsidR="005E6435" w:rsidRPr="007B4AFE" w:rsidRDefault="005E6435" w:rsidP="002F536C">
      <w:pPr>
        <w:pStyle w:val="FootnoteText"/>
        <w:rPr>
          <w:lang w:val="en-US"/>
        </w:rPr>
      </w:pPr>
      <w:r>
        <w:rPr>
          <w:rStyle w:val="FootnoteReference"/>
        </w:rPr>
        <w:footnoteRef/>
      </w:r>
      <w:r>
        <w:t xml:space="preserve"> </w:t>
      </w:r>
      <w:r>
        <w:rPr>
          <w:i/>
        </w:rPr>
        <w:t>Ibid,</w:t>
      </w:r>
      <w:r>
        <w:t xml:space="preserve"> p. 38.</w:t>
      </w:r>
    </w:p>
  </w:footnote>
  <w:footnote w:id="371">
    <w:p w14:paraId="16009867" w14:textId="77777777" w:rsidR="005E6435" w:rsidRDefault="005E6435" w:rsidP="00170C43">
      <w:pPr>
        <w:pStyle w:val="NoSpacing"/>
      </w:pPr>
      <w:r>
        <w:rPr>
          <w:rStyle w:val="FootnoteReference"/>
        </w:rPr>
        <w:footnoteRef/>
      </w:r>
      <w:r>
        <w:t xml:space="preserve"> I. Van Wyk: “‘Tata ma chance’: On contingency and the Lottery in post-apartheid South Afirca.” </w:t>
      </w:r>
      <w:r>
        <w:rPr>
          <w:i/>
        </w:rPr>
        <w:t xml:space="preserve">ESRC Project, </w:t>
      </w:r>
      <w:r>
        <w:t>London May 2010, pp. 3-4.</w:t>
      </w:r>
    </w:p>
  </w:footnote>
  <w:footnote w:id="372">
    <w:p w14:paraId="2FE375CB" w14:textId="77777777" w:rsidR="005E6435" w:rsidRPr="00CE52A7" w:rsidRDefault="005E6435" w:rsidP="002F536C">
      <w:pPr>
        <w:pStyle w:val="NoSpacing"/>
      </w:pPr>
      <w:r>
        <w:rPr>
          <w:rStyle w:val="FootnoteReference"/>
        </w:rPr>
        <w:footnoteRef/>
      </w:r>
      <w:r>
        <w:t xml:space="preserve"> I. Chipkin &amp; S. Meny-Gibert: ‘Why the Past Matters: Studying Public Administration in South Africa.’ </w:t>
      </w:r>
      <w:r>
        <w:rPr>
          <w:i/>
        </w:rPr>
        <w:t xml:space="preserve">Journal of Public Administration, </w:t>
      </w:r>
      <w:r>
        <w:t>(2012, 47:1), pp. 102-112.</w:t>
      </w:r>
    </w:p>
  </w:footnote>
  <w:footnote w:id="373">
    <w:p w14:paraId="442AC66F" w14:textId="77777777" w:rsidR="005E6435" w:rsidRPr="00CF7CBD" w:rsidRDefault="005E6435" w:rsidP="002F536C">
      <w:pPr>
        <w:pStyle w:val="NoSpacing"/>
        <w:rPr>
          <w:i/>
        </w:rPr>
      </w:pPr>
      <w:r>
        <w:rPr>
          <w:rStyle w:val="FootnoteReference"/>
        </w:rPr>
        <w:footnoteRef/>
      </w:r>
      <w:r>
        <w:t xml:space="preserve"> Unknown: ‘A lesson from Sol: it’s OK if it’s over the Kei.’</w:t>
      </w:r>
    </w:p>
  </w:footnote>
  <w:footnote w:id="374">
    <w:p w14:paraId="380B7A6C" w14:textId="77777777" w:rsidR="005E6435" w:rsidRPr="005D3A78" w:rsidRDefault="005E6435" w:rsidP="002F536C">
      <w:pPr>
        <w:pStyle w:val="FootnoteText"/>
        <w:rPr>
          <w:i/>
          <w:lang w:val="en-US"/>
        </w:rPr>
      </w:pPr>
      <w:r>
        <w:rPr>
          <w:rStyle w:val="FootnoteReference"/>
        </w:rPr>
        <w:footnoteRef/>
      </w:r>
      <w:r>
        <w:t xml:space="preserve"> </w:t>
      </w:r>
      <w:r>
        <w:rPr>
          <w:i/>
        </w:rPr>
        <w:t xml:space="preserve">Ibid. </w:t>
      </w:r>
    </w:p>
  </w:footnote>
  <w:footnote w:id="375">
    <w:p w14:paraId="2B6462DE" w14:textId="77777777" w:rsidR="005E6435" w:rsidRPr="005D3A78" w:rsidRDefault="005E6435" w:rsidP="002F536C">
      <w:pPr>
        <w:pStyle w:val="FootnoteText"/>
        <w:rPr>
          <w:lang w:val="en-US"/>
        </w:rPr>
      </w:pPr>
      <w:r>
        <w:rPr>
          <w:rStyle w:val="FootnoteReference"/>
        </w:rPr>
        <w:footnoteRef/>
      </w:r>
      <w:r>
        <w:t xml:space="preserve"> </w:t>
      </w:r>
      <w:r>
        <w:rPr>
          <w:lang w:val="en-US"/>
        </w:rPr>
        <w:t>Unknown:</w:t>
      </w:r>
      <w:r>
        <w:t xml:space="preserve"> ‘A lesson from Sol: it’s OK if it’s over the Kei.’ </w:t>
      </w:r>
      <w:r>
        <w:rPr>
          <w:i/>
        </w:rPr>
        <w:t xml:space="preserve">The Mail and Guardian. </w:t>
      </w:r>
    </w:p>
  </w:footnote>
  <w:footnote w:id="376">
    <w:p w14:paraId="4531AC20" w14:textId="77777777" w:rsidR="005E6435" w:rsidRPr="006A0C3F" w:rsidRDefault="005E6435" w:rsidP="002F536C">
      <w:pPr>
        <w:pStyle w:val="FootnoteText"/>
        <w:rPr>
          <w:lang w:val="en-US"/>
        </w:rPr>
      </w:pPr>
      <w:r>
        <w:rPr>
          <w:rStyle w:val="FootnoteReference"/>
        </w:rPr>
        <w:footnoteRef/>
      </w:r>
      <w:r>
        <w:t xml:space="preserve"> Staff reporter: ‘Police move closer to Sol’ </w:t>
      </w:r>
      <w:r>
        <w:rPr>
          <w:i/>
        </w:rPr>
        <w:t>The Mail and Guardian.</w:t>
      </w:r>
    </w:p>
  </w:footnote>
  <w:footnote w:id="377">
    <w:p w14:paraId="1DA51A6C" w14:textId="77777777" w:rsidR="005E6435" w:rsidRPr="00D953BA" w:rsidRDefault="005E6435" w:rsidP="002F536C">
      <w:pPr>
        <w:pStyle w:val="FootnoteText"/>
        <w:rPr>
          <w:lang w:val="en-US"/>
        </w:rPr>
      </w:pPr>
      <w:r>
        <w:rPr>
          <w:rStyle w:val="FootnoteReference"/>
        </w:rPr>
        <w:footnoteRef/>
      </w:r>
      <w:r>
        <w:t xml:space="preserve"> </w:t>
      </w:r>
      <w:r>
        <w:rPr>
          <w:lang w:val="en-US"/>
        </w:rPr>
        <w:t>van Vuuren: ‘Apartheid Grand Corruption’, p. 81.</w:t>
      </w:r>
    </w:p>
  </w:footnote>
  <w:footnote w:id="378">
    <w:p w14:paraId="61F3700F" w14:textId="77777777" w:rsidR="005E6435" w:rsidRPr="00D953BA" w:rsidRDefault="005E6435" w:rsidP="002F536C">
      <w:pPr>
        <w:pStyle w:val="FootnoteText"/>
        <w:rPr>
          <w:lang w:val="en-US"/>
        </w:rPr>
      </w:pPr>
      <w:r>
        <w:rPr>
          <w:rStyle w:val="FootnoteReference"/>
        </w:rPr>
        <w:footnoteRef/>
      </w:r>
      <w:r>
        <w:t xml:space="preserve"> Unknown: ‘Report lays bare apartheid corruption.’ </w:t>
      </w:r>
      <w:r>
        <w:rPr>
          <w:i/>
        </w:rPr>
        <w:t xml:space="preserve">Southern African Documentation and Cooperation Centre. </w:t>
      </w:r>
      <w:r>
        <w:t xml:space="preserve">1 June 2006. [Online] </w:t>
      </w:r>
      <w:hyperlink r:id="rId35" w:history="1">
        <w:r w:rsidRPr="0079310D">
          <w:rPr>
            <w:rStyle w:val="Hyperlink"/>
          </w:rPr>
          <w:t>http://www.sadocc.at/news/2006/2006-084.shtml (11</w:t>
        </w:r>
      </w:hyperlink>
      <w:r>
        <w:t xml:space="preserve"> June 2016).</w:t>
      </w:r>
    </w:p>
  </w:footnote>
  <w:footnote w:id="379">
    <w:p w14:paraId="531ECC96" w14:textId="77777777" w:rsidR="005E6435" w:rsidRPr="004553E6" w:rsidRDefault="005E6435" w:rsidP="002F536C">
      <w:pPr>
        <w:pStyle w:val="FootnoteText"/>
        <w:rPr>
          <w:lang w:val="en-US"/>
        </w:rPr>
      </w:pPr>
      <w:r>
        <w:rPr>
          <w:rStyle w:val="FootnoteReference"/>
        </w:rPr>
        <w:footnoteRef/>
      </w:r>
      <w:r>
        <w:rPr>
          <w:lang w:val="en-US"/>
        </w:rPr>
        <w:t xml:space="preserve"> Van Vuuren: ‘Apartheid Grand Corruption’, p. 81.</w:t>
      </w:r>
    </w:p>
  </w:footnote>
  <w:footnote w:id="380">
    <w:p w14:paraId="5F9B67DD" w14:textId="77777777" w:rsidR="005E6435" w:rsidRPr="00554751" w:rsidRDefault="005E6435" w:rsidP="002F536C">
      <w:pPr>
        <w:pStyle w:val="NoSpacing"/>
      </w:pPr>
      <w:r>
        <w:rPr>
          <w:rStyle w:val="FootnoteReference"/>
        </w:rPr>
        <w:footnoteRef/>
      </w:r>
      <w:r>
        <w:t xml:space="preserve"> Quoted in J. Hyslop: ‘Political Corruption in South Africa: Before and After Apartheid.’ </w:t>
      </w:r>
      <w:r>
        <w:rPr>
          <w:i/>
        </w:rPr>
        <w:t xml:space="preserve">Journal of Southern African Studies, </w:t>
      </w:r>
      <w:r>
        <w:t>(2005, 31:4), pp. 783.</w:t>
      </w:r>
    </w:p>
  </w:footnote>
  <w:footnote w:id="381">
    <w:p w14:paraId="67EC6D2A" w14:textId="77777777" w:rsidR="005E6435" w:rsidRPr="00673963" w:rsidRDefault="005E6435" w:rsidP="002F536C">
      <w:pPr>
        <w:pStyle w:val="FootnoteText"/>
        <w:rPr>
          <w:lang w:val="en-US"/>
        </w:rPr>
      </w:pPr>
      <w:r>
        <w:rPr>
          <w:rStyle w:val="FootnoteReference"/>
        </w:rPr>
        <w:footnoteRef/>
      </w:r>
      <w:r>
        <w:t xml:space="preserve"> </w:t>
      </w:r>
      <w:r>
        <w:rPr>
          <w:lang w:val="en-US"/>
        </w:rPr>
        <w:t xml:space="preserve">Garson: ‘Developers are taking a gamble on casino licenses.’ </w:t>
      </w:r>
    </w:p>
  </w:footnote>
  <w:footnote w:id="382">
    <w:p w14:paraId="7424C2F7" w14:textId="77777777" w:rsidR="005E6435" w:rsidRPr="002C1086" w:rsidRDefault="005E6435" w:rsidP="002F536C">
      <w:pPr>
        <w:pStyle w:val="FootnoteText"/>
        <w:rPr>
          <w:lang w:val="en-US"/>
        </w:rPr>
      </w:pPr>
      <w:r>
        <w:rPr>
          <w:rStyle w:val="FootnoteReference"/>
        </w:rPr>
        <w:footnoteRef/>
      </w:r>
      <w:r>
        <w:t xml:space="preserve"> Staff reporter: ‘Police move closer to Sol’</w:t>
      </w:r>
      <w:r>
        <w:rPr>
          <w:i/>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82775B"/>
    <w:multiLevelType w:val="multilevel"/>
    <w:tmpl w:val="0EBA3C40"/>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
    <w:nsid w:val="1E653E55"/>
    <w:multiLevelType w:val="multilevel"/>
    <w:tmpl w:val="54DABA3C"/>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20F761E2"/>
    <w:multiLevelType w:val="multilevel"/>
    <w:tmpl w:val="F07C70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8F44C74"/>
    <w:multiLevelType w:val="hybridMultilevel"/>
    <w:tmpl w:val="0602D686"/>
    <w:lvl w:ilvl="0" w:tplc="E0466C60">
      <w:start w:val="20"/>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D4E3CFA"/>
    <w:multiLevelType w:val="hybridMultilevel"/>
    <w:tmpl w:val="85C42622"/>
    <w:lvl w:ilvl="0" w:tplc="F1609A80">
      <w:start w:val="20"/>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38E07CB"/>
    <w:multiLevelType w:val="multilevel"/>
    <w:tmpl w:val="C71C2C54"/>
    <w:lvl w:ilvl="0">
      <w:start w:val="1"/>
      <w:numFmt w:val="decimal"/>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6">
    <w:nsid w:val="4B28037E"/>
    <w:multiLevelType w:val="hybridMultilevel"/>
    <w:tmpl w:val="65804724"/>
    <w:lvl w:ilvl="0" w:tplc="64FA3D20">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EEC6ACA"/>
    <w:multiLevelType w:val="hybridMultilevel"/>
    <w:tmpl w:val="994EE17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5EBB01EB"/>
    <w:multiLevelType w:val="hybridMultilevel"/>
    <w:tmpl w:val="E01AFCA6"/>
    <w:lvl w:ilvl="0" w:tplc="B730427C">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65DA1861"/>
    <w:multiLevelType w:val="multilevel"/>
    <w:tmpl w:val="F14805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8"/>
  </w:num>
  <w:num w:numId="3">
    <w:abstractNumId w:val="0"/>
  </w:num>
  <w:num w:numId="4">
    <w:abstractNumId w:val="0"/>
  </w:num>
  <w:num w:numId="5">
    <w:abstractNumId w:val="0"/>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1"/>
  </w:num>
  <w:num w:numId="14">
    <w:abstractNumId w:val="5"/>
  </w:num>
  <w:num w:numId="15">
    <w:abstractNumId w:val="2"/>
  </w:num>
  <w:num w:numId="16">
    <w:abstractNumId w:val="9"/>
  </w:num>
  <w:num w:numId="17">
    <w:abstractNumId w:val="3"/>
  </w:num>
  <w:num w:numId="18">
    <w:abstractNumId w:val="4"/>
  </w:num>
  <w:num w:numId="19">
    <w:abstractNumId w:val="6"/>
  </w:num>
  <w:num w:numId="2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0"/>
  <w:activeWritingStyle w:appName="MSWord" w:lang="en-GB" w:vendorID="64" w:dllVersion="0" w:nlCheck="1" w:checkStyle="1"/>
  <w:activeWritingStyle w:appName="MSWord" w:lang="en-US" w:vendorID="64" w:dllVersion="0" w:nlCheck="1" w:checkStyle="0"/>
  <w:activeWritingStyle w:appName="MSWord" w:lang="en-ZA" w:vendorID="64" w:dllVersion="0" w:nlCheck="1" w:checkStyle="0"/>
  <w:activeWritingStyle w:appName="MSWord" w:lang="en-US" w:vendorID="64" w:dllVersion="131078" w:nlCheck="1" w:checkStyle="1"/>
  <w:activeWritingStyle w:appName="MSWord" w:lang="en-GB" w:vendorID="64" w:dllVersion="131078" w:nlCheck="1" w:checkStyle="1"/>
  <w:activeWritingStyle w:appName="MSWord" w:lang="en-ZA" w:vendorID="64" w:dllVersion="131078" w:nlCheck="1" w:checkStyle="1"/>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632"/>
    <w:rsid w:val="00000224"/>
    <w:rsid w:val="0000182D"/>
    <w:rsid w:val="0000242B"/>
    <w:rsid w:val="0000244E"/>
    <w:rsid w:val="00006EA0"/>
    <w:rsid w:val="000075D9"/>
    <w:rsid w:val="00007A3F"/>
    <w:rsid w:val="00007BAC"/>
    <w:rsid w:val="00010C11"/>
    <w:rsid w:val="00010E6C"/>
    <w:rsid w:val="000137C5"/>
    <w:rsid w:val="00013EFC"/>
    <w:rsid w:val="00016AA7"/>
    <w:rsid w:val="000177D0"/>
    <w:rsid w:val="00017FAF"/>
    <w:rsid w:val="0002167D"/>
    <w:rsid w:val="000224C2"/>
    <w:rsid w:val="000247A9"/>
    <w:rsid w:val="00025601"/>
    <w:rsid w:val="00025FCB"/>
    <w:rsid w:val="0002607A"/>
    <w:rsid w:val="0003033B"/>
    <w:rsid w:val="0003461E"/>
    <w:rsid w:val="00034A3A"/>
    <w:rsid w:val="00035779"/>
    <w:rsid w:val="00036B4B"/>
    <w:rsid w:val="00036D89"/>
    <w:rsid w:val="00037BB1"/>
    <w:rsid w:val="00041884"/>
    <w:rsid w:val="0004397D"/>
    <w:rsid w:val="00043D4E"/>
    <w:rsid w:val="00043F47"/>
    <w:rsid w:val="00044EEE"/>
    <w:rsid w:val="00045F41"/>
    <w:rsid w:val="000461FC"/>
    <w:rsid w:val="00046280"/>
    <w:rsid w:val="0004633D"/>
    <w:rsid w:val="00046755"/>
    <w:rsid w:val="000509F0"/>
    <w:rsid w:val="000524B5"/>
    <w:rsid w:val="000535CE"/>
    <w:rsid w:val="00054295"/>
    <w:rsid w:val="00056666"/>
    <w:rsid w:val="00056774"/>
    <w:rsid w:val="00057B26"/>
    <w:rsid w:val="00062058"/>
    <w:rsid w:val="000652CF"/>
    <w:rsid w:val="000655BC"/>
    <w:rsid w:val="00070561"/>
    <w:rsid w:val="0007090E"/>
    <w:rsid w:val="000716F5"/>
    <w:rsid w:val="000754D6"/>
    <w:rsid w:val="00076909"/>
    <w:rsid w:val="000770DC"/>
    <w:rsid w:val="000804EA"/>
    <w:rsid w:val="00083137"/>
    <w:rsid w:val="00083BC1"/>
    <w:rsid w:val="000854B3"/>
    <w:rsid w:val="0008586F"/>
    <w:rsid w:val="000867BD"/>
    <w:rsid w:val="0009287C"/>
    <w:rsid w:val="00092CE4"/>
    <w:rsid w:val="000936A5"/>
    <w:rsid w:val="00095010"/>
    <w:rsid w:val="0009540D"/>
    <w:rsid w:val="00096A45"/>
    <w:rsid w:val="000A0AF1"/>
    <w:rsid w:val="000A307D"/>
    <w:rsid w:val="000A37BC"/>
    <w:rsid w:val="000A39C5"/>
    <w:rsid w:val="000A4CB5"/>
    <w:rsid w:val="000A5B83"/>
    <w:rsid w:val="000A67CB"/>
    <w:rsid w:val="000A77F4"/>
    <w:rsid w:val="000A794D"/>
    <w:rsid w:val="000B251E"/>
    <w:rsid w:val="000B4EF2"/>
    <w:rsid w:val="000B5B8B"/>
    <w:rsid w:val="000B7791"/>
    <w:rsid w:val="000B77F5"/>
    <w:rsid w:val="000C1281"/>
    <w:rsid w:val="000C26FA"/>
    <w:rsid w:val="000C462B"/>
    <w:rsid w:val="000C57FE"/>
    <w:rsid w:val="000C70F7"/>
    <w:rsid w:val="000D34F0"/>
    <w:rsid w:val="000D43D2"/>
    <w:rsid w:val="000D6CD4"/>
    <w:rsid w:val="000D74F3"/>
    <w:rsid w:val="000D7A25"/>
    <w:rsid w:val="000D7AB5"/>
    <w:rsid w:val="000E54C4"/>
    <w:rsid w:val="000E5FA4"/>
    <w:rsid w:val="000E6125"/>
    <w:rsid w:val="000E73B2"/>
    <w:rsid w:val="000F0717"/>
    <w:rsid w:val="000F09EF"/>
    <w:rsid w:val="000F2B0B"/>
    <w:rsid w:val="000F4FFB"/>
    <w:rsid w:val="000F6BF6"/>
    <w:rsid w:val="00100097"/>
    <w:rsid w:val="00101C63"/>
    <w:rsid w:val="00101CC7"/>
    <w:rsid w:val="001037C7"/>
    <w:rsid w:val="00105A1D"/>
    <w:rsid w:val="0010724B"/>
    <w:rsid w:val="00107822"/>
    <w:rsid w:val="00110753"/>
    <w:rsid w:val="00112288"/>
    <w:rsid w:val="001160FC"/>
    <w:rsid w:val="00116DC6"/>
    <w:rsid w:val="0011724C"/>
    <w:rsid w:val="001230C0"/>
    <w:rsid w:val="00123E79"/>
    <w:rsid w:val="00125951"/>
    <w:rsid w:val="001259EF"/>
    <w:rsid w:val="00125E07"/>
    <w:rsid w:val="001264EA"/>
    <w:rsid w:val="00127F8D"/>
    <w:rsid w:val="00130F38"/>
    <w:rsid w:val="00133020"/>
    <w:rsid w:val="00134AF6"/>
    <w:rsid w:val="00134B15"/>
    <w:rsid w:val="00135D3E"/>
    <w:rsid w:val="0014756E"/>
    <w:rsid w:val="00147879"/>
    <w:rsid w:val="001500D7"/>
    <w:rsid w:val="00151C9B"/>
    <w:rsid w:val="00151DAB"/>
    <w:rsid w:val="001524B8"/>
    <w:rsid w:val="00154956"/>
    <w:rsid w:val="001564F1"/>
    <w:rsid w:val="00156802"/>
    <w:rsid w:val="001607B4"/>
    <w:rsid w:val="00162D33"/>
    <w:rsid w:val="00162DB0"/>
    <w:rsid w:val="00163936"/>
    <w:rsid w:val="00163DA2"/>
    <w:rsid w:val="00164952"/>
    <w:rsid w:val="001657D8"/>
    <w:rsid w:val="0016792A"/>
    <w:rsid w:val="001705E3"/>
    <w:rsid w:val="00170C43"/>
    <w:rsid w:val="00171284"/>
    <w:rsid w:val="001742E8"/>
    <w:rsid w:val="00174461"/>
    <w:rsid w:val="001765BB"/>
    <w:rsid w:val="00176696"/>
    <w:rsid w:val="00176BAF"/>
    <w:rsid w:val="001773DC"/>
    <w:rsid w:val="00182441"/>
    <w:rsid w:val="00182CB9"/>
    <w:rsid w:val="0018489B"/>
    <w:rsid w:val="00184B92"/>
    <w:rsid w:val="001851DD"/>
    <w:rsid w:val="00185404"/>
    <w:rsid w:val="00185C15"/>
    <w:rsid w:val="00190150"/>
    <w:rsid w:val="00190D65"/>
    <w:rsid w:val="0019229F"/>
    <w:rsid w:val="00192471"/>
    <w:rsid w:val="001924B7"/>
    <w:rsid w:val="00193766"/>
    <w:rsid w:val="00195E8D"/>
    <w:rsid w:val="00195FFA"/>
    <w:rsid w:val="001964C3"/>
    <w:rsid w:val="001A0714"/>
    <w:rsid w:val="001A0B86"/>
    <w:rsid w:val="001A2781"/>
    <w:rsid w:val="001A2CFF"/>
    <w:rsid w:val="001A2D99"/>
    <w:rsid w:val="001A33A8"/>
    <w:rsid w:val="001A42D0"/>
    <w:rsid w:val="001A4D7B"/>
    <w:rsid w:val="001A523E"/>
    <w:rsid w:val="001A6452"/>
    <w:rsid w:val="001B1544"/>
    <w:rsid w:val="001B2F4E"/>
    <w:rsid w:val="001B4D45"/>
    <w:rsid w:val="001B523E"/>
    <w:rsid w:val="001B6328"/>
    <w:rsid w:val="001B7D86"/>
    <w:rsid w:val="001C0747"/>
    <w:rsid w:val="001C07FE"/>
    <w:rsid w:val="001C54BB"/>
    <w:rsid w:val="001C7139"/>
    <w:rsid w:val="001C715B"/>
    <w:rsid w:val="001C7AE2"/>
    <w:rsid w:val="001D009B"/>
    <w:rsid w:val="001D0CC5"/>
    <w:rsid w:val="001D0DB2"/>
    <w:rsid w:val="001D10B1"/>
    <w:rsid w:val="001D1534"/>
    <w:rsid w:val="001D1EC3"/>
    <w:rsid w:val="001D2081"/>
    <w:rsid w:val="001D3203"/>
    <w:rsid w:val="001D4A63"/>
    <w:rsid w:val="001D4C96"/>
    <w:rsid w:val="001D5BDD"/>
    <w:rsid w:val="001D710E"/>
    <w:rsid w:val="001E0889"/>
    <w:rsid w:val="001E352B"/>
    <w:rsid w:val="001E3677"/>
    <w:rsid w:val="001E600F"/>
    <w:rsid w:val="001E6E29"/>
    <w:rsid w:val="001E775A"/>
    <w:rsid w:val="001E79E5"/>
    <w:rsid w:val="001E7DB3"/>
    <w:rsid w:val="001F17F3"/>
    <w:rsid w:val="001F3E26"/>
    <w:rsid w:val="001F5066"/>
    <w:rsid w:val="001F5267"/>
    <w:rsid w:val="002008F4"/>
    <w:rsid w:val="00202C82"/>
    <w:rsid w:val="00204446"/>
    <w:rsid w:val="002056FD"/>
    <w:rsid w:val="002063B3"/>
    <w:rsid w:val="00207479"/>
    <w:rsid w:val="0021313B"/>
    <w:rsid w:val="00213394"/>
    <w:rsid w:val="00214A42"/>
    <w:rsid w:val="0021632D"/>
    <w:rsid w:val="00216919"/>
    <w:rsid w:val="00216A0D"/>
    <w:rsid w:val="00217C50"/>
    <w:rsid w:val="00222C90"/>
    <w:rsid w:val="00225164"/>
    <w:rsid w:val="00226731"/>
    <w:rsid w:val="002339EC"/>
    <w:rsid w:val="00234028"/>
    <w:rsid w:val="002351AD"/>
    <w:rsid w:val="002355EE"/>
    <w:rsid w:val="0023577F"/>
    <w:rsid w:val="00235CD9"/>
    <w:rsid w:val="00236110"/>
    <w:rsid w:val="0023674F"/>
    <w:rsid w:val="002405DF"/>
    <w:rsid w:val="00240B36"/>
    <w:rsid w:val="002418A1"/>
    <w:rsid w:val="00241BBA"/>
    <w:rsid w:val="00245F1F"/>
    <w:rsid w:val="00246360"/>
    <w:rsid w:val="0024678D"/>
    <w:rsid w:val="00246DA1"/>
    <w:rsid w:val="00246EC1"/>
    <w:rsid w:val="00247BC7"/>
    <w:rsid w:val="00250190"/>
    <w:rsid w:val="00251E76"/>
    <w:rsid w:val="00252B82"/>
    <w:rsid w:val="00252F7F"/>
    <w:rsid w:val="00253029"/>
    <w:rsid w:val="00257673"/>
    <w:rsid w:val="00257E3D"/>
    <w:rsid w:val="0026132B"/>
    <w:rsid w:val="0026198C"/>
    <w:rsid w:val="002627E7"/>
    <w:rsid w:val="002640E7"/>
    <w:rsid w:val="00265FD2"/>
    <w:rsid w:val="0027057D"/>
    <w:rsid w:val="00270847"/>
    <w:rsid w:val="00270F81"/>
    <w:rsid w:val="002728C9"/>
    <w:rsid w:val="00272BFA"/>
    <w:rsid w:val="0027632D"/>
    <w:rsid w:val="00276380"/>
    <w:rsid w:val="002764E5"/>
    <w:rsid w:val="00276E9A"/>
    <w:rsid w:val="00277221"/>
    <w:rsid w:val="002817A0"/>
    <w:rsid w:val="002822D6"/>
    <w:rsid w:val="002837EB"/>
    <w:rsid w:val="002838A2"/>
    <w:rsid w:val="00283D63"/>
    <w:rsid w:val="002857ED"/>
    <w:rsid w:val="00286A38"/>
    <w:rsid w:val="00286D2D"/>
    <w:rsid w:val="00286F5C"/>
    <w:rsid w:val="00286FB4"/>
    <w:rsid w:val="0029052C"/>
    <w:rsid w:val="00292AF4"/>
    <w:rsid w:val="002934B1"/>
    <w:rsid w:val="00293717"/>
    <w:rsid w:val="00294D58"/>
    <w:rsid w:val="00294F4F"/>
    <w:rsid w:val="0029704C"/>
    <w:rsid w:val="002A1571"/>
    <w:rsid w:val="002A1851"/>
    <w:rsid w:val="002A197D"/>
    <w:rsid w:val="002A3E3A"/>
    <w:rsid w:val="002A520B"/>
    <w:rsid w:val="002A5650"/>
    <w:rsid w:val="002B3288"/>
    <w:rsid w:val="002B3DCD"/>
    <w:rsid w:val="002B45F7"/>
    <w:rsid w:val="002B55DA"/>
    <w:rsid w:val="002B5E1B"/>
    <w:rsid w:val="002B66C9"/>
    <w:rsid w:val="002B7DDD"/>
    <w:rsid w:val="002C1086"/>
    <w:rsid w:val="002C219D"/>
    <w:rsid w:val="002C386B"/>
    <w:rsid w:val="002C556E"/>
    <w:rsid w:val="002C5F4F"/>
    <w:rsid w:val="002C60EB"/>
    <w:rsid w:val="002C62F4"/>
    <w:rsid w:val="002C70DB"/>
    <w:rsid w:val="002C7195"/>
    <w:rsid w:val="002C72BC"/>
    <w:rsid w:val="002C7C45"/>
    <w:rsid w:val="002D0649"/>
    <w:rsid w:val="002D08CD"/>
    <w:rsid w:val="002D139E"/>
    <w:rsid w:val="002D1BBA"/>
    <w:rsid w:val="002D1FB2"/>
    <w:rsid w:val="002D2EEF"/>
    <w:rsid w:val="002D36FA"/>
    <w:rsid w:val="002D3DD1"/>
    <w:rsid w:val="002D533F"/>
    <w:rsid w:val="002D5596"/>
    <w:rsid w:val="002D623D"/>
    <w:rsid w:val="002D6B29"/>
    <w:rsid w:val="002D6C4A"/>
    <w:rsid w:val="002D6CEA"/>
    <w:rsid w:val="002D733E"/>
    <w:rsid w:val="002D7F38"/>
    <w:rsid w:val="002E1BBF"/>
    <w:rsid w:val="002E1D2E"/>
    <w:rsid w:val="002E2523"/>
    <w:rsid w:val="002E38A4"/>
    <w:rsid w:val="002E4C34"/>
    <w:rsid w:val="002E5275"/>
    <w:rsid w:val="002E53A5"/>
    <w:rsid w:val="002E57E5"/>
    <w:rsid w:val="002E6523"/>
    <w:rsid w:val="002E6CCE"/>
    <w:rsid w:val="002E70EF"/>
    <w:rsid w:val="002F08BB"/>
    <w:rsid w:val="002F2B16"/>
    <w:rsid w:val="002F3751"/>
    <w:rsid w:val="002F536C"/>
    <w:rsid w:val="002F547A"/>
    <w:rsid w:val="002F5A6E"/>
    <w:rsid w:val="002F64F4"/>
    <w:rsid w:val="002F6710"/>
    <w:rsid w:val="002F6C9C"/>
    <w:rsid w:val="002F6CF6"/>
    <w:rsid w:val="002F6E22"/>
    <w:rsid w:val="002F74A6"/>
    <w:rsid w:val="002F7854"/>
    <w:rsid w:val="002F7AD2"/>
    <w:rsid w:val="0030050B"/>
    <w:rsid w:val="00300D7B"/>
    <w:rsid w:val="0030269C"/>
    <w:rsid w:val="003041CB"/>
    <w:rsid w:val="003071EB"/>
    <w:rsid w:val="00307D9E"/>
    <w:rsid w:val="00310C3D"/>
    <w:rsid w:val="00312513"/>
    <w:rsid w:val="00313B49"/>
    <w:rsid w:val="00313E7A"/>
    <w:rsid w:val="00313FDE"/>
    <w:rsid w:val="003142CB"/>
    <w:rsid w:val="00314A63"/>
    <w:rsid w:val="00314C0B"/>
    <w:rsid w:val="00315A2B"/>
    <w:rsid w:val="00315D3E"/>
    <w:rsid w:val="00317786"/>
    <w:rsid w:val="00323ED9"/>
    <w:rsid w:val="00323FCA"/>
    <w:rsid w:val="00324B21"/>
    <w:rsid w:val="00324B64"/>
    <w:rsid w:val="00325035"/>
    <w:rsid w:val="00325342"/>
    <w:rsid w:val="00327428"/>
    <w:rsid w:val="00331135"/>
    <w:rsid w:val="0033127C"/>
    <w:rsid w:val="00331853"/>
    <w:rsid w:val="00331FB1"/>
    <w:rsid w:val="00332CDA"/>
    <w:rsid w:val="00333F77"/>
    <w:rsid w:val="003354D3"/>
    <w:rsid w:val="003401D3"/>
    <w:rsid w:val="00340E7D"/>
    <w:rsid w:val="00344D28"/>
    <w:rsid w:val="003452C6"/>
    <w:rsid w:val="003459FB"/>
    <w:rsid w:val="003467E5"/>
    <w:rsid w:val="00347FC5"/>
    <w:rsid w:val="003521F1"/>
    <w:rsid w:val="00352A02"/>
    <w:rsid w:val="00353336"/>
    <w:rsid w:val="0035372E"/>
    <w:rsid w:val="0035439B"/>
    <w:rsid w:val="00355859"/>
    <w:rsid w:val="00355DF8"/>
    <w:rsid w:val="00361297"/>
    <w:rsid w:val="00361C3A"/>
    <w:rsid w:val="00362550"/>
    <w:rsid w:val="00362B7F"/>
    <w:rsid w:val="00362DA9"/>
    <w:rsid w:val="00363862"/>
    <w:rsid w:val="0036443E"/>
    <w:rsid w:val="0036564A"/>
    <w:rsid w:val="003660DE"/>
    <w:rsid w:val="00366F9C"/>
    <w:rsid w:val="003671FF"/>
    <w:rsid w:val="00367724"/>
    <w:rsid w:val="00367935"/>
    <w:rsid w:val="00367C22"/>
    <w:rsid w:val="00370D23"/>
    <w:rsid w:val="00371D8E"/>
    <w:rsid w:val="0037261F"/>
    <w:rsid w:val="00372D03"/>
    <w:rsid w:val="00374490"/>
    <w:rsid w:val="00374EC3"/>
    <w:rsid w:val="003757D1"/>
    <w:rsid w:val="00375E48"/>
    <w:rsid w:val="00376D52"/>
    <w:rsid w:val="00376D60"/>
    <w:rsid w:val="00377763"/>
    <w:rsid w:val="00380601"/>
    <w:rsid w:val="00380CB5"/>
    <w:rsid w:val="00382C5E"/>
    <w:rsid w:val="003874BE"/>
    <w:rsid w:val="003908A0"/>
    <w:rsid w:val="003940A8"/>
    <w:rsid w:val="0039479A"/>
    <w:rsid w:val="00394843"/>
    <w:rsid w:val="00394E19"/>
    <w:rsid w:val="00396601"/>
    <w:rsid w:val="00396630"/>
    <w:rsid w:val="003A0A7B"/>
    <w:rsid w:val="003A1B33"/>
    <w:rsid w:val="003A2509"/>
    <w:rsid w:val="003A4D18"/>
    <w:rsid w:val="003A6406"/>
    <w:rsid w:val="003A64E4"/>
    <w:rsid w:val="003A6FBF"/>
    <w:rsid w:val="003A7210"/>
    <w:rsid w:val="003B135F"/>
    <w:rsid w:val="003B2FC7"/>
    <w:rsid w:val="003B7BB1"/>
    <w:rsid w:val="003C3E2D"/>
    <w:rsid w:val="003C6EF5"/>
    <w:rsid w:val="003C771B"/>
    <w:rsid w:val="003D1343"/>
    <w:rsid w:val="003D14F1"/>
    <w:rsid w:val="003D2799"/>
    <w:rsid w:val="003D2C43"/>
    <w:rsid w:val="003E0693"/>
    <w:rsid w:val="003E1475"/>
    <w:rsid w:val="003E14C4"/>
    <w:rsid w:val="003E187B"/>
    <w:rsid w:val="003E1DD7"/>
    <w:rsid w:val="003E1F92"/>
    <w:rsid w:val="003E205F"/>
    <w:rsid w:val="003E2FD6"/>
    <w:rsid w:val="003E525D"/>
    <w:rsid w:val="003E5A94"/>
    <w:rsid w:val="003E5BA3"/>
    <w:rsid w:val="003E5D63"/>
    <w:rsid w:val="003E5E6B"/>
    <w:rsid w:val="003E6CC0"/>
    <w:rsid w:val="003E6F1A"/>
    <w:rsid w:val="003F2632"/>
    <w:rsid w:val="003F4336"/>
    <w:rsid w:val="003F59EA"/>
    <w:rsid w:val="003F5EF5"/>
    <w:rsid w:val="003F6F65"/>
    <w:rsid w:val="00401026"/>
    <w:rsid w:val="00403B19"/>
    <w:rsid w:val="0040467F"/>
    <w:rsid w:val="004047EB"/>
    <w:rsid w:val="00405E33"/>
    <w:rsid w:val="0040764C"/>
    <w:rsid w:val="004104A4"/>
    <w:rsid w:val="00410F2C"/>
    <w:rsid w:val="00411253"/>
    <w:rsid w:val="00411716"/>
    <w:rsid w:val="00411C1A"/>
    <w:rsid w:val="004147E0"/>
    <w:rsid w:val="00414D9A"/>
    <w:rsid w:val="00415110"/>
    <w:rsid w:val="00415272"/>
    <w:rsid w:val="0041602A"/>
    <w:rsid w:val="00416D1C"/>
    <w:rsid w:val="00420A00"/>
    <w:rsid w:val="00421A11"/>
    <w:rsid w:val="004227C0"/>
    <w:rsid w:val="00422952"/>
    <w:rsid w:val="004231AA"/>
    <w:rsid w:val="00423729"/>
    <w:rsid w:val="00427D83"/>
    <w:rsid w:val="0043017E"/>
    <w:rsid w:val="00434C15"/>
    <w:rsid w:val="0043660B"/>
    <w:rsid w:val="00437F4C"/>
    <w:rsid w:val="00440470"/>
    <w:rsid w:val="0044118D"/>
    <w:rsid w:val="004411B3"/>
    <w:rsid w:val="004419A8"/>
    <w:rsid w:val="00442883"/>
    <w:rsid w:val="00443CBF"/>
    <w:rsid w:val="004460D5"/>
    <w:rsid w:val="004521F0"/>
    <w:rsid w:val="00454EA3"/>
    <w:rsid w:val="004553E6"/>
    <w:rsid w:val="004562C4"/>
    <w:rsid w:val="00456D00"/>
    <w:rsid w:val="00460385"/>
    <w:rsid w:val="0046161C"/>
    <w:rsid w:val="00464AF0"/>
    <w:rsid w:val="00464FD4"/>
    <w:rsid w:val="0047008B"/>
    <w:rsid w:val="0047182B"/>
    <w:rsid w:val="00471AE0"/>
    <w:rsid w:val="0047454D"/>
    <w:rsid w:val="004802BF"/>
    <w:rsid w:val="0048057D"/>
    <w:rsid w:val="0048121D"/>
    <w:rsid w:val="004812DD"/>
    <w:rsid w:val="00487BCE"/>
    <w:rsid w:val="00490EC3"/>
    <w:rsid w:val="00492561"/>
    <w:rsid w:val="00492DDD"/>
    <w:rsid w:val="00493BFB"/>
    <w:rsid w:val="00494646"/>
    <w:rsid w:val="004947F1"/>
    <w:rsid w:val="004964A0"/>
    <w:rsid w:val="004A0EC9"/>
    <w:rsid w:val="004A27DE"/>
    <w:rsid w:val="004A2980"/>
    <w:rsid w:val="004A2D61"/>
    <w:rsid w:val="004A45DC"/>
    <w:rsid w:val="004A53C9"/>
    <w:rsid w:val="004A56C4"/>
    <w:rsid w:val="004A662B"/>
    <w:rsid w:val="004A73F4"/>
    <w:rsid w:val="004A794C"/>
    <w:rsid w:val="004B3D23"/>
    <w:rsid w:val="004B4294"/>
    <w:rsid w:val="004B45DA"/>
    <w:rsid w:val="004B51C2"/>
    <w:rsid w:val="004B60DE"/>
    <w:rsid w:val="004B7A5B"/>
    <w:rsid w:val="004C0FAA"/>
    <w:rsid w:val="004C4E84"/>
    <w:rsid w:val="004C51F8"/>
    <w:rsid w:val="004C5327"/>
    <w:rsid w:val="004C5D60"/>
    <w:rsid w:val="004C7EED"/>
    <w:rsid w:val="004D04E7"/>
    <w:rsid w:val="004D0B50"/>
    <w:rsid w:val="004D0C71"/>
    <w:rsid w:val="004D58E5"/>
    <w:rsid w:val="004D77A5"/>
    <w:rsid w:val="004D7828"/>
    <w:rsid w:val="004E213E"/>
    <w:rsid w:val="004E2F35"/>
    <w:rsid w:val="004E4FC9"/>
    <w:rsid w:val="004E528C"/>
    <w:rsid w:val="004F14D4"/>
    <w:rsid w:val="004F1E45"/>
    <w:rsid w:val="004F322B"/>
    <w:rsid w:val="004F3D7C"/>
    <w:rsid w:val="004F517A"/>
    <w:rsid w:val="00500F20"/>
    <w:rsid w:val="005014A6"/>
    <w:rsid w:val="00501F04"/>
    <w:rsid w:val="00502923"/>
    <w:rsid w:val="005033B6"/>
    <w:rsid w:val="00504C16"/>
    <w:rsid w:val="00504F6A"/>
    <w:rsid w:val="005052D1"/>
    <w:rsid w:val="00505995"/>
    <w:rsid w:val="00505A1B"/>
    <w:rsid w:val="0050636A"/>
    <w:rsid w:val="005075C7"/>
    <w:rsid w:val="00507C41"/>
    <w:rsid w:val="00507F41"/>
    <w:rsid w:val="00510F3F"/>
    <w:rsid w:val="00511583"/>
    <w:rsid w:val="00514882"/>
    <w:rsid w:val="00514C5D"/>
    <w:rsid w:val="00515766"/>
    <w:rsid w:val="005162D1"/>
    <w:rsid w:val="0051737B"/>
    <w:rsid w:val="00520D41"/>
    <w:rsid w:val="00521524"/>
    <w:rsid w:val="00521865"/>
    <w:rsid w:val="005232E9"/>
    <w:rsid w:val="00524CF2"/>
    <w:rsid w:val="005268B4"/>
    <w:rsid w:val="00527D25"/>
    <w:rsid w:val="005300C2"/>
    <w:rsid w:val="00530335"/>
    <w:rsid w:val="0053035C"/>
    <w:rsid w:val="005322EC"/>
    <w:rsid w:val="005340DA"/>
    <w:rsid w:val="00534F80"/>
    <w:rsid w:val="005367AD"/>
    <w:rsid w:val="00536882"/>
    <w:rsid w:val="00536CDE"/>
    <w:rsid w:val="0054085A"/>
    <w:rsid w:val="00541338"/>
    <w:rsid w:val="00541FC6"/>
    <w:rsid w:val="005435DB"/>
    <w:rsid w:val="005455A2"/>
    <w:rsid w:val="005531EF"/>
    <w:rsid w:val="005543C4"/>
    <w:rsid w:val="00555BDB"/>
    <w:rsid w:val="00556AC4"/>
    <w:rsid w:val="00556F63"/>
    <w:rsid w:val="00557F83"/>
    <w:rsid w:val="00560354"/>
    <w:rsid w:val="0056270E"/>
    <w:rsid w:val="0056442C"/>
    <w:rsid w:val="00564511"/>
    <w:rsid w:val="00564A7C"/>
    <w:rsid w:val="005669D2"/>
    <w:rsid w:val="00566FF7"/>
    <w:rsid w:val="00567315"/>
    <w:rsid w:val="00570888"/>
    <w:rsid w:val="0057101B"/>
    <w:rsid w:val="005740F5"/>
    <w:rsid w:val="00574FC4"/>
    <w:rsid w:val="00574FFD"/>
    <w:rsid w:val="0057728C"/>
    <w:rsid w:val="00582306"/>
    <w:rsid w:val="00585C93"/>
    <w:rsid w:val="005860D6"/>
    <w:rsid w:val="00587420"/>
    <w:rsid w:val="0059267A"/>
    <w:rsid w:val="00592C7C"/>
    <w:rsid w:val="00592E2D"/>
    <w:rsid w:val="00592EB9"/>
    <w:rsid w:val="00595C6E"/>
    <w:rsid w:val="0059620F"/>
    <w:rsid w:val="00596CC5"/>
    <w:rsid w:val="005A0AB7"/>
    <w:rsid w:val="005A0C23"/>
    <w:rsid w:val="005A25E6"/>
    <w:rsid w:val="005A44C5"/>
    <w:rsid w:val="005A45A3"/>
    <w:rsid w:val="005A516C"/>
    <w:rsid w:val="005A68F2"/>
    <w:rsid w:val="005A6A20"/>
    <w:rsid w:val="005B05F6"/>
    <w:rsid w:val="005B165E"/>
    <w:rsid w:val="005B1A20"/>
    <w:rsid w:val="005B20B3"/>
    <w:rsid w:val="005B31DC"/>
    <w:rsid w:val="005B3CD0"/>
    <w:rsid w:val="005B5196"/>
    <w:rsid w:val="005B579F"/>
    <w:rsid w:val="005B67F5"/>
    <w:rsid w:val="005B6DEE"/>
    <w:rsid w:val="005B702A"/>
    <w:rsid w:val="005B7927"/>
    <w:rsid w:val="005C17B0"/>
    <w:rsid w:val="005C1E6A"/>
    <w:rsid w:val="005C2ACC"/>
    <w:rsid w:val="005C3257"/>
    <w:rsid w:val="005C55FA"/>
    <w:rsid w:val="005C6243"/>
    <w:rsid w:val="005D117F"/>
    <w:rsid w:val="005D3A78"/>
    <w:rsid w:val="005D461C"/>
    <w:rsid w:val="005D4794"/>
    <w:rsid w:val="005D5091"/>
    <w:rsid w:val="005D724A"/>
    <w:rsid w:val="005D763D"/>
    <w:rsid w:val="005D7B1E"/>
    <w:rsid w:val="005E13BD"/>
    <w:rsid w:val="005E26A1"/>
    <w:rsid w:val="005E2862"/>
    <w:rsid w:val="005E2EEA"/>
    <w:rsid w:val="005E4065"/>
    <w:rsid w:val="005E4240"/>
    <w:rsid w:val="005E4F3C"/>
    <w:rsid w:val="005E56AF"/>
    <w:rsid w:val="005E6435"/>
    <w:rsid w:val="005F0DD5"/>
    <w:rsid w:val="005F18A5"/>
    <w:rsid w:val="005F6909"/>
    <w:rsid w:val="005F6F85"/>
    <w:rsid w:val="005F7A94"/>
    <w:rsid w:val="005F7E56"/>
    <w:rsid w:val="00600041"/>
    <w:rsid w:val="00601F1A"/>
    <w:rsid w:val="006039D3"/>
    <w:rsid w:val="00607826"/>
    <w:rsid w:val="006106DB"/>
    <w:rsid w:val="00610A58"/>
    <w:rsid w:val="00611812"/>
    <w:rsid w:val="00611B1D"/>
    <w:rsid w:val="00612BF0"/>
    <w:rsid w:val="00612EDD"/>
    <w:rsid w:val="00614232"/>
    <w:rsid w:val="00614426"/>
    <w:rsid w:val="00615407"/>
    <w:rsid w:val="006203E7"/>
    <w:rsid w:val="006224A3"/>
    <w:rsid w:val="00622DAB"/>
    <w:rsid w:val="00623A54"/>
    <w:rsid w:val="00624C61"/>
    <w:rsid w:val="00624D78"/>
    <w:rsid w:val="00625012"/>
    <w:rsid w:val="00625F49"/>
    <w:rsid w:val="0062697D"/>
    <w:rsid w:val="00626B0B"/>
    <w:rsid w:val="0062760E"/>
    <w:rsid w:val="0062794C"/>
    <w:rsid w:val="00630F9C"/>
    <w:rsid w:val="006349A4"/>
    <w:rsid w:val="006358DF"/>
    <w:rsid w:val="00635D23"/>
    <w:rsid w:val="00637746"/>
    <w:rsid w:val="00640A36"/>
    <w:rsid w:val="00642E76"/>
    <w:rsid w:val="00646B51"/>
    <w:rsid w:val="00650058"/>
    <w:rsid w:val="00650F7D"/>
    <w:rsid w:val="0065105C"/>
    <w:rsid w:val="006528A6"/>
    <w:rsid w:val="0065340A"/>
    <w:rsid w:val="0065341F"/>
    <w:rsid w:val="00654B92"/>
    <w:rsid w:val="006569E4"/>
    <w:rsid w:val="00660F43"/>
    <w:rsid w:val="00661158"/>
    <w:rsid w:val="00661AB9"/>
    <w:rsid w:val="00662DBD"/>
    <w:rsid w:val="00663130"/>
    <w:rsid w:val="00663FA3"/>
    <w:rsid w:val="006652E2"/>
    <w:rsid w:val="00666DDB"/>
    <w:rsid w:val="00666E12"/>
    <w:rsid w:val="00667319"/>
    <w:rsid w:val="0066796D"/>
    <w:rsid w:val="0067011F"/>
    <w:rsid w:val="00671086"/>
    <w:rsid w:val="00671A8B"/>
    <w:rsid w:val="00671BE8"/>
    <w:rsid w:val="00672413"/>
    <w:rsid w:val="00672B8A"/>
    <w:rsid w:val="00675872"/>
    <w:rsid w:val="00676649"/>
    <w:rsid w:val="0068153C"/>
    <w:rsid w:val="00681A84"/>
    <w:rsid w:val="006856B2"/>
    <w:rsid w:val="00685F9B"/>
    <w:rsid w:val="006905E0"/>
    <w:rsid w:val="0069363C"/>
    <w:rsid w:val="00693B29"/>
    <w:rsid w:val="00693D5A"/>
    <w:rsid w:val="00694B4E"/>
    <w:rsid w:val="006A03AA"/>
    <w:rsid w:val="006A0C3F"/>
    <w:rsid w:val="006A1DD5"/>
    <w:rsid w:val="006A27D4"/>
    <w:rsid w:val="006A2AE9"/>
    <w:rsid w:val="006A35D6"/>
    <w:rsid w:val="006A4D24"/>
    <w:rsid w:val="006A68B7"/>
    <w:rsid w:val="006A6ACC"/>
    <w:rsid w:val="006A6D86"/>
    <w:rsid w:val="006A6FFA"/>
    <w:rsid w:val="006B188E"/>
    <w:rsid w:val="006B2E86"/>
    <w:rsid w:val="006B2EFF"/>
    <w:rsid w:val="006B3F1B"/>
    <w:rsid w:val="006B442A"/>
    <w:rsid w:val="006B6BD5"/>
    <w:rsid w:val="006B6FF4"/>
    <w:rsid w:val="006B72CB"/>
    <w:rsid w:val="006B78F5"/>
    <w:rsid w:val="006B7B5D"/>
    <w:rsid w:val="006C0147"/>
    <w:rsid w:val="006C20AF"/>
    <w:rsid w:val="006C314A"/>
    <w:rsid w:val="006C3AE3"/>
    <w:rsid w:val="006C3B47"/>
    <w:rsid w:val="006C48C7"/>
    <w:rsid w:val="006C5824"/>
    <w:rsid w:val="006C5A80"/>
    <w:rsid w:val="006C6BBD"/>
    <w:rsid w:val="006D0A78"/>
    <w:rsid w:val="006D0B95"/>
    <w:rsid w:val="006D3645"/>
    <w:rsid w:val="006D3E89"/>
    <w:rsid w:val="006D483B"/>
    <w:rsid w:val="006D51AB"/>
    <w:rsid w:val="006D5746"/>
    <w:rsid w:val="006D616C"/>
    <w:rsid w:val="006D6AB6"/>
    <w:rsid w:val="006D6F6A"/>
    <w:rsid w:val="006E1114"/>
    <w:rsid w:val="006E3B58"/>
    <w:rsid w:val="006E40DB"/>
    <w:rsid w:val="006E44C2"/>
    <w:rsid w:val="006E4BB8"/>
    <w:rsid w:val="006E7345"/>
    <w:rsid w:val="006F0786"/>
    <w:rsid w:val="006F0D9F"/>
    <w:rsid w:val="006F152E"/>
    <w:rsid w:val="006F1AA1"/>
    <w:rsid w:val="006F2227"/>
    <w:rsid w:val="006F318F"/>
    <w:rsid w:val="006F3614"/>
    <w:rsid w:val="006F3679"/>
    <w:rsid w:val="006F3971"/>
    <w:rsid w:val="006F3AD9"/>
    <w:rsid w:val="006F4D9F"/>
    <w:rsid w:val="006F53F5"/>
    <w:rsid w:val="006F6110"/>
    <w:rsid w:val="006F7691"/>
    <w:rsid w:val="00701657"/>
    <w:rsid w:val="00703C80"/>
    <w:rsid w:val="00703DA5"/>
    <w:rsid w:val="00706FBC"/>
    <w:rsid w:val="00710E55"/>
    <w:rsid w:val="00712119"/>
    <w:rsid w:val="007121A3"/>
    <w:rsid w:val="00712A30"/>
    <w:rsid w:val="0071318C"/>
    <w:rsid w:val="00713DF5"/>
    <w:rsid w:val="00714D22"/>
    <w:rsid w:val="007153C4"/>
    <w:rsid w:val="007153DF"/>
    <w:rsid w:val="0071685A"/>
    <w:rsid w:val="00720F8A"/>
    <w:rsid w:val="00721ADF"/>
    <w:rsid w:val="00724153"/>
    <w:rsid w:val="00724C4D"/>
    <w:rsid w:val="00725383"/>
    <w:rsid w:val="00726635"/>
    <w:rsid w:val="0072687A"/>
    <w:rsid w:val="00727CC1"/>
    <w:rsid w:val="00730C91"/>
    <w:rsid w:val="00730D3B"/>
    <w:rsid w:val="00731150"/>
    <w:rsid w:val="00734E05"/>
    <w:rsid w:val="00736BCE"/>
    <w:rsid w:val="00742791"/>
    <w:rsid w:val="00743A16"/>
    <w:rsid w:val="00743EAD"/>
    <w:rsid w:val="00744351"/>
    <w:rsid w:val="00744C9B"/>
    <w:rsid w:val="007452B5"/>
    <w:rsid w:val="007455C9"/>
    <w:rsid w:val="00746527"/>
    <w:rsid w:val="0074747A"/>
    <w:rsid w:val="00747ECC"/>
    <w:rsid w:val="00751D04"/>
    <w:rsid w:val="00752292"/>
    <w:rsid w:val="00754572"/>
    <w:rsid w:val="00755100"/>
    <w:rsid w:val="00755C7C"/>
    <w:rsid w:val="00755F86"/>
    <w:rsid w:val="00756A08"/>
    <w:rsid w:val="00756A4C"/>
    <w:rsid w:val="00756A84"/>
    <w:rsid w:val="0075708B"/>
    <w:rsid w:val="0075732F"/>
    <w:rsid w:val="00757572"/>
    <w:rsid w:val="007575F1"/>
    <w:rsid w:val="0075781A"/>
    <w:rsid w:val="00760A64"/>
    <w:rsid w:val="00760DFC"/>
    <w:rsid w:val="007615E3"/>
    <w:rsid w:val="00761ADB"/>
    <w:rsid w:val="007628C9"/>
    <w:rsid w:val="007637B4"/>
    <w:rsid w:val="00764D0B"/>
    <w:rsid w:val="0076567B"/>
    <w:rsid w:val="007662F8"/>
    <w:rsid w:val="00766F5C"/>
    <w:rsid w:val="00770E23"/>
    <w:rsid w:val="007715FE"/>
    <w:rsid w:val="00773444"/>
    <w:rsid w:val="00776713"/>
    <w:rsid w:val="00776F59"/>
    <w:rsid w:val="0077740F"/>
    <w:rsid w:val="00781085"/>
    <w:rsid w:val="00782482"/>
    <w:rsid w:val="00782AE7"/>
    <w:rsid w:val="00784692"/>
    <w:rsid w:val="007914FA"/>
    <w:rsid w:val="007918A4"/>
    <w:rsid w:val="007952FF"/>
    <w:rsid w:val="0079653D"/>
    <w:rsid w:val="00797B6C"/>
    <w:rsid w:val="007A10FB"/>
    <w:rsid w:val="007A1479"/>
    <w:rsid w:val="007A202C"/>
    <w:rsid w:val="007A25E0"/>
    <w:rsid w:val="007A2791"/>
    <w:rsid w:val="007A4D2A"/>
    <w:rsid w:val="007A4EA4"/>
    <w:rsid w:val="007A5063"/>
    <w:rsid w:val="007A54AB"/>
    <w:rsid w:val="007A66F2"/>
    <w:rsid w:val="007A69C2"/>
    <w:rsid w:val="007A70F5"/>
    <w:rsid w:val="007A78D8"/>
    <w:rsid w:val="007A7B4D"/>
    <w:rsid w:val="007B009A"/>
    <w:rsid w:val="007B1175"/>
    <w:rsid w:val="007B3E58"/>
    <w:rsid w:val="007B4004"/>
    <w:rsid w:val="007B4AFE"/>
    <w:rsid w:val="007B5BF4"/>
    <w:rsid w:val="007B624A"/>
    <w:rsid w:val="007C2563"/>
    <w:rsid w:val="007C3948"/>
    <w:rsid w:val="007C3EB2"/>
    <w:rsid w:val="007C420A"/>
    <w:rsid w:val="007C4692"/>
    <w:rsid w:val="007C4731"/>
    <w:rsid w:val="007C60CA"/>
    <w:rsid w:val="007C7082"/>
    <w:rsid w:val="007C708B"/>
    <w:rsid w:val="007C7335"/>
    <w:rsid w:val="007C7C60"/>
    <w:rsid w:val="007D0439"/>
    <w:rsid w:val="007D15CE"/>
    <w:rsid w:val="007D28F6"/>
    <w:rsid w:val="007D400F"/>
    <w:rsid w:val="007D582E"/>
    <w:rsid w:val="007D59E1"/>
    <w:rsid w:val="007E2A62"/>
    <w:rsid w:val="007E2B3C"/>
    <w:rsid w:val="007E406B"/>
    <w:rsid w:val="007E42E0"/>
    <w:rsid w:val="007E45C8"/>
    <w:rsid w:val="007E4782"/>
    <w:rsid w:val="007E48F7"/>
    <w:rsid w:val="007E613D"/>
    <w:rsid w:val="007E7D73"/>
    <w:rsid w:val="007F1F26"/>
    <w:rsid w:val="007F27BC"/>
    <w:rsid w:val="007F28FE"/>
    <w:rsid w:val="007F3FB0"/>
    <w:rsid w:val="007F4B54"/>
    <w:rsid w:val="007F52FF"/>
    <w:rsid w:val="007F7810"/>
    <w:rsid w:val="00800079"/>
    <w:rsid w:val="0080068E"/>
    <w:rsid w:val="00800DA8"/>
    <w:rsid w:val="00801745"/>
    <w:rsid w:val="0080557C"/>
    <w:rsid w:val="00805840"/>
    <w:rsid w:val="0080709C"/>
    <w:rsid w:val="00807E09"/>
    <w:rsid w:val="0081021D"/>
    <w:rsid w:val="00811FC9"/>
    <w:rsid w:val="008125EF"/>
    <w:rsid w:val="0081290A"/>
    <w:rsid w:val="00812DF7"/>
    <w:rsid w:val="0081332D"/>
    <w:rsid w:val="00813715"/>
    <w:rsid w:val="0081453A"/>
    <w:rsid w:val="00814DAC"/>
    <w:rsid w:val="0081637B"/>
    <w:rsid w:val="008171B8"/>
    <w:rsid w:val="0082105F"/>
    <w:rsid w:val="00821624"/>
    <w:rsid w:val="008259E9"/>
    <w:rsid w:val="00825DE3"/>
    <w:rsid w:val="00826015"/>
    <w:rsid w:val="00826ABC"/>
    <w:rsid w:val="00827420"/>
    <w:rsid w:val="008276D7"/>
    <w:rsid w:val="00830016"/>
    <w:rsid w:val="008314ED"/>
    <w:rsid w:val="00833688"/>
    <w:rsid w:val="008352FC"/>
    <w:rsid w:val="00835876"/>
    <w:rsid w:val="00836BB4"/>
    <w:rsid w:val="00836C54"/>
    <w:rsid w:val="00837D6F"/>
    <w:rsid w:val="00841487"/>
    <w:rsid w:val="00841C9C"/>
    <w:rsid w:val="00844CF9"/>
    <w:rsid w:val="00846037"/>
    <w:rsid w:val="00846743"/>
    <w:rsid w:val="0084741D"/>
    <w:rsid w:val="00847A47"/>
    <w:rsid w:val="00850279"/>
    <w:rsid w:val="008503B6"/>
    <w:rsid w:val="0085215C"/>
    <w:rsid w:val="00852AF1"/>
    <w:rsid w:val="00852BB5"/>
    <w:rsid w:val="00852EE0"/>
    <w:rsid w:val="00853354"/>
    <w:rsid w:val="00854D35"/>
    <w:rsid w:val="008553AC"/>
    <w:rsid w:val="008556B7"/>
    <w:rsid w:val="0085698C"/>
    <w:rsid w:val="00857E32"/>
    <w:rsid w:val="00860525"/>
    <w:rsid w:val="00861C69"/>
    <w:rsid w:val="00861E63"/>
    <w:rsid w:val="008625CD"/>
    <w:rsid w:val="008627E4"/>
    <w:rsid w:val="00862F49"/>
    <w:rsid w:val="00863295"/>
    <w:rsid w:val="00865601"/>
    <w:rsid w:val="00867A5A"/>
    <w:rsid w:val="008718FE"/>
    <w:rsid w:val="00872C1A"/>
    <w:rsid w:val="0087447A"/>
    <w:rsid w:val="00874D2D"/>
    <w:rsid w:val="00876B26"/>
    <w:rsid w:val="00877BA3"/>
    <w:rsid w:val="0088188B"/>
    <w:rsid w:val="008841AB"/>
    <w:rsid w:val="0088530E"/>
    <w:rsid w:val="0088644B"/>
    <w:rsid w:val="00887204"/>
    <w:rsid w:val="008907DD"/>
    <w:rsid w:val="00892779"/>
    <w:rsid w:val="0089322E"/>
    <w:rsid w:val="00895AFB"/>
    <w:rsid w:val="008A1580"/>
    <w:rsid w:val="008A1DCB"/>
    <w:rsid w:val="008A21B6"/>
    <w:rsid w:val="008A35A7"/>
    <w:rsid w:val="008A372C"/>
    <w:rsid w:val="008A685B"/>
    <w:rsid w:val="008A6C6F"/>
    <w:rsid w:val="008B1E13"/>
    <w:rsid w:val="008B240B"/>
    <w:rsid w:val="008B2AAA"/>
    <w:rsid w:val="008B5566"/>
    <w:rsid w:val="008B6E0C"/>
    <w:rsid w:val="008B6F7C"/>
    <w:rsid w:val="008C0036"/>
    <w:rsid w:val="008C28A8"/>
    <w:rsid w:val="008C44ED"/>
    <w:rsid w:val="008D1876"/>
    <w:rsid w:val="008D2CA2"/>
    <w:rsid w:val="008D50DA"/>
    <w:rsid w:val="008E126C"/>
    <w:rsid w:val="008E1AD8"/>
    <w:rsid w:val="008E225E"/>
    <w:rsid w:val="008E23F3"/>
    <w:rsid w:val="008E2F8C"/>
    <w:rsid w:val="008E3944"/>
    <w:rsid w:val="008E57BF"/>
    <w:rsid w:val="008E58AC"/>
    <w:rsid w:val="008E6C96"/>
    <w:rsid w:val="008E7015"/>
    <w:rsid w:val="008E7370"/>
    <w:rsid w:val="008F2871"/>
    <w:rsid w:val="008F3FFD"/>
    <w:rsid w:val="008F4DEF"/>
    <w:rsid w:val="008F5905"/>
    <w:rsid w:val="008F5A6A"/>
    <w:rsid w:val="008F6119"/>
    <w:rsid w:val="008F626F"/>
    <w:rsid w:val="00900589"/>
    <w:rsid w:val="00901182"/>
    <w:rsid w:val="00901D93"/>
    <w:rsid w:val="00904ACE"/>
    <w:rsid w:val="00905EAC"/>
    <w:rsid w:val="00906D8C"/>
    <w:rsid w:val="00907091"/>
    <w:rsid w:val="00907EAC"/>
    <w:rsid w:val="00911EAA"/>
    <w:rsid w:val="00914F48"/>
    <w:rsid w:val="00915744"/>
    <w:rsid w:val="009163BE"/>
    <w:rsid w:val="00921C92"/>
    <w:rsid w:val="00921D9D"/>
    <w:rsid w:val="00924B96"/>
    <w:rsid w:val="00926327"/>
    <w:rsid w:val="00926912"/>
    <w:rsid w:val="009269A9"/>
    <w:rsid w:val="009313D2"/>
    <w:rsid w:val="0093162D"/>
    <w:rsid w:val="00933E16"/>
    <w:rsid w:val="009350E0"/>
    <w:rsid w:val="0093557A"/>
    <w:rsid w:val="00935B7E"/>
    <w:rsid w:val="009371E4"/>
    <w:rsid w:val="00937B26"/>
    <w:rsid w:val="009422B0"/>
    <w:rsid w:val="009452F7"/>
    <w:rsid w:val="00945B1D"/>
    <w:rsid w:val="009477ED"/>
    <w:rsid w:val="00952855"/>
    <w:rsid w:val="009528A7"/>
    <w:rsid w:val="0095424B"/>
    <w:rsid w:val="00954B7A"/>
    <w:rsid w:val="00954D97"/>
    <w:rsid w:val="0095686F"/>
    <w:rsid w:val="009568F6"/>
    <w:rsid w:val="0095693D"/>
    <w:rsid w:val="009572D0"/>
    <w:rsid w:val="00961121"/>
    <w:rsid w:val="0096448C"/>
    <w:rsid w:val="00964A46"/>
    <w:rsid w:val="009658A9"/>
    <w:rsid w:val="009658F3"/>
    <w:rsid w:val="00965F3B"/>
    <w:rsid w:val="00971A99"/>
    <w:rsid w:val="00972007"/>
    <w:rsid w:val="00976994"/>
    <w:rsid w:val="00977DF3"/>
    <w:rsid w:val="00980623"/>
    <w:rsid w:val="00981769"/>
    <w:rsid w:val="009836DB"/>
    <w:rsid w:val="00983A6C"/>
    <w:rsid w:val="00984690"/>
    <w:rsid w:val="00984964"/>
    <w:rsid w:val="00984D6F"/>
    <w:rsid w:val="0098505F"/>
    <w:rsid w:val="0098685E"/>
    <w:rsid w:val="00987207"/>
    <w:rsid w:val="00987794"/>
    <w:rsid w:val="009904BD"/>
    <w:rsid w:val="00990956"/>
    <w:rsid w:val="00991CC1"/>
    <w:rsid w:val="00994A07"/>
    <w:rsid w:val="00994DAC"/>
    <w:rsid w:val="00994F89"/>
    <w:rsid w:val="009960E9"/>
    <w:rsid w:val="0099715B"/>
    <w:rsid w:val="00997C5D"/>
    <w:rsid w:val="00997CFB"/>
    <w:rsid w:val="009A03BF"/>
    <w:rsid w:val="009A0B29"/>
    <w:rsid w:val="009A30EC"/>
    <w:rsid w:val="009A3D9E"/>
    <w:rsid w:val="009A5196"/>
    <w:rsid w:val="009A52A2"/>
    <w:rsid w:val="009A5AA2"/>
    <w:rsid w:val="009A62AB"/>
    <w:rsid w:val="009A7947"/>
    <w:rsid w:val="009B006D"/>
    <w:rsid w:val="009B2F06"/>
    <w:rsid w:val="009B33BF"/>
    <w:rsid w:val="009B3F23"/>
    <w:rsid w:val="009B3FD7"/>
    <w:rsid w:val="009B5C43"/>
    <w:rsid w:val="009B7928"/>
    <w:rsid w:val="009C179D"/>
    <w:rsid w:val="009C3CEA"/>
    <w:rsid w:val="009C408B"/>
    <w:rsid w:val="009C4561"/>
    <w:rsid w:val="009C4CF0"/>
    <w:rsid w:val="009C59A0"/>
    <w:rsid w:val="009C6C37"/>
    <w:rsid w:val="009C70CD"/>
    <w:rsid w:val="009C7D23"/>
    <w:rsid w:val="009C7D27"/>
    <w:rsid w:val="009D149E"/>
    <w:rsid w:val="009D18DF"/>
    <w:rsid w:val="009D1A58"/>
    <w:rsid w:val="009D3AE2"/>
    <w:rsid w:val="009D4D89"/>
    <w:rsid w:val="009D62E6"/>
    <w:rsid w:val="009D6607"/>
    <w:rsid w:val="009D6D24"/>
    <w:rsid w:val="009D72FF"/>
    <w:rsid w:val="009D7559"/>
    <w:rsid w:val="009D7804"/>
    <w:rsid w:val="009E0C11"/>
    <w:rsid w:val="009E191F"/>
    <w:rsid w:val="009E200E"/>
    <w:rsid w:val="009E2B54"/>
    <w:rsid w:val="009E333D"/>
    <w:rsid w:val="009E72CB"/>
    <w:rsid w:val="009F0A0A"/>
    <w:rsid w:val="009F2651"/>
    <w:rsid w:val="009F3560"/>
    <w:rsid w:val="009F59DE"/>
    <w:rsid w:val="009F5F5C"/>
    <w:rsid w:val="009F6317"/>
    <w:rsid w:val="009F6630"/>
    <w:rsid w:val="009F7334"/>
    <w:rsid w:val="009F7642"/>
    <w:rsid w:val="009F775A"/>
    <w:rsid w:val="00A0027A"/>
    <w:rsid w:val="00A01613"/>
    <w:rsid w:val="00A026D0"/>
    <w:rsid w:val="00A039F5"/>
    <w:rsid w:val="00A042DA"/>
    <w:rsid w:val="00A04CBE"/>
    <w:rsid w:val="00A05960"/>
    <w:rsid w:val="00A075EE"/>
    <w:rsid w:val="00A07BF7"/>
    <w:rsid w:val="00A122AC"/>
    <w:rsid w:val="00A127CB"/>
    <w:rsid w:val="00A153C1"/>
    <w:rsid w:val="00A17218"/>
    <w:rsid w:val="00A173B8"/>
    <w:rsid w:val="00A201C2"/>
    <w:rsid w:val="00A20D4E"/>
    <w:rsid w:val="00A229EF"/>
    <w:rsid w:val="00A22ADD"/>
    <w:rsid w:val="00A22CF1"/>
    <w:rsid w:val="00A22DC1"/>
    <w:rsid w:val="00A2440A"/>
    <w:rsid w:val="00A250C0"/>
    <w:rsid w:val="00A2546F"/>
    <w:rsid w:val="00A25BE4"/>
    <w:rsid w:val="00A269F7"/>
    <w:rsid w:val="00A26C72"/>
    <w:rsid w:val="00A30338"/>
    <w:rsid w:val="00A33015"/>
    <w:rsid w:val="00A34AAD"/>
    <w:rsid w:val="00A36279"/>
    <w:rsid w:val="00A36566"/>
    <w:rsid w:val="00A40A5A"/>
    <w:rsid w:val="00A41476"/>
    <w:rsid w:val="00A43138"/>
    <w:rsid w:val="00A43FEF"/>
    <w:rsid w:val="00A4464C"/>
    <w:rsid w:val="00A44D8C"/>
    <w:rsid w:val="00A50729"/>
    <w:rsid w:val="00A5329A"/>
    <w:rsid w:val="00A54B0F"/>
    <w:rsid w:val="00A54F0E"/>
    <w:rsid w:val="00A556C7"/>
    <w:rsid w:val="00A56260"/>
    <w:rsid w:val="00A61687"/>
    <w:rsid w:val="00A62860"/>
    <w:rsid w:val="00A62AC8"/>
    <w:rsid w:val="00A62C7B"/>
    <w:rsid w:val="00A62DE3"/>
    <w:rsid w:val="00A65B51"/>
    <w:rsid w:val="00A67119"/>
    <w:rsid w:val="00A6731F"/>
    <w:rsid w:val="00A67705"/>
    <w:rsid w:val="00A67935"/>
    <w:rsid w:val="00A709CA"/>
    <w:rsid w:val="00A717FA"/>
    <w:rsid w:val="00A7513A"/>
    <w:rsid w:val="00A76238"/>
    <w:rsid w:val="00A765E6"/>
    <w:rsid w:val="00A76D6E"/>
    <w:rsid w:val="00A77A73"/>
    <w:rsid w:val="00A84606"/>
    <w:rsid w:val="00A8502D"/>
    <w:rsid w:val="00A85C9D"/>
    <w:rsid w:val="00A8619C"/>
    <w:rsid w:val="00A87A5D"/>
    <w:rsid w:val="00A90A27"/>
    <w:rsid w:val="00A92A3B"/>
    <w:rsid w:val="00A948AB"/>
    <w:rsid w:val="00A94A57"/>
    <w:rsid w:val="00A97732"/>
    <w:rsid w:val="00A97771"/>
    <w:rsid w:val="00A97999"/>
    <w:rsid w:val="00AA0B14"/>
    <w:rsid w:val="00AA14F5"/>
    <w:rsid w:val="00AA2020"/>
    <w:rsid w:val="00AA2744"/>
    <w:rsid w:val="00AA2987"/>
    <w:rsid w:val="00AA5348"/>
    <w:rsid w:val="00AA55BD"/>
    <w:rsid w:val="00AB4606"/>
    <w:rsid w:val="00AB6A72"/>
    <w:rsid w:val="00AC403A"/>
    <w:rsid w:val="00AC4178"/>
    <w:rsid w:val="00AC511C"/>
    <w:rsid w:val="00AC67D3"/>
    <w:rsid w:val="00AD04CC"/>
    <w:rsid w:val="00AD05E0"/>
    <w:rsid w:val="00AD1424"/>
    <w:rsid w:val="00AD192D"/>
    <w:rsid w:val="00AD2799"/>
    <w:rsid w:val="00AD51A5"/>
    <w:rsid w:val="00AD61A0"/>
    <w:rsid w:val="00AE0D8C"/>
    <w:rsid w:val="00AE15E4"/>
    <w:rsid w:val="00AE5B81"/>
    <w:rsid w:val="00AE5D5C"/>
    <w:rsid w:val="00AE601A"/>
    <w:rsid w:val="00AE7B94"/>
    <w:rsid w:val="00AF10E1"/>
    <w:rsid w:val="00AF2F3C"/>
    <w:rsid w:val="00B006B1"/>
    <w:rsid w:val="00B01EF2"/>
    <w:rsid w:val="00B10B4D"/>
    <w:rsid w:val="00B11330"/>
    <w:rsid w:val="00B1173C"/>
    <w:rsid w:val="00B12F7A"/>
    <w:rsid w:val="00B14B24"/>
    <w:rsid w:val="00B17AA6"/>
    <w:rsid w:val="00B17B5F"/>
    <w:rsid w:val="00B212E1"/>
    <w:rsid w:val="00B22F5A"/>
    <w:rsid w:val="00B232A1"/>
    <w:rsid w:val="00B23AD1"/>
    <w:rsid w:val="00B23ED7"/>
    <w:rsid w:val="00B23F51"/>
    <w:rsid w:val="00B246DC"/>
    <w:rsid w:val="00B24B4A"/>
    <w:rsid w:val="00B25C31"/>
    <w:rsid w:val="00B25C3F"/>
    <w:rsid w:val="00B2685E"/>
    <w:rsid w:val="00B31037"/>
    <w:rsid w:val="00B32560"/>
    <w:rsid w:val="00B32D78"/>
    <w:rsid w:val="00B35B66"/>
    <w:rsid w:val="00B3726B"/>
    <w:rsid w:val="00B404D4"/>
    <w:rsid w:val="00B4099D"/>
    <w:rsid w:val="00B40EE5"/>
    <w:rsid w:val="00B44D82"/>
    <w:rsid w:val="00B45341"/>
    <w:rsid w:val="00B46F3D"/>
    <w:rsid w:val="00B50DAD"/>
    <w:rsid w:val="00B52142"/>
    <w:rsid w:val="00B52BCC"/>
    <w:rsid w:val="00B5323D"/>
    <w:rsid w:val="00B54043"/>
    <w:rsid w:val="00B54206"/>
    <w:rsid w:val="00B5465A"/>
    <w:rsid w:val="00B5565B"/>
    <w:rsid w:val="00B56D22"/>
    <w:rsid w:val="00B57DE8"/>
    <w:rsid w:val="00B61430"/>
    <w:rsid w:val="00B629C7"/>
    <w:rsid w:val="00B64833"/>
    <w:rsid w:val="00B67549"/>
    <w:rsid w:val="00B716B1"/>
    <w:rsid w:val="00B71E12"/>
    <w:rsid w:val="00B7231D"/>
    <w:rsid w:val="00B7261E"/>
    <w:rsid w:val="00B729F5"/>
    <w:rsid w:val="00B75EF6"/>
    <w:rsid w:val="00B76C91"/>
    <w:rsid w:val="00B777EB"/>
    <w:rsid w:val="00B80D26"/>
    <w:rsid w:val="00B8113A"/>
    <w:rsid w:val="00B81870"/>
    <w:rsid w:val="00B8198E"/>
    <w:rsid w:val="00B81B31"/>
    <w:rsid w:val="00B81C7B"/>
    <w:rsid w:val="00B826FF"/>
    <w:rsid w:val="00B82759"/>
    <w:rsid w:val="00B8280C"/>
    <w:rsid w:val="00B83D8B"/>
    <w:rsid w:val="00B847FD"/>
    <w:rsid w:val="00B86D2E"/>
    <w:rsid w:val="00B87126"/>
    <w:rsid w:val="00B87B8E"/>
    <w:rsid w:val="00B91362"/>
    <w:rsid w:val="00B9516F"/>
    <w:rsid w:val="00B95370"/>
    <w:rsid w:val="00B958ED"/>
    <w:rsid w:val="00B962E4"/>
    <w:rsid w:val="00B96CDF"/>
    <w:rsid w:val="00BA2058"/>
    <w:rsid w:val="00BA261C"/>
    <w:rsid w:val="00BA2EB1"/>
    <w:rsid w:val="00BA451F"/>
    <w:rsid w:val="00BA6FFF"/>
    <w:rsid w:val="00BA7532"/>
    <w:rsid w:val="00BB09A0"/>
    <w:rsid w:val="00BB0A79"/>
    <w:rsid w:val="00BB0DA6"/>
    <w:rsid w:val="00BB1188"/>
    <w:rsid w:val="00BB1FD9"/>
    <w:rsid w:val="00BB2957"/>
    <w:rsid w:val="00BB3443"/>
    <w:rsid w:val="00BB3EF2"/>
    <w:rsid w:val="00BB436C"/>
    <w:rsid w:val="00BB5185"/>
    <w:rsid w:val="00BB61A0"/>
    <w:rsid w:val="00BB6F31"/>
    <w:rsid w:val="00BB7CF4"/>
    <w:rsid w:val="00BC038D"/>
    <w:rsid w:val="00BC1BB2"/>
    <w:rsid w:val="00BC26EE"/>
    <w:rsid w:val="00BC3D85"/>
    <w:rsid w:val="00BC4265"/>
    <w:rsid w:val="00BC42C8"/>
    <w:rsid w:val="00BC536B"/>
    <w:rsid w:val="00BC57BC"/>
    <w:rsid w:val="00BC74E8"/>
    <w:rsid w:val="00BD1EC7"/>
    <w:rsid w:val="00BD2B96"/>
    <w:rsid w:val="00BD5BBE"/>
    <w:rsid w:val="00BD667B"/>
    <w:rsid w:val="00BD66CD"/>
    <w:rsid w:val="00BE083E"/>
    <w:rsid w:val="00BE111D"/>
    <w:rsid w:val="00BE2FAD"/>
    <w:rsid w:val="00BF00E9"/>
    <w:rsid w:val="00BF028B"/>
    <w:rsid w:val="00BF0AB3"/>
    <w:rsid w:val="00BF26AB"/>
    <w:rsid w:val="00BF2C42"/>
    <w:rsid w:val="00BF4F65"/>
    <w:rsid w:val="00BF4FF8"/>
    <w:rsid w:val="00BF5926"/>
    <w:rsid w:val="00BF62AB"/>
    <w:rsid w:val="00BF6436"/>
    <w:rsid w:val="00BF6BF4"/>
    <w:rsid w:val="00BF765A"/>
    <w:rsid w:val="00C03E73"/>
    <w:rsid w:val="00C0448A"/>
    <w:rsid w:val="00C0477B"/>
    <w:rsid w:val="00C04DDC"/>
    <w:rsid w:val="00C0736A"/>
    <w:rsid w:val="00C109CC"/>
    <w:rsid w:val="00C11069"/>
    <w:rsid w:val="00C1231B"/>
    <w:rsid w:val="00C12AE9"/>
    <w:rsid w:val="00C16453"/>
    <w:rsid w:val="00C16D74"/>
    <w:rsid w:val="00C21012"/>
    <w:rsid w:val="00C21384"/>
    <w:rsid w:val="00C21983"/>
    <w:rsid w:val="00C237D8"/>
    <w:rsid w:val="00C23F65"/>
    <w:rsid w:val="00C31213"/>
    <w:rsid w:val="00C313B3"/>
    <w:rsid w:val="00C31F89"/>
    <w:rsid w:val="00C32024"/>
    <w:rsid w:val="00C32680"/>
    <w:rsid w:val="00C344B4"/>
    <w:rsid w:val="00C349C0"/>
    <w:rsid w:val="00C356FE"/>
    <w:rsid w:val="00C36C1C"/>
    <w:rsid w:val="00C377AC"/>
    <w:rsid w:val="00C40FE4"/>
    <w:rsid w:val="00C410E5"/>
    <w:rsid w:val="00C42279"/>
    <w:rsid w:val="00C43CF8"/>
    <w:rsid w:val="00C446AC"/>
    <w:rsid w:val="00C47ED5"/>
    <w:rsid w:val="00C5001C"/>
    <w:rsid w:val="00C505D5"/>
    <w:rsid w:val="00C51543"/>
    <w:rsid w:val="00C52107"/>
    <w:rsid w:val="00C53FFA"/>
    <w:rsid w:val="00C54D52"/>
    <w:rsid w:val="00C602EE"/>
    <w:rsid w:val="00C610C5"/>
    <w:rsid w:val="00C6118F"/>
    <w:rsid w:val="00C630BF"/>
    <w:rsid w:val="00C676B6"/>
    <w:rsid w:val="00C70035"/>
    <w:rsid w:val="00C70A87"/>
    <w:rsid w:val="00C70AD1"/>
    <w:rsid w:val="00C71962"/>
    <w:rsid w:val="00C7288A"/>
    <w:rsid w:val="00C72E0D"/>
    <w:rsid w:val="00C74EB8"/>
    <w:rsid w:val="00C7587E"/>
    <w:rsid w:val="00C76AE6"/>
    <w:rsid w:val="00C7709C"/>
    <w:rsid w:val="00C8194F"/>
    <w:rsid w:val="00C81DB6"/>
    <w:rsid w:val="00C82240"/>
    <w:rsid w:val="00C83298"/>
    <w:rsid w:val="00C83558"/>
    <w:rsid w:val="00C84A45"/>
    <w:rsid w:val="00C84A9A"/>
    <w:rsid w:val="00C85A73"/>
    <w:rsid w:val="00C85E72"/>
    <w:rsid w:val="00C877AE"/>
    <w:rsid w:val="00C87A3B"/>
    <w:rsid w:val="00C932BA"/>
    <w:rsid w:val="00C9355E"/>
    <w:rsid w:val="00C94643"/>
    <w:rsid w:val="00C95977"/>
    <w:rsid w:val="00C95BDC"/>
    <w:rsid w:val="00C96820"/>
    <w:rsid w:val="00C9690F"/>
    <w:rsid w:val="00C970A0"/>
    <w:rsid w:val="00C97403"/>
    <w:rsid w:val="00C97DCA"/>
    <w:rsid w:val="00CA075B"/>
    <w:rsid w:val="00CA076D"/>
    <w:rsid w:val="00CA2FBC"/>
    <w:rsid w:val="00CA6898"/>
    <w:rsid w:val="00CA718E"/>
    <w:rsid w:val="00CA7453"/>
    <w:rsid w:val="00CA7733"/>
    <w:rsid w:val="00CB1C3A"/>
    <w:rsid w:val="00CB2399"/>
    <w:rsid w:val="00CB2C05"/>
    <w:rsid w:val="00CB5B28"/>
    <w:rsid w:val="00CB770C"/>
    <w:rsid w:val="00CC0268"/>
    <w:rsid w:val="00CC1F86"/>
    <w:rsid w:val="00CC3764"/>
    <w:rsid w:val="00CC41CE"/>
    <w:rsid w:val="00CC4A1E"/>
    <w:rsid w:val="00CC6FAA"/>
    <w:rsid w:val="00CC7653"/>
    <w:rsid w:val="00CD1F89"/>
    <w:rsid w:val="00CD2E79"/>
    <w:rsid w:val="00CD4878"/>
    <w:rsid w:val="00CD6A95"/>
    <w:rsid w:val="00CD7311"/>
    <w:rsid w:val="00CE11B3"/>
    <w:rsid w:val="00CE2992"/>
    <w:rsid w:val="00CE2EEE"/>
    <w:rsid w:val="00CE36D9"/>
    <w:rsid w:val="00CE3B81"/>
    <w:rsid w:val="00CE4A09"/>
    <w:rsid w:val="00CE4FAE"/>
    <w:rsid w:val="00CE5168"/>
    <w:rsid w:val="00CF031C"/>
    <w:rsid w:val="00CF0E0F"/>
    <w:rsid w:val="00CF1455"/>
    <w:rsid w:val="00CF14C0"/>
    <w:rsid w:val="00CF1D2E"/>
    <w:rsid w:val="00CF214B"/>
    <w:rsid w:val="00CF3115"/>
    <w:rsid w:val="00CF58CD"/>
    <w:rsid w:val="00CF6054"/>
    <w:rsid w:val="00CF7CBD"/>
    <w:rsid w:val="00D00752"/>
    <w:rsid w:val="00D01DAC"/>
    <w:rsid w:val="00D02626"/>
    <w:rsid w:val="00D0500D"/>
    <w:rsid w:val="00D053AF"/>
    <w:rsid w:val="00D10CC0"/>
    <w:rsid w:val="00D112D3"/>
    <w:rsid w:val="00D121F3"/>
    <w:rsid w:val="00D1394A"/>
    <w:rsid w:val="00D14194"/>
    <w:rsid w:val="00D14B58"/>
    <w:rsid w:val="00D176E6"/>
    <w:rsid w:val="00D17A97"/>
    <w:rsid w:val="00D201D0"/>
    <w:rsid w:val="00D23025"/>
    <w:rsid w:val="00D2355D"/>
    <w:rsid w:val="00D235CC"/>
    <w:rsid w:val="00D23A25"/>
    <w:rsid w:val="00D24C9D"/>
    <w:rsid w:val="00D25820"/>
    <w:rsid w:val="00D25889"/>
    <w:rsid w:val="00D26344"/>
    <w:rsid w:val="00D30A04"/>
    <w:rsid w:val="00D310EF"/>
    <w:rsid w:val="00D3220C"/>
    <w:rsid w:val="00D32888"/>
    <w:rsid w:val="00D3353A"/>
    <w:rsid w:val="00D3567B"/>
    <w:rsid w:val="00D3627E"/>
    <w:rsid w:val="00D4070D"/>
    <w:rsid w:val="00D40A80"/>
    <w:rsid w:val="00D4122A"/>
    <w:rsid w:val="00D43ACD"/>
    <w:rsid w:val="00D47450"/>
    <w:rsid w:val="00D50FF1"/>
    <w:rsid w:val="00D51EB4"/>
    <w:rsid w:val="00D53D12"/>
    <w:rsid w:val="00D54208"/>
    <w:rsid w:val="00D563DF"/>
    <w:rsid w:val="00D56C9B"/>
    <w:rsid w:val="00D57AC6"/>
    <w:rsid w:val="00D60171"/>
    <w:rsid w:val="00D60670"/>
    <w:rsid w:val="00D60CD3"/>
    <w:rsid w:val="00D61F31"/>
    <w:rsid w:val="00D62816"/>
    <w:rsid w:val="00D71910"/>
    <w:rsid w:val="00D71A15"/>
    <w:rsid w:val="00D71C05"/>
    <w:rsid w:val="00D725C9"/>
    <w:rsid w:val="00D73569"/>
    <w:rsid w:val="00D74623"/>
    <w:rsid w:val="00D747E6"/>
    <w:rsid w:val="00D753F0"/>
    <w:rsid w:val="00D75C77"/>
    <w:rsid w:val="00D775C3"/>
    <w:rsid w:val="00D83ADE"/>
    <w:rsid w:val="00D84EB8"/>
    <w:rsid w:val="00D85866"/>
    <w:rsid w:val="00D86180"/>
    <w:rsid w:val="00D87051"/>
    <w:rsid w:val="00D905A3"/>
    <w:rsid w:val="00D92892"/>
    <w:rsid w:val="00D9324D"/>
    <w:rsid w:val="00D953BA"/>
    <w:rsid w:val="00D96D91"/>
    <w:rsid w:val="00DA0793"/>
    <w:rsid w:val="00DA0DFD"/>
    <w:rsid w:val="00DA13C2"/>
    <w:rsid w:val="00DA1B46"/>
    <w:rsid w:val="00DA34B2"/>
    <w:rsid w:val="00DA45A5"/>
    <w:rsid w:val="00DA6A70"/>
    <w:rsid w:val="00DB1335"/>
    <w:rsid w:val="00DB1800"/>
    <w:rsid w:val="00DB2AA1"/>
    <w:rsid w:val="00DB2F43"/>
    <w:rsid w:val="00DB5D4A"/>
    <w:rsid w:val="00DB6E5E"/>
    <w:rsid w:val="00DB7A22"/>
    <w:rsid w:val="00DB7E49"/>
    <w:rsid w:val="00DC2164"/>
    <w:rsid w:val="00DC25BB"/>
    <w:rsid w:val="00DC2C29"/>
    <w:rsid w:val="00DC3E99"/>
    <w:rsid w:val="00DC50C1"/>
    <w:rsid w:val="00DC5244"/>
    <w:rsid w:val="00DC5978"/>
    <w:rsid w:val="00DC5AB9"/>
    <w:rsid w:val="00DC5DCF"/>
    <w:rsid w:val="00DC623B"/>
    <w:rsid w:val="00DC731F"/>
    <w:rsid w:val="00DC7692"/>
    <w:rsid w:val="00DD0104"/>
    <w:rsid w:val="00DD1E24"/>
    <w:rsid w:val="00DD31BD"/>
    <w:rsid w:val="00DD345D"/>
    <w:rsid w:val="00DE128D"/>
    <w:rsid w:val="00DE35EC"/>
    <w:rsid w:val="00DE5090"/>
    <w:rsid w:val="00DE526F"/>
    <w:rsid w:val="00DF21AF"/>
    <w:rsid w:val="00DF2262"/>
    <w:rsid w:val="00DF2F01"/>
    <w:rsid w:val="00DF3D81"/>
    <w:rsid w:val="00DF4277"/>
    <w:rsid w:val="00DF4D80"/>
    <w:rsid w:val="00DF6463"/>
    <w:rsid w:val="00E011BF"/>
    <w:rsid w:val="00E0274D"/>
    <w:rsid w:val="00E02A43"/>
    <w:rsid w:val="00E034F6"/>
    <w:rsid w:val="00E04398"/>
    <w:rsid w:val="00E06266"/>
    <w:rsid w:val="00E07656"/>
    <w:rsid w:val="00E07B35"/>
    <w:rsid w:val="00E1017B"/>
    <w:rsid w:val="00E11DF8"/>
    <w:rsid w:val="00E12062"/>
    <w:rsid w:val="00E12434"/>
    <w:rsid w:val="00E13F26"/>
    <w:rsid w:val="00E16AC8"/>
    <w:rsid w:val="00E20E1B"/>
    <w:rsid w:val="00E215B1"/>
    <w:rsid w:val="00E2285B"/>
    <w:rsid w:val="00E23CBB"/>
    <w:rsid w:val="00E24F83"/>
    <w:rsid w:val="00E25947"/>
    <w:rsid w:val="00E270EA"/>
    <w:rsid w:val="00E31180"/>
    <w:rsid w:val="00E32A1D"/>
    <w:rsid w:val="00E3594A"/>
    <w:rsid w:val="00E36EA2"/>
    <w:rsid w:val="00E37E93"/>
    <w:rsid w:val="00E40A00"/>
    <w:rsid w:val="00E40F6C"/>
    <w:rsid w:val="00E41606"/>
    <w:rsid w:val="00E41D73"/>
    <w:rsid w:val="00E42423"/>
    <w:rsid w:val="00E437B7"/>
    <w:rsid w:val="00E43AED"/>
    <w:rsid w:val="00E44F35"/>
    <w:rsid w:val="00E46699"/>
    <w:rsid w:val="00E47000"/>
    <w:rsid w:val="00E4725F"/>
    <w:rsid w:val="00E47EF5"/>
    <w:rsid w:val="00E50009"/>
    <w:rsid w:val="00E5561C"/>
    <w:rsid w:val="00E5608F"/>
    <w:rsid w:val="00E57140"/>
    <w:rsid w:val="00E60E3C"/>
    <w:rsid w:val="00E60E5B"/>
    <w:rsid w:val="00E61E9B"/>
    <w:rsid w:val="00E63BD2"/>
    <w:rsid w:val="00E649B8"/>
    <w:rsid w:val="00E64E9A"/>
    <w:rsid w:val="00E64FF4"/>
    <w:rsid w:val="00E65AAB"/>
    <w:rsid w:val="00E65C7D"/>
    <w:rsid w:val="00E6719D"/>
    <w:rsid w:val="00E716DF"/>
    <w:rsid w:val="00E72517"/>
    <w:rsid w:val="00E7296D"/>
    <w:rsid w:val="00E7468B"/>
    <w:rsid w:val="00E75412"/>
    <w:rsid w:val="00E75E0D"/>
    <w:rsid w:val="00E76639"/>
    <w:rsid w:val="00E77763"/>
    <w:rsid w:val="00E8095F"/>
    <w:rsid w:val="00E81CA3"/>
    <w:rsid w:val="00E85BD6"/>
    <w:rsid w:val="00E85F13"/>
    <w:rsid w:val="00E86E98"/>
    <w:rsid w:val="00E86F93"/>
    <w:rsid w:val="00E903B3"/>
    <w:rsid w:val="00E9141C"/>
    <w:rsid w:val="00E93BE0"/>
    <w:rsid w:val="00E95C45"/>
    <w:rsid w:val="00E96824"/>
    <w:rsid w:val="00E96861"/>
    <w:rsid w:val="00EA05AB"/>
    <w:rsid w:val="00EA445A"/>
    <w:rsid w:val="00EA4779"/>
    <w:rsid w:val="00EA5AF0"/>
    <w:rsid w:val="00EA5C7C"/>
    <w:rsid w:val="00EA5F34"/>
    <w:rsid w:val="00EB0BB7"/>
    <w:rsid w:val="00EB1F63"/>
    <w:rsid w:val="00EB28AE"/>
    <w:rsid w:val="00EB3752"/>
    <w:rsid w:val="00EB4206"/>
    <w:rsid w:val="00EB46EE"/>
    <w:rsid w:val="00EB6ABC"/>
    <w:rsid w:val="00EB7199"/>
    <w:rsid w:val="00EB7496"/>
    <w:rsid w:val="00EC0AC3"/>
    <w:rsid w:val="00EC1AFF"/>
    <w:rsid w:val="00EC24BA"/>
    <w:rsid w:val="00EC3D86"/>
    <w:rsid w:val="00EC43BB"/>
    <w:rsid w:val="00EC6A36"/>
    <w:rsid w:val="00EC7389"/>
    <w:rsid w:val="00EC73D9"/>
    <w:rsid w:val="00EC7F66"/>
    <w:rsid w:val="00ED2220"/>
    <w:rsid w:val="00ED2653"/>
    <w:rsid w:val="00ED2CAD"/>
    <w:rsid w:val="00ED34FA"/>
    <w:rsid w:val="00ED3B3F"/>
    <w:rsid w:val="00ED4B9C"/>
    <w:rsid w:val="00ED4C4C"/>
    <w:rsid w:val="00ED5552"/>
    <w:rsid w:val="00ED7B83"/>
    <w:rsid w:val="00EE2086"/>
    <w:rsid w:val="00EE271E"/>
    <w:rsid w:val="00EE2CA0"/>
    <w:rsid w:val="00EE36EA"/>
    <w:rsid w:val="00EE7A60"/>
    <w:rsid w:val="00EF2606"/>
    <w:rsid w:val="00EF2A70"/>
    <w:rsid w:val="00EF2F67"/>
    <w:rsid w:val="00EF45BB"/>
    <w:rsid w:val="00EF4FAF"/>
    <w:rsid w:val="00EF5619"/>
    <w:rsid w:val="00EF5DA1"/>
    <w:rsid w:val="00F01058"/>
    <w:rsid w:val="00F0150C"/>
    <w:rsid w:val="00F02408"/>
    <w:rsid w:val="00F046E6"/>
    <w:rsid w:val="00F04771"/>
    <w:rsid w:val="00F0489B"/>
    <w:rsid w:val="00F0536D"/>
    <w:rsid w:val="00F0639B"/>
    <w:rsid w:val="00F06495"/>
    <w:rsid w:val="00F064A7"/>
    <w:rsid w:val="00F074B9"/>
    <w:rsid w:val="00F11332"/>
    <w:rsid w:val="00F12BE3"/>
    <w:rsid w:val="00F14703"/>
    <w:rsid w:val="00F203AF"/>
    <w:rsid w:val="00F2133C"/>
    <w:rsid w:val="00F23DE2"/>
    <w:rsid w:val="00F2410A"/>
    <w:rsid w:val="00F248E2"/>
    <w:rsid w:val="00F24DB3"/>
    <w:rsid w:val="00F2628B"/>
    <w:rsid w:val="00F26D7E"/>
    <w:rsid w:val="00F306C6"/>
    <w:rsid w:val="00F31333"/>
    <w:rsid w:val="00F313D9"/>
    <w:rsid w:val="00F31461"/>
    <w:rsid w:val="00F34352"/>
    <w:rsid w:val="00F34642"/>
    <w:rsid w:val="00F3531F"/>
    <w:rsid w:val="00F366EF"/>
    <w:rsid w:val="00F36E64"/>
    <w:rsid w:val="00F40EDB"/>
    <w:rsid w:val="00F40F7C"/>
    <w:rsid w:val="00F4179B"/>
    <w:rsid w:val="00F41EAB"/>
    <w:rsid w:val="00F422BF"/>
    <w:rsid w:val="00F42595"/>
    <w:rsid w:val="00F44794"/>
    <w:rsid w:val="00F45430"/>
    <w:rsid w:val="00F46783"/>
    <w:rsid w:val="00F51488"/>
    <w:rsid w:val="00F51C11"/>
    <w:rsid w:val="00F52BAB"/>
    <w:rsid w:val="00F52C79"/>
    <w:rsid w:val="00F53297"/>
    <w:rsid w:val="00F5335F"/>
    <w:rsid w:val="00F543C4"/>
    <w:rsid w:val="00F600FA"/>
    <w:rsid w:val="00F60671"/>
    <w:rsid w:val="00F60CB9"/>
    <w:rsid w:val="00F61AA9"/>
    <w:rsid w:val="00F61C57"/>
    <w:rsid w:val="00F63C2C"/>
    <w:rsid w:val="00F64BAC"/>
    <w:rsid w:val="00F660E3"/>
    <w:rsid w:val="00F6624C"/>
    <w:rsid w:val="00F67A8F"/>
    <w:rsid w:val="00F708CC"/>
    <w:rsid w:val="00F71A14"/>
    <w:rsid w:val="00F73D53"/>
    <w:rsid w:val="00F741DB"/>
    <w:rsid w:val="00F74597"/>
    <w:rsid w:val="00F756D6"/>
    <w:rsid w:val="00F75CDD"/>
    <w:rsid w:val="00F77E2D"/>
    <w:rsid w:val="00F8002E"/>
    <w:rsid w:val="00F82C37"/>
    <w:rsid w:val="00F8462F"/>
    <w:rsid w:val="00F850DB"/>
    <w:rsid w:val="00F85DDA"/>
    <w:rsid w:val="00F864E2"/>
    <w:rsid w:val="00F86500"/>
    <w:rsid w:val="00F87148"/>
    <w:rsid w:val="00F93CFA"/>
    <w:rsid w:val="00F94EEB"/>
    <w:rsid w:val="00F95719"/>
    <w:rsid w:val="00F96822"/>
    <w:rsid w:val="00F96C75"/>
    <w:rsid w:val="00F9709C"/>
    <w:rsid w:val="00FA0171"/>
    <w:rsid w:val="00FA06CB"/>
    <w:rsid w:val="00FA0E6E"/>
    <w:rsid w:val="00FA1D9C"/>
    <w:rsid w:val="00FA40DD"/>
    <w:rsid w:val="00FA48FA"/>
    <w:rsid w:val="00FA4F20"/>
    <w:rsid w:val="00FA52F2"/>
    <w:rsid w:val="00FA5A5B"/>
    <w:rsid w:val="00FA66A7"/>
    <w:rsid w:val="00FA6A91"/>
    <w:rsid w:val="00FA70E0"/>
    <w:rsid w:val="00FB0E0F"/>
    <w:rsid w:val="00FB18DD"/>
    <w:rsid w:val="00FB1927"/>
    <w:rsid w:val="00FB32E7"/>
    <w:rsid w:val="00FB35A6"/>
    <w:rsid w:val="00FB668A"/>
    <w:rsid w:val="00FB66FA"/>
    <w:rsid w:val="00FB6F92"/>
    <w:rsid w:val="00FB725F"/>
    <w:rsid w:val="00FC1B0B"/>
    <w:rsid w:val="00FC25A0"/>
    <w:rsid w:val="00FC477C"/>
    <w:rsid w:val="00FC7B44"/>
    <w:rsid w:val="00FD19FA"/>
    <w:rsid w:val="00FD3C84"/>
    <w:rsid w:val="00FD4E71"/>
    <w:rsid w:val="00FD64F3"/>
    <w:rsid w:val="00FD7A00"/>
    <w:rsid w:val="00FE06B1"/>
    <w:rsid w:val="00FE475A"/>
    <w:rsid w:val="00FE58B9"/>
    <w:rsid w:val="00FE628A"/>
    <w:rsid w:val="00FE6AB8"/>
    <w:rsid w:val="00FF0CE1"/>
    <w:rsid w:val="00FF13AC"/>
    <w:rsid w:val="00FF2D79"/>
    <w:rsid w:val="00FF2DCE"/>
    <w:rsid w:val="00FF494B"/>
    <w:rsid w:val="00FF6926"/>
    <w:rsid w:val="00FF6FCC"/>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5A0CF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6DA1"/>
    <w:pPr>
      <w:spacing w:line="360" w:lineRule="auto"/>
      <w:jc w:val="both"/>
    </w:pPr>
    <w:rPr>
      <w:rFonts w:ascii="Times New Roman" w:hAnsi="Times New Roman"/>
      <w:sz w:val="24"/>
    </w:rPr>
  </w:style>
  <w:style w:type="paragraph" w:styleId="Heading1">
    <w:name w:val="heading 1"/>
    <w:basedOn w:val="Normal"/>
    <w:next w:val="Normal"/>
    <w:link w:val="Heading1Char"/>
    <w:uiPriority w:val="9"/>
    <w:qFormat/>
    <w:rsid w:val="00246DA1"/>
    <w:pPr>
      <w:keepNext/>
      <w:keepLines/>
      <w:numPr>
        <w:numId w:val="12"/>
      </w:numPr>
      <w:pBdr>
        <w:bottom w:val="single" w:sz="4" w:space="1" w:color="595959" w:themeColor="text1" w:themeTint="A6"/>
      </w:pBdr>
      <w:spacing w:before="360"/>
      <w:outlineLvl w:val="0"/>
    </w:pPr>
    <w:rPr>
      <w:rFonts w:eastAsiaTheme="majorEastAsia" w:cstheme="majorBidi"/>
      <w:b/>
      <w:bCs/>
      <w:smallCaps/>
      <w:color w:val="000000" w:themeColor="text1"/>
      <w:sz w:val="28"/>
      <w:szCs w:val="36"/>
    </w:rPr>
  </w:style>
  <w:style w:type="paragraph" w:styleId="Heading2">
    <w:name w:val="heading 2"/>
    <w:basedOn w:val="Normal"/>
    <w:next w:val="Normal"/>
    <w:link w:val="Heading2Char"/>
    <w:uiPriority w:val="9"/>
    <w:unhideWhenUsed/>
    <w:qFormat/>
    <w:rsid w:val="00246DA1"/>
    <w:pPr>
      <w:keepNext/>
      <w:keepLines/>
      <w:numPr>
        <w:ilvl w:val="1"/>
        <w:numId w:val="12"/>
      </w:numPr>
      <w:spacing w:before="240"/>
      <w:ind w:left="578" w:hanging="578"/>
      <w:outlineLvl w:val="1"/>
    </w:pPr>
    <w:rPr>
      <w:rFonts w:eastAsiaTheme="majorEastAsia" w:cstheme="majorBidi"/>
      <w:b/>
      <w:bCs/>
      <w:smallCaps/>
      <w:color w:val="000000" w:themeColor="text1"/>
      <w:szCs w:val="28"/>
    </w:rPr>
  </w:style>
  <w:style w:type="paragraph" w:styleId="Heading3">
    <w:name w:val="heading 3"/>
    <w:basedOn w:val="Normal"/>
    <w:next w:val="Normal"/>
    <w:link w:val="Heading3Char"/>
    <w:uiPriority w:val="9"/>
    <w:unhideWhenUsed/>
    <w:qFormat/>
    <w:rsid w:val="0062697D"/>
    <w:pPr>
      <w:keepNext/>
      <w:keepLines/>
      <w:numPr>
        <w:ilvl w:val="2"/>
        <w:numId w:val="12"/>
      </w:numPr>
      <w:spacing w:before="200" w:after="0"/>
      <w:outlineLvl w:val="2"/>
    </w:pPr>
    <w:rPr>
      <w:rFonts w:eastAsiaTheme="majorEastAsia" w:cstheme="majorBidi"/>
      <w:b/>
      <w:bCs/>
      <w:color w:val="000000" w:themeColor="text1"/>
    </w:rPr>
  </w:style>
  <w:style w:type="paragraph" w:styleId="Heading4">
    <w:name w:val="heading 4"/>
    <w:basedOn w:val="Normal"/>
    <w:next w:val="Normal"/>
    <w:link w:val="Heading4Char"/>
    <w:uiPriority w:val="9"/>
    <w:unhideWhenUsed/>
    <w:qFormat/>
    <w:rsid w:val="00246DA1"/>
    <w:pPr>
      <w:keepNext/>
      <w:keepLines/>
      <w:numPr>
        <w:ilvl w:val="3"/>
        <w:numId w:val="12"/>
      </w:numPr>
      <w:spacing w:before="200" w:after="0"/>
      <w:outlineLvl w:val="3"/>
    </w:pPr>
    <w:rPr>
      <w:rFonts w:asciiTheme="majorHAnsi" w:eastAsiaTheme="majorEastAsia" w:hAnsiTheme="majorHAnsi" w:cstheme="majorBidi"/>
      <w:b/>
      <w:bCs/>
      <w:i/>
      <w:iCs/>
      <w:color w:val="000000" w:themeColor="text1"/>
    </w:rPr>
  </w:style>
  <w:style w:type="paragraph" w:styleId="Heading5">
    <w:name w:val="heading 5"/>
    <w:basedOn w:val="Normal"/>
    <w:next w:val="Normal"/>
    <w:link w:val="Heading5Char"/>
    <w:uiPriority w:val="9"/>
    <w:semiHidden/>
    <w:unhideWhenUsed/>
    <w:qFormat/>
    <w:rsid w:val="00246DA1"/>
    <w:pPr>
      <w:keepNext/>
      <w:keepLines/>
      <w:numPr>
        <w:ilvl w:val="4"/>
        <w:numId w:val="12"/>
      </w:numPr>
      <w:spacing w:before="200" w:after="0"/>
      <w:outlineLvl w:val="4"/>
    </w:pPr>
    <w:rPr>
      <w:rFonts w:asciiTheme="majorHAnsi" w:eastAsiaTheme="majorEastAsia" w:hAnsiTheme="majorHAnsi" w:cstheme="majorBidi"/>
      <w:color w:val="323E4F" w:themeColor="text2" w:themeShade="BF"/>
    </w:rPr>
  </w:style>
  <w:style w:type="paragraph" w:styleId="Heading6">
    <w:name w:val="heading 6"/>
    <w:basedOn w:val="Normal"/>
    <w:next w:val="Normal"/>
    <w:link w:val="Heading6Char"/>
    <w:uiPriority w:val="9"/>
    <w:semiHidden/>
    <w:unhideWhenUsed/>
    <w:qFormat/>
    <w:rsid w:val="00246DA1"/>
    <w:pPr>
      <w:keepNext/>
      <w:keepLines/>
      <w:numPr>
        <w:ilvl w:val="5"/>
        <w:numId w:val="12"/>
      </w:numPr>
      <w:spacing w:before="200" w:after="0"/>
      <w:outlineLvl w:val="5"/>
    </w:pPr>
    <w:rPr>
      <w:rFonts w:asciiTheme="majorHAnsi" w:eastAsiaTheme="majorEastAsia" w:hAnsiTheme="majorHAnsi" w:cstheme="majorBidi"/>
      <w:i/>
      <w:iCs/>
      <w:color w:val="323E4F" w:themeColor="text2" w:themeShade="BF"/>
    </w:rPr>
  </w:style>
  <w:style w:type="paragraph" w:styleId="Heading7">
    <w:name w:val="heading 7"/>
    <w:basedOn w:val="Normal"/>
    <w:next w:val="Normal"/>
    <w:link w:val="Heading7Char"/>
    <w:uiPriority w:val="9"/>
    <w:semiHidden/>
    <w:unhideWhenUsed/>
    <w:qFormat/>
    <w:rsid w:val="00246DA1"/>
    <w:pPr>
      <w:keepNext/>
      <w:keepLines/>
      <w:numPr>
        <w:ilvl w:val="6"/>
        <w:numId w:val="12"/>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246DA1"/>
    <w:pPr>
      <w:keepNext/>
      <w:keepLines/>
      <w:numPr>
        <w:ilvl w:val="7"/>
        <w:numId w:val="12"/>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246DA1"/>
    <w:pPr>
      <w:keepNext/>
      <w:keepLines/>
      <w:numPr>
        <w:ilvl w:val="8"/>
        <w:numId w:val="1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46DA1"/>
    <w:rPr>
      <w:rFonts w:ascii="Times New Roman" w:eastAsiaTheme="majorEastAsia" w:hAnsi="Times New Roman" w:cstheme="majorBidi"/>
      <w:b/>
      <w:bCs/>
      <w:smallCaps/>
      <w:color w:val="000000" w:themeColor="text1"/>
      <w:sz w:val="28"/>
      <w:szCs w:val="36"/>
    </w:rPr>
  </w:style>
  <w:style w:type="character" w:customStyle="1" w:styleId="Heading2Char">
    <w:name w:val="Heading 2 Char"/>
    <w:basedOn w:val="DefaultParagraphFont"/>
    <w:link w:val="Heading2"/>
    <w:uiPriority w:val="9"/>
    <w:rsid w:val="00246DA1"/>
    <w:rPr>
      <w:rFonts w:ascii="Times New Roman" w:eastAsiaTheme="majorEastAsia" w:hAnsi="Times New Roman" w:cstheme="majorBidi"/>
      <w:b/>
      <w:bCs/>
      <w:smallCaps/>
      <w:color w:val="000000" w:themeColor="text1"/>
      <w:sz w:val="24"/>
      <w:szCs w:val="28"/>
    </w:rPr>
  </w:style>
  <w:style w:type="character" w:customStyle="1" w:styleId="Heading3Char">
    <w:name w:val="Heading 3 Char"/>
    <w:basedOn w:val="DefaultParagraphFont"/>
    <w:link w:val="Heading3"/>
    <w:uiPriority w:val="9"/>
    <w:rsid w:val="0062697D"/>
    <w:rPr>
      <w:rFonts w:ascii="Times New Roman" w:eastAsiaTheme="majorEastAsia" w:hAnsi="Times New Roman" w:cstheme="majorBidi"/>
      <w:b/>
      <w:bCs/>
      <w:color w:val="000000" w:themeColor="text1"/>
      <w:sz w:val="24"/>
    </w:rPr>
  </w:style>
  <w:style w:type="character" w:customStyle="1" w:styleId="Heading4Char">
    <w:name w:val="Heading 4 Char"/>
    <w:basedOn w:val="DefaultParagraphFont"/>
    <w:link w:val="Heading4"/>
    <w:uiPriority w:val="9"/>
    <w:rsid w:val="00246DA1"/>
    <w:rPr>
      <w:rFonts w:asciiTheme="majorHAnsi" w:eastAsiaTheme="majorEastAsia" w:hAnsiTheme="majorHAnsi" w:cstheme="majorBidi"/>
      <w:b/>
      <w:bCs/>
      <w:i/>
      <w:iCs/>
      <w:color w:val="000000" w:themeColor="text1"/>
    </w:rPr>
  </w:style>
  <w:style w:type="character" w:customStyle="1" w:styleId="Heading5Char">
    <w:name w:val="Heading 5 Char"/>
    <w:basedOn w:val="DefaultParagraphFont"/>
    <w:link w:val="Heading5"/>
    <w:uiPriority w:val="9"/>
    <w:semiHidden/>
    <w:rsid w:val="00246DA1"/>
    <w:rPr>
      <w:rFonts w:asciiTheme="majorHAnsi" w:eastAsiaTheme="majorEastAsia" w:hAnsiTheme="majorHAnsi" w:cstheme="majorBidi"/>
      <w:color w:val="323E4F" w:themeColor="text2" w:themeShade="BF"/>
    </w:rPr>
  </w:style>
  <w:style w:type="character" w:customStyle="1" w:styleId="Heading6Char">
    <w:name w:val="Heading 6 Char"/>
    <w:basedOn w:val="DefaultParagraphFont"/>
    <w:link w:val="Heading6"/>
    <w:uiPriority w:val="9"/>
    <w:semiHidden/>
    <w:rsid w:val="00246DA1"/>
    <w:rPr>
      <w:rFonts w:asciiTheme="majorHAnsi" w:eastAsiaTheme="majorEastAsia" w:hAnsiTheme="majorHAnsi" w:cstheme="majorBidi"/>
      <w:i/>
      <w:iCs/>
      <w:color w:val="323E4F" w:themeColor="text2" w:themeShade="BF"/>
    </w:rPr>
  </w:style>
  <w:style w:type="character" w:customStyle="1" w:styleId="Heading7Char">
    <w:name w:val="Heading 7 Char"/>
    <w:basedOn w:val="DefaultParagraphFont"/>
    <w:link w:val="Heading7"/>
    <w:uiPriority w:val="9"/>
    <w:semiHidden/>
    <w:rsid w:val="00246DA1"/>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246DA1"/>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246DA1"/>
    <w:rPr>
      <w:rFonts w:asciiTheme="majorHAnsi" w:eastAsiaTheme="majorEastAsia" w:hAnsiTheme="majorHAnsi" w:cstheme="majorBidi"/>
      <w:i/>
      <w:iCs/>
      <w:color w:val="404040" w:themeColor="text1" w:themeTint="BF"/>
      <w:sz w:val="20"/>
      <w:szCs w:val="20"/>
    </w:rPr>
  </w:style>
  <w:style w:type="paragraph" w:styleId="Header">
    <w:name w:val="header"/>
    <w:basedOn w:val="Normal"/>
    <w:link w:val="HeaderChar"/>
    <w:uiPriority w:val="99"/>
    <w:unhideWhenUsed/>
    <w:rsid w:val="009F6317"/>
    <w:pPr>
      <w:tabs>
        <w:tab w:val="center" w:pos="4513"/>
        <w:tab w:val="right" w:pos="9026"/>
      </w:tabs>
      <w:spacing w:after="0" w:line="240" w:lineRule="auto"/>
    </w:pPr>
  </w:style>
  <w:style w:type="character" w:customStyle="1" w:styleId="HeaderChar">
    <w:name w:val="Header Char"/>
    <w:basedOn w:val="DefaultParagraphFont"/>
    <w:link w:val="Header"/>
    <w:uiPriority w:val="99"/>
    <w:rsid w:val="009F6317"/>
    <w:rPr>
      <w:rFonts w:ascii="Times New Roman" w:hAnsi="Times New Roman"/>
      <w:sz w:val="24"/>
    </w:rPr>
  </w:style>
  <w:style w:type="paragraph" w:styleId="Footer">
    <w:name w:val="footer"/>
    <w:basedOn w:val="Normal"/>
    <w:link w:val="FooterChar"/>
    <w:uiPriority w:val="99"/>
    <w:unhideWhenUsed/>
    <w:rsid w:val="009F6317"/>
    <w:pPr>
      <w:tabs>
        <w:tab w:val="center" w:pos="4513"/>
        <w:tab w:val="right" w:pos="9026"/>
      </w:tabs>
      <w:spacing w:after="0" w:line="240" w:lineRule="auto"/>
    </w:pPr>
  </w:style>
  <w:style w:type="character" w:customStyle="1" w:styleId="FooterChar">
    <w:name w:val="Footer Char"/>
    <w:basedOn w:val="DefaultParagraphFont"/>
    <w:link w:val="Footer"/>
    <w:uiPriority w:val="99"/>
    <w:rsid w:val="009F6317"/>
    <w:rPr>
      <w:rFonts w:ascii="Times New Roman" w:hAnsi="Times New Roman"/>
      <w:sz w:val="24"/>
    </w:rPr>
  </w:style>
  <w:style w:type="paragraph" w:styleId="NoSpacing">
    <w:name w:val="No Spacing"/>
    <w:aliases w:val="Footnotes"/>
    <w:link w:val="NoSpacingChar"/>
    <w:uiPriority w:val="1"/>
    <w:qFormat/>
    <w:rsid w:val="00500F20"/>
    <w:pPr>
      <w:spacing w:after="0" w:line="240" w:lineRule="auto"/>
    </w:pPr>
    <w:rPr>
      <w:rFonts w:ascii="Times New Roman" w:hAnsi="Times New Roman"/>
      <w:sz w:val="20"/>
    </w:rPr>
  </w:style>
  <w:style w:type="character" w:customStyle="1" w:styleId="NoSpacingChar">
    <w:name w:val="No Spacing Char"/>
    <w:aliases w:val="Footnotes Char"/>
    <w:basedOn w:val="DefaultParagraphFont"/>
    <w:link w:val="NoSpacing"/>
    <w:uiPriority w:val="1"/>
    <w:rsid w:val="00500F20"/>
    <w:rPr>
      <w:rFonts w:ascii="Times New Roman" w:hAnsi="Times New Roman"/>
      <w:sz w:val="20"/>
    </w:rPr>
  </w:style>
  <w:style w:type="paragraph" w:styleId="ListParagraph">
    <w:name w:val="List Paragraph"/>
    <w:basedOn w:val="Normal"/>
    <w:uiPriority w:val="34"/>
    <w:qFormat/>
    <w:rsid w:val="00FB1927"/>
    <w:pPr>
      <w:ind w:left="720"/>
      <w:contextualSpacing/>
    </w:pPr>
  </w:style>
  <w:style w:type="paragraph" w:styleId="FootnoteText">
    <w:name w:val="footnote text"/>
    <w:basedOn w:val="Normal"/>
    <w:link w:val="FootnoteTextChar"/>
    <w:uiPriority w:val="99"/>
    <w:unhideWhenUsed/>
    <w:rsid w:val="00371D8E"/>
    <w:pPr>
      <w:spacing w:after="0" w:line="240" w:lineRule="auto"/>
    </w:pPr>
    <w:rPr>
      <w:sz w:val="20"/>
      <w:szCs w:val="20"/>
    </w:rPr>
  </w:style>
  <w:style w:type="character" w:customStyle="1" w:styleId="FootnoteTextChar">
    <w:name w:val="Footnote Text Char"/>
    <w:basedOn w:val="DefaultParagraphFont"/>
    <w:link w:val="FootnoteText"/>
    <w:uiPriority w:val="99"/>
    <w:rsid w:val="00371D8E"/>
    <w:rPr>
      <w:rFonts w:ascii="Times New Roman" w:hAnsi="Times New Roman"/>
      <w:sz w:val="20"/>
      <w:szCs w:val="20"/>
    </w:rPr>
  </w:style>
  <w:style w:type="character" w:styleId="FootnoteReference">
    <w:name w:val="footnote reference"/>
    <w:basedOn w:val="DefaultParagraphFont"/>
    <w:uiPriority w:val="99"/>
    <w:semiHidden/>
    <w:unhideWhenUsed/>
    <w:rsid w:val="00371D8E"/>
    <w:rPr>
      <w:vertAlign w:val="superscript"/>
    </w:rPr>
  </w:style>
  <w:style w:type="character" w:styleId="Hyperlink">
    <w:name w:val="Hyperlink"/>
    <w:basedOn w:val="DefaultParagraphFont"/>
    <w:uiPriority w:val="99"/>
    <w:unhideWhenUsed/>
    <w:rsid w:val="00B10B4D"/>
    <w:rPr>
      <w:color w:val="0563C1" w:themeColor="hyperlink"/>
      <w:u w:val="single"/>
    </w:rPr>
  </w:style>
  <w:style w:type="paragraph" w:styleId="NormalWeb">
    <w:name w:val="Normal (Web)"/>
    <w:basedOn w:val="Normal"/>
    <w:uiPriority w:val="99"/>
    <w:unhideWhenUsed/>
    <w:rsid w:val="00226731"/>
    <w:pPr>
      <w:spacing w:before="100" w:beforeAutospacing="1" w:after="100" w:afterAutospacing="1" w:line="240" w:lineRule="auto"/>
      <w:jc w:val="left"/>
    </w:pPr>
    <w:rPr>
      <w:rFonts w:eastAsia="Times New Roman" w:cs="Times New Roman"/>
      <w:szCs w:val="24"/>
      <w:lang w:eastAsia="en-GB"/>
    </w:rPr>
  </w:style>
  <w:style w:type="character" w:customStyle="1" w:styleId="apple-converted-space">
    <w:name w:val="apple-converted-space"/>
    <w:basedOn w:val="DefaultParagraphFont"/>
    <w:rsid w:val="00226731"/>
  </w:style>
  <w:style w:type="paragraph" w:styleId="Caption">
    <w:name w:val="caption"/>
    <w:basedOn w:val="Normal"/>
    <w:next w:val="Normal"/>
    <w:uiPriority w:val="35"/>
    <w:semiHidden/>
    <w:unhideWhenUsed/>
    <w:qFormat/>
    <w:rsid w:val="00246DA1"/>
    <w:pPr>
      <w:spacing w:after="200" w:line="240" w:lineRule="auto"/>
    </w:pPr>
    <w:rPr>
      <w:i/>
      <w:iCs/>
      <w:color w:val="44546A" w:themeColor="text2"/>
      <w:sz w:val="18"/>
      <w:szCs w:val="18"/>
    </w:rPr>
  </w:style>
  <w:style w:type="paragraph" w:styleId="Title">
    <w:name w:val="Title"/>
    <w:basedOn w:val="Normal"/>
    <w:next w:val="Normal"/>
    <w:link w:val="TitleChar"/>
    <w:uiPriority w:val="10"/>
    <w:qFormat/>
    <w:rsid w:val="00246DA1"/>
    <w:pPr>
      <w:spacing w:after="0" w:line="240" w:lineRule="auto"/>
      <w:contextualSpacing/>
    </w:pPr>
    <w:rPr>
      <w:rFonts w:asciiTheme="majorHAnsi" w:eastAsiaTheme="majorEastAsia" w:hAnsiTheme="majorHAnsi" w:cstheme="majorBidi"/>
      <w:color w:val="000000" w:themeColor="text1"/>
      <w:sz w:val="56"/>
      <w:szCs w:val="56"/>
    </w:rPr>
  </w:style>
  <w:style w:type="character" w:customStyle="1" w:styleId="TitleChar">
    <w:name w:val="Title Char"/>
    <w:basedOn w:val="DefaultParagraphFont"/>
    <w:link w:val="Title"/>
    <w:uiPriority w:val="10"/>
    <w:rsid w:val="00246DA1"/>
    <w:rPr>
      <w:rFonts w:asciiTheme="majorHAnsi" w:eastAsiaTheme="majorEastAsia" w:hAnsiTheme="majorHAnsi" w:cstheme="majorBidi"/>
      <w:color w:val="000000" w:themeColor="text1"/>
      <w:sz w:val="56"/>
      <w:szCs w:val="56"/>
    </w:rPr>
  </w:style>
  <w:style w:type="paragraph" w:styleId="Subtitle">
    <w:name w:val="Subtitle"/>
    <w:aliases w:val="Quotes"/>
    <w:basedOn w:val="Normal"/>
    <w:next w:val="Normal"/>
    <w:link w:val="SubtitleChar"/>
    <w:uiPriority w:val="11"/>
    <w:qFormat/>
    <w:rsid w:val="003A6406"/>
    <w:pPr>
      <w:numPr>
        <w:ilvl w:val="1"/>
      </w:numPr>
      <w:spacing w:after="240" w:line="240" w:lineRule="auto"/>
      <w:ind w:left="706" w:right="706"/>
    </w:pPr>
    <w:rPr>
      <w:color w:val="000000" w:themeColor="text1"/>
      <w:spacing w:val="10"/>
      <w:sz w:val="20"/>
    </w:rPr>
  </w:style>
  <w:style w:type="character" w:customStyle="1" w:styleId="SubtitleChar">
    <w:name w:val="Subtitle Char"/>
    <w:aliases w:val="Quotes Char"/>
    <w:basedOn w:val="DefaultParagraphFont"/>
    <w:link w:val="Subtitle"/>
    <w:uiPriority w:val="11"/>
    <w:rsid w:val="003A6406"/>
    <w:rPr>
      <w:rFonts w:ascii="Times New Roman" w:hAnsi="Times New Roman"/>
      <w:color w:val="000000" w:themeColor="text1"/>
      <w:spacing w:val="10"/>
      <w:sz w:val="20"/>
    </w:rPr>
  </w:style>
  <w:style w:type="character" w:styleId="Strong">
    <w:name w:val="Strong"/>
    <w:basedOn w:val="DefaultParagraphFont"/>
    <w:uiPriority w:val="22"/>
    <w:qFormat/>
    <w:rsid w:val="00246DA1"/>
    <w:rPr>
      <w:b/>
      <w:bCs/>
      <w:color w:val="000000" w:themeColor="text1"/>
    </w:rPr>
  </w:style>
  <w:style w:type="character" w:styleId="Emphasis">
    <w:name w:val="Emphasis"/>
    <w:basedOn w:val="DefaultParagraphFont"/>
    <w:uiPriority w:val="20"/>
    <w:qFormat/>
    <w:rsid w:val="00246DA1"/>
    <w:rPr>
      <w:i/>
      <w:iCs/>
      <w:color w:val="auto"/>
    </w:rPr>
  </w:style>
  <w:style w:type="paragraph" w:styleId="Quote">
    <w:name w:val="Quote"/>
    <w:basedOn w:val="Normal"/>
    <w:next w:val="Normal"/>
    <w:link w:val="QuoteChar"/>
    <w:uiPriority w:val="29"/>
    <w:qFormat/>
    <w:rsid w:val="00246DA1"/>
    <w:pPr>
      <w:spacing w:before="160"/>
      <w:ind w:left="720" w:right="720"/>
    </w:pPr>
    <w:rPr>
      <w:i/>
      <w:iCs/>
      <w:color w:val="000000" w:themeColor="text1"/>
    </w:rPr>
  </w:style>
  <w:style w:type="character" w:customStyle="1" w:styleId="QuoteChar">
    <w:name w:val="Quote Char"/>
    <w:basedOn w:val="DefaultParagraphFont"/>
    <w:link w:val="Quote"/>
    <w:uiPriority w:val="29"/>
    <w:rsid w:val="00246DA1"/>
    <w:rPr>
      <w:i/>
      <w:iCs/>
      <w:color w:val="000000" w:themeColor="text1"/>
    </w:rPr>
  </w:style>
  <w:style w:type="paragraph" w:styleId="IntenseQuote">
    <w:name w:val="Intense Quote"/>
    <w:basedOn w:val="Normal"/>
    <w:next w:val="Normal"/>
    <w:link w:val="IntenseQuoteChar"/>
    <w:uiPriority w:val="30"/>
    <w:qFormat/>
    <w:rsid w:val="00246DA1"/>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ind w:left="936" w:right="936"/>
      <w:jc w:val="center"/>
    </w:pPr>
    <w:rPr>
      <w:color w:val="000000" w:themeColor="text1"/>
    </w:rPr>
  </w:style>
  <w:style w:type="character" w:customStyle="1" w:styleId="IntenseQuoteChar">
    <w:name w:val="Intense Quote Char"/>
    <w:basedOn w:val="DefaultParagraphFont"/>
    <w:link w:val="IntenseQuote"/>
    <w:uiPriority w:val="30"/>
    <w:rsid w:val="00246DA1"/>
    <w:rPr>
      <w:color w:val="000000" w:themeColor="text1"/>
      <w:shd w:val="clear" w:color="auto" w:fill="F2F2F2" w:themeFill="background1" w:themeFillShade="F2"/>
    </w:rPr>
  </w:style>
  <w:style w:type="character" w:styleId="SubtleEmphasis">
    <w:name w:val="Subtle Emphasis"/>
    <w:basedOn w:val="DefaultParagraphFont"/>
    <w:uiPriority w:val="19"/>
    <w:qFormat/>
    <w:rsid w:val="00246DA1"/>
    <w:rPr>
      <w:i/>
      <w:iCs/>
      <w:color w:val="404040" w:themeColor="text1" w:themeTint="BF"/>
    </w:rPr>
  </w:style>
  <w:style w:type="character" w:styleId="IntenseEmphasis">
    <w:name w:val="Intense Emphasis"/>
    <w:basedOn w:val="DefaultParagraphFont"/>
    <w:uiPriority w:val="21"/>
    <w:qFormat/>
    <w:rsid w:val="00246DA1"/>
    <w:rPr>
      <w:b/>
      <w:bCs/>
      <w:i/>
      <w:iCs/>
      <w:caps/>
    </w:rPr>
  </w:style>
  <w:style w:type="character" w:styleId="SubtleReference">
    <w:name w:val="Subtle Reference"/>
    <w:basedOn w:val="DefaultParagraphFont"/>
    <w:uiPriority w:val="31"/>
    <w:qFormat/>
    <w:rsid w:val="00246DA1"/>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246DA1"/>
    <w:rPr>
      <w:b/>
      <w:bCs/>
      <w:smallCaps/>
      <w:u w:val="single"/>
    </w:rPr>
  </w:style>
  <w:style w:type="character" w:styleId="BookTitle">
    <w:name w:val="Book Title"/>
    <w:basedOn w:val="DefaultParagraphFont"/>
    <w:uiPriority w:val="33"/>
    <w:qFormat/>
    <w:rsid w:val="00246DA1"/>
    <w:rPr>
      <w:b w:val="0"/>
      <w:bCs w:val="0"/>
      <w:smallCaps/>
      <w:spacing w:val="5"/>
    </w:rPr>
  </w:style>
  <w:style w:type="paragraph" w:styleId="TOCHeading">
    <w:name w:val="TOC Heading"/>
    <w:basedOn w:val="Heading1"/>
    <w:next w:val="Normal"/>
    <w:uiPriority w:val="39"/>
    <w:unhideWhenUsed/>
    <w:qFormat/>
    <w:rsid w:val="00246DA1"/>
    <w:pPr>
      <w:outlineLvl w:val="9"/>
    </w:pPr>
  </w:style>
  <w:style w:type="character" w:styleId="FollowedHyperlink">
    <w:name w:val="FollowedHyperlink"/>
    <w:basedOn w:val="DefaultParagraphFont"/>
    <w:uiPriority w:val="99"/>
    <w:semiHidden/>
    <w:unhideWhenUsed/>
    <w:rsid w:val="0033127C"/>
    <w:rPr>
      <w:color w:val="954F72" w:themeColor="followedHyperlink"/>
      <w:u w:val="single"/>
    </w:rPr>
  </w:style>
  <w:style w:type="character" w:styleId="CommentReference">
    <w:name w:val="annotation reference"/>
    <w:basedOn w:val="DefaultParagraphFont"/>
    <w:uiPriority w:val="99"/>
    <w:semiHidden/>
    <w:unhideWhenUsed/>
    <w:rsid w:val="00560354"/>
    <w:rPr>
      <w:sz w:val="16"/>
      <w:szCs w:val="16"/>
    </w:rPr>
  </w:style>
  <w:style w:type="paragraph" w:styleId="CommentText">
    <w:name w:val="annotation text"/>
    <w:basedOn w:val="Normal"/>
    <w:link w:val="CommentTextChar"/>
    <w:uiPriority w:val="99"/>
    <w:semiHidden/>
    <w:unhideWhenUsed/>
    <w:rsid w:val="00560354"/>
    <w:pPr>
      <w:spacing w:line="240" w:lineRule="auto"/>
    </w:pPr>
    <w:rPr>
      <w:sz w:val="20"/>
      <w:szCs w:val="20"/>
    </w:rPr>
  </w:style>
  <w:style w:type="character" w:customStyle="1" w:styleId="CommentTextChar">
    <w:name w:val="Comment Text Char"/>
    <w:basedOn w:val="DefaultParagraphFont"/>
    <w:link w:val="CommentText"/>
    <w:uiPriority w:val="99"/>
    <w:semiHidden/>
    <w:rsid w:val="00560354"/>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560354"/>
    <w:rPr>
      <w:b/>
      <w:bCs/>
    </w:rPr>
  </w:style>
  <w:style w:type="character" w:customStyle="1" w:styleId="CommentSubjectChar">
    <w:name w:val="Comment Subject Char"/>
    <w:basedOn w:val="CommentTextChar"/>
    <w:link w:val="CommentSubject"/>
    <w:uiPriority w:val="99"/>
    <w:semiHidden/>
    <w:rsid w:val="00560354"/>
    <w:rPr>
      <w:rFonts w:ascii="Times New Roman" w:hAnsi="Times New Roman"/>
      <w:b/>
      <w:bCs/>
      <w:sz w:val="20"/>
      <w:szCs w:val="20"/>
    </w:rPr>
  </w:style>
  <w:style w:type="paragraph" w:styleId="BalloonText">
    <w:name w:val="Balloon Text"/>
    <w:basedOn w:val="Normal"/>
    <w:link w:val="BalloonTextChar"/>
    <w:uiPriority w:val="99"/>
    <w:semiHidden/>
    <w:unhideWhenUsed/>
    <w:rsid w:val="0056035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60354"/>
    <w:rPr>
      <w:rFonts w:ascii="Segoe UI" w:hAnsi="Segoe UI" w:cs="Segoe UI"/>
      <w:sz w:val="18"/>
      <w:szCs w:val="18"/>
    </w:rPr>
  </w:style>
  <w:style w:type="character" w:customStyle="1" w:styleId="articleurl">
    <w:name w:val="articleurl"/>
    <w:basedOn w:val="DefaultParagraphFont"/>
    <w:rsid w:val="008A35A7"/>
  </w:style>
  <w:style w:type="paragraph" w:styleId="TOC1">
    <w:name w:val="toc 1"/>
    <w:basedOn w:val="Normal"/>
    <w:next w:val="Normal"/>
    <w:autoRedefine/>
    <w:uiPriority w:val="39"/>
    <w:unhideWhenUsed/>
    <w:rsid w:val="001D5BDD"/>
    <w:pPr>
      <w:spacing w:after="100"/>
    </w:pPr>
  </w:style>
  <w:style w:type="paragraph" w:styleId="TOC2">
    <w:name w:val="toc 2"/>
    <w:basedOn w:val="Normal"/>
    <w:next w:val="Normal"/>
    <w:autoRedefine/>
    <w:uiPriority w:val="39"/>
    <w:unhideWhenUsed/>
    <w:rsid w:val="001D5BDD"/>
    <w:pPr>
      <w:spacing w:after="100"/>
      <w:ind w:left="240"/>
    </w:pPr>
  </w:style>
  <w:style w:type="paragraph" w:styleId="TOC3">
    <w:name w:val="toc 3"/>
    <w:basedOn w:val="Normal"/>
    <w:next w:val="Normal"/>
    <w:autoRedefine/>
    <w:uiPriority w:val="39"/>
    <w:unhideWhenUsed/>
    <w:rsid w:val="001D5BDD"/>
    <w:pPr>
      <w:spacing w:after="100"/>
      <w:ind w:left="480"/>
    </w:pPr>
  </w:style>
  <w:style w:type="character" w:styleId="PageNumber">
    <w:name w:val="page number"/>
    <w:autoRedefine/>
    <w:rsid w:val="0003461E"/>
    <w:rPr>
      <w:color w:val="000000"/>
    </w:rPr>
  </w:style>
  <w:style w:type="paragraph" w:styleId="HTMLPreformatted">
    <w:name w:val="HTML Preformatted"/>
    <w:basedOn w:val="Normal"/>
    <w:link w:val="HTMLPreformattedChar"/>
    <w:uiPriority w:val="99"/>
    <w:unhideWhenUsed/>
    <w:rsid w:val="00347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rsid w:val="00347FC5"/>
    <w:rPr>
      <w:rFonts w:ascii="Courier New" w:eastAsia="Times New Roman" w:hAnsi="Courier New" w:cs="Courier New"/>
      <w:sz w:val="20"/>
      <w:szCs w:val="20"/>
      <w:lang w:val="en-US"/>
    </w:rPr>
  </w:style>
  <w:style w:type="character" w:customStyle="1" w:styleId="pbold-maroon">
    <w:name w:val="pbold-maroon"/>
    <w:basedOn w:val="DefaultParagraphFont"/>
    <w:rsid w:val="005A516C"/>
  </w:style>
  <w:style w:type="paragraph" w:styleId="Revision">
    <w:name w:val="Revision"/>
    <w:hidden/>
    <w:uiPriority w:val="99"/>
    <w:semiHidden/>
    <w:rsid w:val="00025FCB"/>
    <w:pPr>
      <w:spacing w:after="0" w:line="240" w:lineRule="auto"/>
    </w:pPr>
    <w:rPr>
      <w:rFonts w:ascii="Times New Roman" w:hAnsi="Times New Roman"/>
      <w:sz w:val="24"/>
    </w:rPr>
  </w:style>
  <w:style w:type="paragraph" w:customStyle="1" w:styleId="Default">
    <w:name w:val="Default"/>
    <w:rsid w:val="0081290A"/>
    <w:pPr>
      <w:autoSpaceDE w:val="0"/>
      <w:autoSpaceDN w:val="0"/>
      <w:adjustRightInd w:val="0"/>
      <w:spacing w:after="0" w:line="240" w:lineRule="auto"/>
    </w:pPr>
    <w:rPr>
      <w:rFonts w:ascii="Times New Roman" w:hAnsi="Times New Roman" w:cs="Times New Roman"/>
      <w:color w:val="000000"/>
      <w:sz w:val="24"/>
      <w:szCs w:val="24"/>
      <w:lang w:val="en-US"/>
    </w:rPr>
  </w:style>
  <w:style w:type="paragraph" w:styleId="EndnoteText">
    <w:name w:val="endnote text"/>
    <w:basedOn w:val="Normal"/>
    <w:link w:val="EndnoteTextChar"/>
    <w:uiPriority w:val="99"/>
    <w:semiHidden/>
    <w:unhideWhenUsed/>
    <w:rsid w:val="004411B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411B3"/>
    <w:rPr>
      <w:rFonts w:ascii="Times New Roman" w:hAnsi="Times New Roman"/>
      <w:sz w:val="20"/>
      <w:szCs w:val="20"/>
    </w:rPr>
  </w:style>
  <w:style w:type="character" w:styleId="EndnoteReference">
    <w:name w:val="endnote reference"/>
    <w:basedOn w:val="DefaultParagraphFont"/>
    <w:uiPriority w:val="99"/>
    <w:semiHidden/>
    <w:unhideWhenUsed/>
    <w:rsid w:val="004411B3"/>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6DA1"/>
    <w:pPr>
      <w:spacing w:line="360" w:lineRule="auto"/>
      <w:jc w:val="both"/>
    </w:pPr>
    <w:rPr>
      <w:rFonts w:ascii="Times New Roman" w:hAnsi="Times New Roman"/>
      <w:sz w:val="24"/>
    </w:rPr>
  </w:style>
  <w:style w:type="paragraph" w:styleId="Heading1">
    <w:name w:val="heading 1"/>
    <w:basedOn w:val="Normal"/>
    <w:next w:val="Normal"/>
    <w:link w:val="Heading1Char"/>
    <w:uiPriority w:val="9"/>
    <w:qFormat/>
    <w:rsid w:val="00246DA1"/>
    <w:pPr>
      <w:keepNext/>
      <w:keepLines/>
      <w:numPr>
        <w:numId w:val="12"/>
      </w:numPr>
      <w:pBdr>
        <w:bottom w:val="single" w:sz="4" w:space="1" w:color="595959" w:themeColor="text1" w:themeTint="A6"/>
      </w:pBdr>
      <w:spacing w:before="360"/>
      <w:outlineLvl w:val="0"/>
    </w:pPr>
    <w:rPr>
      <w:rFonts w:eastAsiaTheme="majorEastAsia" w:cstheme="majorBidi"/>
      <w:b/>
      <w:bCs/>
      <w:smallCaps/>
      <w:color w:val="000000" w:themeColor="text1"/>
      <w:sz w:val="28"/>
      <w:szCs w:val="36"/>
    </w:rPr>
  </w:style>
  <w:style w:type="paragraph" w:styleId="Heading2">
    <w:name w:val="heading 2"/>
    <w:basedOn w:val="Normal"/>
    <w:next w:val="Normal"/>
    <w:link w:val="Heading2Char"/>
    <w:uiPriority w:val="9"/>
    <w:unhideWhenUsed/>
    <w:qFormat/>
    <w:rsid w:val="00246DA1"/>
    <w:pPr>
      <w:keepNext/>
      <w:keepLines/>
      <w:numPr>
        <w:ilvl w:val="1"/>
        <w:numId w:val="12"/>
      </w:numPr>
      <w:spacing w:before="240"/>
      <w:ind w:left="578" w:hanging="578"/>
      <w:outlineLvl w:val="1"/>
    </w:pPr>
    <w:rPr>
      <w:rFonts w:eastAsiaTheme="majorEastAsia" w:cstheme="majorBidi"/>
      <w:b/>
      <w:bCs/>
      <w:smallCaps/>
      <w:color w:val="000000" w:themeColor="text1"/>
      <w:szCs w:val="28"/>
    </w:rPr>
  </w:style>
  <w:style w:type="paragraph" w:styleId="Heading3">
    <w:name w:val="heading 3"/>
    <w:basedOn w:val="Normal"/>
    <w:next w:val="Normal"/>
    <w:link w:val="Heading3Char"/>
    <w:uiPriority w:val="9"/>
    <w:unhideWhenUsed/>
    <w:qFormat/>
    <w:rsid w:val="0062697D"/>
    <w:pPr>
      <w:keepNext/>
      <w:keepLines/>
      <w:numPr>
        <w:ilvl w:val="2"/>
        <w:numId w:val="12"/>
      </w:numPr>
      <w:spacing w:before="200" w:after="0"/>
      <w:outlineLvl w:val="2"/>
    </w:pPr>
    <w:rPr>
      <w:rFonts w:eastAsiaTheme="majorEastAsia" w:cstheme="majorBidi"/>
      <w:b/>
      <w:bCs/>
      <w:color w:val="000000" w:themeColor="text1"/>
    </w:rPr>
  </w:style>
  <w:style w:type="paragraph" w:styleId="Heading4">
    <w:name w:val="heading 4"/>
    <w:basedOn w:val="Normal"/>
    <w:next w:val="Normal"/>
    <w:link w:val="Heading4Char"/>
    <w:uiPriority w:val="9"/>
    <w:unhideWhenUsed/>
    <w:qFormat/>
    <w:rsid w:val="00246DA1"/>
    <w:pPr>
      <w:keepNext/>
      <w:keepLines/>
      <w:numPr>
        <w:ilvl w:val="3"/>
        <w:numId w:val="12"/>
      </w:numPr>
      <w:spacing w:before="200" w:after="0"/>
      <w:outlineLvl w:val="3"/>
    </w:pPr>
    <w:rPr>
      <w:rFonts w:asciiTheme="majorHAnsi" w:eastAsiaTheme="majorEastAsia" w:hAnsiTheme="majorHAnsi" w:cstheme="majorBidi"/>
      <w:b/>
      <w:bCs/>
      <w:i/>
      <w:iCs/>
      <w:color w:val="000000" w:themeColor="text1"/>
    </w:rPr>
  </w:style>
  <w:style w:type="paragraph" w:styleId="Heading5">
    <w:name w:val="heading 5"/>
    <w:basedOn w:val="Normal"/>
    <w:next w:val="Normal"/>
    <w:link w:val="Heading5Char"/>
    <w:uiPriority w:val="9"/>
    <w:semiHidden/>
    <w:unhideWhenUsed/>
    <w:qFormat/>
    <w:rsid w:val="00246DA1"/>
    <w:pPr>
      <w:keepNext/>
      <w:keepLines/>
      <w:numPr>
        <w:ilvl w:val="4"/>
        <w:numId w:val="12"/>
      </w:numPr>
      <w:spacing w:before="200" w:after="0"/>
      <w:outlineLvl w:val="4"/>
    </w:pPr>
    <w:rPr>
      <w:rFonts w:asciiTheme="majorHAnsi" w:eastAsiaTheme="majorEastAsia" w:hAnsiTheme="majorHAnsi" w:cstheme="majorBidi"/>
      <w:color w:val="323E4F" w:themeColor="text2" w:themeShade="BF"/>
    </w:rPr>
  </w:style>
  <w:style w:type="paragraph" w:styleId="Heading6">
    <w:name w:val="heading 6"/>
    <w:basedOn w:val="Normal"/>
    <w:next w:val="Normal"/>
    <w:link w:val="Heading6Char"/>
    <w:uiPriority w:val="9"/>
    <w:semiHidden/>
    <w:unhideWhenUsed/>
    <w:qFormat/>
    <w:rsid w:val="00246DA1"/>
    <w:pPr>
      <w:keepNext/>
      <w:keepLines/>
      <w:numPr>
        <w:ilvl w:val="5"/>
        <w:numId w:val="12"/>
      </w:numPr>
      <w:spacing w:before="200" w:after="0"/>
      <w:outlineLvl w:val="5"/>
    </w:pPr>
    <w:rPr>
      <w:rFonts w:asciiTheme="majorHAnsi" w:eastAsiaTheme="majorEastAsia" w:hAnsiTheme="majorHAnsi" w:cstheme="majorBidi"/>
      <w:i/>
      <w:iCs/>
      <w:color w:val="323E4F" w:themeColor="text2" w:themeShade="BF"/>
    </w:rPr>
  </w:style>
  <w:style w:type="paragraph" w:styleId="Heading7">
    <w:name w:val="heading 7"/>
    <w:basedOn w:val="Normal"/>
    <w:next w:val="Normal"/>
    <w:link w:val="Heading7Char"/>
    <w:uiPriority w:val="9"/>
    <w:semiHidden/>
    <w:unhideWhenUsed/>
    <w:qFormat/>
    <w:rsid w:val="00246DA1"/>
    <w:pPr>
      <w:keepNext/>
      <w:keepLines/>
      <w:numPr>
        <w:ilvl w:val="6"/>
        <w:numId w:val="12"/>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246DA1"/>
    <w:pPr>
      <w:keepNext/>
      <w:keepLines/>
      <w:numPr>
        <w:ilvl w:val="7"/>
        <w:numId w:val="12"/>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246DA1"/>
    <w:pPr>
      <w:keepNext/>
      <w:keepLines/>
      <w:numPr>
        <w:ilvl w:val="8"/>
        <w:numId w:val="12"/>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46DA1"/>
    <w:rPr>
      <w:rFonts w:ascii="Times New Roman" w:eastAsiaTheme="majorEastAsia" w:hAnsi="Times New Roman" w:cstheme="majorBidi"/>
      <w:b/>
      <w:bCs/>
      <w:smallCaps/>
      <w:color w:val="000000" w:themeColor="text1"/>
      <w:sz w:val="28"/>
      <w:szCs w:val="36"/>
    </w:rPr>
  </w:style>
  <w:style w:type="character" w:customStyle="1" w:styleId="Heading2Char">
    <w:name w:val="Heading 2 Char"/>
    <w:basedOn w:val="DefaultParagraphFont"/>
    <w:link w:val="Heading2"/>
    <w:uiPriority w:val="9"/>
    <w:rsid w:val="00246DA1"/>
    <w:rPr>
      <w:rFonts w:ascii="Times New Roman" w:eastAsiaTheme="majorEastAsia" w:hAnsi="Times New Roman" w:cstheme="majorBidi"/>
      <w:b/>
      <w:bCs/>
      <w:smallCaps/>
      <w:color w:val="000000" w:themeColor="text1"/>
      <w:sz w:val="24"/>
      <w:szCs w:val="28"/>
    </w:rPr>
  </w:style>
  <w:style w:type="character" w:customStyle="1" w:styleId="Heading3Char">
    <w:name w:val="Heading 3 Char"/>
    <w:basedOn w:val="DefaultParagraphFont"/>
    <w:link w:val="Heading3"/>
    <w:uiPriority w:val="9"/>
    <w:rsid w:val="0062697D"/>
    <w:rPr>
      <w:rFonts w:ascii="Times New Roman" w:eastAsiaTheme="majorEastAsia" w:hAnsi="Times New Roman" w:cstheme="majorBidi"/>
      <w:b/>
      <w:bCs/>
      <w:color w:val="000000" w:themeColor="text1"/>
      <w:sz w:val="24"/>
    </w:rPr>
  </w:style>
  <w:style w:type="character" w:customStyle="1" w:styleId="Heading4Char">
    <w:name w:val="Heading 4 Char"/>
    <w:basedOn w:val="DefaultParagraphFont"/>
    <w:link w:val="Heading4"/>
    <w:uiPriority w:val="9"/>
    <w:rsid w:val="00246DA1"/>
    <w:rPr>
      <w:rFonts w:asciiTheme="majorHAnsi" w:eastAsiaTheme="majorEastAsia" w:hAnsiTheme="majorHAnsi" w:cstheme="majorBidi"/>
      <w:b/>
      <w:bCs/>
      <w:i/>
      <w:iCs/>
      <w:color w:val="000000" w:themeColor="text1"/>
    </w:rPr>
  </w:style>
  <w:style w:type="character" w:customStyle="1" w:styleId="Heading5Char">
    <w:name w:val="Heading 5 Char"/>
    <w:basedOn w:val="DefaultParagraphFont"/>
    <w:link w:val="Heading5"/>
    <w:uiPriority w:val="9"/>
    <w:semiHidden/>
    <w:rsid w:val="00246DA1"/>
    <w:rPr>
      <w:rFonts w:asciiTheme="majorHAnsi" w:eastAsiaTheme="majorEastAsia" w:hAnsiTheme="majorHAnsi" w:cstheme="majorBidi"/>
      <w:color w:val="323E4F" w:themeColor="text2" w:themeShade="BF"/>
    </w:rPr>
  </w:style>
  <w:style w:type="character" w:customStyle="1" w:styleId="Heading6Char">
    <w:name w:val="Heading 6 Char"/>
    <w:basedOn w:val="DefaultParagraphFont"/>
    <w:link w:val="Heading6"/>
    <w:uiPriority w:val="9"/>
    <w:semiHidden/>
    <w:rsid w:val="00246DA1"/>
    <w:rPr>
      <w:rFonts w:asciiTheme="majorHAnsi" w:eastAsiaTheme="majorEastAsia" w:hAnsiTheme="majorHAnsi" w:cstheme="majorBidi"/>
      <w:i/>
      <w:iCs/>
      <w:color w:val="323E4F" w:themeColor="text2" w:themeShade="BF"/>
    </w:rPr>
  </w:style>
  <w:style w:type="character" w:customStyle="1" w:styleId="Heading7Char">
    <w:name w:val="Heading 7 Char"/>
    <w:basedOn w:val="DefaultParagraphFont"/>
    <w:link w:val="Heading7"/>
    <w:uiPriority w:val="9"/>
    <w:semiHidden/>
    <w:rsid w:val="00246DA1"/>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246DA1"/>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246DA1"/>
    <w:rPr>
      <w:rFonts w:asciiTheme="majorHAnsi" w:eastAsiaTheme="majorEastAsia" w:hAnsiTheme="majorHAnsi" w:cstheme="majorBidi"/>
      <w:i/>
      <w:iCs/>
      <w:color w:val="404040" w:themeColor="text1" w:themeTint="BF"/>
      <w:sz w:val="20"/>
      <w:szCs w:val="20"/>
    </w:rPr>
  </w:style>
  <w:style w:type="paragraph" w:styleId="Header">
    <w:name w:val="header"/>
    <w:basedOn w:val="Normal"/>
    <w:link w:val="HeaderChar"/>
    <w:uiPriority w:val="99"/>
    <w:unhideWhenUsed/>
    <w:rsid w:val="009F6317"/>
    <w:pPr>
      <w:tabs>
        <w:tab w:val="center" w:pos="4513"/>
        <w:tab w:val="right" w:pos="9026"/>
      </w:tabs>
      <w:spacing w:after="0" w:line="240" w:lineRule="auto"/>
    </w:pPr>
  </w:style>
  <w:style w:type="character" w:customStyle="1" w:styleId="HeaderChar">
    <w:name w:val="Header Char"/>
    <w:basedOn w:val="DefaultParagraphFont"/>
    <w:link w:val="Header"/>
    <w:uiPriority w:val="99"/>
    <w:rsid w:val="009F6317"/>
    <w:rPr>
      <w:rFonts w:ascii="Times New Roman" w:hAnsi="Times New Roman"/>
      <w:sz w:val="24"/>
    </w:rPr>
  </w:style>
  <w:style w:type="paragraph" w:styleId="Footer">
    <w:name w:val="footer"/>
    <w:basedOn w:val="Normal"/>
    <w:link w:val="FooterChar"/>
    <w:uiPriority w:val="99"/>
    <w:unhideWhenUsed/>
    <w:rsid w:val="009F6317"/>
    <w:pPr>
      <w:tabs>
        <w:tab w:val="center" w:pos="4513"/>
        <w:tab w:val="right" w:pos="9026"/>
      </w:tabs>
      <w:spacing w:after="0" w:line="240" w:lineRule="auto"/>
    </w:pPr>
  </w:style>
  <w:style w:type="character" w:customStyle="1" w:styleId="FooterChar">
    <w:name w:val="Footer Char"/>
    <w:basedOn w:val="DefaultParagraphFont"/>
    <w:link w:val="Footer"/>
    <w:uiPriority w:val="99"/>
    <w:rsid w:val="009F6317"/>
    <w:rPr>
      <w:rFonts w:ascii="Times New Roman" w:hAnsi="Times New Roman"/>
      <w:sz w:val="24"/>
    </w:rPr>
  </w:style>
  <w:style w:type="paragraph" w:styleId="NoSpacing">
    <w:name w:val="No Spacing"/>
    <w:aliases w:val="Footnotes"/>
    <w:link w:val="NoSpacingChar"/>
    <w:uiPriority w:val="1"/>
    <w:qFormat/>
    <w:rsid w:val="00500F20"/>
    <w:pPr>
      <w:spacing w:after="0" w:line="240" w:lineRule="auto"/>
    </w:pPr>
    <w:rPr>
      <w:rFonts w:ascii="Times New Roman" w:hAnsi="Times New Roman"/>
      <w:sz w:val="20"/>
    </w:rPr>
  </w:style>
  <w:style w:type="character" w:customStyle="1" w:styleId="NoSpacingChar">
    <w:name w:val="No Spacing Char"/>
    <w:aliases w:val="Footnotes Char"/>
    <w:basedOn w:val="DefaultParagraphFont"/>
    <w:link w:val="NoSpacing"/>
    <w:uiPriority w:val="1"/>
    <w:rsid w:val="00500F20"/>
    <w:rPr>
      <w:rFonts w:ascii="Times New Roman" w:hAnsi="Times New Roman"/>
      <w:sz w:val="20"/>
    </w:rPr>
  </w:style>
  <w:style w:type="paragraph" w:styleId="ListParagraph">
    <w:name w:val="List Paragraph"/>
    <w:basedOn w:val="Normal"/>
    <w:uiPriority w:val="34"/>
    <w:qFormat/>
    <w:rsid w:val="00FB1927"/>
    <w:pPr>
      <w:ind w:left="720"/>
      <w:contextualSpacing/>
    </w:pPr>
  </w:style>
  <w:style w:type="paragraph" w:styleId="FootnoteText">
    <w:name w:val="footnote text"/>
    <w:basedOn w:val="Normal"/>
    <w:link w:val="FootnoteTextChar"/>
    <w:uiPriority w:val="99"/>
    <w:unhideWhenUsed/>
    <w:rsid w:val="00371D8E"/>
    <w:pPr>
      <w:spacing w:after="0" w:line="240" w:lineRule="auto"/>
    </w:pPr>
    <w:rPr>
      <w:sz w:val="20"/>
      <w:szCs w:val="20"/>
    </w:rPr>
  </w:style>
  <w:style w:type="character" w:customStyle="1" w:styleId="FootnoteTextChar">
    <w:name w:val="Footnote Text Char"/>
    <w:basedOn w:val="DefaultParagraphFont"/>
    <w:link w:val="FootnoteText"/>
    <w:uiPriority w:val="99"/>
    <w:rsid w:val="00371D8E"/>
    <w:rPr>
      <w:rFonts w:ascii="Times New Roman" w:hAnsi="Times New Roman"/>
      <w:sz w:val="20"/>
      <w:szCs w:val="20"/>
    </w:rPr>
  </w:style>
  <w:style w:type="character" w:styleId="FootnoteReference">
    <w:name w:val="footnote reference"/>
    <w:basedOn w:val="DefaultParagraphFont"/>
    <w:uiPriority w:val="99"/>
    <w:semiHidden/>
    <w:unhideWhenUsed/>
    <w:rsid w:val="00371D8E"/>
    <w:rPr>
      <w:vertAlign w:val="superscript"/>
    </w:rPr>
  </w:style>
  <w:style w:type="character" w:styleId="Hyperlink">
    <w:name w:val="Hyperlink"/>
    <w:basedOn w:val="DefaultParagraphFont"/>
    <w:uiPriority w:val="99"/>
    <w:unhideWhenUsed/>
    <w:rsid w:val="00B10B4D"/>
    <w:rPr>
      <w:color w:val="0563C1" w:themeColor="hyperlink"/>
      <w:u w:val="single"/>
    </w:rPr>
  </w:style>
  <w:style w:type="paragraph" w:styleId="NormalWeb">
    <w:name w:val="Normal (Web)"/>
    <w:basedOn w:val="Normal"/>
    <w:uiPriority w:val="99"/>
    <w:unhideWhenUsed/>
    <w:rsid w:val="00226731"/>
    <w:pPr>
      <w:spacing w:before="100" w:beforeAutospacing="1" w:after="100" w:afterAutospacing="1" w:line="240" w:lineRule="auto"/>
      <w:jc w:val="left"/>
    </w:pPr>
    <w:rPr>
      <w:rFonts w:eastAsia="Times New Roman" w:cs="Times New Roman"/>
      <w:szCs w:val="24"/>
      <w:lang w:eastAsia="en-GB"/>
    </w:rPr>
  </w:style>
  <w:style w:type="character" w:customStyle="1" w:styleId="apple-converted-space">
    <w:name w:val="apple-converted-space"/>
    <w:basedOn w:val="DefaultParagraphFont"/>
    <w:rsid w:val="00226731"/>
  </w:style>
  <w:style w:type="paragraph" w:styleId="Caption">
    <w:name w:val="caption"/>
    <w:basedOn w:val="Normal"/>
    <w:next w:val="Normal"/>
    <w:uiPriority w:val="35"/>
    <w:semiHidden/>
    <w:unhideWhenUsed/>
    <w:qFormat/>
    <w:rsid w:val="00246DA1"/>
    <w:pPr>
      <w:spacing w:after="200" w:line="240" w:lineRule="auto"/>
    </w:pPr>
    <w:rPr>
      <w:i/>
      <w:iCs/>
      <w:color w:val="44546A" w:themeColor="text2"/>
      <w:sz w:val="18"/>
      <w:szCs w:val="18"/>
    </w:rPr>
  </w:style>
  <w:style w:type="paragraph" w:styleId="Title">
    <w:name w:val="Title"/>
    <w:basedOn w:val="Normal"/>
    <w:next w:val="Normal"/>
    <w:link w:val="TitleChar"/>
    <w:uiPriority w:val="10"/>
    <w:qFormat/>
    <w:rsid w:val="00246DA1"/>
    <w:pPr>
      <w:spacing w:after="0" w:line="240" w:lineRule="auto"/>
      <w:contextualSpacing/>
    </w:pPr>
    <w:rPr>
      <w:rFonts w:asciiTheme="majorHAnsi" w:eastAsiaTheme="majorEastAsia" w:hAnsiTheme="majorHAnsi" w:cstheme="majorBidi"/>
      <w:color w:val="000000" w:themeColor="text1"/>
      <w:sz w:val="56"/>
      <w:szCs w:val="56"/>
    </w:rPr>
  </w:style>
  <w:style w:type="character" w:customStyle="1" w:styleId="TitleChar">
    <w:name w:val="Title Char"/>
    <w:basedOn w:val="DefaultParagraphFont"/>
    <w:link w:val="Title"/>
    <w:uiPriority w:val="10"/>
    <w:rsid w:val="00246DA1"/>
    <w:rPr>
      <w:rFonts w:asciiTheme="majorHAnsi" w:eastAsiaTheme="majorEastAsia" w:hAnsiTheme="majorHAnsi" w:cstheme="majorBidi"/>
      <w:color w:val="000000" w:themeColor="text1"/>
      <w:sz w:val="56"/>
      <w:szCs w:val="56"/>
    </w:rPr>
  </w:style>
  <w:style w:type="paragraph" w:styleId="Subtitle">
    <w:name w:val="Subtitle"/>
    <w:aliases w:val="Quotes"/>
    <w:basedOn w:val="Normal"/>
    <w:next w:val="Normal"/>
    <w:link w:val="SubtitleChar"/>
    <w:uiPriority w:val="11"/>
    <w:qFormat/>
    <w:rsid w:val="003A6406"/>
    <w:pPr>
      <w:numPr>
        <w:ilvl w:val="1"/>
      </w:numPr>
      <w:spacing w:after="240" w:line="240" w:lineRule="auto"/>
      <w:ind w:left="706" w:right="706"/>
    </w:pPr>
    <w:rPr>
      <w:color w:val="000000" w:themeColor="text1"/>
      <w:spacing w:val="10"/>
      <w:sz w:val="20"/>
    </w:rPr>
  </w:style>
  <w:style w:type="character" w:customStyle="1" w:styleId="SubtitleChar">
    <w:name w:val="Subtitle Char"/>
    <w:aliases w:val="Quotes Char"/>
    <w:basedOn w:val="DefaultParagraphFont"/>
    <w:link w:val="Subtitle"/>
    <w:uiPriority w:val="11"/>
    <w:rsid w:val="003A6406"/>
    <w:rPr>
      <w:rFonts w:ascii="Times New Roman" w:hAnsi="Times New Roman"/>
      <w:color w:val="000000" w:themeColor="text1"/>
      <w:spacing w:val="10"/>
      <w:sz w:val="20"/>
    </w:rPr>
  </w:style>
  <w:style w:type="character" w:styleId="Strong">
    <w:name w:val="Strong"/>
    <w:basedOn w:val="DefaultParagraphFont"/>
    <w:uiPriority w:val="22"/>
    <w:qFormat/>
    <w:rsid w:val="00246DA1"/>
    <w:rPr>
      <w:b/>
      <w:bCs/>
      <w:color w:val="000000" w:themeColor="text1"/>
    </w:rPr>
  </w:style>
  <w:style w:type="character" w:styleId="Emphasis">
    <w:name w:val="Emphasis"/>
    <w:basedOn w:val="DefaultParagraphFont"/>
    <w:uiPriority w:val="20"/>
    <w:qFormat/>
    <w:rsid w:val="00246DA1"/>
    <w:rPr>
      <w:i/>
      <w:iCs/>
      <w:color w:val="auto"/>
    </w:rPr>
  </w:style>
  <w:style w:type="paragraph" w:styleId="Quote">
    <w:name w:val="Quote"/>
    <w:basedOn w:val="Normal"/>
    <w:next w:val="Normal"/>
    <w:link w:val="QuoteChar"/>
    <w:uiPriority w:val="29"/>
    <w:qFormat/>
    <w:rsid w:val="00246DA1"/>
    <w:pPr>
      <w:spacing w:before="160"/>
      <w:ind w:left="720" w:right="720"/>
    </w:pPr>
    <w:rPr>
      <w:i/>
      <w:iCs/>
      <w:color w:val="000000" w:themeColor="text1"/>
    </w:rPr>
  </w:style>
  <w:style w:type="character" w:customStyle="1" w:styleId="QuoteChar">
    <w:name w:val="Quote Char"/>
    <w:basedOn w:val="DefaultParagraphFont"/>
    <w:link w:val="Quote"/>
    <w:uiPriority w:val="29"/>
    <w:rsid w:val="00246DA1"/>
    <w:rPr>
      <w:i/>
      <w:iCs/>
      <w:color w:val="000000" w:themeColor="text1"/>
    </w:rPr>
  </w:style>
  <w:style w:type="paragraph" w:styleId="IntenseQuote">
    <w:name w:val="Intense Quote"/>
    <w:basedOn w:val="Normal"/>
    <w:next w:val="Normal"/>
    <w:link w:val="IntenseQuoteChar"/>
    <w:uiPriority w:val="30"/>
    <w:qFormat/>
    <w:rsid w:val="00246DA1"/>
    <w:pPr>
      <w:pBdr>
        <w:top w:val="single" w:sz="24" w:space="1" w:color="F2F2F2" w:themeColor="background1" w:themeShade="F2"/>
        <w:bottom w:val="single" w:sz="24" w:space="1" w:color="F2F2F2" w:themeColor="background1" w:themeShade="F2"/>
      </w:pBdr>
      <w:shd w:val="clear" w:color="auto" w:fill="F2F2F2" w:themeFill="background1" w:themeFillShade="F2"/>
      <w:spacing w:before="240" w:after="240"/>
      <w:ind w:left="936" w:right="936"/>
      <w:jc w:val="center"/>
    </w:pPr>
    <w:rPr>
      <w:color w:val="000000" w:themeColor="text1"/>
    </w:rPr>
  </w:style>
  <w:style w:type="character" w:customStyle="1" w:styleId="IntenseQuoteChar">
    <w:name w:val="Intense Quote Char"/>
    <w:basedOn w:val="DefaultParagraphFont"/>
    <w:link w:val="IntenseQuote"/>
    <w:uiPriority w:val="30"/>
    <w:rsid w:val="00246DA1"/>
    <w:rPr>
      <w:color w:val="000000" w:themeColor="text1"/>
      <w:shd w:val="clear" w:color="auto" w:fill="F2F2F2" w:themeFill="background1" w:themeFillShade="F2"/>
    </w:rPr>
  </w:style>
  <w:style w:type="character" w:styleId="SubtleEmphasis">
    <w:name w:val="Subtle Emphasis"/>
    <w:basedOn w:val="DefaultParagraphFont"/>
    <w:uiPriority w:val="19"/>
    <w:qFormat/>
    <w:rsid w:val="00246DA1"/>
    <w:rPr>
      <w:i/>
      <w:iCs/>
      <w:color w:val="404040" w:themeColor="text1" w:themeTint="BF"/>
    </w:rPr>
  </w:style>
  <w:style w:type="character" w:styleId="IntenseEmphasis">
    <w:name w:val="Intense Emphasis"/>
    <w:basedOn w:val="DefaultParagraphFont"/>
    <w:uiPriority w:val="21"/>
    <w:qFormat/>
    <w:rsid w:val="00246DA1"/>
    <w:rPr>
      <w:b/>
      <w:bCs/>
      <w:i/>
      <w:iCs/>
      <w:caps/>
    </w:rPr>
  </w:style>
  <w:style w:type="character" w:styleId="SubtleReference">
    <w:name w:val="Subtle Reference"/>
    <w:basedOn w:val="DefaultParagraphFont"/>
    <w:uiPriority w:val="31"/>
    <w:qFormat/>
    <w:rsid w:val="00246DA1"/>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246DA1"/>
    <w:rPr>
      <w:b/>
      <w:bCs/>
      <w:smallCaps/>
      <w:u w:val="single"/>
    </w:rPr>
  </w:style>
  <w:style w:type="character" w:styleId="BookTitle">
    <w:name w:val="Book Title"/>
    <w:basedOn w:val="DefaultParagraphFont"/>
    <w:uiPriority w:val="33"/>
    <w:qFormat/>
    <w:rsid w:val="00246DA1"/>
    <w:rPr>
      <w:b w:val="0"/>
      <w:bCs w:val="0"/>
      <w:smallCaps/>
      <w:spacing w:val="5"/>
    </w:rPr>
  </w:style>
  <w:style w:type="paragraph" w:styleId="TOCHeading">
    <w:name w:val="TOC Heading"/>
    <w:basedOn w:val="Heading1"/>
    <w:next w:val="Normal"/>
    <w:uiPriority w:val="39"/>
    <w:unhideWhenUsed/>
    <w:qFormat/>
    <w:rsid w:val="00246DA1"/>
    <w:pPr>
      <w:outlineLvl w:val="9"/>
    </w:pPr>
  </w:style>
  <w:style w:type="character" w:styleId="FollowedHyperlink">
    <w:name w:val="FollowedHyperlink"/>
    <w:basedOn w:val="DefaultParagraphFont"/>
    <w:uiPriority w:val="99"/>
    <w:semiHidden/>
    <w:unhideWhenUsed/>
    <w:rsid w:val="0033127C"/>
    <w:rPr>
      <w:color w:val="954F72" w:themeColor="followedHyperlink"/>
      <w:u w:val="single"/>
    </w:rPr>
  </w:style>
  <w:style w:type="character" w:styleId="CommentReference">
    <w:name w:val="annotation reference"/>
    <w:basedOn w:val="DefaultParagraphFont"/>
    <w:uiPriority w:val="99"/>
    <w:semiHidden/>
    <w:unhideWhenUsed/>
    <w:rsid w:val="00560354"/>
    <w:rPr>
      <w:sz w:val="16"/>
      <w:szCs w:val="16"/>
    </w:rPr>
  </w:style>
  <w:style w:type="paragraph" w:styleId="CommentText">
    <w:name w:val="annotation text"/>
    <w:basedOn w:val="Normal"/>
    <w:link w:val="CommentTextChar"/>
    <w:uiPriority w:val="99"/>
    <w:semiHidden/>
    <w:unhideWhenUsed/>
    <w:rsid w:val="00560354"/>
    <w:pPr>
      <w:spacing w:line="240" w:lineRule="auto"/>
    </w:pPr>
    <w:rPr>
      <w:sz w:val="20"/>
      <w:szCs w:val="20"/>
    </w:rPr>
  </w:style>
  <w:style w:type="character" w:customStyle="1" w:styleId="CommentTextChar">
    <w:name w:val="Comment Text Char"/>
    <w:basedOn w:val="DefaultParagraphFont"/>
    <w:link w:val="CommentText"/>
    <w:uiPriority w:val="99"/>
    <w:semiHidden/>
    <w:rsid w:val="00560354"/>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560354"/>
    <w:rPr>
      <w:b/>
      <w:bCs/>
    </w:rPr>
  </w:style>
  <w:style w:type="character" w:customStyle="1" w:styleId="CommentSubjectChar">
    <w:name w:val="Comment Subject Char"/>
    <w:basedOn w:val="CommentTextChar"/>
    <w:link w:val="CommentSubject"/>
    <w:uiPriority w:val="99"/>
    <w:semiHidden/>
    <w:rsid w:val="00560354"/>
    <w:rPr>
      <w:rFonts w:ascii="Times New Roman" w:hAnsi="Times New Roman"/>
      <w:b/>
      <w:bCs/>
      <w:sz w:val="20"/>
      <w:szCs w:val="20"/>
    </w:rPr>
  </w:style>
  <w:style w:type="paragraph" w:styleId="BalloonText">
    <w:name w:val="Balloon Text"/>
    <w:basedOn w:val="Normal"/>
    <w:link w:val="BalloonTextChar"/>
    <w:uiPriority w:val="99"/>
    <w:semiHidden/>
    <w:unhideWhenUsed/>
    <w:rsid w:val="0056035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60354"/>
    <w:rPr>
      <w:rFonts w:ascii="Segoe UI" w:hAnsi="Segoe UI" w:cs="Segoe UI"/>
      <w:sz w:val="18"/>
      <w:szCs w:val="18"/>
    </w:rPr>
  </w:style>
  <w:style w:type="character" w:customStyle="1" w:styleId="articleurl">
    <w:name w:val="articleurl"/>
    <w:basedOn w:val="DefaultParagraphFont"/>
    <w:rsid w:val="008A35A7"/>
  </w:style>
  <w:style w:type="paragraph" w:styleId="TOC1">
    <w:name w:val="toc 1"/>
    <w:basedOn w:val="Normal"/>
    <w:next w:val="Normal"/>
    <w:autoRedefine/>
    <w:uiPriority w:val="39"/>
    <w:unhideWhenUsed/>
    <w:rsid w:val="001D5BDD"/>
    <w:pPr>
      <w:spacing w:after="100"/>
    </w:pPr>
  </w:style>
  <w:style w:type="paragraph" w:styleId="TOC2">
    <w:name w:val="toc 2"/>
    <w:basedOn w:val="Normal"/>
    <w:next w:val="Normal"/>
    <w:autoRedefine/>
    <w:uiPriority w:val="39"/>
    <w:unhideWhenUsed/>
    <w:rsid w:val="001D5BDD"/>
    <w:pPr>
      <w:spacing w:after="100"/>
      <w:ind w:left="240"/>
    </w:pPr>
  </w:style>
  <w:style w:type="paragraph" w:styleId="TOC3">
    <w:name w:val="toc 3"/>
    <w:basedOn w:val="Normal"/>
    <w:next w:val="Normal"/>
    <w:autoRedefine/>
    <w:uiPriority w:val="39"/>
    <w:unhideWhenUsed/>
    <w:rsid w:val="001D5BDD"/>
    <w:pPr>
      <w:spacing w:after="100"/>
      <w:ind w:left="480"/>
    </w:pPr>
  </w:style>
  <w:style w:type="character" w:styleId="PageNumber">
    <w:name w:val="page number"/>
    <w:autoRedefine/>
    <w:rsid w:val="0003461E"/>
    <w:rPr>
      <w:color w:val="000000"/>
    </w:rPr>
  </w:style>
  <w:style w:type="paragraph" w:styleId="HTMLPreformatted">
    <w:name w:val="HTML Preformatted"/>
    <w:basedOn w:val="Normal"/>
    <w:link w:val="HTMLPreformattedChar"/>
    <w:uiPriority w:val="99"/>
    <w:unhideWhenUsed/>
    <w:rsid w:val="00347F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lang w:val="en-US"/>
    </w:rPr>
  </w:style>
  <w:style w:type="character" w:customStyle="1" w:styleId="HTMLPreformattedChar">
    <w:name w:val="HTML Preformatted Char"/>
    <w:basedOn w:val="DefaultParagraphFont"/>
    <w:link w:val="HTMLPreformatted"/>
    <w:uiPriority w:val="99"/>
    <w:rsid w:val="00347FC5"/>
    <w:rPr>
      <w:rFonts w:ascii="Courier New" w:eastAsia="Times New Roman" w:hAnsi="Courier New" w:cs="Courier New"/>
      <w:sz w:val="20"/>
      <w:szCs w:val="20"/>
      <w:lang w:val="en-US"/>
    </w:rPr>
  </w:style>
  <w:style w:type="character" w:customStyle="1" w:styleId="pbold-maroon">
    <w:name w:val="pbold-maroon"/>
    <w:basedOn w:val="DefaultParagraphFont"/>
    <w:rsid w:val="005A516C"/>
  </w:style>
  <w:style w:type="paragraph" w:styleId="Revision">
    <w:name w:val="Revision"/>
    <w:hidden/>
    <w:uiPriority w:val="99"/>
    <w:semiHidden/>
    <w:rsid w:val="00025FCB"/>
    <w:pPr>
      <w:spacing w:after="0" w:line="240" w:lineRule="auto"/>
    </w:pPr>
    <w:rPr>
      <w:rFonts w:ascii="Times New Roman" w:hAnsi="Times New Roman"/>
      <w:sz w:val="24"/>
    </w:rPr>
  </w:style>
  <w:style w:type="paragraph" w:customStyle="1" w:styleId="Default">
    <w:name w:val="Default"/>
    <w:rsid w:val="0081290A"/>
    <w:pPr>
      <w:autoSpaceDE w:val="0"/>
      <w:autoSpaceDN w:val="0"/>
      <w:adjustRightInd w:val="0"/>
      <w:spacing w:after="0" w:line="240" w:lineRule="auto"/>
    </w:pPr>
    <w:rPr>
      <w:rFonts w:ascii="Times New Roman" w:hAnsi="Times New Roman" w:cs="Times New Roman"/>
      <w:color w:val="000000"/>
      <w:sz w:val="24"/>
      <w:szCs w:val="24"/>
      <w:lang w:val="en-US"/>
    </w:rPr>
  </w:style>
  <w:style w:type="paragraph" w:styleId="EndnoteText">
    <w:name w:val="endnote text"/>
    <w:basedOn w:val="Normal"/>
    <w:link w:val="EndnoteTextChar"/>
    <w:uiPriority w:val="99"/>
    <w:semiHidden/>
    <w:unhideWhenUsed/>
    <w:rsid w:val="004411B3"/>
    <w:pPr>
      <w:spacing w:after="0" w:line="240" w:lineRule="auto"/>
    </w:pPr>
    <w:rPr>
      <w:sz w:val="20"/>
      <w:szCs w:val="20"/>
    </w:rPr>
  </w:style>
  <w:style w:type="character" w:customStyle="1" w:styleId="EndnoteTextChar">
    <w:name w:val="Endnote Text Char"/>
    <w:basedOn w:val="DefaultParagraphFont"/>
    <w:link w:val="EndnoteText"/>
    <w:uiPriority w:val="99"/>
    <w:semiHidden/>
    <w:rsid w:val="004411B3"/>
    <w:rPr>
      <w:rFonts w:ascii="Times New Roman" w:hAnsi="Times New Roman"/>
      <w:sz w:val="20"/>
      <w:szCs w:val="20"/>
    </w:rPr>
  </w:style>
  <w:style w:type="character" w:styleId="EndnoteReference">
    <w:name w:val="endnote reference"/>
    <w:basedOn w:val="DefaultParagraphFont"/>
    <w:uiPriority w:val="99"/>
    <w:semiHidden/>
    <w:unhideWhenUsed/>
    <w:rsid w:val="004411B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298819">
      <w:bodyDiv w:val="1"/>
      <w:marLeft w:val="0"/>
      <w:marRight w:val="0"/>
      <w:marTop w:val="0"/>
      <w:marBottom w:val="0"/>
      <w:divBdr>
        <w:top w:val="none" w:sz="0" w:space="0" w:color="auto"/>
        <w:left w:val="none" w:sz="0" w:space="0" w:color="auto"/>
        <w:bottom w:val="none" w:sz="0" w:space="0" w:color="auto"/>
        <w:right w:val="none" w:sz="0" w:space="0" w:color="auto"/>
      </w:divBdr>
    </w:div>
    <w:div w:id="225262893">
      <w:bodyDiv w:val="1"/>
      <w:marLeft w:val="0"/>
      <w:marRight w:val="0"/>
      <w:marTop w:val="0"/>
      <w:marBottom w:val="0"/>
      <w:divBdr>
        <w:top w:val="none" w:sz="0" w:space="0" w:color="auto"/>
        <w:left w:val="none" w:sz="0" w:space="0" w:color="auto"/>
        <w:bottom w:val="none" w:sz="0" w:space="0" w:color="auto"/>
        <w:right w:val="none" w:sz="0" w:space="0" w:color="auto"/>
      </w:divBdr>
    </w:div>
    <w:div w:id="234976763">
      <w:bodyDiv w:val="1"/>
      <w:marLeft w:val="0"/>
      <w:marRight w:val="0"/>
      <w:marTop w:val="0"/>
      <w:marBottom w:val="0"/>
      <w:divBdr>
        <w:top w:val="none" w:sz="0" w:space="0" w:color="auto"/>
        <w:left w:val="none" w:sz="0" w:space="0" w:color="auto"/>
        <w:bottom w:val="none" w:sz="0" w:space="0" w:color="auto"/>
        <w:right w:val="none" w:sz="0" w:space="0" w:color="auto"/>
      </w:divBdr>
    </w:div>
    <w:div w:id="237063563">
      <w:bodyDiv w:val="1"/>
      <w:marLeft w:val="0"/>
      <w:marRight w:val="0"/>
      <w:marTop w:val="0"/>
      <w:marBottom w:val="0"/>
      <w:divBdr>
        <w:top w:val="none" w:sz="0" w:space="0" w:color="auto"/>
        <w:left w:val="none" w:sz="0" w:space="0" w:color="auto"/>
        <w:bottom w:val="none" w:sz="0" w:space="0" w:color="auto"/>
        <w:right w:val="none" w:sz="0" w:space="0" w:color="auto"/>
      </w:divBdr>
    </w:div>
    <w:div w:id="615983176">
      <w:bodyDiv w:val="1"/>
      <w:marLeft w:val="0"/>
      <w:marRight w:val="0"/>
      <w:marTop w:val="0"/>
      <w:marBottom w:val="0"/>
      <w:divBdr>
        <w:top w:val="none" w:sz="0" w:space="0" w:color="auto"/>
        <w:left w:val="none" w:sz="0" w:space="0" w:color="auto"/>
        <w:bottom w:val="none" w:sz="0" w:space="0" w:color="auto"/>
        <w:right w:val="none" w:sz="0" w:space="0" w:color="auto"/>
      </w:divBdr>
    </w:div>
    <w:div w:id="653949928">
      <w:bodyDiv w:val="1"/>
      <w:marLeft w:val="0"/>
      <w:marRight w:val="0"/>
      <w:marTop w:val="0"/>
      <w:marBottom w:val="0"/>
      <w:divBdr>
        <w:top w:val="none" w:sz="0" w:space="0" w:color="auto"/>
        <w:left w:val="none" w:sz="0" w:space="0" w:color="auto"/>
        <w:bottom w:val="none" w:sz="0" w:space="0" w:color="auto"/>
        <w:right w:val="none" w:sz="0" w:space="0" w:color="auto"/>
      </w:divBdr>
    </w:div>
    <w:div w:id="771248420">
      <w:bodyDiv w:val="1"/>
      <w:marLeft w:val="0"/>
      <w:marRight w:val="0"/>
      <w:marTop w:val="0"/>
      <w:marBottom w:val="0"/>
      <w:divBdr>
        <w:top w:val="none" w:sz="0" w:space="0" w:color="auto"/>
        <w:left w:val="none" w:sz="0" w:space="0" w:color="auto"/>
        <w:bottom w:val="none" w:sz="0" w:space="0" w:color="auto"/>
        <w:right w:val="none" w:sz="0" w:space="0" w:color="auto"/>
      </w:divBdr>
    </w:div>
    <w:div w:id="915438872">
      <w:bodyDiv w:val="1"/>
      <w:marLeft w:val="0"/>
      <w:marRight w:val="0"/>
      <w:marTop w:val="0"/>
      <w:marBottom w:val="0"/>
      <w:divBdr>
        <w:top w:val="none" w:sz="0" w:space="0" w:color="auto"/>
        <w:left w:val="none" w:sz="0" w:space="0" w:color="auto"/>
        <w:bottom w:val="none" w:sz="0" w:space="0" w:color="auto"/>
        <w:right w:val="none" w:sz="0" w:space="0" w:color="auto"/>
      </w:divBdr>
    </w:div>
    <w:div w:id="925185919">
      <w:bodyDiv w:val="1"/>
      <w:marLeft w:val="0"/>
      <w:marRight w:val="0"/>
      <w:marTop w:val="0"/>
      <w:marBottom w:val="0"/>
      <w:divBdr>
        <w:top w:val="none" w:sz="0" w:space="0" w:color="auto"/>
        <w:left w:val="none" w:sz="0" w:space="0" w:color="auto"/>
        <w:bottom w:val="none" w:sz="0" w:space="0" w:color="auto"/>
        <w:right w:val="none" w:sz="0" w:space="0" w:color="auto"/>
      </w:divBdr>
    </w:div>
    <w:div w:id="1053507528">
      <w:bodyDiv w:val="1"/>
      <w:marLeft w:val="0"/>
      <w:marRight w:val="0"/>
      <w:marTop w:val="0"/>
      <w:marBottom w:val="0"/>
      <w:divBdr>
        <w:top w:val="none" w:sz="0" w:space="0" w:color="auto"/>
        <w:left w:val="none" w:sz="0" w:space="0" w:color="auto"/>
        <w:bottom w:val="none" w:sz="0" w:space="0" w:color="auto"/>
        <w:right w:val="none" w:sz="0" w:space="0" w:color="auto"/>
      </w:divBdr>
    </w:div>
    <w:div w:id="1066339027">
      <w:bodyDiv w:val="1"/>
      <w:marLeft w:val="0"/>
      <w:marRight w:val="0"/>
      <w:marTop w:val="0"/>
      <w:marBottom w:val="0"/>
      <w:divBdr>
        <w:top w:val="none" w:sz="0" w:space="0" w:color="auto"/>
        <w:left w:val="none" w:sz="0" w:space="0" w:color="auto"/>
        <w:bottom w:val="none" w:sz="0" w:space="0" w:color="auto"/>
        <w:right w:val="none" w:sz="0" w:space="0" w:color="auto"/>
      </w:divBdr>
    </w:div>
    <w:div w:id="1131826040">
      <w:bodyDiv w:val="1"/>
      <w:marLeft w:val="0"/>
      <w:marRight w:val="0"/>
      <w:marTop w:val="0"/>
      <w:marBottom w:val="0"/>
      <w:divBdr>
        <w:top w:val="none" w:sz="0" w:space="0" w:color="auto"/>
        <w:left w:val="none" w:sz="0" w:space="0" w:color="auto"/>
        <w:bottom w:val="none" w:sz="0" w:space="0" w:color="auto"/>
        <w:right w:val="none" w:sz="0" w:space="0" w:color="auto"/>
      </w:divBdr>
      <w:divsChild>
        <w:div w:id="852065811">
          <w:marLeft w:val="0"/>
          <w:marRight w:val="0"/>
          <w:marTop w:val="0"/>
          <w:marBottom w:val="0"/>
          <w:divBdr>
            <w:top w:val="single" w:sz="6" w:space="10" w:color="E5E5E5"/>
            <w:left w:val="single" w:sz="2" w:space="0" w:color="E5E5E5"/>
            <w:bottom w:val="single" w:sz="6" w:space="19" w:color="E5E5E5"/>
            <w:right w:val="single" w:sz="2" w:space="0" w:color="E5E5E5"/>
          </w:divBdr>
          <w:divsChild>
            <w:div w:id="263153259">
              <w:marLeft w:val="0"/>
              <w:marRight w:val="0"/>
              <w:marTop w:val="0"/>
              <w:marBottom w:val="0"/>
              <w:divBdr>
                <w:top w:val="none" w:sz="0" w:space="0" w:color="auto"/>
                <w:left w:val="none" w:sz="0" w:space="0" w:color="auto"/>
                <w:bottom w:val="none" w:sz="0" w:space="0" w:color="auto"/>
                <w:right w:val="none" w:sz="0" w:space="0" w:color="auto"/>
              </w:divBdr>
            </w:div>
            <w:div w:id="326710920">
              <w:marLeft w:val="0"/>
              <w:marRight w:val="345"/>
              <w:marTop w:val="0"/>
              <w:marBottom w:val="240"/>
              <w:divBdr>
                <w:top w:val="none" w:sz="0" w:space="0" w:color="auto"/>
                <w:left w:val="none" w:sz="0" w:space="0" w:color="auto"/>
                <w:bottom w:val="none" w:sz="0" w:space="0" w:color="auto"/>
                <w:right w:val="none" w:sz="0" w:space="0" w:color="auto"/>
              </w:divBdr>
            </w:div>
          </w:divsChild>
        </w:div>
      </w:divsChild>
    </w:div>
    <w:div w:id="1162963032">
      <w:bodyDiv w:val="1"/>
      <w:marLeft w:val="0"/>
      <w:marRight w:val="0"/>
      <w:marTop w:val="0"/>
      <w:marBottom w:val="0"/>
      <w:divBdr>
        <w:top w:val="none" w:sz="0" w:space="0" w:color="auto"/>
        <w:left w:val="none" w:sz="0" w:space="0" w:color="auto"/>
        <w:bottom w:val="none" w:sz="0" w:space="0" w:color="auto"/>
        <w:right w:val="none" w:sz="0" w:space="0" w:color="auto"/>
      </w:divBdr>
      <w:divsChild>
        <w:div w:id="1720395420">
          <w:marLeft w:val="0"/>
          <w:marRight w:val="0"/>
          <w:marTop w:val="0"/>
          <w:marBottom w:val="0"/>
          <w:divBdr>
            <w:top w:val="single" w:sz="6" w:space="10" w:color="E5E5E5"/>
            <w:left w:val="single" w:sz="2" w:space="0" w:color="E5E5E5"/>
            <w:bottom w:val="single" w:sz="6" w:space="19" w:color="E5E5E5"/>
            <w:right w:val="single" w:sz="2" w:space="0" w:color="E5E5E5"/>
          </w:divBdr>
          <w:divsChild>
            <w:div w:id="1486125611">
              <w:marLeft w:val="0"/>
              <w:marRight w:val="0"/>
              <w:marTop w:val="0"/>
              <w:marBottom w:val="0"/>
              <w:divBdr>
                <w:top w:val="none" w:sz="0" w:space="0" w:color="auto"/>
                <w:left w:val="none" w:sz="0" w:space="0" w:color="auto"/>
                <w:bottom w:val="none" w:sz="0" w:space="0" w:color="auto"/>
                <w:right w:val="none" w:sz="0" w:space="0" w:color="auto"/>
              </w:divBdr>
            </w:div>
            <w:div w:id="2073960145">
              <w:marLeft w:val="0"/>
              <w:marRight w:val="345"/>
              <w:marTop w:val="0"/>
              <w:marBottom w:val="240"/>
              <w:divBdr>
                <w:top w:val="none" w:sz="0" w:space="0" w:color="auto"/>
                <w:left w:val="none" w:sz="0" w:space="0" w:color="auto"/>
                <w:bottom w:val="none" w:sz="0" w:space="0" w:color="auto"/>
                <w:right w:val="none" w:sz="0" w:space="0" w:color="auto"/>
              </w:divBdr>
            </w:div>
          </w:divsChild>
        </w:div>
      </w:divsChild>
    </w:div>
    <w:div w:id="1203790970">
      <w:bodyDiv w:val="1"/>
      <w:marLeft w:val="0"/>
      <w:marRight w:val="0"/>
      <w:marTop w:val="0"/>
      <w:marBottom w:val="0"/>
      <w:divBdr>
        <w:top w:val="none" w:sz="0" w:space="0" w:color="auto"/>
        <w:left w:val="none" w:sz="0" w:space="0" w:color="auto"/>
        <w:bottom w:val="none" w:sz="0" w:space="0" w:color="auto"/>
        <w:right w:val="none" w:sz="0" w:space="0" w:color="auto"/>
      </w:divBdr>
    </w:div>
    <w:div w:id="1258833764">
      <w:bodyDiv w:val="1"/>
      <w:marLeft w:val="0"/>
      <w:marRight w:val="0"/>
      <w:marTop w:val="0"/>
      <w:marBottom w:val="0"/>
      <w:divBdr>
        <w:top w:val="none" w:sz="0" w:space="0" w:color="auto"/>
        <w:left w:val="none" w:sz="0" w:space="0" w:color="auto"/>
        <w:bottom w:val="none" w:sz="0" w:space="0" w:color="auto"/>
        <w:right w:val="none" w:sz="0" w:space="0" w:color="auto"/>
      </w:divBdr>
    </w:div>
    <w:div w:id="1438330590">
      <w:bodyDiv w:val="1"/>
      <w:marLeft w:val="0"/>
      <w:marRight w:val="0"/>
      <w:marTop w:val="0"/>
      <w:marBottom w:val="0"/>
      <w:divBdr>
        <w:top w:val="none" w:sz="0" w:space="0" w:color="auto"/>
        <w:left w:val="none" w:sz="0" w:space="0" w:color="auto"/>
        <w:bottom w:val="none" w:sz="0" w:space="0" w:color="auto"/>
        <w:right w:val="none" w:sz="0" w:space="0" w:color="auto"/>
      </w:divBdr>
    </w:div>
    <w:div w:id="1452091827">
      <w:bodyDiv w:val="1"/>
      <w:marLeft w:val="0"/>
      <w:marRight w:val="0"/>
      <w:marTop w:val="0"/>
      <w:marBottom w:val="0"/>
      <w:divBdr>
        <w:top w:val="none" w:sz="0" w:space="0" w:color="auto"/>
        <w:left w:val="none" w:sz="0" w:space="0" w:color="auto"/>
        <w:bottom w:val="none" w:sz="0" w:space="0" w:color="auto"/>
        <w:right w:val="none" w:sz="0" w:space="0" w:color="auto"/>
      </w:divBdr>
    </w:div>
    <w:div w:id="1497303344">
      <w:bodyDiv w:val="1"/>
      <w:marLeft w:val="0"/>
      <w:marRight w:val="0"/>
      <w:marTop w:val="0"/>
      <w:marBottom w:val="0"/>
      <w:divBdr>
        <w:top w:val="none" w:sz="0" w:space="0" w:color="auto"/>
        <w:left w:val="none" w:sz="0" w:space="0" w:color="auto"/>
        <w:bottom w:val="none" w:sz="0" w:space="0" w:color="auto"/>
        <w:right w:val="none" w:sz="0" w:space="0" w:color="auto"/>
      </w:divBdr>
    </w:div>
    <w:div w:id="1531650139">
      <w:bodyDiv w:val="1"/>
      <w:marLeft w:val="0"/>
      <w:marRight w:val="0"/>
      <w:marTop w:val="0"/>
      <w:marBottom w:val="0"/>
      <w:divBdr>
        <w:top w:val="none" w:sz="0" w:space="0" w:color="auto"/>
        <w:left w:val="none" w:sz="0" w:space="0" w:color="auto"/>
        <w:bottom w:val="none" w:sz="0" w:space="0" w:color="auto"/>
        <w:right w:val="none" w:sz="0" w:space="0" w:color="auto"/>
      </w:divBdr>
    </w:div>
    <w:div w:id="1534803441">
      <w:bodyDiv w:val="1"/>
      <w:marLeft w:val="0"/>
      <w:marRight w:val="0"/>
      <w:marTop w:val="0"/>
      <w:marBottom w:val="0"/>
      <w:divBdr>
        <w:top w:val="none" w:sz="0" w:space="0" w:color="auto"/>
        <w:left w:val="none" w:sz="0" w:space="0" w:color="auto"/>
        <w:bottom w:val="none" w:sz="0" w:space="0" w:color="auto"/>
        <w:right w:val="none" w:sz="0" w:space="0" w:color="auto"/>
      </w:divBdr>
    </w:div>
    <w:div w:id="1621378024">
      <w:bodyDiv w:val="1"/>
      <w:marLeft w:val="0"/>
      <w:marRight w:val="0"/>
      <w:marTop w:val="0"/>
      <w:marBottom w:val="0"/>
      <w:divBdr>
        <w:top w:val="none" w:sz="0" w:space="0" w:color="auto"/>
        <w:left w:val="none" w:sz="0" w:space="0" w:color="auto"/>
        <w:bottom w:val="none" w:sz="0" w:space="0" w:color="auto"/>
        <w:right w:val="none" w:sz="0" w:space="0" w:color="auto"/>
      </w:divBdr>
    </w:div>
    <w:div w:id="1690984529">
      <w:bodyDiv w:val="1"/>
      <w:marLeft w:val="0"/>
      <w:marRight w:val="0"/>
      <w:marTop w:val="0"/>
      <w:marBottom w:val="0"/>
      <w:divBdr>
        <w:top w:val="none" w:sz="0" w:space="0" w:color="auto"/>
        <w:left w:val="none" w:sz="0" w:space="0" w:color="auto"/>
        <w:bottom w:val="none" w:sz="0" w:space="0" w:color="auto"/>
        <w:right w:val="none" w:sz="0" w:space="0" w:color="auto"/>
      </w:divBdr>
    </w:div>
    <w:div w:id="1692949519">
      <w:bodyDiv w:val="1"/>
      <w:marLeft w:val="0"/>
      <w:marRight w:val="0"/>
      <w:marTop w:val="0"/>
      <w:marBottom w:val="0"/>
      <w:divBdr>
        <w:top w:val="none" w:sz="0" w:space="0" w:color="auto"/>
        <w:left w:val="none" w:sz="0" w:space="0" w:color="auto"/>
        <w:bottom w:val="none" w:sz="0" w:space="0" w:color="auto"/>
        <w:right w:val="none" w:sz="0" w:space="0" w:color="auto"/>
      </w:divBdr>
    </w:div>
    <w:div w:id="1790197498">
      <w:bodyDiv w:val="1"/>
      <w:marLeft w:val="0"/>
      <w:marRight w:val="0"/>
      <w:marTop w:val="0"/>
      <w:marBottom w:val="0"/>
      <w:divBdr>
        <w:top w:val="none" w:sz="0" w:space="0" w:color="auto"/>
        <w:left w:val="none" w:sz="0" w:space="0" w:color="auto"/>
        <w:bottom w:val="none" w:sz="0" w:space="0" w:color="auto"/>
        <w:right w:val="none" w:sz="0" w:space="0" w:color="auto"/>
      </w:divBdr>
    </w:div>
    <w:div w:id="1801417341">
      <w:bodyDiv w:val="1"/>
      <w:marLeft w:val="0"/>
      <w:marRight w:val="0"/>
      <w:marTop w:val="0"/>
      <w:marBottom w:val="0"/>
      <w:divBdr>
        <w:top w:val="none" w:sz="0" w:space="0" w:color="auto"/>
        <w:left w:val="none" w:sz="0" w:space="0" w:color="auto"/>
        <w:bottom w:val="none" w:sz="0" w:space="0" w:color="auto"/>
        <w:right w:val="none" w:sz="0" w:space="0" w:color="auto"/>
      </w:divBdr>
    </w:div>
    <w:div w:id="1864855034">
      <w:bodyDiv w:val="1"/>
      <w:marLeft w:val="0"/>
      <w:marRight w:val="0"/>
      <w:marTop w:val="0"/>
      <w:marBottom w:val="0"/>
      <w:divBdr>
        <w:top w:val="none" w:sz="0" w:space="0" w:color="auto"/>
        <w:left w:val="none" w:sz="0" w:space="0" w:color="auto"/>
        <w:bottom w:val="none" w:sz="0" w:space="0" w:color="auto"/>
        <w:right w:val="none" w:sz="0" w:space="0" w:color="auto"/>
      </w:divBdr>
    </w:div>
    <w:div w:id="1920215256">
      <w:bodyDiv w:val="1"/>
      <w:marLeft w:val="0"/>
      <w:marRight w:val="0"/>
      <w:marTop w:val="0"/>
      <w:marBottom w:val="0"/>
      <w:divBdr>
        <w:top w:val="none" w:sz="0" w:space="0" w:color="auto"/>
        <w:left w:val="none" w:sz="0" w:space="0" w:color="auto"/>
        <w:bottom w:val="none" w:sz="0" w:space="0" w:color="auto"/>
        <w:right w:val="none" w:sz="0" w:space="0" w:color="auto"/>
      </w:divBdr>
    </w:div>
    <w:div w:id="2066682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png"/><Relationship Id="rId18" Type="http://schemas.openxmlformats.org/officeDocument/2006/relationships/image" Target="media/image7.png"/><Relationship Id="rId3" Type="http://schemas.openxmlformats.org/officeDocument/2006/relationships/numbering" Target="numbering.xml"/><Relationship Id="rId21" Type="http://schemas.openxmlformats.org/officeDocument/2006/relationships/image" Target="media/image9.jpeg"/><Relationship Id="rId34" Type="http://schemas.microsoft.com/office/2011/relationships/commentsExtended" Target="commentsExtended.xml"/><Relationship Id="rId7" Type="http://schemas.openxmlformats.org/officeDocument/2006/relationships/webSettings" Target="webSettings.xml"/><Relationship Id="rId12" Type="http://schemas.openxmlformats.org/officeDocument/2006/relationships/hyperlink" Target="http://kids.britannica.com/elementary/art-179878" TargetMode="External"/><Relationship Id="rId17" Type="http://schemas.openxmlformats.org/officeDocument/2006/relationships/image" Target="media/image6.jpe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gif"/><Relationship Id="rId24" Type="http://schemas.openxmlformats.org/officeDocument/2006/relationships/theme" Target="theme/theme1.xml"/><Relationship Id="rId5" Type="http://schemas.microsoft.com/office/2007/relationships/stylesWithEffects" Target="stylesWithEffects.xml"/><Relationship Id="rId15" Type="http://schemas.openxmlformats.org/officeDocument/2006/relationships/image" Target="media/image4.png"/><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www.theguardian.com/world/africa"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3.png"/><Relationship Id="rId22" Type="http://schemas.openxmlformats.org/officeDocument/2006/relationships/image" Target="media/image10.png"/></Relationships>
</file>

<file path=word/_rels/footnotes.xml.rels><?xml version="1.0" encoding="UTF-8" standalone="yes"?>
<Relationships xmlns="http://schemas.openxmlformats.org/package/2006/relationships"><Relationship Id="rId13" Type="http://schemas.openxmlformats.org/officeDocument/2006/relationships/hyperlink" Target="http://repository.up.ac.za/bitstream/handle/2263/7700/011.pdf?sequence=1" TargetMode="External"/><Relationship Id="rId18" Type="http://schemas.openxmlformats.org/officeDocument/2006/relationships/hyperlink" Target="http://www.theguardian.com/music/2005/jan/14/2%20(17" TargetMode="External"/><Relationship Id="rId26" Type="http://schemas.openxmlformats.org/officeDocument/2006/relationships/hyperlink" Target="http://www.sowetanlive.co.za/sport/2015/03/30/boxing-event-to-help-pangaman%20(16" TargetMode="External"/><Relationship Id="rId3" Type="http://schemas.openxmlformats.org/officeDocument/2006/relationships/hyperlink" Target="http://www.sahistory.org.za/sites/default/files/Native%20Life%20in%20South%20Africa_0.pdf" TargetMode="External"/><Relationship Id="rId21" Type="http://schemas.openxmlformats.org/officeDocument/2006/relationships/hyperlink" Target="http://www.rollingstone.com/music/lists/100-best-albums-of-the-eighties-20110418/artists-united-against-apartheid-sun-city-20110330%20(21" TargetMode="External"/><Relationship Id="rId34" Type="http://schemas.openxmlformats.org/officeDocument/2006/relationships/hyperlink" Target="http://www.saflii.org/za/legis/num_act/nga1996156/" TargetMode="External"/><Relationship Id="rId7" Type="http://schemas.openxmlformats.org/officeDocument/2006/relationships/hyperlink" Target="http://www.southafrica.info/business/investing/kerzner-one&amp;only.htm" TargetMode="External"/><Relationship Id="rId12" Type="http://schemas.openxmlformats.org/officeDocument/2006/relationships/hyperlink" Target="https://www.moneyweb.co.za/news/companies-and-deals/sun-international-risks-and-opportunity/" TargetMode="External"/><Relationship Id="rId17" Type="http://schemas.openxmlformats.org/officeDocument/2006/relationships/hyperlink" Target="http://www.nytimes.com/1982/10/12/arts/why-bophuthatswana-needs-american-stars.html?pagewanted=all" TargetMode="External"/><Relationship Id="rId25" Type="http://schemas.openxmlformats.org/officeDocument/2006/relationships/hyperlink" Target="http://www.nytimes.com/2012/10/21/sports/gerrie-coetzee-vs-john-tate-in-apartheid-era-south-africa.html?_r=0" TargetMode="External"/><Relationship Id="rId33" Type="http://schemas.openxmlformats.org/officeDocument/2006/relationships/hyperlink" Target="http://www.kzngbb.org.za/wp-content/uploads/business-reports/GRC_Report.pdf%20(16" TargetMode="External"/><Relationship Id="rId2" Type="http://schemas.openxmlformats.org/officeDocument/2006/relationships/hyperlink" Target="http://batavia.polresearch.org/slavery/rangton.pdf%20(5" TargetMode="External"/><Relationship Id="rId16" Type="http://schemas.openxmlformats.org/officeDocument/2006/relationships/hyperlink" Target="http://articles.chicagotribune.com/1985-05-19/entertainment/8501310597_1_south-africa-cultural-boycott-apartheid/2%20(17" TargetMode="External"/><Relationship Id="rId20" Type="http://schemas.openxmlformats.org/officeDocument/2006/relationships/hyperlink" Target="http://www.theguardian.com/music/2012/apr/19/paul-simon-graceland-acclaim-outrage%20(12" TargetMode="External"/><Relationship Id="rId29" Type="http://schemas.openxmlformats.org/officeDocument/2006/relationships/hyperlink" Target="http://content.time.com/time/magazine/article/0,9171,922516,00.html" TargetMode="External"/><Relationship Id="rId1" Type="http://schemas.openxmlformats.org/officeDocument/2006/relationships/hyperlink" Target="https://www.nelsonmandela.org/omalley/index.php/site/q/03lv02167/04lv02264/05lv02335/06lv02357/07lv02359/08lv02371.htm%20(9" TargetMode="External"/><Relationship Id="rId6" Type="http://schemas.openxmlformats.org/officeDocument/2006/relationships/hyperlink" Target="http://www.irle.berkeley.edu/culture/conference/sallaz.pdf%20(3" TargetMode="External"/><Relationship Id="rId11" Type="http://schemas.openxmlformats.org/officeDocument/2006/relationships/hyperlink" Target="http://fspinvest.co.za/articles/stocks/about-the-company-tsogo-sun-holdings-ltd-jsetsh-3149.html" TargetMode="External"/><Relationship Id="rId24" Type="http://schemas.openxmlformats.org/officeDocument/2006/relationships/hyperlink" Target="http://www.rollingstone.com/music/lists/100-best-albums-of-the-eighties-20110418/artists-united-against-apartheid-sun-city-20110330%20(21" TargetMode="External"/><Relationship Id="rId32" Type="http://schemas.openxmlformats.org/officeDocument/2006/relationships/hyperlink" Target="http://www.info.gov.za/speeches/2002/02042002246p1001.htm%20(22" TargetMode="External"/><Relationship Id="rId5" Type="http://schemas.openxmlformats.org/officeDocument/2006/relationships/hyperlink" Target="http://www.nytimes.com/1992/12/03/world/resort-not-too-african-for-rich-tourists.html%20(25" TargetMode="External"/><Relationship Id="rId15" Type="http://schemas.openxmlformats.org/officeDocument/2006/relationships/hyperlink" Target="http://www.saflii.org/za/legis/hist_act/soa23o1957181/soa23o1957a1j1967264.pdf%20(19" TargetMode="External"/><Relationship Id="rId23" Type="http://schemas.openxmlformats.org/officeDocument/2006/relationships/hyperlink" Target="http://content.time.com/time/magazine/article/0,9171,960065,00.html" TargetMode="External"/><Relationship Id="rId28" Type="http://schemas.openxmlformats.org/officeDocument/2006/relationships/hyperlink" Target="http://www.nytimes.com/1988/04/15/sports/un-reports-contacts-with-south-africa.html%20(21" TargetMode="External"/><Relationship Id="rId10" Type="http://schemas.openxmlformats.org/officeDocument/2006/relationships/hyperlink" Target="http://www.fin24.com/Companies/TravelAndLeisure/Sol-Kerzners-first-hotel-turns-50-20141124%20(26" TargetMode="External"/><Relationship Id="rId19" Type="http://schemas.openxmlformats.org/officeDocument/2006/relationships/hyperlink" Target="http://www.rollingstone.com/music/features/apartheid-rock-19820610%20(12" TargetMode="External"/><Relationship Id="rId31" Type="http://schemas.openxmlformats.org/officeDocument/2006/relationships/hyperlink" Target="http://www.kzngbb.org.za/wp-content/uploads/business-reports/GRC_Report.pdf%20(4" TargetMode="External"/><Relationship Id="rId4" Type="http://schemas.openxmlformats.org/officeDocument/2006/relationships/hyperlink" Target="http://www.saflii.org/za/cases/ZACC/2000/2.pdf%20(20" TargetMode="External"/><Relationship Id="rId9" Type="http://schemas.openxmlformats.org/officeDocument/2006/relationships/hyperlink" Target="http://mg.co.za/article/1995-11-17-police-move-closer-to-sol%20(" TargetMode="External"/><Relationship Id="rId14" Type="http://schemas.openxmlformats.org/officeDocument/2006/relationships/hyperlink" Target="http://www.independent.co.uk/news/sex-mad-in-joburg-1525617.html%20(13" TargetMode="External"/><Relationship Id="rId22" Type="http://schemas.openxmlformats.org/officeDocument/2006/relationships/hyperlink" Target="http://content.time.com/time/subscriber/article/0,33009,964283,00.html" TargetMode="External"/><Relationship Id="rId27" Type="http://schemas.openxmlformats.org/officeDocument/2006/relationships/hyperlink" Target="http://www.gerriecoetzee.com/gerrie-coetzee-article-sa-heavyweights.htm%20(16" TargetMode="External"/><Relationship Id="rId30" Type="http://schemas.openxmlformats.org/officeDocument/2006/relationships/hyperlink" Target="http://www.boxingnewsonline.net/on-this-day-greg-page-knocks-out-gerrie-coetzee-in-bizarre-extra-time-ending/" TargetMode="External"/><Relationship Id="rId35" Type="http://schemas.openxmlformats.org/officeDocument/2006/relationships/hyperlink" Target="http://www.sadocc.at/news/2006/2006-084.shtml%20(11" TargetMode="External"/><Relationship Id="rId8" Type="http://schemas.openxmlformats.org/officeDocument/2006/relationships/hyperlink" Target="http://content.time.com/time/subscriber/article/0,33009,926196,00.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2016-02-01T00:00:00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CE0FD49-89E3-4B38-ACE9-72FBBD0D4B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107</Pages>
  <Words>35731</Words>
  <Characters>203668</Characters>
  <Application>Microsoft Office Word</Application>
  <DocSecurity>0</DocSecurity>
  <Lines>1697</Lines>
  <Paragraphs>477</Paragraphs>
  <ScaleCrop>false</ScaleCrop>
  <HeadingPairs>
    <vt:vector size="2" baseType="variant">
      <vt:variant>
        <vt:lpstr>Title</vt:lpstr>
      </vt:variant>
      <vt:variant>
        <vt:i4>1</vt:i4>
      </vt:variant>
    </vt:vector>
  </HeadingPairs>
  <TitlesOfParts>
    <vt:vector size="1" baseType="lpstr">
      <vt:lpstr>Gambling in the Bophuthatswana</vt:lpstr>
    </vt:vector>
  </TitlesOfParts>
  <Company/>
  <LinksUpToDate>false</LinksUpToDate>
  <CharactersWithSpaces>238922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Gambling in the Bophuthatswana</dc:title>
  <dc:subject>Sun City and  the political economy of a bantustan casino:1965-1994</dc:subject>
  <dc:creator>Nicola Sarah van der Merwe</dc:creator>
  <cp:lastModifiedBy>Venter, Roa (JNB)</cp:lastModifiedBy>
  <cp:revision>2</cp:revision>
  <cp:lastPrinted>2016-04-20T10:22:00Z</cp:lastPrinted>
  <dcterms:created xsi:type="dcterms:W3CDTF">2017-07-25T16:50:00Z</dcterms:created>
  <dcterms:modified xsi:type="dcterms:W3CDTF">2017-07-25T16:50:00Z</dcterms:modified>
</cp:coreProperties>
</file>